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2.xml" ContentType="application/vnd.openxmlformats-officedocument.themeOverride+xml"/>
  <Override PartName="/word/charts/chart17.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082CA" w14:textId="31079BC4" w:rsidR="00FE0219" w:rsidRPr="00732ADD" w:rsidRDefault="00FE0219" w:rsidP="00AE71A0">
      <w:pPr>
        <w:rPr>
          <w:lang w:val="en-GB"/>
        </w:rPr>
      </w:pPr>
      <w:r w:rsidRPr="00732ADD">
        <w:rPr>
          <w:noProof/>
          <w:lang w:eastAsia="en-ZA"/>
        </w:rPr>
        <w:drawing>
          <wp:anchor distT="0" distB="0" distL="114300" distR="114300" simplePos="0" relativeHeight="251658240" behindDoc="0" locked="0" layoutInCell="1" allowOverlap="1" wp14:anchorId="273A6E3F" wp14:editId="46A131FD">
            <wp:simplePos x="0" y="0"/>
            <wp:positionH relativeFrom="column">
              <wp:posOffset>1931670</wp:posOffset>
            </wp:positionH>
            <wp:positionV relativeFrom="paragraph">
              <wp:align>top</wp:align>
            </wp:positionV>
            <wp:extent cx="1419225" cy="1524000"/>
            <wp:effectExtent l="0" t="0" r="9525" b="0"/>
            <wp:wrapSquare wrapText="bothSides"/>
            <wp:docPr id="4" name="Picture 4" descr="C:\Users\A0003593\Pictures\logos\WitsLogob&amp;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0003593\Pictures\logos\WitsLogob&amp;w.gif"/>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419225" cy="1524000"/>
                    </a:xfrm>
                    <a:prstGeom prst="rect">
                      <a:avLst/>
                    </a:prstGeom>
                    <a:noFill/>
                    <a:ln>
                      <a:noFill/>
                    </a:ln>
                  </pic:spPr>
                </pic:pic>
              </a:graphicData>
            </a:graphic>
          </wp:anchor>
        </w:drawing>
      </w:r>
      <w:r w:rsidR="007412FD" w:rsidRPr="00732ADD">
        <w:rPr>
          <w:lang w:val="en-GB"/>
        </w:rPr>
        <w:br w:type="textWrapping" w:clear="all"/>
      </w:r>
    </w:p>
    <w:p w14:paraId="3A366FED" w14:textId="77777777" w:rsidR="00FE0219" w:rsidRPr="00732ADD" w:rsidRDefault="00FE0219" w:rsidP="008B5BD8">
      <w:pPr>
        <w:jc w:val="center"/>
        <w:rPr>
          <w:lang w:val="en-GB"/>
        </w:rPr>
      </w:pPr>
      <w:r w:rsidRPr="00732ADD">
        <w:rPr>
          <w:lang w:val="en-GB"/>
        </w:rPr>
        <w:t>School of Mining Engineering</w:t>
      </w:r>
    </w:p>
    <w:p w14:paraId="5E3E047F" w14:textId="316CEFC3" w:rsidR="00FE0219" w:rsidRPr="001734FA" w:rsidRDefault="00FE0219" w:rsidP="008B5BD8">
      <w:pPr>
        <w:jc w:val="center"/>
        <w:rPr>
          <w:b/>
          <w:szCs w:val="24"/>
          <w:lang w:val="en-GB"/>
        </w:rPr>
      </w:pPr>
      <w:r w:rsidRPr="001734FA">
        <w:rPr>
          <w:b/>
          <w:szCs w:val="24"/>
          <w:lang w:val="en-GB"/>
        </w:rPr>
        <w:t>MINN 70</w:t>
      </w:r>
      <w:r w:rsidR="00136A63">
        <w:rPr>
          <w:b/>
          <w:szCs w:val="24"/>
          <w:lang w:val="en-GB"/>
        </w:rPr>
        <w:t>44</w:t>
      </w:r>
    </w:p>
    <w:p w14:paraId="0C3F6F28" w14:textId="2D884DC7" w:rsidR="00FE0219" w:rsidRPr="001734FA" w:rsidRDefault="00FE0219" w:rsidP="00AE71A0">
      <w:pPr>
        <w:rPr>
          <w:szCs w:val="24"/>
          <w:lang w:val="en-GB"/>
        </w:rPr>
      </w:pPr>
      <w:r w:rsidRPr="001734FA">
        <w:rPr>
          <w:b/>
          <w:szCs w:val="24"/>
          <w:lang w:val="en-GB"/>
        </w:rPr>
        <w:t>Student Name:</w:t>
      </w:r>
      <w:r w:rsidRPr="001734FA">
        <w:rPr>
          <w:szCs w:val="24"/>
          <w:lang w:val="en-GB"/>
        </w:rPr>
        <w:tab/>
      </w:r>
      <w:r w:rsidR="003F0B8E">
        <w:rPr>
          <w:szCs w:val="24"/>
          <w:lang w:val="en-GB"/>
        </w:rPr>
        <w:tab/>
      </w:r>
      <w:r w:rsidRPr="001734FA">
        <w:rPr>
          <w:szCs w:val="24"/>
          <w:lang w:val="en-GB"/>
        </w:rPr>
        <w:t>Hermanus Stephanus CORNELISSEN</w:t>
      </w:r>
    </w:p>
    <w:p w14:paraId="7897FE09" w14:textId="77777777" w:rsidR="00FE0219" w:rsidRPr="001734FA" w:rsidRDefault="00FE0219" w:rsidP="00AE71A0">
      <w:pPr>
        <w:rPr>
          <w:szCs w:val="24"/>
          <w:lang w:val="en-GB"/>
        </w:rPr>
      </w:pPr>
      <w:r w:rsidRPr="001734FA">
        <w:rPr>
          <w:b/>
          <w:szCs w:val="24"/>
          <w:lang w:val="en-GB"/>
        </w:rPr>
        <w:t>Student Number:</w:t>
      </w:r>
      <w:r w:rsidRPr="001734FA">
        <w:rPr>
          <w:szCs w:val="24"/>
          <w:lang w:val="en-GB"/>
        </w:rPr>
        <w:tab/>
      </w:r>
      <w:r w:rsidRPr="001734FA">
        <w:rPr>
          <w:szCs w:val="24"/>
          <w:lang w:val="en-GB"/>
        </w:rPr>
        <w:tab/>
        <w:t>813837</w:t>
      </w:r>
    </w:p>
    <w:p w14:paraId="79F99B6C" w14:textId="21412483" w:rsidR="00FE0219" w:rsidRDefault="00FE0219" w:rsidP="00BE22A3">
      <w:pPr>
        <w:ind w:left="2880" w:hanging="2880"/>
        <w:rPr>
          <w:szCs w:val="24"/>
          <w:lang w:val="en-GB"/>
        </w:rPr>
      </w:pPr>
      <w:r w:rsidRPr="001734FA">
        <w:rPr>
          <w:b/>
          <w:szCs w:val="24"/>
          <w:lang w:val="en-GB"/>
        </w:rPr>
        <w:t xml:space="preserve">Title of </w:t>
      </w:r>
      <w:r w:rsidR="00155958">
        <w:rPr>
          <w:b/>
          <w:szCs w:val="24"/>
          <w:lang w:val="en-GB"/>
        </w:rPr>
        <w:t>research report</w:t>
      </w:r>
      <w:r w:rsidRPr="001734FA">
        <w:rPr>
          <w:b/>
          <w:szCs w:val="24"/>
          <w:lang w:val="en-GB"/>
        </w:rPr>
        <w:t>:</w:t>
      </w:r>
      <w:r w:rsidRPr="001734FA">
        <w:rPr>
          <w:szCs w:val="24"/>
          <w:lang w:val="en-GB"/>
        </w:rPr>
        <w:tab/>
      </w:r>
      <w:r w:rsidR="00443D2B" w:rsidRPr="00443D2B">
        <w:rPr>
          <w:szCs w:val="24"/>
          <w:lang w:val="en-GB"/>
        </w:rPr>
        <w:t>An analysis of actual cost data for surface mine rehabilitation projects in South Africa and comparison with guideline values published by the Department of Mineral Resources.</w:t>
      </w:r>
    </w:p>
    <w:p w14:paraId="69501324" w14:textId="1DB1EA42" w:rsidR="001553EF" w:rsidRDefault="001553EF" w:rsidP="00AE71A0">
      <w:pPr>
        <w:rPr>
          <w:szCs w:val="24"/>
          <w:lang w:val="en-GB"/>
        </w:rPr>
      </w:pPr>
      <w:r w:rsidRPr="001553EF">
        <w:rPr>
          <w:szCs w:val="24"/>
          <w:lang w:val="en-GB"/>
        </w:rPr>
        <w:t xml:space="preserve">A research report submitted to the Faculty of </w:t>
      </w:r>
      <w:r>
        <w:rPr>
          <w:szCs w:val="24"/>
          <w:lang w:val="en-GB"/>
        </w:rPr>
        <w:t>Engineering</w:t>
      </w:r>
      <w:r w:rsidRPr="001553EF">
        <w:rPr>
          <w:szCs w:val="24"/>
          <w:lang w:val="en-GB"/>
        </w:rPr>
        <w:t>, University of the Witwatersrand, Johannesburg, in partial fulfilment of the requirements for the degree of Master of Science.</w:t>
      </w:r>
    </w:p>
    <w:p w14:paraId="4D74B134" w14:textId="77777777" w:rsidR="0064173D" w:rsidRPr="001734FA" w:rsidRDefault="0064173D" w:rsidP="00AE71A0">
      <w:pPr>
        <w:rPr>
          <w:szCs w:val="24"/>
          <w:lang w:val="en-GB"/>
        </w:rPr>
      </w:pPr>
    </w:p>
    <w:p w14:paraId="77CC7DAF" w14:textId="7C6C57DE" w:rsidR="00FE0219" w:rsidRPr="001734FA" w:rsidRDefault="00FE0219" w:rsidP="00AE71A0">
      <w:pPr>
        <w:rPr>
          <w:szCs w:val="24"/>
          <w:lang w:val="en-GB"/>
        </w:rPr>
      </w:pPr>
      <w:r w:rsidRPr="001734FA">
        <w:rPr>
          <w:b/>
          <w:szCs w:val="24"/>
          <w:lang w:val="en-GB"/>
        </w:rPr>
        <w:t>Word count:</w:t>
      </w:r>
      <w:r w:rsidRPr="001734FA">
        <w:rPr>
          <w:b/>
          <w:szCs w:val="24"/>
          <w:lang w:val="en-GB"/>
        </w:rPr>
        <w:tab/>
      </w:r>
      <w:r w:rsidR="00746011">
        <w:rPr>
          <w:b/>
          <w:szCs w:val="24"/>
          <w:lang w:val="en-GB"/>
        </w:rPr>
        <w:t>2</w:t>
      </w:r>
      <w:r w:rsidR="0035467A">
        <w:rPr>
          <w:b/>
          <w:szCs w:val="24"/>
          <w:lang w:val="en-GB"/>
        </w:rPr>
        <w:t>5</w:t>
      </w:r>
      <w:r w:rsidR="00746011">
        <w:rPr>
          <w:b/>
          <w:szCs w:val="24"/>
          <w:lang w:val="en-GB"/>
        </w:rPr>
        <w:t xml:space="preserve"> </w:t>
      </w:r>
      <w:r w:rsidR="006739EC">
        <w:rPr>
          <w:b/>
          <w:szCs w:val="24"/>
          <w:lang w:val="en-GB"/>
        </w:rPr>
        <w:t>5</w:t>
      </w:r>
      <w:r w:rsidR="0035467A">
        <w:rPr>
          <w:b/>
          <w:szCs w:val="24"/>
          <w:lang w:val="en-GB"/>
        </w:rPr>
        <w:t>83</w:t>
      </w:r>
    </w:p>
    <w:p w14:paraId="7AFEA1B9" w14:textId="398A083F" w:rsidR="00FE0219" w:rsidRDefault="00FE0219" w:rsidP="00AE71A0">
      <w:pPr>
        <w:rPr>
          <w:szCs w:val="24"/>
          <w:lang w:val="en-GB"/>
        </w:rPr>
      </w:pPr>
      <w:r w:rsidRPr="001734FA">
        <w:rPr>
          <w:b/>
          <w:szCs w:val="24"/>
          <w:lang w:val="en-GB"/>
        </w:rPr>
        <w:t>Abstract:</w:t>
      </w:r>
      <w:r w:rsidRPr="001734FA">
        <w:rPr>
          <w:b/>
          <w:szCs w:val="24"/>
          <w:lang w:val="en-GB"/>
        </w:rPr>
        <w:tab/>
      </w:r>
      <w:r w:rsidR="00443D2B" w:rsidRPr="00443D2B">
        <w:rPr>
          <w:szCs w:val="24"/>
          <w:lang w:val="en-GB"/>
        </w:rPr>
        <w:t xml:space="preserve">This research </w:t>
      </w:r>
      <w:r w:rsidR="00946703">
        <w:rPr>
          <w:szCs w:val="24"/>
          <w:lang w:val="en-GB"/>
        </w:rPr>
        <w:t xml:space="preserve">report </w:t>
      </w:r>
      <w:r w:rsidR="00B520A8">
        <w:rPr>
          <w:szCs w:val="24"/>
          <w:lang w:val="en-GB"/>
        </w:rPr>
        <w:t xml:space="preserve">compares the mine closure costs </w:t>
      </w:r>
      <w:r w:rsidR="00443D2B" w:rsidRPr="00443D2B">
        <w:rPr>
          <w:szCs w:val="24"/>
          <w:lang w:val="en-GB"/>
        </w:rPr>
        <w:t xml:space="preserve">in the </w:t>
      </w:r>
      <w:r w:rsidR="007C04B5">
        <w:rPr>
          <w:szCs w:val="24"/>
          <w:lang w:val="en-GB"/>
        </w:rPr>
        <w:t>DME</w:t>
      </w:r>
      <w:r w:rsidR="00443D2B" w:rsidRPr="00443D2B">
        <w:rPr>
          <w:szCs w:val="24"/>
          <w:lang w:val="en-GB"/>
        </w:rPr>
        <w:t xml:space="preserve">’s financial provision guideline </w:t>
      </w:r>
      <w:r w:rsidR="00B520A8">
        <w:rPr>
          <w:szCs w:val="24"/>
          <w:lang w:val="en-GB"/>
        </w:rPr>
        <w:t xml:space="preserve">with </w:t>
      </w:r>
      <w:r w:rsidR="00443D2B" w:rsidRPr="00443D2B">
        <w:rPr>
          <w:szCs w:val="24"/>
          <w:lang w:val="en-GB"/>
        </w:rPr>
        <w:t>the real</w:t>
      </w:r>
      <w:r w:rsidR="00B520A8">
        <w:rPr>
          <w:szCs w:val="24"/>
          <w:lang w:val="en-GB"/>
        </w:rPr>
        <w:t xml:space="preserve"> costs of mine rehabilitation projects</w:t>
      </w:r>
      <w:r w:rsidR="00443D2B" w:rsidRPr="00443D2B">
        <w:rPr>
          <w:szCs w:val="24"/>
          <w:lang w:val="en-GB"/>
        </w:rPr>
        <w:t>.</w:t>
      </w:r>
      <w:r w:rsidR="00B520A8">
        <w:rPr>
          <w:szCs w:val="24"/>
          <w:lang w:val="en-GB"/>
        </w:rPr>
        <w:t xml:space="preserve"> The </w:t>
      </w:r>
      <w:r w:rsidR="003F0B8E">
        <w:rPr>
          <w:szCs w:val="24"/>
          <w:lang w:val="en-GB"/>
        </w:rPr>
        <w:t xml:space="preserve">data analysed for this research </w:t>
      </w:r>
      <w:r w:rsidR="00B520A8">
        <w:rPr>
          <w:szCs w:val="24"/>
          <w:lang w:val="en-GB"/>
        </w:rPr>
        <w:t xml:space="preserve">report </w:t>
      </w:r>
      <w:r w:rsidR="003F0B8E">
        <w:rPr>
          <w:szCs w:val="24"/>
          <w:lang w:val="en-GB"/>
        </w:rPr>
        <w:t xml:space="preserve">indicates </w:t>
      </w:r>
      <w:r w:rsidR="00B520A8">
        <w:rPr>
          <w:szCs w:val="24"/>
          <w:lang w:val="en-GB"/>
        </w:rPr>
        <w:t>that</w:t>
      </w:r>
      <w:r w:rsidR="003F0B8E">
        <w:rPr>
          <w:szCs w:val="24"/>
          <w:lang w:val="en-GB"/>
        </w:rPr>
        <w:t xml:space="preserve"> </w:t>
      </w:r>
      <w:r w:rsidR="00946703">
        <w:rPr>
          <w:szCs w:val="24"/>
          <w:lang w:val="en-GB"/>
        </w:rPr>
        <w:t xml:space="preserve">the real industry rates, </w:t>
      </w:r>
      <w:r w:rsidR="00B520A8">
        <w:rPr>
          <w:szCs w:val="24"/>
          <w:lang w:val="en-GB"/>
        </w:rPr>
        <w:t>as evidenced by the tendered costs for actual mine rehabilitation projects,</w:t>
      </w:r>
      <w:r w:rsidR="00946703">
        <w:rPr>
          <w:szCs w:val="24"/>
          <w:lang w:val="en-GB"/>
        </w:rPr>
        <w:t xml:space="preserve"> </w:t>
      </w:r>
      <w:r w:rsidR="00B520A8">
        <w:rPr>
          <w:szCs w:val="24"/>
          <w:lang w:val="en-GB"/>
        </w:rPr>
        <w:t xml:space="preserve">exceed the guideline rates published by the </w:t>
      </w:r>
      <w:r w:rsidR="007C04B5">
        <w:rPr>
          <w:szCs w:val="24"/>
          <w:lang w:val="en-GB"/>
        </w:rPr>
        <w:t>DME</w:t>
      </w:r>
      <w:r w:rsidR="003F0B8E">
        <w:rPr>
          <w:szCs w:val="24"/>
          <w:lang w:val="en-GB"/>
        </w:rPr>
        <w:t xml:space="preserve"> in most cases. The</w:t>
      </w:r>
      <w:r w:rsidR="0072267F">
        <w:rPr>
          <w:szCs w:val="24"/>
          <w:lang w:val="en-GB"/>
        </w:rPr>
        <w:t xml:space="preserve">se findings support the </w:t>
      </w:r>
      <w:r w:rsidR="003F0B8E">
        <w:rPr>
          <w:szCs w:val="24"/>
          <w:lang w:val="en-GB"/>
        </w:rPr>
        <w:t>conclusion</w:t>
      </w:r>
      <w:r w:rsidR="0072267F">
        <w:rPr>
          <w:szCs w:val="24"/>
          <w:lang w:val="en-GB"/>
        </w:rPr>
        <w:t xml:space="preserve">s of other researchers </w:t>
      </w:r>
      <w:r w:rsidR="003F0B8E">
        <w:rPr>
          <w:szCs w:val="24"/>
          <w:lang w:val="en-GB"/>
        </w:rPr>
        <w:t xml:space="preserve">that </w:t>
      </w:r>
      <w:r w:rsidR="00B520A8">
        <w:rPr>
          <w:szCs w:val="24"/>
          <w:lang w:val="en-GB"/>
        </w:rPr>
        <w:t xml:space="preserve">mines which have been using the </w:t>
      </w:r>
      <w:r w:rsidR="0072267F">
        <w:rPr>
          <w:szCs w:val="24"/>
          <w:lang w:val="en-GB"/>
        </w:rPr>
        <w:t xml:space="preserve">DME </w:t>
      </w:r>
      <w:r w:rsidR="00B520A8">
        <w:rPr>
          <w:szCs w:val="24"/>
          <w:lang w:val="en-GB"/>
        </w:rPr>
        <w:t>guideline rates</w:t>
      </w:r>
      <w:r w:rsidR="0072267F">
        <w:rPr>
          <w:szCs w:val="24"/>
          <w:lang w:val="en-GB"/>
        </w:rPr>
        <w:t xml:space="preserve"> in the period from 2005 - 2016</w:t>
      </w:r>
      <w:r w:rsidR="00B520A8">
        <w:rPr>
          <w:szCs w:val="24"/>
          <w:lang w:val="en-GB"/>
        </w:rPr>
        <w:t xml:space="preserve"> </w:t>
      </w:r>
      <w:r w:rsidR="00946703">
        <w:rPr>
          <w:szCs w:val="24"/>
          <w:lang w:val="en-GB"/>
        </w:rPr>
        <w:t>have</w:t>
      </w:r>
      <w:r w:rsidR="00B520A8">
        <w:rPr>
          <w:szCs w:val="24"/>
          <w:lang w:val="en-GB"/>
        </w:rPr>
        <w:t xml:space="preserve"> probably under-pric</w:t>
      </w:r>
      <w:r w:rsidR="00946703">
        <w:rPr>
          <w:szCs w:val="24"/>
          <w:lang w:val="en-GB"/>
        </w:rPr>
        <w:t>ed</w:t>
      </w:r>
      <w:r w:rsidR="00B520A8">
        <w:rPr>
          <w:szCs w:val="24"/>
          <w:lang w:val="en-GB"/>
        </w:rPr>
        <w:t xml:space="preserve"> their </w:t>
      </w:r>
      <w:r w:rsidR="00DB5704">
        <w:rPr>
          <w:szCs w:val="24"/>
          <w:lang w:val="en-GB"/>
        </w:rPr>
        <w:t>closure liabilities</w:t>
      </w:r>
      <w:r w:rsidR="00B520A8">
        <w:rPr>
          <w:szCs w:val="24"/>
          <w:lang w:val="en-GB"/>
        </w:rPr>
        <w:t xml:space="preserve"> in relation to </w:t>
      </w:r>
      <w:r w:rsidR="0072267F">
        <w:rPr>
          <w:szCs w:val="24"/>
          <w:lang w:val="en-GB"/>
        </w:rPr>
        <w:t xml:space="preserve">actual </w:t>
      </w:r>
      <w:r w:rsidR="00B520A8">
        <w:rPr>
          <w:szCs w:val="24"/>
          <w:lang w:val="en-GB"/>
        </w:rPr>
        <w:t xml:space="preserve">market costs. </w:t>
      </w:r>
    </w:p>
    <w:p w14:paraId="26AE80F7" w14:textId="483980C0" w:rsidR="00443D2B" w:rsidRPr="00D43D68" w:rsidRDefault="00443D2B" w:rsidP="00AE71A0">
      <w:r w:rsidRPr="00443D2B">
        <w:rPr>
          <w:b/>
        </w:rPr>
        <w:t>Degree:</w:t>
      </w:r>
      <w:r>
        <w:tab/>
      </w:r>
      <w:r>
        <w:tab/>
      </w:r>
      <w:r w:rsidR="00D302E2" w:rsidRPr="00D43D68">
        <w:t>M</w:t>
      </w:r>
      <w:r w:rsidR="00D302E2">
        <w:t>.</w:t>
      </w:r>
      <w:r w:rsidR="00D302E2" w:rsidRPr="00D43D68">
        <w:t>Sc.</w:t>
      </w:r>
      <w:r w:rsidRPr="00D43D68">
        <w:t xml:space="preserve"> (Eng.) Mining Engineering</w:t>
      </w:r>
    </w:p>
    <w:p w14:paraId="0F964752" w14:textId="77777777" w:rsidR="00443D2B" w:rsidRDefault="00443D2B" w:rsidP="00AE71A0">
      <w:r w:rsidRPr="00443D2B">
        <w:rPr>
          <w:b/>
        </w:rPr>
        <w:t>Supervisor:</w:t>
      </w:r>
      <w:r>
        <w:tab/>
      </w:r>
      <w:r>
        <w:tab/>
      </w:r>
      <w:r w:rsidRPr="00D43D68">
        <w:t>Ms Ingrid Watson</w:t>
      </w:r>
    </w:p>
    <w:p w14:paraId="35149336" w14:textId="77777777" w:rsidR="003F0B8E" w:rsidRDefault="00443D2B" w:rsidP="00AE71A0">
      <w:r w:rsidRPr="00206829">
        <w:t>Programme Manager: Environment</w:t>
      </w:r>
      <w:r w:rsidR="008E0EB2">
        <w:t xml:space="preserve">. </w:t>
      </w:r>
    </w:p>
    <w:p w14:paraId="5035F4FB" w14:textId="71605F32" w:rsidR="00443D2B" w:rsidRDefault="00443D2B" w:rsidP="00AE71A0">
      <w:r>
        <w:t>Centre for Sustainability in Mining and Industry</w:t>
      </w:r>
    </w:p>
    <w:p w14:paraId="611CA8CD" w14:textId="77777777" w:rsidR="003F0B8E" w:rsidRDefault="003F0B8E" w:rsidP="00AE71A0"/>
    <w:p w14:paraId="158F3FDA" w14:textId="1036FF03" w:rsidR="00FE0219" w:rsidRDefault="00FE0219" w:rsidP="00AE71A0">
      <w:pPr>
        <w:rPr>
          <w:b/>
          <w:lang w:val="en-GB"/>
        </w:rPr>
      </w:pPr>
      <w:r w:rsidRPr="001734FA">
        <w:rPr>
          <w:b/>
          <w:lang w:val="en-GB"/>
        </w:rPr>
        <w:t>Declaration</w:t>
      </w:r>
    </w:p>
    <w:p w14:paraId="28E1C1ED" w14:textId="77777777" w:rsidR="00F43CE5" w:rsidRPr="001734FA" w:rsidRDefault="00F43CE5" w:rsidP="00AE71A0">
      <w:pPr>
        <w:rPr>
          <w:b/>
          <w:szCs w:val="24"/>
          <w:lang w:val="en-GB"/>
        </w:rPr>
      </w:pPr>
    </w:p>
    <w:p w14:paraId="3DA6B4C4" w14:textId="6B3BB3D8" w:rsidR="001553EF" w:rsidRPr="001553EF" w:rsidRDefault="001553EF" w:rsidP="00AE71A0">
      <w:pPr>
        <w:rPr>
          <w:szCs w:val="24"/>
          <w:lang w:val="en-GB"/>
        </w:rPr>
      </w:pPr>
      <w:r w:rsidRPr="001553EF">
        <w:rPr>
          <w:szCs w:val="24"/>
          <w:lang w:val="en-GB"/>
        </w:rPr>
        <w:t xml:space="preserve">I declare that this </w:t>
      </w:r>
      <w:r>
        <w:rPr>
          <w:szCs w:val="24"/>
          <w:lang w:val="en-GB"/>
        </w:rPr>
        <w:t xml:space="preserve">research report </w:t>
      </w:r>
      <w:r w:rsidRPr="001553EF">
        <w:rPr>
          <w:szCs w:val="24"/>
          <w:lang w:val="en-GB"/>
        </w:rPr>
        <w:t xml:space="preserve">is my own, unaided work. It is being submitted for the Degree of </w:t>
      </w:r>
      <w:r w:rsidR="008E0EB2" w:rsidRPr="008E0EB2">
        <w:rPr>
          <w:szCs w:val="24"/>
          <w:lang w:val="en-GB"/>
        </w:rPr>
        <w:t>Master of Science</w:t>
      </w:r>
      <w:r w:rsidRPr="001553EF">
        <w:rPr>
          <w:szCs w:val="24"/>
          <w:lang w:val="en-GB"/>
        </w:rPr>
        <w:t xml:space="preserve"> at the University of the Witwatersrand, Johannesburg.  It has not been submitted before for any degree or examination at any other University.</w:t>
      </w:r>
    </w:p>
    <w:p w14:paraId="3F719925" w14:textId="77777777" w:rsidR="001553EF" w:rsidRPr="001553EF" w:rsidRDefault="001553EF" w:rsidP="00AE71A0">
      <w:pPr>
        <w:rPr>
          <w:szCs w:val="24"/>
          <w:lang w:val="en-GB"/>
        </w:rPr>
      </w:pPr>
    </w:p>
    <w:p w14:paraId="040D0766" w14:textId="77777777" w:rsidR="001553EF" w:rsidRPr="001553EF" w:rsidRDefault="001553EF" w:rsidP="00AE71A0">
      <w:pPr>
        <w:rPr>
          <w:szCs w:val="24"/>
          <w:lang w:val="en-GB"/>
        </w:rPr>
      </w:pPr>
      <w:r w:rsidRPr="001553EF">
        <w:rPr>
          <w:szCs w:val="24"/>
          <w:lang w:val="en-GB"/>
        </w:rPr>
        <w:t>_______________________________________</w:t>
      </w:r>
    </w:p>
    <w:p w14:paraId="02E17733" w14:textId="77777777" w:rsidR="001553EF" w:rsidRPr="001553EF" w:rsidRDefault="001553EF" w:rsidP="00AE71A0">
      <w:pPr>
        <w:rPr>
          <w:szCs w:val="24"/>
          <w:lang w:val="en-GB"/>
        </w:rPr>
      </w:pPr>
    </w:p>
    <w:p w14:paraId="5C92EC0E" w14:textId="77777777" w:rsidR="001553EF" w:rsidRPr="001553EF" w:rsidRDefault="001553EF" w:rsidP="00AE71A0">
      <w:pPr>
        <w:rPr>
          <w:szCs w:val="24"/>
          <w:lang w:val="en-GB"/>
        </w:rPr>
      </w:pPr>
    </w:p>
    <w:p w14:paraId="76DC3716" w14:textId="245C958D" w:rsidR="00FE0219" w:rsidRPr="001734FA" w:rsidRDefault="008C6708" w:rsidP="00AE71A0">
      <w:pPr>
        <w:rPr>
          <w:szCs w:val="24"/>
          <w:lang w:val="en-GB"/>
        </w:rPr>
      </w:pPr>
      <w:r>
        <w:rPr>
          <w:szCs w:val="24"/>
          <w:lang w:val="en-GB"/>
        </w:rPr>
        <w:t>Seventeenth (17</w:t>
      </w:r>
      <w:r w:rsidR="008E0EB2" w:rsidRPr="008E0EB2">
        <w:rPr>
          <w:szCs w:val="24"/>
          <w:vertAlign w:val="superscript"/>
          <w:lang w:val="en-GB"/>
        </w:rPr>
        <w:t>th</w:t>
      </w:r>
      <w:r w:rsidR="008E0EB2">
        <w:rPr>
          <w:szCs w:val="24"/>
          <w:lang w:val="en-GB"/>
        </w:rPr>
        <w:t xml:space="preserve">) </w:t>
      </w:r>
      <w:r w:rsidR="001553EF" w:rsidRPr="001553EF">
        <w:rPr>
          <w:szCs w:val="24"/>
          <w:lang w:val="en-GB"/>
        </w:rPr>
        <w:t xml:space="preserve">of </w:t>
      </w:r>
      <w:r w:rsidR="006C295D">
        <w:rPr>
          <w:szCs w:val="24"/>
          <w:lang w:val="en-GB"/>
        </w:rPr>
        <w:t>July</w:t>
      </w:r>
      <w:r w:rsidR="008E0EB2">
        <w:rPr>
          <w:szCs w:val="24"/>
          <w:lang w:val="en-GB"/>
        </w:rPr>
        <w:t xml:space="preserve"> </w:t>
      </w:r>
      <w:r w:rsidR="001553EF" w:rsidRPr="001553EF">
        <w:rPr>
          <w:szCs w:val="24"/>
          <w:lang w:val="en-GB"/>
        </w:rPr>
        <w:t>20</w:t>
      </w:r>
      <w:r w:rsidR="008E0EB2">
        <w:rPr>
          <w:szCs w:val="24"/>
          <w:lang w:val="en-GB"/>
        </w:rPr>
        <w:t xml:space="preserve">18 </w:t>
      </w:r>
      <w:r w:rsidR="001553EF" w:rsidRPr="001553EF">
        <w:rPr>
          <w:szCs w:val="24"/>
          <w:lang w:val="en-GB"/>
        </w:rPr>
        <w:t>at</w:t>
      </w:r>
      <w:r w:rsidR="008E0EB2">
        <w:rPr>
          <w:szCs w:val="24"/>
          <w:lang w:val="en-GB"/>
        </w:rPr>
        <w:t xml:space="preserve"> Johannesburg</w:t>
      </w:r>
    </w:p>
    <w:p w14:paraId="793A4A1D" w14:textId="584351D1" w:rsidR="00FE0219" w:rsidRDefault="00FE0219" w:rsidP="00AE71A0">
      <w:pPr>
        <w:rPr>
          <w:szCs w:val="24"/>
          <w:lang w:val="en-GB"/>
        </w:rPr>
      </w:pPr>
    </w:p>
    <w:p w14:paraId="29A6995E" w14:textId="77777777" w:rsidR="00F43CE5" w:rsidRPr="001734FA" w:rsidRDefault="00F43CE5" w:rsidP="00AE71A0">
      <w:pPr>
        <w:rPr>
          <w:szCs w:val="24"/>
          <w:lang w:val="en-GB"/>
        </w:rPr>
      </w:pPr>
    </w:p>
    <w:p w14:paraId="4C3A35F1" w14:textId="4CDDFBEC" w:rsidR="00FE0219" w:rsidRPr="001734FA" w:rsidRDefault="00FE0219" w:rsidP="00AE71A0">
      <w:pPr>
        <w:rPr>
          <w:szCs w:val="24"/>
          <w:lang w:val="en-GB"/>
        </w:rPr>
      </w:pPr>
      <w:r w:rsidRPr="001734FA">
        <w:rPr>
          <w:szCs w:val="24"/>
          <w:lang w:val="en-GB"/>
        </w:rPr>
        <w:t>__________________</w:t>
      </w:r>
      <w:r w:rsidRPr="001734FA">
        <w:rPr>
          <w:szCs w:val="24"/>
          <w:lang w:val="en-GB"/>
        </w:rPr>
        <w:tab/>
      </w:r>
      <w:r w:rsidRPr="001734FA">
        <w:rPr>
          <w:szCs w:val="24"/>
          <w:lang w:val="en-GB"/>
        </w:rPr>
        <w:tab/>
      </w:r>
      <w:r w:rsidRPr="001734FA">
        <w:rPr>
          <w:szCs w:val="24"/>
          <w:lang w:val="en-GB"/>
        </w:rPr>
        <w:tab/>
      </w:r>
      <w:r w:rsidRPr="001734FA">
        <w:rPr>
          <w:szCs w:val="24"/>
          <w:lang w:val="en-GB"/>
        </w:rPr>
        <w:tab/>
      </w:r>
      <w:r w:rsidRPr="001734FA">
        <w:rPr>
          <w:szCs w:val="24"/>
          <w:lang w:val="en-GB"/>
        </w:rPr>
        <w:tab/>
        <w:t>______</w:t>
      </w:r>
      <w:r w:rsidR="00F43CE5">
        <w:rPr>
          <w:szCs w:val="24"/>
          <w:lang w:val="en-GB"/>
        </w:rPr>
        <w:t>___</w:t>
      </w:r>
      <w:r w:rsidRPr="001734FA">
        <w:rPr>
          <w:szCs w:val="24"/>
          <w:lang w:val="en-GB"/>
        </w:rPr>
        <w:t>__</w:t>
      </w:r>
    </w:p>
    <w:p w14:paraId="70343EAE" w14:textId="77777777" w:rsidR="00FE0219" w:rsidRPr="001734FA" w:rsidRDefault="00FE0219" w:rsidP="00AE71A0">
      <w:pPr>
        <w:rPr>
          <w:b/>
          <w:szCs w:val="24"/>
          <w:lang w:val="en-GB"/>
        </w:rPr>
      </w:pPr>
      <w:r w:rsidRPr="001734FA">
        <w:rPr>
          <w:b/>
          <w:szCs w:val="24"/>
          <w:lang w:val="en-GB"/>
        </w:rPr>
        <w:t>Signature</w:t>
      </w:r>
      <w:r w:rsidRPr="001734FA">
        <w:rPr>
          <w:b/>
          <w:szCs w:val="24"/>
          <w:lang w:val="en-GB"/>
        </w:rPr>
        <w:tab/>
      </w:r>
      <w:r w:rsidRPr="001734FA">
        <w:rPr>
          <w:b/>
          <w:szCs w:val="24"/>
          <w:lang w:val="en-GB"/>
        </w:rPr>
        <w:tab/>
      </w:r>
      <w:r w:rsidRPr="001734FA">
        <w:rPr>
          <w:b/>
          <w:szCs w:val="24"/>
          <w:lang w:val="en-GB"/>
        </w:rPr>
        <w:tab/>
      </w:r>
      <w:r w:rsidRPr="001734FA">
        <w:rPr>
          <w:b/>
          <w:szCs w:val="24"/>
          <w:lang w:val="en-GB"/>
        </w:rPr>
        <w:tab/>
      </w:r>
      <w:r w:rsidRPr="001734FA">
        <w:rPr>
          <w:b/>
          <w:szCs w:val="24"/>
          <w:lang w:val="en-GB"/>
        </w:rPr>
        <w:tab/>
      </w:r>
      <w:r w:rsidRPr="001734FA">
        <w:rPr>
          <w:b/>
          <w:szCs w:val="24"/>
          <w:lang w:val="en-GB"/>
        </w:rPr>
        <w:tab/>
        <w:t>Date</w:t>
      </w:r>
    </w:p>
    <w:p w14:paraId="1F559B24" w14:textId="77777777" w:rsidR="00FE0219" w:rsidRDefault="00FE0219" w:rsidP="00AE71A0">
      <w:pPr>
        <w:rPr>
          <w:b/>
          <w:szCs w:val="24"/>
          <w:lang w:val="en-GB"/>
        </w:rPr>
      </w:pPr>
    </w:p>
    <w:p w14:paraId="1377A28B" w14:textId="77777777" w:rsidR="00443D2B" w:rsidRDefault="00443D2B" w:rsidP="00AE71A0">
      <w:pPr>
        <w:rPr>
          <w:b/>
          <w:szCs w:val="24"/>
          <w:lang w:val="en-GB"/>
        </w:rPr>
      </w:pPr>
    </w:p>
    <w:p w14:paraId="37937B92" w14:textId="77777777" w:rsidR="008E0EB2" w:rsidRDefault="008E0EB2" w:rsidP="00AE71A0">
      <w:pPr>
        <w:rPr>
          <w:b/>
          <w:szCs w:val="24"/>
          <w:lang w:val="en-GB"/>
        </w:rPr>
        <w:sectPr w:rsidR="008E0EB2" w:rsidSect="003F0B8E">
          <w:headerReference w:type="even" r:id="rId9"/>
          <w:headerReference w:type="default" r:id="rId10"/>
          <w:footerReference w:type="even" r:id="rId11"/>
          <w:footerReference w:type="default" r:id="rId12"/>
          <w:headerReference w:type="first" r:id="rId13"/>
          <w:footerReference w:type="first" r:id="rId14"/>
          <w:pgSz w:w="11906" w:h="16838"/>
          <w:pgMar w:top="1135" w:right="1440" w:bottom="1440" w:left="1440" w:header="709" w:footer="709" w:gutter="0"/>
          <w:cols w:space="708"/>
          <w:docGrid w:linePitch="360"/>
        </w:sectPr>
      </w:pPr>
    </w:p>
    <w:p w14:paraId="56AD730B" w14:textId="77777777" w:rsidR="008E0EB2" w:rsidRPr="002328EF" w:rsidRDefault="008E0EB2" w:rsidP="002D6002">
      <w:pPr>
        <w:pStyle w:val="Heading1"/>
        <w:numPr>
          <w:ilvl w:val="0"/>
          <w:numId w:val="0"/>
        </w:numPr>
      </w:pPr>
      <w:bookmarkStart w:id="0" w:name="_Toc519445700"/>
      <w:r w:rsidRPr="002328EF">
        <w:lastRenderedPageBreak/>
        <w:t>Abstract</w:t>
      </w:r>
      <w:bookmarkEnd w:id="0"/>
      <w:r w:rsidRPr="002328EF">
        <w:t xml:space="preserve"> </w:t>
      </w:r>
    </w:p>
    <w:p w14:paraId="57234D21" w14:textId="1DE57B30" w:rsidR="008E0EB2" w:rsidRPr="00203170" w:rsidRDefault="008E0EB2" w:rsidP="00AE71A0">
      <w:r w:rsidRPr="00203170">
        <w:t xml:space="preserve">In 2004, </w:t>
      </w:r>
      <w:r w:rsidRPr="00AE71A0">
        <w:t>the Department of Minerals and Energy (DME, predecessor to the current Department of Mineral</w:t>
      </w:r>
      <w:r w:rsidRPr="00203170">
        <w:t xml:space="preserve"> Resources - DMR) published a guideline to calculate the amount that a mining right holder would require for financial provision at mine closure. This </w:t>
      </w:r>
      <w:r w:rsidR="001E063D">
        <w:t xml:space="preserve">research report </w:t>
      </w:r>
      <w:r w:rsidRPr="00203170">
        <w:t xml:space="preserve">reviews the guideline, specifically focussing on the “rules-based approach” for determining the quantum of financial provision. Some authors have recorded the misapplication of this guideline in practice and </w:t>
      </w:r>
      <w:r w:rsidR="0072267F">
        <w:t xml:space="preserve">their research supports a conclusion </w:t>
      </w:r>
      <w:r w:rsidRPr="00203170">
        <w:t xml:space="preserve">that the guideline does not provide adequately for the real costs of mine closure. </w:t>
      </w:r>
    </w:p>
    <w:p w14:paraId="0052C68E" w14:textId="6E23F609" w:rsidR="008E0EB2" w:rsidRPr="00203170" w:rsidRDefault="008E0EB2" w:rsidP="00AE71A0">
      <w:r w:rsidRPr="00203170">
        <w:t xml:space="preserve">This </w:t>
      </w:r>
      <w:r w:rsidR="0072267F">
        <w:t xml:space="preserve">research </w:t>
      </w:r>
      <w:r w:rsidRPr="00203170">
        <w:t xml:space="preserve">report </w:t>
      </w:r>
      <w:r w:rsidR="0072267F">
        <w:t xml:space="preserve">makes </w:t>
      </w:r>
      <w:r w:rsidRPr="00203170">
        <w:t xml:space="preserve">a comparison between the </w:t>
      </w:r>
      <w:r w:rsidR="0072267F">
        <w:t xml:space="preserve">DME guideline </w:t>
      </w:r>
      <w:r w:rsidRPr="00203170">
        <w:t>master rates for mine closure cost</w:t>
      </w:r>
      <w:r w:rsidR="0072267F">
        <w:t>s a</w:t>
      </w:r>
      <w:r w:rsidRPr="00203170">
        <w:t xml:space="preserve">nd actual tendered prices for those same </w:t>
      </w:r>
      <w:r w:rsidR="0072267F">
        <w:t>elements</w:t>
      </w:r>
      <w:r w:rsidRPr="00203170">
        <w:t xml:space="preserve"> of mine closure in the period from 2009 – 2016. The analysis of the actual tender prices for the various master- and component rates in comparison with the </w:t>
      </w:r>
      <w:r w:rsidR="007C04B5">
        <w:t>DME</w:t>
      </w:r>
      <w:r w:rsidRPr="00203170">
        <w:t xml:space="preserve"> guideline rates delivered mixed results. While the actual tender values exceeded the guideline master rates</w:t>
      </w:r>
      <w:r w:rsidR="0072267F">
        <w:t xml:space="preserve"> in most cases</w:t>
      </w:r>
      <w:r w:rsidRPr="00203170">
        <w:t>, there were notable exceptions where the actual tender results lagged the master rate</w:t>
      </w:r>
      <w:r w:rsidR="0072267F">
        <w:t>s</w:t>
      </w:r>
      <w:r w:rsidRPr="00203170">
        <w:t xml:space="preserve">. The data obtained from the actual tender prices for mine rehabilitation projects by a third party suggests that the use of CPI to escalate mine rehabilitation costs was very quickly overtaken in reality by higher annual costs and rate increases for most of the </w:t>
      </w:r>
      <w:r w:rsidR="007C04B5">
        <w:t>DME</w:t>
      </w:r>
      <w:r w:rsidRPr="00203170">
        <w:t xml:space="preserve"> guideline master rates that relate to surface mining. It means that the </w:t>
      </w:r>
      <w:r w:rsidR="007C04B5">
        <w:t>DME</w:t>
      </w:r>
      <w:r w:rsidRPr="00203170">
        <w:t xml:space="preserve"> guideline master rates were not reflective of actual rehabilitation costs by the time that the use of the </w:t>
      </w:r>
      <w:r w:rsidR="007C04B5">
        <w:t>DME</w:t>
      </w:r>
      <w:r w:rsidRPr="00203170">
        <w:t xml:space="preserve"> guideline was </w:t>
      </w:r>
      <w:r w:rsidR="00F8406B" w:rsidRPr="00203170">
        <w:t xml:space="preserve">superseded by the publication of new regulations by the Department of Environmental Affairs in November 2017. </w:t>
      </w:r>
      <w:r w:rsidRPr="00203170">
        <w:t xml:space="preserve">Whilst no perfectly linear and distinct relationship could be deduced, the results broadly support the findings of several authors that the actual costs to rehabilitate a mine are much more than the </w:t>
      </w:r>
      <w:r w:rsidR="00F8406B">
        <w:t xml:space="preserve">DME </w:t>
      </w:r>
      <w:r w:rsidRPr="00203170">
        <w:t xml:space="preserve">guideline document would lead a mine to provide for. </w:t>
      </w:r>
    </w:p>
    <w:p w14:paraId="50E3735D" w14:textId="7F6B25D6" w:rsidR="008E0EB2" w:rsidRDefault="00F8406B" w:rsidP="00AE71A0">
      <w:pPr>
        <w:sectPr w:rsidR="008E0EB2" w:rsidSect="004321A7">
          <w:pgSz w:w="11906" w:h="16838"/>
          <w:pgMar w:top="1440" w:right="1440" w:bottom="1440" w:left="1440" w:header="709" w:footer="709" w:gutter="0"/>
          <w:cols w:space="708"/>
          <w:docGrid w:linePitch="360"/>
        </w:sectPr>
      </w:pPr>
      <w:r>
        <w:t>Th</w:t>
      </w:r>
      <w:r w:rsidR="008E0EB2" w:rsidRPr="00203170">
        <w:t xml:space="preserve">e application of a rules-based approach remains an exercise mired in controversy and </w:t>
      </w:r>
      <w:r>
        <w:t xml:space="preserve">with </w:t>
      </w:r>
      <w:r w:rsidR="008E0EB2" w:rsidRPr="00203170">
        <w:t>many potential inaccuracies. The</w:t>
      </w:r>
      <w:r>
        <w:t xml:space="preserve"> </w:t>
      </w:r>
      <w:r w:rsidR="008E0EB2" w:rsidRPr="00203170">
        <w:t xml:space="preserve">new </w:t>
      </w:r>
      <w:r>
        <w:t xml:space="preserve">NEMA </w:t>
      </w:r>
      <w:r w:rsidR="008E0EB2" w:rsidRPr="00203170">
        <w:t>regulations for financial provision completely negate the need for a guideline and relevant State Departments and mining companies alike are consequently dependant on third parties to prepare closure cost estimates.</w:t>
      </w:r>
    </w:p>
    <w:p w14:paraId="08DBDCC4" w14:textId="77777777" w:rsidR="008E0EB2" w:rsidRPr="002328EF" w:rsidRDefault="008E0EB2" w:rsidP="002D6002">
      <w:pPr>
        <w:pStyle w:val="Heading1"/>
        <w:numPr>
          <w:ilvl w:val="0"/>
          <w:numId w:val="0"/>
        </w:numPr>
      </w:pPr>
      <w:bookmarkStart w:id="1" w:name="_Toc519445701"/>
      <w:r w:rsidRPr="002328EF">
        <w:lastRenderedPageBreak/>
        <w:t>Acknowledgements</w:t>
      </w:r>
      <w:bookmarkEnd w:id="1"/>
    </w:p>
    <w:p w14:paraId="75B1069E" w14:textId="60D06C22" w:rsidR="008E0EB2" w:rsidRPr="00A320E8" w:rsidRDefault="008E0EB2" w:rsidP="00AE71A0">
      <w:r w:rsidRPr="00A320E8">
        <w:t xml:space="preserve">I would like to thank my study supervisor and friend, Ms Ingrid Watson, for her patient guidance in the completion of this research report. </w:t>
      </w:r>
    </w:p>
    <w:p w14:paraId="36D13BAE" w14:textId="011216A2" w:rsidR="008E0EB2" w:rsidRPr="00A320E8" w:rsidRDefault="008E0EB2" w:rsidP="00AE71A0">
      <w:r w:rsidRPr="00A320E8">
        <w:t xml:space="preserve">Dr. David Powell, General Manager, Business Development at Mintek granted </w:t>
      </w:r>
      <w:r w:rsidR="00F43CE5" w:rsidRPr="00A320E8">
        <w:t xml:space="preserve">me </w:t>
      </w:r>
      <w:r w:rsidRPr="00A320E8">
        <w:t xml:space="preserve">permission to use the data held by Mintek to compile the essential tables that form the core of this work, which is gratefully acknowledged. </w:t>
      </w:r>
    </w:p>
    <w:p w14:paraId="2357DD2D" w14:textId="61EF396E" w:rsidR="008E0EB2" w:rsidRPr="00A320E8" w:rsidRDefault="008E0EB2" w:rsidP="00AE71A0">
      <w:r w:rsidRPr="00A320E8">
        <w:t>I must acknowledge the work of Ms Pontsho Mashai of Mintek who pored over many tender documents to extract the raw data used in this study and without which the study would not have been possible.</w:t>
      </w:r>
    </w:p>
    <w:p w14:paraId="3CE9B39B" w14:textId="77777777" w:rsidR="00443D2B" w:rsidRDefault="00443D2B" w:rsidP="00AE71A0">
      <w:pPr>
        <w:rPr>
          <w:b/>
          <w:szCs w:val="24"/>
          <w:lang w:val="en-GB"/>
        </w:rPr>
      </w:pPr>
    </w:p>
    <w:p w14:paraId="6C9C21BD" w14:textId="77777777" w:rsidR="00443D2B" w:rsidRDefault="00443D2B" w:rsidP="00AE71A0">
      <w:pPr>
        <w:rPr>
          <w:b/>
          <w:szCs w:val="24"/>
          <w:lang w:val="en-GB"/>
        </w:rPr>
      </w:pPr>
    </w:p>
    <w:p w14:paraId="3CC74719" w14:textId="77777777" w:rsidR="00443D2B" w:rsidRDefault="00443D2B" w:rsidP="00AE71A0">
      <w:pPr>
        <w:rPr>
          <w:b/>
          <w:szCs w:val="24"/>
          <w:lang w:val="en-GB"/>
        </w:rPr>
      </w:pPr>
    </w:p>
    <w:p w14:paraId="43FF523D" w14:textId="77777777" w:rsidR="00443D2B" w:rsidRDefault="00443D2B" w:rsidP="00AE71A0">
      <w:pPr>
        <w:rPr>
          <w:b/>
          <w:szCs w:val="24"/>
          <w:lang w:val="en-GB"/>
        </w:rPr>
      </w:pPr>
    </w:p>
    <w:p w14:paraId="3502C4EE" w14:textId="77777777" w:rsidR="00443D2B" w:rsidRDefault="00443D2B" w:rsidP="00AE71A0">
      <w:pPr>
        <w:rPr>
          <w:b/>
          <w:szCs w:val="24"/>
          <w:lang w:val="en-GB"/>
        </w:rPr>
      </w:pPr>
    </w:p>
    <w:p w14:paraId="46499EF9" w14:textId="77777777" w:rsidR="00443D2B" w:rsidRDefault="00443D2B" w:rsidP="00AE71A0">
      <w:pPr>
        <w:rPr>
          <w:b/>
          <w:szCs w:val="24"/>
          <w:lang w:val="en-GB"/>
        </w:rPr>
      </w:pPr>
    </w:p>
    <w:p w14:paraId="11649F5C" w14:textId="77777777" w:rsidR="00443D2B" w:rsidRDefault="00443D2B" w:rsidP="00AE71A0">
      <w:pPr>
        <w:rPr>
          <w:b/>
          <w:szCs w:val="24"/>
          <w:lang w:val="en-GB"/>
        </w:rPr>
      </w:pPr>
    </w:p>
    <w:p w14:paraId="5C424B49" w14:textId="77777777" w:rsidR="00443D2B" w:rsidRDefault="00443D2B" w:rsidP="00AE71A0">
      <w:pPr>
        <w:rPr>
          <w:b/>
          <w:szCs w:val="24"/>
          <w:lang w:val="en-GB"/>
        </w:rPr>
      </w:pPr>
    </w:p>
    <w:p w14:paraId="4BEE2F7E" w14:textId="77777777" w:rsidR="008E0EB2" w:rsidRDefault="008E0EB2" w:rsidP="00AE71A0">
      <w:pPr>
        <w:rPr>
          <w:b/>
          <w:szCs w:val="24"/>
          <w:lang w:val="en-GB"/>
        </w:rPr>
        <w:sectPr w:rsidR="008E0EB2" w:rsidSect="004321A7">
          <w:pgSz w:w="11906" w:h="16838"/>
          <w:pgMar w:top="1440" w:right="1440" w:bottom="1440" w:left="1440" w:header="709" w:footer="709" w:gutter="0"/>
          <w:cols w:space="708"/>
          <w:docGrid w:linePitch="360"/>
        </w:sectPr>
      </w:pPr>
    </w:p>
    <w:bookmarkStart w:id="2" w:name="_Toc443556934" w:displacedByCustomXml="next"/>
    <w:sdt>
      <w:sdtPr>
        <w:rPr>
          <w:b w:val="0"/>
          <w:sz w:val="24"/>
          <w:lang w:val="en-ZA" w:eastAsia="en-US"/>
        </w:rPr>
        <w:id w:val="-1681497869"/>
        <w:docPartObj>
          <w:docPartGallery w:val="Table of Contents"/>
          <w:docPartUnique/>
        </w:docPartObj>
      </w:sdtPr>
      <w:sdtEndPr>
        <w:rPr>
          <w:bCs/>
          <w:noProof/>
        </w:rPr>
      </w:sdtEndPr>
      <w:sdtContent>
        <w:p w14:paraId="49C37FD5" w14:textId="38A931AE" w:rsidR="00E77CB4" w:rsidRDefault="00E77CB4">
          <w:pPr>
            <w:pStyle w:val="TOCHeading"/>
          </w:pPr>
          <w:r>
            <w:t>Contents</w:t>
          </w:r>
        </w:p>
        <w:p w14:paraId="473A3B82" w14:textId="77777777" w:rsidR="00D7687F" w:rsidRDefault="001C68A3">
          <w:pPr>
            <w:pStyle w:val="TOC1"/>
            <w:rPr>
              <w:noProof/>
            </w:rPr>
          </w:pPr>
          <w:r>
            <w:t xml:space="preserve"> </w:t>
          </w:r>
          <w:r w:rsidR="00E77CB4">
            <w:fldChar w:fldCharType="begin"/>
          </w:r>
          <w:r w:rsidR="00E77CB4">
            <w:instrText xml:space="preserve"> TOC \o "1-3" \h \z \u </w:instrText>
          </w:r>
          <w:r w:rsidR="00E77CB4">
            <w:fldChar w:fldCharType="separate"/>
          </w:r>
        </w:p>
        <w:p w14:paraId="2009C484" w14:textId="7DFDFC4C" w:rsidR="00D7687F" w:rsidRDefault="00B1706E">
          <w:pPr>
            <w:pStyle w:val="TOC1"/>
            <w:rPr>
              <w:rFonts w:eastAsiaTheme="minorEastAsia"/>
              <w:noProof/>
              <w:sz w:val="22"/>
              <w:lang w:eastAsia="en-ZA"/>
            </w:rPr>
          </w:pPr>
          <w:hyperlink w:anchor="_Toc519445700" w:history="1">
            <w:r w:rsidR="00D7687F" w:rsidRPr="005E7F75">
              <w:rPr>
                <w:rStyle w:val="Hyperlink"/>
                <w:noProof/>
              </w:rPr>
              <w:t>Abstract</w:t>
            </w:r>
            <w:r w:rsidR="00D7687F">
              <w:rPr>
                <w:noProof/>
                <w:webHidden/>
              </w:rPr>
              <w:tab/>
            </w:r>
            <w:r w:rsidR="00D7687F">
              <w:rPr>
                <w:noProof/>
                <w:webHidden/>
              </w:rPr>
              <w:fldChar w:fldCharType="begin"/>
            </w:r>
            <w:r w:rsidR="00D7687F">
              <w:rPr>
                <w:noProof/>
                <w:webHidden/>
              </w:rPr>
              <w:instrText xml:space="preserve"> PAGEREF _Toc519445700 \h </w:instrText>
            </w:r>
            <w:r w:rsidR="00D7687F">
              <w:rPr>
                <w:noProof/>
                <w:webHidden/>
              </w:rPr>
            </w:r>
            <w:r w:rsidR="00D7687F">
              <w:rPr>
                <w:noProof/>
                <w:webHidden/>
              </w:rPr>
              <w:fldChar w:fldCharType="separate"/>
            </w:r>
            <w:r w:rsidR="009A7398">
              <w:rPr>
                <w:noProof/>
                <w:webHidden/>
              </w:rPr>
              <w:t>3</w:t>
            </w:r>
            <w:r w:rsidR="00D7687F">
              <w:rPr>
                <w:noProof/>
                <w:webHidden/>
              </w:rPr>
              <w:fldChar w:fldCharType="end"/>
            </w:r>
          </w:hyperlink>
        </w:p>
        <w:p w14:paraId="31C4D113" w14:textId="48EEC9E0" w:rsidR="00D7687F" w:rsidRDefault="00B1706E">
          <w:pPr>
            <w:pStyle w:val="TOC1"/>
            <w:rPr>
              <w:rFonts w:eastAsiaTheme="minorEastAsia"/>
              <w:noProof/>
              <w:sz w:val="22"/>
              <w:lang w:eastAsia="en-ZA"/>
            </w:rPr>
          </w:pPr>
          <w:hyperlink w:anchor="_Toc519445701" w:history="1">
            <w:r w:rsidR="00D7687F" w:rsidRPr="005E7F75">
              <w:rPr>
                <w:rStyle w:val="Hyperlink"/>
                <w:noProof/>
              </w:rPr>
              <w:t>Acknowledgements</w:t>
            </w:r>
            <w:r w:rsidR="00D7687F">
              <w:rPr>
                <w:noProof/>
                <w:webHidden/>
              </w:rPr>
              <w:tab/>
            </w:r>
            <w:r w:rsidR="00D7687F">
              <w:rPr>
                <w:noProof/>
                <w:webHidden/>
              </w:rPr>
              <w:fldChar w:fldCharType="begin"/>
            </w:r>
            <w:r w:rsidR="00D7687F">
              <w:rPr>
                <w:noProof/>
                <w:webHidden/>
              </w:rPr>
              <w:instrText xml:space="preserve"> PAGEREF _Toc519445701 \h </w:instrText>
            </w:r>
            <w:r w:rsidR="00D7687F">
              <w:rPr>
                <w:noProof/>
                <w:webHidden/>
              </w:rPr>
            </w:r>
            <w:r w:rsidR="00D7687F">
              <w:rPr>
                <w:noProof/>
                <w:webHidden/>
              </w:rPr>
              <w:fldChar w:fldCharType="separate"/>
            </w:r>
            <w:r w:rsidR="009A7398">
              <w:rPr>
                <w:noProof/>
                <w:webHidden/>
              </w:rPr>
              <w:t>4</w:t>
            </w:r>
            <w:r w:rsidR="00D7687F">
              <w:rPr>
                <w:noProof/>
                <w:webHidden/>
              </w:rPr>
              <w:fldChar w:fldCharType="end"/>
            </w:r>
          </w:hyperlink>
        </w:p>
        <w:p w14:paraId="66958690" w14:textId="7AA2619A" w:rsidR="00D7687F" w:rsidRDefault="00B1706E">
          <w:pPr>
            <w:pStyle w:val="TOC1"/>
            <w:rPr>
              <w:rFonts w:eastAsiaTheme="minorEastAsia"/>
              <w:noProof/>
              <w:sz w:val="22"/>
              <w:lang w:eastAsia="en-ZA"/>
            </w:rPr>
          </w:pPr>
          <w:hyperlink w:anchor="_Toc519445702" w:history="1">
            <w:r w:rsidR="00D7687F" w:rsidRPr="005E7F75">
              <w:rPr>
                <w:rStyle w:val="Hyperlink"/>
                <w:noProof/>
              </w:rPr>
              <w:t>List of Figures</w:t>
            </w:r>
            <w:r w:rsidR="00D7687F">
              <w:rPr>
                <w:noProof/>
                <w:webHidden/>
              </w:rPr>
              <w:tab/>
            </w:r>
            <w:r w:rsidR="00D7687F">
              <w:rPr>
                <w:noProof/>
                <w:webHidden/>
              </w:rPr>
              <w:fldChar w:fldCharType="begin"/>
            </w:r>
            <w:r w:rsidR="00D7687F">
              <w:rPr>
                <w:noProof/>
                <w:webHidden/>
              </w:rPr>
              <w:instrText xml:space="preserve"> PAGEREF _Toc519445702 \h </w:instrText>
            </w:r>
            <w:r w:rsidR="00D7687F">
              <w:rPr>
                <w:noProof/>
                <w:webHidden/>
              </w:rPr>
            </w:r>
            <w:r w:rsidR="00D7687F">
              <w:rPr>
                <w:noProof/>
                <w:webHidden/>
              </w:rPr>
              <w:fldChar w:fldCharType="separate"/>
            </w:r>
            <w:r w:rsidR="009A7398">
              <w:rPr>
                <w:noProof/>
                <w:webHidden/>
              </w:rPr>
              <w:t>7</w:t>
            </w:r>
            <w:r w:rsidR="00D7687F">
              <w:rPr>
                <w:noProof/>
                <w:webHidden/>
              </w:rPr>
              <w:fldChar w:fldCharType="end"/>
            </w:r>
          </w:hyperlink>
        </w:p>
        <w:p w14:paraId="11583927" w14:textId="74435000" w:rsidR="00D7687F" w:rsidRDefault="00B1706E">
          <w:pPr>
            <w:pStyle w:val="TOC1"/>
            <w:rPr>
              <w:rFonts w:eastAsiaTheme="minorEastAsia"/>
              <w:noProof/>
              <w:sz w:val="22"/>
              <w:lang w:eastAsia="en-ZA"/>
            </w:rPr>
          </w:pPr>
          <w:hyperlink w:anchor="_Toc519445703" w:history="1">
            <w:r w:rsidR="00D7687F" w:rsidRPr="005E7F75">
              <w:rPr>
                <w:rStyle w:val="Hyperlink"/>
                <w:noProof/>
              </w:rPr>
              <w:t>List of Tables</w:t>
            </w:r>
            <w:r w:rsidR="00D7687F">
              <w:rPr>
                <w:noProof/>
                <w:webHidden/>
              </w:rPr>
              <w:tab/>
            </w:r>
            <w:r w:rsidR="00D7687F">
              <w:rPr>
                <w:noProof/>
                <w:webHidden/>
              </w:rPr>
              <w:fldChar w:fldCharType="begin"/>
            </w:r>
            <w:r w:rsidR="00D7687F">
              <w:rPr>
                <w:noProof/>
                <w:webHidden/>
              </w:rPr>
              <w:instrText xml:space="preserve"> PAGEREF _Toc519445703 \h </w:instrText>
            </w:r>
            <w:r w:rsidR="00D7687F">
              <w:rPr>
                <w:noProof/>
                <w:webHidden/>
              </w:rPr>
            </w:r>
            <w:r w:rsidR="00D7687F">
              <w:rPr>
                <w:noProof/>
                <w:webHidden/>
              </w:rPr>
              <w:fldChar w:fldCharType="separate"/>
            </w:r>
            <w:r w:rsidR="009A7398">
              <w:rPr>
                <w:noProof/>
                <w:webHidden/>
              </w:rPr>
              <w:t>10</w:t>
            </w:r>
            <w:r w:rsidR="00D7687F">
              <w:rPr>
                <w:noProof/>
                <w:webHidden/>
              </w:rPr>
              <w:fldChar w:fldCharType="end"/>
            </w:r>
          </w:hyperlink>
        </w:p>
        <w:p w14:paraId="009543CB" w14:textId="0334C89B" w:rsidR="00D7687F" w:rsidRDefault="00B1706E">
          <w:pPr>
            <w:pStyle w:val="TOC1"/>
            <w:rPr>
              <w:rFonts w:eastAsiaTheme="minorEastAsia"/>
              <w:noProof/>
              <w:sz w:val="22"/>
              <w:lang w:eastAsia="en-ZA"/>
            </w:rPr>
          </w:pPr>
          <w:hyperlink w:anchor="_Toc519445704" w:history="1">
            <w:r w:rsidR="00D7687F" w:rsidRPr="005E7F75">
              <w:rPr>
                <w:rStyle w:val="Hyperlink"/>
                <w:noProof/>
              </w:rPr>
              <w:t>List of symbols, acronyms and abbreviations</w:t>
            </w:r>
            <w:r w:rsidR="00D7687F">
              <w:rPr>
                <w:noProof/>
                <w:webHidden/>
              </w:rPr>
              <w:tab/>
            </w:r>
            <w:r w:rsidR="00D7687F">
              <w:rPr>
                <w:noProof/>
                <w:webHidden/>
              </w:rPr>
              <w:fldChar w:fldCharType="begin"/>
            </w:r>
            <w:r w:rsidR="00D7687F">
              <w:rPr>
                <w:noProof/>
                <w:webHidden/>
              </w:rPr>
              <w:instrText xml:space="preserve"> PAGEREF _Toc519445704 \h </w:instrText>
            </w:r>
            <w:r w:rsidR="00D7687F">
              <w:rPr>
                <w:noProof/>
                <w:webHidden/>
              </w:rPr>
            </w:r>
            <w:r w:rsidR="00D7687F">
              <w:rPr>
                <w:noProof/>
                <w:webHidden/>
              </w:rPr>
              <w:fldChar w:fldCharType="separate"/>
            </w:r>
            <w:r w:rsidR="009A7398">
              <w:rPr>
                <w:noProof/>
                <w:webHidden/>
              </w:rPr>
              <w:t>11</w:t>
            </w:r>
            <w:r w:rsidR="00D7687F">
              <w:rPr>
                <w:noProof/>
                <w:webHidden/>
              </w:rPr>
              <w:fldChar w:fldCharType="end"/>
            </w:r>
          </w:hyperlink>
        </w:p>
        <w:p w14:paraId="7956862E" w14:textId="2195F46B" w:rsidR="00D7687F" w:rsidRDefault="00B1706E">
          <w:pPr>
            <w:pStyle w:val="TOC1"/>
            <w:rPr>
              <w:rFonts w:eastAsiaTheme="minorEastAsia"/>
              <w:noProof/>
              <w:sz w:val="22"/>
              <w:lang w:eastAsia="en-ZA"/>
            </w:rPr>
          </w:pPr>
          <w:hyperlink w:anchor="_Toc519445705" w:history="1">
            <w:r w:rsidR="00D7687F" w:rsidRPr="005E7F75">
              <w:rPr>
                <w:rStyle w:val="Hyperlink"/>
                <w:noProof/>
              </w:rPr>
              <w:t>1</w:t>
            </w:r>
            <w:r w:rsidR="00D7687F">
              <w:rPr>
                <w:rFonts w:eastAsiaTheme="minorEastAsia"/>
                <w:noProof/>
                <w:sz w:val="22"/>
                <w:lang w:eastAsia="en-ZA"/>
              </w:rPr>
              <w:tab/>
            </w:r>
            <w:r w:rsidR="00D7687F" w:rsidRPr="005E7F75">
              <w:rPr>
                <w:rStyle w:val="Hyperlink"/>
                <w:noProof/>
              </w:rPr>
              <w:t>Introduction</w:t>
            </w:r>
            <w:r w:rsidR="00D7687F">
              <w:rPr>
                <w:noProof/>
                <w:webHidden/>
              </w:rPr>
              <w:tab/>
            </w:r>
            <w:r w:rsidR="00D7687F">
              <w:rPr>
                <w:noProof/>
                <w:webHidden/>
              </w:rPr>
              <w:fldChar w:fldCharType="begin"/>
            </w:r>
            <w:r w:rsidR="00D7687F">
              <w:rPr>
                <w:noProof/>
                <w:webHidden/>
              </w:rPr>
              <w:instrText xml:space="preserve"> PAGEREF _Toc519445705 \h </w:instrText>
            </w:r>
            <w:r w:rsidR="00D7687F">
              <w:rPr>
                <w:noProof/>
                <w:webHidden/>
              </w:rPr>
            </w:r>
            <w:r w:rsidR="00D7687F">
              <w:rPr>
                <w:noProof/>
                <w:webHidden/>
              </w:rPr>
              <w:fldChar w:fldCharType="separate"/>
            </w:r>
            <w:r w:rsidR="009A7398">
              <w:rPr>
                <w:noProof/>
                <w:webHidden/>
              </w:rPr>
              <w:t>13</w:t>
            </w:r>
            <w:r w:rsidR="00D7687F">
              <w:rPr>
                <w:noProof/>
                <w:webHidden/>
              </w:rPr>
              <w:fldChar w:fldCharType="end"/>
            </w:r>
          </w:hyperlink>
        </w:p>
        <w:p w14:paraId="07667ED6" w14:textId="278DE384" w:rsidR="00D7687F" w:rsidRDefault="00B1706E">
          <w:pPr>
            <w:pStyle w:val="TOC2"/>
            <w:rPr>
              <w:rFonts w:eastAsiaTheme="minorEastAsia"/>
              <w:noProof/>
              <w:sz w:val="22"/>
              <w:lang w:eastAsia="en-ZA"/>
            </w:rPr>
          </w:pPr>
          <w:hyperlink w:anchor="_Toc519445706" w:history="1">
            <w:r w:rsidR="00D7687F" w:rsidRPr="005E7F75">
              <w:rPr>
                <w:rStyle w:val="Hyperlink"/>
                <w:noProof/>
              </w:rPr>
              <w:t>1.1</w:t>
            </w:r>
            <w:r w:rsidR="00D7687F">
              <w:rPr>
                <w:rFonts w:eastAsiaTheme="minorEastAsia"/>
                <w:noProof/>
                <w:sz w:val="22"/>
                <w:lang w:eastAsia="en-ZA"/>
              </w:rPr>
              <w:tab/>
            </w:r>
            <w:r w:rsidR="00D7687F" w:rsidRPr="005E7F75">
              <w:rPr>
                <w:rStyle w:val="Hyperlink"/>
                <w:noProof/>
              </w:rPr>
              <w:t>Research aim and objectives</w:t>
            </w:r>
            <w:r w:rsidR="00D7687F">
              <w:rPr>
                <w:noProof/>
                <w:webHidden/>
              </w:rPr>
              <w:tab/>
            </w:r>
            <w:r w:rsidR="00D7687F">
              <w:rPr>
                <w:noProof/>
                <w:webHidden/>
              </w:rPr>
              <w:fldChar w:fldCharType="begin"/>
            </w:r>
            <w:r w:rsidR="00D7687F">
              <w:rPr>
                <w:noProof/>
                <w:webHidden/>
              </w:rPr>
              <w:instrText xml:space="preserve"> PAGEREF _Toc519445706 \h </w:instrText>
            </w:r>
            <w:r w:rsidR="00D7687F">
              <w:rPr>
                <w:noProof/>
                <w:webHidden/>
              </w:rPr>
            </w:r>
            <w:r w:rsidR="00D7687F">
              <w:rPr>
                <w:noProof/>
                <w:webHidden/>
              </w:rPr>
              <w:fldChar w:fldCharType="separate"/>
            </w:r>
            <w:r w:rsidR="009A7398">
              <w:rPr>
                <w:noProof/>
                <w:webHidden/>
              </w:rPr>
              <w:t>14</w:t>
            </w:r>
            <w:r w:rsidR="00D7687F">
              <w:rPr>
                <w:noProof/>
                <w:webHidden/>
              </w:rPr>
              <w:fldChar w:fldCharType="end"/>
            </w:r>
          </w:hyperlink>
        </w:p>
        <w:p w14:paraId="021C9AF5" w14:textId="21F45667" w:rsidR="00D7687F" w:rsidRDefault="00B1706E">
          <w:pPr>
            <w:pStyle w:val="TOC2"/>
            <w:rPr>
              <w:rFonts w:eastAsiaTheme="minorEastAsia"/>
              <w:noProof/>
              <w:sz w:val="22"/>
              <w:lang w:eastAsia="en-ZA"/>
            </w:rPr>
          </w:pPr>
          <w:hyperlink w:anchor="_Toc519445707" w:history="1">
            <w:r w:rsidR="00D7687F" w:rsidRPr="005E7F75">
              <w:rPr>
                <w:rStyle w:val="Hyperlink"/>
                <w:noProof/>
              </w:rPr>
              <w:t>1.2</w:t>
            </w:r>
            <w:r w:rsidR="00D7687F">
              <w:rPr>
                <w:rFonts w:eastAsiaTheme="minorEastAsia"/>
                <w:noProof/>
                <w:sz w:val="22"/>
                <w:lang w:eastAsia="en-ZA"/>
              </w:rPr>
              <w:tab/>
            </w:r>
            <w:r w:rsidR="00D7687F" w:rsidRPr="005E7F75">
              <w:rPr>
                <w:rStyle w:val="Hyperlink"/>
                <w:noProof/>
              </w:rPr>
              <w:t>Outline of this research report</w:t>
            </w:r>
            <w:r w:rsidR="00D7687F">
              <w:rPr>
                <w:noProof/>
                <w:webHidden/>
              </w:rPr>
              <w:tab/>
            </w:r>
            <w:r w:rsidR="00D7687F">
              <w:rPr>
                <w:noProof/>
                <w:webHidden/>
              </w:rPr>
              <w:fldChar w:fldCharType="begin"/>
            </w:r>
            <w:r w:rsidR="00D7687F">
              <w:rPr>
                <w:noProof/>
                <w:webHidden/>
              </w:rPr>
              <w:instrText xml:space="preserve"> PAGEREF _Toc519445707 \h </w:instrText>
            </w:r>
            <w:r w:rsidR="00D7687F">
              <w:rPr>
                <w:noProof/>
                <w:webHidden/>
              </w:rPr>
            </w:r>
            <w:r w:rsidR="00D7687F">
              <w:rPr>
                <w:noProof/>
                <w:webHidden/>
              </w:rPr>
              <w:fldChar w:fldCharType="separate"/>
            </w:r>
            <w:r w:rsidR="009A7398">
              <w:rPr>
                <w:noProof/>
                <w:webHidden/>
              </w:rPr>
              <w:t>15</w:t>
            </w:r>
            <w:r w:rsidR="00D7687F">
              <w:rPr>
                <w:noProof/>
                <w:webHidden/>
              </w:rPr>
              <w:fldChar w:fldCharType="end"/>
            </w:r>
          </w:hyperlink>
        </w:p>
        <w:p w14:paraId="1E7159DC" w14:textId="2E43580F" w:rsidR="00D7687F" w:rsidRDefault="00B1706E">
          <w:pPr>
            <w:pStyle w:val="TOC1"/>
            <w:rPr>
              <w:rFonts w:eastAsiaTheme="minorEastAsia"/>
              <w:noProof/>
              <w:sz w:val="22"/>
              <w:lang w:eastAsia="en-ZA"/>
            </w:rPr>
          </w:pPr>
          <w:hyperlink w:anchor="_Toc519445708" w:history="1">
            <w:r w:rsidR="00D7687F" w:rsidRPr="005E7F75">
              <w:rPr>
                <w:rStyle w:val="Hyperlink"/>
                <w:noProof/>
              </w:rPr>
              <w:t>2</w:t>
            </w:r>
            <w:r w:rsidR="00D7687F">
              <w:rPr>
                <w:rFonts w:eastAsiaTheme="minorEastAsia"/>
                <w:noProof/>
                <w:sz w:val="22"/>
                <w:lang w:eastAsia="en-ZA"/>
              </w:rPr>
              <w:tab/>
            </w:r>
            <w:r w:rsidR="00D7687F" w:rsidRPr="005E7F75">
              <w:rPr>
                <w:rStyle w:val="Hyperlink"/>
                <w:noProof/>
              </w:rPr>
              <w:t>Literature review</w:t>
            </w:r>
            <w:r w:rsidR="00D7687F">
              <w:rPr>
                <w:noProof/>
                <w:webHidden/>
              </w:rPr>
              <w:tab/>
            </w:r>
            <w:r w:rsidR="00D7687F">
              <w:rPr>
                <w:noProof/>
                <w:webHidden/>
              </w:rPr>
              <w:fldChar w:fldCharType="begin"/>
            </w:r>
            <w:r w:rsidR="00D7687F">
              <w:rPr>
                <w:noProof/>
                <w:webHidden/>
              </w:rPr>
              <w:instrText xml:space="preserve"> PAGEREF _Toc519445708 \h </w:instrText>
            </w:r>
            <w:r w:rsidR="00D7687F">
              <w:rPr>
                <w:noProof/>
                <w:webHidden/>
              </w:rPr>
            </w:r>
            <w:r w:rsidR="00D7687F">
              <w:rPr>
                <w:noProof/>
                <w:webHidden/>
              </w:rPr>
              <w:fldChar w:fldCharType="separate"/>
            </w:r>
            <w:r w:rsidR="009A7398">
              <w:rPr>
                <w:noProof/>
                <w:webHidden/>
              </w:rPr>
              <w:t>16</w:t>
            </w:r>
            <w:r w:rsidR="00D7687F">
              <w:rPr>
                <w:noProof/>
                <w:webHidden/>
              </w:rPr>
              <w:fldChar w:fldCharType="end"/>
            </w:r>
          </w:hyperlink>
        </w:p>
        <w:p w14:paraId="7D9110E1" w14:textId="52CFF011" w:rsidR="00D7687F" w:rsidRDefault="00B1706E">
          <w:pPr>
            <w:pStyle w:val="TOC2"/>
            <w:rPr>
              <w:rFonts w:eastAsiaTheme="minorEastAsia"/>
              <w:noProof/>
              <w:sz w:val="22"/>
              <w:lang w:eastAsia="en-ZA"/>
            </w:rPr>
          </w:pPr>
          <w:hyperlink w:anchor="_Toc519445709" w:history="1">
            <w:r w:rsidR="00D7687F" w:rsidRPr="005E7F75">
              <w:rPr>
                <w:rStyle w:val="Hyperlink"/>
                <w:noProof/>
              </w:rPr>
              <w:t>2.1</w:t>
            </w:r>
            <w:r w:rsidR="00D7687F">
              <w:rPr>
                <w:rFonts w:eastAsiaTheme="minorEastAsia"/>
                <w:noProof/>
                <w:sz w:val="22"/>
                <w:lang w:eastAsia="en-ZA"/>
              </w:rPr>
              <w:tab/>
            </w:r>
            <w:r w:rsidR="00D7687F" w:rsidRPr="005E7F75">
              <w:rPr>
                <w:rStyle w:val="Hyperlink"/>
                <w:noProof/>
              </w:rPr>
              <w:t>Overview of the need to make financial provision for mining projects</w:t>
            </w:r>
            <w:r w:rsidR="00D7687F">
              <w:rPr>
                <w:noProof/>
                <w:webHidden/>
              </w:rPr>
              <w:tab/>
            </w:r>
            <w:r w:rsidR="00D7687F">
              <w:rPr>
                <w:noProof/>
                <w:webHidden/>
              </w:rPr>
              <w:fldChar w:fldCharType="begin"/>
            </w:r>
            <w:r w:rsidR="00D7687F">
              <w:rPr>
                <w:noProof/>
                <w:webHidden/>
              </w:rPr>
              <w:instrText xml:space="preserve"> PAGEREF _Toc519445709 \h </w:instrText>
            </w:r>
            <w:r w:rsidR="00D7687F">
              <w:rPr>
                <w:noProof/>
                <w:webHidden/>
              </w:rPr>
            </w:r>
            <w:r w:rsidR="00D7687F">
              <w:rPr>
                <w:noProof/>
                <w:webHidden/>
              </w:rPr>
              <w:fldChar w:fldCharType="separate"/>
            </w:r>
            <w:r w:rsidR="009A7398">
              <w:rPr>
                <w:noProof/>
                <w:webHidden/>
              </w:rPr>
              <w:t>16</w:t>
            </w:r>
            <w:r w:rsidR="00D7687F">
              <w:rPr>
                <w:noProof/>
                <w:webHidden/>
              </w:rPr>
              <w:fldChar w:fldCharType="end"/>
            </w:r>
          </w:hyperlink>
        </w:p>
        <w:p w14:paraId="41419547" w14:textId="3287A4C7" w:rsidR="00D7687F" w:rsidRDefault="00B1706E">
          <w:pPr>
            <w:pStyle w:val="TOC2"/>
            <w:rPr>
              <w:rFonts w:eastAsiaTheme="minorEastAsia"/>
              <w:noProof/>
              <w:sz w:val="22"/>
              <w:lang w:eastAsia="en-ZA"/>
            </w:rPr>
          </w:pPr>
          <w:hyperlink w:anchor="_Toc519445710" w:history="1">
            <w:r w:rsidR="00D7687F" w:rsidRPr="005E7F75">
              <w:rPr>
                <w:rStyle w:val="Hyperlink"/>
                <w:noProof/>
              </w:rPr>
              <w:t>2.2</w:t>
            </w:r>
            <w:r w:rsidR="00D7687F">
              <w:rPr>
                <w:rFonts w:eastAsiaTheme="minorEastAsia"/>
                <w:noProof/>
                <w:sz w:val="22"/>
                <w:lang w:eastAsia="en-ZA"/>
              </w:rPr>
              <w:tab/>
            </w:r>
            <w:r w:rsidR="00D7687F" w:rsidRPr="005E7F75">
              <w:rPr>
                <w:rStyle w:val="Hyperlink"/>
                <w:noProof/>
              </w:rPr>
              <w:t>The South African approach to financial provision for mine closure</w:t>
            </w:r>
            <w:r w:rsidR="00D7687F">
              <w:rPr>
                <w:noProof/>
                <w:webHidden/>
              </w:rPr>
              <w:tab/>
            </w:r>
            <w:r w:rsidR="00D7687F">
              <w:rPr>
                <w:noProof/>
                <w:webHidden/>
              </w:rPr>
              <w:fldChar w:fldCharType="begin"/>
            </w:r>
            <w:r w:rsidR="00D7687F">
              <w:rPr>
                <w:noProof/>
                <w:webHidden/>
              </w:rPr>
              <w:instrText xml:space="preserve"> PAGEREF _Toc519445710 \h </w:instrText>
            </w:r>
            <w:r w:rsidR="00D7687F">
              <w:rPr>
                <w:noProof/>
                <w:webHidden/>
              </w:rPr>
            </w:r>
            <w:r w:rsidR="00D7687F">
              <w:rPr>
                <w:noProof/>
                <w:webHidden/>
              </w:rPr>
              <w:fldChar w:fldCharType="separate"/>
            </w:r>
            <w:r w:rsidR="009A7398">
              <w:rPr>
                <w:noProof/>
                <w:webHidden/>
              </w:rPr>
              <w:t>18</w:t>
            </w:r>
            <w:r w:rsidR="00D7687F">
              <w:rPr>
                <w:noProof/>
                <w:webHidden/>
              </w:rPr>
              <w:fldChar w:fldCharType="end"/>
            </w:r>
          </w:hyperlink>
        </w:p>
        <w:p w14:paraId="0C08A348" w14:textId="61D56BE8" w:rsidR="00D7687F" w:rsidRDefault="00B1706E">
          <w:pPr>
            <w:pStyle w:val="TOC2"/>
            <w:rPr>
              <w:rFonts w:eastAsiaTheme="minorEastAsia"/>
              <w:noProof/>
              <w:sz w:val="22"/>
              <w:lang w:eastAsia="en-ZA"/>
            </w:rPr>
          </w:pPr>
          <w:hyperlink w:anchor="_Toc519445711" w:history="1">
            <w:r w:rsidR="00D7687F" w:rsidRPr="005E7F75">
              <w:rPr>
                <w:rStyle w:val="Hyperlink"/>
                <w:noProof/>
              </w:rPr>
              <w:t>2.3</w:t>
            </w:r>
            <w:r w:rsidR="00D7687F">
              <w:rPr>
                <w:rFonts w:eastAsiaTheme="minorEastAsia"/>
                <w:noProof/>
                <w:sz w:val="22"/>
                <w:lang w:eastAsia="en-ZA"/>
              </w:rPr>
              <w:tab/>
            </w:r>
            <w:r w:rsidR="00D7687F" w:rsidRPr="005E7F75">
              <w:rPr>
                <w:rStyle w:val="Hyperlink"/>
                <w:noProof/>
              </w:rPr>
              <w:t>Noted problems with mine closure and financial provision for mining operations in South Africa</w:t>
            </w:r>
            <w:r w:rsidR="00D7687F">
              <w:rPr>
                <w:noProof/>
                <w:webHidden/>
              </w:rPr>
              <w:tab/>
            </w:r>
            <w:r w:rsidR="00D7687F">
              <w:rPr>
                <w:noProof/>
                <w:webHidden/>
              </w:rPr>
              <w:fldChar w:fldCharType="begin"/>
            </w:r>
            <w:r w:rsidR="00D7687F">
              <w:rPr>
                <w:noProof/>
                <w:webHidden/>
              </w:rPr>
              <w:instrText xml:space="preserve"> PAGEREF _Toc519445711 \h </w:instrText>
            </w:r>
            <w:r w:rsidR="00D7687F">
              <w:rPr>
                <w:noProof/>
                <w:webHidden/>
              </w:rPr>
            </w:r>
            <w:r w:rsidR="00D7687F">
              <w:rPr>
                <w:noProof/>
                <w:webHidden/>
              </w:rPr>
              <w:fldChar w:fldCharType="separate"/>
            </w:r>
            <w:r w:rsidR="009A7398">
              <w:rPr>
                <w:noProof/>
                <w:webHidden/>
              </w:rPr>
              <w:t>20</w:t>
            </w:r>
            <w:r w:rsidR="00D7687F">
              <w:rPr>
                <w:noProof/>
                <w:webHidden/>
              </w:rPr>
              <w:fldChar w:fldCharType="end"/>
            </w:r>
          </w:hyperlink>
        </w:p>
        <w:p w14:paraId="426CB681" w14:textId="3EAD5036" w:rsidR="00D7687F" w:rsidRDefault="00B1706E">
          <w:pPr>
            <w:pStyle w:val="TOC2"/>
            <w:rPr>
              <w:rFonts w:eastAsiaTheme="minorEastAsia"/>
              <w:noProof/>
              <w:sz w:val="22"/>
              <w:lang w:eastAsia="en-ZA"/>
            </w:rPr>
          </w:pPr>
          <w:hyperlink w:anchor="_Toc519445712" w:history="1">
            <w:r w:rsidR="00D7687F" w:rsidRPr="005E7F75">
              <w:rPr>
                <w:rStyle w:val="Hyperlink"/>
                <w:noProof/>
              </w:rPr>
              <w:t>2.4</w:t>
            </w:r>
            <w:r w:rsidR="00D7687F">
              <w:rPr>
                <w:rFonts w:eastAsiaTheme="minorEastAsia"/>
                <w:noProof/>
                <w:sz w:val="22"/>
                <w:lang w:eastAsia="en-ZA"/>
              </w:rPr>
              <w:tab/>
            </w:r>
            <w:r w:rsidR="00D7687F" w:rsidRPr="005E7F75">
              <w:rPr>
                <w:rStyle w:val="Hyperlink"/>
                <w:noProof/>
              </w:rPr>
              <w:t>Recent changes in the legislation for mine financial provision in South Africa</w:t>
            </w:r>
            <w:r w:rsidR="00D7687F">
              <w:rPr>
                <w:noProof/>
                <w:webHidden/>
              </w:rPr>
              <w:tab/>
            </w:r>
            <w:r w:rsidR="00D7687F">
              <w:rPr>
                <w:noProof/>
                <w:webHidden/>
              </w:rPr>
              <w:fldChar w:fldCharType="begin"/>
            </w:r>
            <w:r w:rsidR="00D7687F">
              <w:rPr>
                <w:noProof/>
                <w:webHidden/>
              </w:rPr>
              <w:instrText xml:space="preserve"> PAGEREF _Toc519445712 \h </w:instrText>
            </w:r>
            <w:r w:rsidR="00D7687F">
              <w:rPr>
                <w:noProof/>
                <w:webHidden/>
              </w:rPr>
            </w:r>
            <w:r w:rsidR="00D7687F">
              <w:rPr>
                <w:noProof/>
                <w:webHidden/>
              </w:rPr>
              <w:fldChar w:fldCharType="separate"/>
            </w:r>
            <w:r w:rsidR="009A7398">
              <w:rPr>
                <w:noProof/>
                <w:webHidden/>
              </w:rPr>
              <w:t>28</w:t>
            </w:r>
            <w:r w:rsidR="00D7687F">
              <w:rPr>
                <w:noProof/>
                <w:webHidden/>
              </w:rPr>
              <w:fldChar w:fldCharType="end"/>
            </w:r>
          </w:hyperlink>
        </w:p>
        <w:p w14:paraId="5FA2594A" w14:textId="2054CF89" w:rsidR="00D7687F" w:rsidRDefault="00B1706E">
          <w:pPr>
            <w:pStyle w:val="TOC1"/>
            <w:rPr>
              <w:rFonts w:eastAsiaTheme="minorEastAsia"/>
              <w:noProof/>
              <w:sz w:val="22"/>
              <w:lang w:eastAsia="en-ZA"/>
            </w:rPr>
          </w:pPr>
          <w:hyperlink w:anchor="_Toc519445713" w:history="1">
            <w:r w:rsidR="00D7687F" w:rsidRPr="005E7F75">
              <w:rPr>
                <w:rStyle w:val="Hyperlink"/>
                <w:noProof/>
              </w:rPr>
              <w:t>3</w:t>
            </w:r>
            <w:r w:rsidR="00D7687F">
              <w:rPr>
                <w:rFonts w:eastAsiaTheme="minorEastAsia"/>
                <w:noProof/>
                <w:sz w:val="22"/>
                <w:lang w:eastAsia="en-ZA"/>
              </w:rPr>
              <w:tab/>
            </w:r>
            <w:r w:rsidR="00D7687F" w:rsidRPr="005E7F75">
              <w:rPr>
                <w:rStyle w:val="Hyperlink"/>
                <w:noProof/>
              </w:rPr>
              <w:t>Methodology</w:t>
            </w:r>
            <w:r w:rsidR="00D7687F">
              <w:rPr>
                <w:noProof/>
                <w:webHidden/>
              </w:rPr>
              <w:tab/>
            </w:r>
            <w:r w:rsidR="00D7687F">
              <w:rPr>
                <w:noProof/>
                <w:webHidden/>
              </w:rPr>
              <w:fldChar w:fldCharType="begin"/>
            </w:r>
            <w:r w:rsidR="00D7687F">
              <w:rPr>
                <w:noProof/>
                <w:webHidden/>
              </w:rPr>
              <w:instrText xml:space="preserve"> PAGEREF _Toc519445713 \h </w:instrText>
            </w:r>
            <w:r w:rsidR="00D7687F">
              <w:rPr>
                <w:noProof/>
                <w:webHidden/>
              </w:rPr>
            </w:r>
            <w:r w:rsidR="00D7687F">
              <w:rPr>
                <w:noProof/>
                <w:webHidden/>
              </w:rPr>
              <w:fldChar w:fldCharType="separate"/>
            </w:r>
            <w:r w:rsidR="009A7398">
              <w:rPr>
                <w:noProof/>
                <w:webHidden/>
              </w:rPr>
              <w:t>31</w:t>
            </w:r>
            <w:r w:rsidR="00D7687F">
              <w:rPr>
                <w:noProof/>
                <w:webHidden/>
              </w:rPr>
              <w:fldChar w:fldCharType="end"/>
            </w:r>
          </w:hyperlink>
        </w:p>
        <w:p w14:paraId="72485155" w14:textId="76E89ECC" w:rsidR="00D7687F" w:rsidRDefault="00B1706E">
          <w:pPr>
            <w:pStyle w:val="TOC2"/>
            <w:rPr>
              <w:rFonts w:eastAsiaTheme="minorEastAsia"/>
              <w:noProof/>
              <w:sz w:val="22"/>
              <w:lang w:eastAsia="en-ZA"/>
            </w:rPr>
          </w:pPr>
          <w:hyperlink w:anchor="_Toc519445714" w:history="1">
            <w:r w:rsidR="00D7687F" w:rsidRPr="005E7F75">
              <w:rPr>
                <w:rStyle w:val="Hyperlink"/>
                <w:noProof/>
              </w:rPr>
              <w:t>3.1</w:t>
            </w:r>
            <w:r w:rsidR="00D7687F">
              <w:rPr>
                <w:rFonts w:eastAsiaTheme="minorEastAsia"/>
                <w:noProof/>
                <w:sz w:val="22"/>
                <w:lang w:eastAsia="en-ZA"/>
              </w:rPr>
              <w:tab/>
            </w:r>
            <w:r w:rsidR="00D7687F" w:rsidRPr="005E7F75">
              <w:rPr>
                <w:rStyle w:val="Hyperlink"/>
                <w:noProof/>
              </w:rPr>
              <w:t>Background to the methodology applied in this research report</w:t>
            </w:r>
            <w:r w:rsidR="00D7687F">
              <w:rPr>
                <w:noProof/>
                <w:webHidden/>
              </w:rPr>
              <w:tab/>
            </w:r>
            <w:r w:rsidR="00D7687F">
              <w:rPr>
                <w:noProof/>
                <w:webHidden/>
              </w:rPr>
              <w:fldChar w:fldCharType="begin"/>
            </w:r>
            <w:r w:rsidR="00D7687F">
              <w:rPr>
                <w:noProof/>
                <w:webHidden/>
              </w:rPr>
              <w:instrText xml:space="preserve"> PAGEREF _Toc519445714 \h </w:instrText>
            </w:r>
            <w:r w:rsidR="00D7687F">
              <w:rPr>
                <w:noProof/>
                <w:webHidden/>
              </w:rPr>
            </w:r>
            <w:r w:rsidR="00D7687F">
              <w:rPr>
                <w:noProof/>
                <w:webHidden/>
              </w:rPr>
              <w:fldChar w:fldCharType="separate"/>
            </w:r>
            <w:r w:rsidR="009A7398">
              <w:rPr>
                <w:noProof/>
                <w:webHidden/>
              </w:rPr>
              <w:t>31</w:t>
            </w:r>
            <w:r w:rsidR="00D7687F">
              <w:rPr>
                <w:noProof/>
                <w:webHidden/>
              </w:rPr>
              <w:fldChar w:fldCharType="end"/>
            </w:r>
          </w:hyperlink>
        </w:p>
        <w:p w14:paraId="5B6527D5" w14:textId="3A1912A1" w:rsidR="00D7687F" w:rsidRDefault="00B1706E">
          <w:pPr>
            <w:pStyle w:val="TOC2"/>
            <w:rPr>
              <w:rFonts w:eastAsiaTheme="minorEastAsia"/>
              <w:noProof/>
              <w:sz w:val="22"/>
              <w:lang w:eastAsia="en-ZA"/>
            </w:rPr>
          </w:pPr>
          <w:hyperlink w:anchor="_Toc519445715" w:history="1">
            <w:r w:rsidR="00D7687F" w:rsidRPr="005E7F75">
              <w:rPr>
                <w:rStyle w:val="Hyperlink"/>
                <w:noProof/>
              </w:rPr>
              <w:t>3.2</w:t>
            </w:r>
            <w:r w:rsidR="00D7687F">
              <w:rPr>
                <w:rFonts w:eastAsiaTheme="minorEastAsia"/>
                <w:noProof/>
                <w:sz w:val="22"/>
                <w:lang w:eastAsia="en-ZA"/>
              </w:rPr>
              <w:tab/>
            </w:r>
            <w:r w:rsidR="00D7687F" w:rsidRPr="005E7F75">
              <w:rPr>
                <w:rStyle w:val="Hyperlink"/>
                <w:noProof/>
              </w:rPr>
              <w:t>Methodology applied in this research report</w:t>
            </w:r>
            <w:r w:rsidR="00D7687F">
              <w:rPr>
                <w:noProof/>
                <w:webHidden/>
              </w:rPr>
              <w:tab/>
            </w:r>
            <w:r w:rsidR="00D7687F">
              <w:rPr>
                <w:noProof/>
                <w:webHidden/>
              </w:rPr>
              <w:fldChar w:fldCharType="begin"/>
            </w:r>
            <w:r w:rsidR="00D7687F">
              <w:rPr>
                <w:noProof/>
                <w:webHidden/>
              </w:rPr>
              <w:instrText xml:space="preserve"> PAGEREF _Toc519445715 \h </w:instrText>
            </w:r>
            <w:r w:rsidR="00D7687F">
              <w:rPr>
                <w:noProof/>
                <w:webHidden/>
              </w:rPr>
            </w:r>
            <w:r w:rsidR="00D7687F">
              <w:rPr>
                <w:noProof/>
                <w:webHidden/>
              </w:rPr>
              <w:fldChar w:fldCharType="separate"/>
            </w:r>
            <w:r w:rsidR="009A7398">
              <w:rPr>
                <w:noProof/>
                <w:webHidden/>
              </w:rPr>
              <w:t>33</w:t>
            </w:r>
            <w:r w:rsidR="00D7687F">
              <w:rPr>
                <w:noProof/>
                <w:webHidden/>
              </w:rPr>
              <w:fldChar w:fldCharType="end"/>
            </w:r>
          </w:hyperlink>
        </w:p>
        <w:p w14:paraId="52B5FD41" w14:textId="723F21B4" w:rsidR="00D7687F" w:rsidRDefault="00B1706E">
          <w:pPr>
            <w:pStyle w:val="TOC2"/>
            <w:rPr>
              <w:rFonts w:eastAsiaTheme="minorEastAsia"/>
              <w:noProof/>
              <w:sz w:val="22"/>
              <w:lang w:eastAsia="en-ZA"/>
            </w:rPr>
          </w:pPr>
          <w:hyperlink w:anchor="_Toc519445716" w:history="1">
            <w:r w:rsidR="00D7687F" w:rsidRPr="005E7F75">
              <w:rPr>
                <w:rStyle w:val="Hyperlink"/>
                <w:noProof/>
              </w:rPr>
              <w:t>3.3</w:t>
            </w:r>
            <w:r w:rsidR="00D7687F">
              <w:rPr>
                <w:rFonts w:eastAsiaTheme="minorEastAsia"/>
                <w:noProof/>
                <w:sz w:val="22"/>
                <w:lang w:eastAsia="en-ZA"/>
              </w:rPr>
              <w:tab/>
            </w:r>
            <w:r w:rsidR="00D7687F" w:rsidRPr="005E7F75">
              <w:rPr>
                <w:rStyle w:val="Hyperlink"/>
                <w:noProof/>
              </w:rPr>
              <w:t>Source of the data used in this research report</w:t>
            </w:r>
            <w:r w:rsidR="00D7687F">
              <w:rPr>
                <w:noProof/>
                <w:webHidden/>
              </w:rPr>
              <w:tab/>
            </w:r>
            <w:r w:rsidR="00D7687F">
              <w:rPr>
                <w:noProof/>
                <w:webHidden/>
              </w:rPr>
              <w:fldChar w:fldCharType="begin"/>
            </w:r>
            <w:r w:rsidR="00D7687F">
              <w:rPr>
                <w:noProof/>
                <w:webHidden/>
              </w:rPr>
              <w:instrText xml:space="preserve"> PAGEREF _Toc519445716 \h </w:instrText>
            </w:r>
            <w:r w:rsidR="00D7687F">
              <w:rPr>
                <w:noProof/>
                <w:webHidden/>
              </w:rPr>
            </w:r>
            <w:r w:rsidR="00D7687F">
              <w:rPr>
                <w:noProof/>
                <w:webHidden/>
              </w:rPr>
              <w:fldChar w:fldCharType="separate"/>
            </w:r>
            <w:r w:rsidR="009A7398">
              <w:rPr>
                <w:noProof/>
                <w:webHidden/>
              </w:rPr>
              <w:t>36</w:t>
            </w:r>
            <w:r w:rsidR="00D7687F">
              <w:rPr>
                <w:noProof/>
                <w:webHidden/>
              </w:rPr>
              <w:fldChar w:fldCharType="end"/>
            </w:r>
          </w:hyperlink>
        </w:p>
        <w:p w14:paraId="2AC18F84" w14:textId="0848EEC6" w:rsidR="00D7687F" w:rsidRDefault="00B1706E">
          <w:pPr>
            <w:pStyle w:val="TOC2"/>
            <w:rPr>
              <w:rFonts w:eastAsiaTheme="minorEastAsia"/>
              <w:noProof/>
              <w:sz w:val="22"/>
              <w:lang w:eastAsia="en-ZA"/>
            </w:rPr>
          </w:pPr>
          <w:hyperlink w:anchor="_Toc519445717" w:history="1">
            <w:r w:rsidR="00D7687F" w:rsidRPr="005E7F75">
              <w:rPr>
                <w:rStyle w:val="Hyperlink"/>
                <w:noProof/>
              </w:rPr>
              <w:t>3.4</w:t>
            </w:r>
            <w:r w:rsidR="00D7687F">
              <w:rPr>
                <w:rFonts w:eastAsiaTheme="minorEastAsia"/>
                <w:noProof/>
                <w:sz w:val="22"/>
                <w:lang w:eastAsia="en-ZA"/>
              </w:rPr>
              <w:tab/>
            </w:r>
            <w:r w:rsidR="00D7687F" w:rsidRPr="005E7F75">
              <w:rPr>
                <w:rStyle w:val="Hyperlink"/>
                <w:noProof/>
              </w:rPr>
              <w:t>Population and sample sizes of the cost data obtained from tenders for mine rehabilitation projects</w:t>
            </w:r>
            <w:r w:rsidR="00D7687F">
              <w:rPr>
                <w:noProof/>
                <w:webHidden/>
              </w:rPr>
              <w:tab/>
            </w:r>
            <w:r w:rsidR="00D7687F">
              <w:rPr>
                <w:noProof/>
                <w:webHidden/>
              </w:rPr>
              <w:fldChar w:fldCharType="begin"/>
            </w:r>
            <w:r w:rsidR="00D7687F">
              <w:rPr>
                <w:noProof/>
                <w:webHidden/>
              </w:rPr>
              <w:instrText xml:space="preserve"> PAGEREF _Toc519445717 \h </w:instrText>
            </w:r>
            <w:r w:rsidR="00D7687F">
              <w:rPr>
                <w:noProof/>
                <w:webHidden/>
              </w:rPr>
            </w:r>
            <w:r w:rsidR="00D7687F">
              <w:rPr>
                <w:noProof/>
                <w:webHidden/>
              </w:rPr>
              <w:fldChar w:fldCharType="separate"/>
            </w:r>
            <w:r w:rsidR="009A7398">
              <w:rPr>
                <w:noProof/>
                <w:webHidden/>
              </w:rPr>
              <w:t>37</w:t>
            </w:r>
            <w:r w:rsidR="00D7687F">
              <w:rPr>
                <w:noProof/>
                <w:webHidden/>
              </w:rPr>
              <w:fldChar w:fldCharType="end"/>
            </w:r>
          </w:hyperlink>
        </w:p>
        <w:p w14:paraId="5EAB79D1" w14:textId="072E610E" w:rsidR="00D7687F" w:rsidRDefault="00B1706E">
          <w:pPr>
            <w:pStyle w:val="TOC2"/>
            <w:rPr>
              <w:rFonts w:eastAsiaTheme="minorEastAsia"/>
              <w:noProof/>
              <w:sz w:val="22"/>
              <w:lang w:eastAsia="en-ZA"/>
            </w:rPr>
          </w:pPr>
          <w:hyperlink w:anchor="_Toc519445718" w:history="1">
            <w:r w:rsidR="00D7687F" w:rsidRPr="005E7F75">
              <w:rPr>
                <w:rStyle w:val="Hyperlink"/>
                <w:noProof/>
              </w:rPr>
              <w:t>3.5</w:t>
            </w:r>
            <w:r w:rsidR="00D7687F">
              <w:rPr>
                <w:rFonts w:eastAsiaTheme="minorEastAsia"/>
                <w:noProof/>
                <w:sz w:val="22"/>
                <w:lang w:eastAsia="en-ZA"/>
              </w:rPr>
              <w:tab/>
            </w:r>
            <w:r w:rsidR="00D7687F" w:rsidRPr="005E7F75">
              <w:rPr>
                <w:rStyle w:val="Hyperlink"/>
                <w:noProof/>
              </w:rPr>
              <w:t>The application of statistical methods to the data recorded</w:t>
            </w:r>
            <w:r w:rsidR="00D7687F">
              <w:rPr>
                <w:noProof/>
                <w:webHidden/>
              </w:rPr>
              <w:tab/>
            </w:r>
            <w:r w:rsidR="00D7687F">
              <w:rPr>
                <w:noProof/>
                <w:webHidden/>
              </w:rPr>
              <w:fldChar w:fldCharType="begin"/>
            </w:r>
            <w:r w:rsidR="00D7687F">
              <w:rPr>
                <w:noProof/>
                <w:webHidden/>
              </w:rPr>
              <w:instrText xml:space="preserve"> PAGEREF _Toc519445718 \h </w:instrText>
            </w:r>
            <w:r w:rsidR="00D7687F">
              <w:rPr>
                <w:noProof/>
                <w:webHidden/>
              </w:rPr>
            </w:r>
            <w:r w:rsidR="00D7687F">
              <w:rPr>
                <w:noProof/>
                <w:webHidden/>
              </w:rPr>
              <w:fldChar w:fldCharType="separate"/>
            </w:r>
            <w:r w:rsidR="009A7398">
              <w:rPr>
                <w:noProof/>
                <w:webHidden/>
              </w:rPr>
              <w:t>39</w:t>
            </w:r>
            <w:r w:rsidR="00D7687F">
              <w:rPr>
                <w:noProof/>
                <w:webHidden/>
              </w:rPr>
              <w:fldChar w:fldCharType="end"/>
            </w:r>
          </w:hyperlink>
        </w:p>
        <w:p w14:paraId="736D2FF9" w14:textId="68727196" w:rsidR="00D7687F" w:rsidRDefault="00B1706E">
          <w:pPr>
            <w:pStyle w:val="TOC2"/>
            <w:rPr>
              <w:rFonts w:eastAsiaTheme="minorEastAsia"/>
              <w:noProof/>
              <w:sz w:val="22"/>
              <w:lang w:eastAsia="en-ZA"/>
            </w:rPr>
          </w:pPr>
          <w:hyperlink w:anchor="_Toc519445719" w:history="1">
            <w:r w:rsidR="00D7687F" w:rsidRPr="005E7F75">
              <w:rPr>
                <w:rStyle w:val="Hyperlink"/>
                <w:noProof/>
              </w:rPr>
              <w:t>3.6</w:t>
            </w:r>
            <w:r w:rsidR="00D7687F">
              <w:rPr>
                <w:rFonts w:eastAsiaTheme="minorEastAsia"/>
                <w:noProof/>
                <w:sz w:val="22"/>
                <w:lang w:eastAsia="en-ZA"/>
              </w:rPr>
              <w:tab/>
            </w:r>
            <w:r w:rsidR="00D7687F" w:rsidRPr="005E7F75">
              <w:rPr>
                <w:rStyle w:val="Hyperlink"/>
                <w:noProof/>
              </w:rPr>
              <w:t>Notes on the operation of the 2004 DME guideline to determine financial provisions</w:t>
            </w:r>
            <w:r w:rsidR="00D7687F">
              <w:rPr>
                <w:noProof/>
                <w:webHidden/>
              </w:rPr>
              <w:tab/>
            </w:r>
            <w:r w:rsidR="003C5D51">
              <w:rPr>
                <w:noProof/>
                <w:webHidden/>
              </w:rPr>
              <w:tab/>
            </w:r>
            <w:r w:rsidR="00D7687F">
              <w:rPr>
                <w:noProof/>
                <w:webHidden/>
              </w:rPr>
              <w:fldChar w:fldCharType="begin"/>
            </w:r>
            <w:r w:rsidR="00D7687F">
              <w:rPr>
                <w:noProof/>
                <w:webHidden/>
              </w:rPr>
              <w:instrText xml:space="preserve"> PAGEREF _Toc519445719 \h </w:instrText>
            </w:r>
            <w:r w:rsidR="00D7687F">
              <w:rPr>
                <w:noProof/>
                <w:webHidden/>
              </w:rPr>
            </w:r>
            <w:r w:rsidR="00D7687F">
              <w:rPr>
                <w:noProof/>
                <w:webHidden/>
              </w:rPr>
              <w:fldChar w:fldCharType="separate"/>
            </w:r>
            <w:r w:rsidR="009A7398">
              <w:rPr>
                <w:noProof/>
                <w:webHidden/>
              </w:rPr>
              <w:t>40</w:t>
            </w:r>
            <w:r w:rsidR="00D7687F">
              <w:rPr>
                <w:noProof/>
                <w:webHidden/>
              </w:rPr>
              <w:fldChar w:fldCharType="end"/>
            </w:r>
          </w:hyperlink>
        </w:p>
        <w:p w14:paraId="3ED6569F" w14:textId="677F7BDA" w:rsidR="00D7687F" w:rsidRDefault="00B1706E">
          <w:pPr>
            <w:pStyle w:val="TOC1"/>
            <w:rPr>
              <w:rFonts w:eastAsiaTheme="minorEastAsia"/>
              <w:noProof/>
              <w:sz w:val="22"/>
              <w:lang w:eastAsia="en-ZA"/>
            </w:rPr>
          </w:pPr>
          <w:hyperlink w:anchor="_Toc519445720" w:history="1">
            <w:r w:rsidR="00D7687F" w:rsidRPr="005E7F75">
              <w:rPr>
                <w:rStyle w:val="Hyperlink"/>
                <w:noProof/>
              </w:rPr>
              <w:t>4</w:t>
            </w:r>
            <w:r w:rsidR="00D7687F">
              <w:rPr>
                <w:rFonts w:eastAsiaTheme="minorEastAsia"/>
                <w:noProof/>
                <w:sz w:val="22"/>
                <w:lang w:eastAsia="en-ZA"/>
              </w:rPr>
              <w:tab/>
            </w:r>
            <w:r w:rsidR="00D7687F" w:rsidRPr="005E7F75">
              <w:rPr>
                <w:rStyle w:val="Hyperlink"/>
                <w:noProof/>
              </w:rPr>
              <w:t>Results</w:t>
            </w:r>
            <w:r w:rsidR="00D7687F">
              <w:rPr>
                <w:noProof/>
                <w:webHidden/>
              </w:rPr>
              <w:tab/>
            </w:r>
            <w:r w:rsidR="00D7687F">
              <w:rPr>
                <w:noProof/>
                <w:webHidden/>
              </w:rPr>
              <w:fldChar w:fldCharType="begin"/>
            </w:r>
            <w:r w:rsidR="00D7687F">
              <w:rPr>
                <w:noProof/>
                <w:webHidden/>
              </w:rPr>
              <w:instrText xml:space="preserve"> PAGEREF _Toc519445720 \h </w:instrText>
            </w:r>
            <w:r w:rsidR="00D7687F">
              <w:rPr>
                <w:noProof/>
                <w:webHidden/>
              </w:rPr>
            </w:r>
            <w:r w:rsidR="00D7687F">
              <w:rPr>
                <w:noProof/>
                <w:webHidden/>
              </w:rPr>
              <w:fldChar w:fldCharType="separate"/>
            </w:r>
            <w:r w:rsidR="009A7398">
              <w:rPr>
                <w:noProof/>
                <w:webHidden/>
              </w:rPr>
              <w:t>44</w:t>
            </w:r>
            <w:r w:rsidR="00D7687F">
              <w:rPr>
                <w:noProof/>
                <w:webHidden/>
              </w:rPr>
              <w:fldChar w:fldCharType="end"/>
            </w:r>
          </w:hyperlink>
        </w:p>
        <w:p w14:paraId="3FC5F2A5" w14:textId="097C67A1" w:rsidR="00D7687F" w:rsidRDefault="00B1706E">
          <w:pPr>
            <w:pStyle w:val="TOC2"/>
            <w:rPr>
              <w:rFonts w:eastAsiaTheme="minorEastAsia"/>
              <w:noProof/>
              <w:sz w:val="22"/>
              <w:lang w:eastAsia="en-ZA"/>
            </w:rPr>
          </w:pPr>
          <w:hyperlink w:anchor="_Toc519445721" w:history="1">
            <w:r w:rsidR="00D7687F" w:rsidRPr="005E7F75">
              <w:rPr>
                <w:rStyle w:val="Hyperlink"/>
                <w:noProof/>
              </w:rPr>
              <w:t>4.1</w:t>
            </w:r>
            <w:r w:rsidR="00D7687F">
              <w:rPr>
                <w:rFonts w:eastAsiaTheme="minorEastAsia"/>
                <w:noProof/>
                <w:sz w:val="22"/>
                <w:lang w:eastAsia="en-ZA"/>
              </w:rPr>
              <w:tab/>
            </w:r>
            <w:r w:rsidR="00D7687F" w:rsidRPr="005E7F75">
              <w:rPr>
                <w:rStyle w:val="Hyperlink"/>
                <w:noProof/>
              </w:rPr>
              <w:t>Update of the 2004 DME guideline rates to present values using published  CPI values</w:t>
            </w:r>
            <w:r w:rsidR="00D7687F">
              <w:rPr>
                <w:noProof/>
                <w:webHidden/>
              </w:rPr>
              <w:tab/>
            </w:r>
            <w:r w:rsidR="003C5D51">
              <w:rPr>
                <w:noProof/>
                <w:webHidden/>
              </w:rPr>
              <w:tab/>
            </w:r>
            <w:r w:rsidR="00D7687F">
              <w:rPr>
                <w:noProof/>
                <w:webHidden/>
              </w:rPr>
              <w:fldChar w:fldCharType="begin"/>
            </w:r>
            <w:r w:rsidR="00D7687F">
              <w:rPr>
                <w:noProof/>
                <w:webHidden/>
              </w:rPr>
              <w:instrText xml:space="preserve"> PAGEREF _Toc519445721 \h </w:instrText>
            </w:r>
            <w:r w:rsidR="00D7687F">
              <w:rPr>
                <w:noProof/>
                <w:webHidden/>
              </w:rPr>
            </w:r>
            <w:r w:rsidR="00D7687F">
              <w:rPr>
                <w:noProof/>
                <w:webHidden/>
              </w:rPr>
              <w:fldChar w:fldCharType="separate"/>
            </w:r>
            <w:r w:rsidR="009A7398">
              <w:rPr>
                <w:noProof/>
                <w:webHidden/>
              </w:rPr>
              <w:t>44</w:t>
            </w:r>
            <w:r w:rsidR="00D7687F">
              <w:rPr>
                <w:noProof/>
                <w:webHidden/>
              </w:rPr>
              <w:fldChar w:fldCharType="end"/>
            </w:r>
          </w:hyperlink>
        </w:p>
        <w:p w14:paraId="27FA7876" w14:textId="696F2DD0" w:rsidR="00D7687F" w:rsidRDefault="00B1706E">
          <w:pPr>
            <w:pStyle w:val="TOC2"/>
            <w:rPr>
              <w:rFonts w:eastAsiaTheme="minorEastAsia"/>
              <w:noProof/>
              <w:sz w:val="22"/>
              <w:lang w:eastAsia="en-ZA"/>
            </w:rPr>
          </w:pPr>
          <w:hyperlink w:anchor="_Toc519445722" w:history="1">
            <w:r w:rsidR="00D7687F" w:rsidRPr="005E7F75">
              <w:rPr>
                <w:rStyle w:val="Hyperlink"/>
                <w:noProof/>
              </w:rPr>
              <w:t>4.2</w:t>
            </w:r>
            <w:r w:rsidR="00D7687F">
              <w:rPr>
                <w:rFonts w:eastAsiaTheme="minorEastAsia"/>
                <w:noProof/>
                <w:sz w:val="22"/>
                <w:lang w:eastAsia="en-ZA"/>
              </w:rPr>
              <w:tab/>
            </w:r>
            <w:r w:rsidR="00D7687F" w:rsidRPr="005E7F75">
              <w:rPr>
                <w:rStyle w:val="Hyperlink"/>
                <w:noProof/>
              </w:rPr>
              <w:t>Selection of applicable rehabilitation elements for comparison</w:t>
            </w:r>
            <w:r w:rsidR="00D7687F">
              <w:rPr>
                <w:noProof/>
                <w:webHidden/>
              </w:rPr>
              <w:tab/>
            </w:r>
            <w:r w:rsidR="00D7687F">
              <w:rPr>
                <w:noProof/>
                <w:webHidden/>
              </w:rPr>
              <w:fldChar w:fldCharType="begin"/>
            </w:r>
            <w:r w:rsidR="00D7687F">
              <w:rPr>
                <w:noProof/>
                <w:webHidden/>
              </w:rPr>
              <w:instrText xml:space="preserve"> PAGEREF _Toc519445722 \h </w:instrText>
            </w:r>
            <w:r w:rsidR="00D7687F">
              <w:rPr>
                <w:noProof/>
                <w:webHidden/>
              </w:rPr>
            </w:r>
            <w:r w:rsidR="00D7687F">
              <w:rPr>
                <w:noProof/>
                <w:webHidden/>
              </w:rPr>
              <w:fldChar w:fldCharType="separate"/>
            </w:r>
            <w:r w:rsidR="009A7398">
              <w:rPr>
                <w:noProof/>
                <w:webHidden/>
              </w:rPr>
              <w:t>46</w:t>
            </w:r>
            <w:r w:rsidR="00D7687F">
              <w:rPr>
                <w:noProof/>
                <w:webHidden/>
              </w:rPr>
              <w:fldChar w:fldCharType="end"/>
            </w:r>
          </w:hyperlink>
        </w:p>
        <w:p w14:paraId="4EEC1C82" w14:textId="25E98E09" w:rsidR="00D7687F" w:rsidRDefault="00B1706E">
          <w:pPr>
            <w:pStyle w:val="TOC2"/>
            <w:rPr>
              <w:rFonts w:eastAsiaTheme="minorEastAsia"/>
              <w:noProof/>
              <w:sz w:val="22"/>
              <w:lang w:eastAsia="en-ZA"/>
            </w:rPr>
          </w:pPr>
          <w:hyperlink w:anchor="_Toc519445723" w:history="1">
            <w:r w:rsidR="00D7687F" w:rsidRPr="005E7F75">
              <w:rPr>
                <w:rStyle w:val="Hyperlink"/>
                <w:noProof/>
              </w:rPr>
              <w:t>4.3</w:t>
            </w:r>
            <w:r w:rsidR="00D7687F">
              <w:rPr>
                <w:rFonts w:eastAsiaTheme="minorEastAsia"/>
                <w:noProof/>
                <w:sz w:val="22"/>
                <w:lang w:eastAsia="en-ZA"/>
              </w:rPr>
              <w:tab/>
            </w:r>
            <w:r w:rsidR="00D7687F" w:rsidRPr="005E7F75">
              <w:rPr>
                <w:rStyle w:val="Hyperlink"/>
                <w:noProof/>
              </w:rPr>
              <w:t>Comparison of the DME guideline master rates and analysis of the results</w:t>
            </w:r>
            <w:r w:rsidR="00D7687F">
              <w:rPr>
                <w:noProof/>
                <w:webHidden/>
              </w:rPr>
              <w:tab/>
            </w:r>
            <w:r w:rsidR="00D7687F">
              <w:rPr>
                <w:noProof/>
                <w:webHidden/>
              </w:rPr>
              <w:fldChar w:fldCharType="begin"/>
            </w:r>
            <w:r w:rsidR="00D7687F">
              <w:rPr>
                <w:noProof/>
                <w:webHidden/>
              </w:rPr>
              <w:instrText xml:space="preserve"> PAGEREF _Toc519445723 \h </w:instrText>
            </w:r>
            <w:r w:rsidR="00D7687F">
              <w:rPr>
                <w:noProof/>
                <w:webHidden/>
              </w:rPr>
            </w:r>
            <w:r w:rsidR="00D7687F">
              <w:rPr>
                <w:noProof/>
                <w:webHidden/>
              </w:rPr>
              <w:fldChar w:fldCharType="separate"/>
            </w:r>
            <w:r w:rsidR="009A7398">
              <w:rPr>
                <w:noProof/>
                <w:webHidden/>
              </w:rPr>
              <w:t>48</w:t>
            </w:r>
            <w:r w:rsidR="00D7687F">
              <w:rPr>
                <w:noProof/>
                <w:webHidden/>
              </w:rPr>
              <w:fldChar w:fldCharType="end"/>
            </w:r>
          </w:hyperlink>
        </w:p>
        <w:p w14:paraId="530E98AB" w14:textId="1177E637" w:rsidR="00D7687F" w:rsidRDefault="00B1706E">
          <w:pPr>
            <w:pStyle w:val="TOC3"/>
            <w:rPr>
              <w:rFonts w:eastAsiaTheme="minorEastAsia"/>
              <w:noProof/>
              <w:sz w:val="22"/>
              <w:lang w:eastAsia="en-ZA"/>
            </w:rPr>
          </w:pPr>
          <w:hyperlink w:anchor="_Toc519445724" w:history="1">
            <w:r w:rsidR="00D7687F" w:rsidRPr="005E7F75">
              <w:rPr>
                <w:rStyle w:val="Hyperlink"/>
                <w:noProof/>
              </w:rPr>
              <w:t>4.3.1</w:t>
            </w:r>
            <w:r w:rsidR="00D7687F">
              <w:rPr>
                <w:rFonts w:eastAsiaTheme="minorEastAsia"/>
                <w:noProof/>
                <w:sz w:val="22"/>
                <w:lang w:eastAsia="en-ZA"/>
              </w:rPr>
              <w:tab/>
            </w:r>
            <w:r w:rsidR="00D7687F" w:rsidRPr="005E7F75">
              <w:rPr>
                <w:rStyle w:val="Hyperlink"/>
                <w:noProof/>
              </w:rPr>
              <w:t>Master rate (2): Demolition of concrete structures</w:t>
            </w:r>
            <w:r w:rsidR="00D7687F">
              <w:rPr>
                <w:noProof/>
                <w:webHidden/>
              </w:rPr>
              <w:tab/>
            </w:r>
            <w:r w:rsidR="00D7687F">
              <w:rPr>
                <w:noProof/>
                <w:webHidden/>
              </w:rPr>
              <w:fldChar w:fldCharType="begin"/>
            </w:r>
            <w:r w:rsidR="00D7687F">
              <w:rPr>
                <w:noProof/>
                <w:webHidden/>
              </w:rPr>
              <w:instrText xml:space="preserve"> PAGEREF _Toc519445724 \h </w:instrText>
            </w:r>
            <w:r w:rsidR="00D7687F">
              <w:rPr>
                <w:noProof/>
                <w:webHidden/>
              </w:rPr>
            </w:r>
            <w:r w:rsidR="00D7687F">
              <w:rPr>
                <w:noProof/>
                <w:webHidden/>
              </w:rPr>
              <w:fldChar w:fldCharType="separate"/>
            </w:r>
            <w:r w:rsidR="009A7398">
              <w:rPr>
                <w:noProof/>
                <w:webHidden/>
              </w:rPr>
              <w:t>50</w:t>
            </w:r>
            <w:r w:rsidR="00D7687F">
              <w:rPr>
                <w:noProof/>
                <w:webHidden/>
              </w:rPr>
              <w:fldChar w:fldCharType="end"/>
            </w:r>
          </w:hyperlink>
        </w:p>
        <w:p w14:paraId="7203B21B" w14:textId="5D46401A" w:rsidR="00D7687F" w:rsidRDefault="00B1706E">
          <w:pPr>
            <w:pStyle w:val="TOC3"/>
            <w:rPr>
              <w:rFonts w:eastAsiaTheme="minorEastAsia"/>
              <w:noProof/>
              <w:sz w:val="22"/>
              <w:lang w:eastAsia="en-ZA"/>
            </w:rPr>
          </w:pPr>
          <w:hyperlink w:anchor="_Toc519445725" w:history="1">
            <w:r w:rsidR="00D7687F" w:rsidRPr="005E7F75">
              <w:rPr>
                <w:rStyle w:val="Hyperlink"/>
                <w:noProof/>
              </w:rPr>
              <w:t>4.3.2</w:t>
            </w:r>
            <w:r w:rsidR="00D7687F">
              <w:rPr>
                <w:rFonts w:eastAsiaTheme="minorEastAsia"/>
                <w:noProof/>
                <w:sz w:val="22"/>
                <w:lang w:eastAsia="en-ZA"/>
              </w:rPr>
              <w:tab/>
            </w:r>
            <w:r w:rsidR="00D7687F" w:rsidRPr="005E7F75">
              <w:rPr>
                <w:rStyle w:val="Hyperlink"/>
                <w:noProof/>
              </w:rPr>
              <w:t>Master rate (3): Rehabilitation of access roads</w:t>
            </w:r>
            <w:r w:rsidR="00D7687F">
              <w:rPr>
                <w:noProof/>
                <w:webHidden/>
              </w:rPr>
              <w:tab/>
            </w:r>
            <w:r w:rsidR="00D7687F">
              <w:rPr>
                <w:noProof/>
                <w:webHidden/>
              </w:rPr>
              <w:fldChar w:fldCharType="begin"/>
            </w:r>
            <w:r w:rsidR="00D7687F">
              <w:rPr>
                <w:noProof/>
                <w:webHidden/>
              </w:rPr>
              <w:instrText xml:space="preserve"> PAGEREF _Toc519445725 \h </w:instrText>
            </w:r>
            <w:r w:rsidR="00D7687F">
              <w:rPr>
                <w:noProof/>
                <w:webHidden/>
              </w:rPr>
            </w:r>
            <w:r w:rsidR="00D7687F">
              <w:rPr>
                <w:noProof/>
                <w:webHidden/>
              </w:rPr>
              <w:fldChar w:fldCharType="separate"/>
            </w:r>
            <w:r w:rsidR="009A7398">
              <w:rPr>
                <w:noProof/>
                <w:webHidden/>
              </w:rPr>
              <w:t>51</w:t>
            </w:r>
            <w:r w:rsidR="00D7687F">
              <w:rPr>
                <w:noProof/>
                <w:webHidden/>
              </w:rPr>
              <w:fldChar w:fldCharType="end"/>
            </w:r>
          </w:hyperlink>
        </w:p>
        <w:p w14:paraId="12D4BBC9" w14:textId="5E33A72D" w:rsidR="00D7687F" w:rsidRDefault="00B1706E">
          <w:pPr>
            <w:pStyle w:val="TOC3"/>
            <w:rPr>
              <w:rFonts w:eastAsiaTheme="minorEastAsia"/>
              <w:noProof/>
              <w:sz w:val="22"/>
              <w:lang w:eastAsia="en-ZA"/>
            </w:rPr>
          </w:pPr>
          <w:hyperlink w:anchor="_Toc519445726" w:history="1">
            <w:r w:rsidR="00D7687F" w:rsidRPr="005E7F75">
              <w:rPr>
                <w:rStyle w:val="Hyperlink"/>
                <w:noProof/>
              </w:rPr>
              <w:t>4.3.3</w:t>
            </w:r>
            <w:r w:rsidR="00D7687F">
              <w:rPr>
                <w:rFonts w:eastAsiaTheme="minorEastAsia"/>
                <w:noProof/>
                <w:sz w:val="22"/>
                <w:lang w:eastAsia="en-ZA"/>
              </w:rPr>
              <w:tab/>
            </w:r>
            <w:r w:rsidR="00D7687F" w:rsidRPr="005E7F75">
              <w:rPr>
                <w:rStyle w:val="Hyperlink"/>
                <w:noProof/>
              </w:rPr>
              <w:t>Master rate (7): Sealing of shafts, adits and inclines</w:t>
            </w:r>
            <w:r w:rsidR="00D7687F">
              <w:rPr>
                <w:noProof/>
                <w:webHidden/>
              </w:rPr>
              <w:tab/>
            </w:r>
            <w:r w:rsidR="00D7687F">
              <w:rPr>
                <w:noProof/>
                <w:webHidden/>
              </w:rPr>
              <w:fldChar w:fldCharType="begin"/>
            </w:r>
            <w:r w:rsidR="00D7687F">
              <w:rPr>
                <w:noProof/>
                <w:webHidden/>
              </w:rPr>
              <w:instrText xml:space="preserve"> PAGEREF _Toc519445726 \h </w:instrText>
            </w:r>
            <w:r w:rsidR="00D7687F">
              <w:rPr>
                <w:noProof/>
                <w:webHidden/>
              </w:rPr>
            </w:r>
            <w:r w:rsidR="00D7687F">
              <w:rPr>
                <w:noProof/>
                <w:webHidden/>
              </w:rPr>
              <w:fldChar w:fldCharType="separate"/>
            </w:r>
            <w:r w:rsidR="009A7398">
              <w:rPr>
                <w:noProof/>
                <w:webHidden/>
              </w:rPr>
              <w:t>51</w:t>
            </w:r>
            <w:r w:rsidR="00D7687F">
              <w:rPr>
                <w:noProof/>
                <w:webHidden/>
              </w:rPr>
              <w:fldChar w:fldCharType="end"/>
            </w:r>
          </w:hyperlink>
        </w:p>
        <w:p w14:paraId="0634B8CF" w14:textId="6B6300AC" w:rsidR="00D7687F" w:rsidRDefault="00B1706E">
          <w:pPr>
            <w:pStyle w:val="TOC3"/>
            <w:rPr>
              <w:rFonts w:eastAsiaTheme="minorEastAsia"/>
              <w:noProof/>
              <w:sz w:val="22"/>
              <w:lang w:eastAsia="en-ZA"/>
            </w:rPr>
          </w:pPr>
          <w:hyperlink w:anchor="_Toc519445727" w:history="1">
            <w:r w:rsidR="00D7687F" w:rsidRPr="005E7F75">
              <w:rPr>
                <w:rStyle w:val="Hyperlink"/>
                <w:noProof/>
              </w:rPr>
              <w:t>4.3.4</w:t>
            </w:r>
            <w:r w:rsidR="00D7687F">
              <w:rPr>
                <w:rFonts w:eastAsiaTheme="minorEastAsia"/>
                <w:noProof/>
                <w:sz w:val="22"/>
                <w:lang w:eastAsia="en-ZA"/>
              </w:rPr>
              <w:tab/>
            </w:r>
            <w:r w:rsidR="00D7687F" w:rsidRPr="005E7F75">
              <w:rPr>
                <w:rStyle w:val="Hyperlink"/>
                <w:noProof/>
              </w:rPr>
              <w:t>Master rate (8C):  Processing waste deposits and evaporation ponds (acid, metal)</w:t>
            </w:r>
            <w:r w:rsidR="00D7687F">
              <w:rPr>
                <w:noProof/>
                <w:webHidden/>
              </w:rPr>
              <w:tab/>
            </w:r>
            <w:r w:rsidR="00D7687F">
              <w:rPr>
                <w:noProof/>
                <w:webHidden/>
              </w:rPr>
              <w:fldChar w:fldCharType="begin"/>
            </w:r>
            <w:r w:rsidR="00D7687F">
              <w:rPr>
                <w:noProof/>
                <w:webHidden/>
              </w:rPr>
              <w:instrText xml:space="preserve"> PAGEREF _Toc519445727 \h </w:instrText>
            </w:r>
            <w:r w:rsidR="00D7687F">
              <w:rPr>
                <w:noProof/>
                <w:webHidden/>
              </w:rPr>
            </w:r>
            <w:r w:rsidR="00D7687F">
              <w:rPr>
                <w:noProof/>
                <w:webHidden/>
              </w:rPr>
              <w:fldChar w:fldCharType="separate"/>
            </w:r>
            <w:r w:rsidR="009A7398">
              <w:rPr>
                <w:noProof/>
                <w:webHidden/>
              </w:rPr>
              <w:t>53</w:t>
            </w:r>
            <w:r w:rsidR="00D7687F">
              <w:rPr>
                <w:noProof/>
                <w:webHidden/>
              </w:rPr>
              <w:fldChar w:fldCharType="end"/>
            </w:r>
          </w:hyperlink>
        </w:p>
        <w:p w14:paraId="2FA285D0" w14:textId="030244D3" w:rsidR="00D7687F" w:rsidRDefault="00B1706E">
          <w:pPr>
            <w:pStyle w:val="TOC3"/>
            <w:rPr>
              <w:rFonts w:eastAsiaTheme="minorEastAsia"/>
              <w:noProof/>
              <w:sz w:val="22"/>
              <w:lang w:eastAsia="en-ZA"/>
            </w:rPr>
          </w:pPr>
          <w:hyperlink w:anchor="_Toc519445728" w:history="1">
            <w:r w:rsidR="00D7687F" w:rsidRPr="005E7F75">
              <w:rPr>
                <w:rStyle w:val="Hyperlink"/>
                <w:iCs/>
                <w:noProof/>
                <w:lang w:eastAsia="en-ZA"/>
              </w:rPr>
              <w:t>4.3.4</w:t>
            </w:r>
            <w:r w:rsidR="00D7687F">
              <w:rPr>
                <w:rFonts w:eastAsiaTheme="minorEastAsia"/>
                <w:noProof/>
                <w:sz w:val="22"/>
                <w:lang w:eastAsia="en-ZA"/>
              </w:rPr>
              <w:tab/>
            </w:r>
            <w:r w:rsidR="00D7687F" w:rsidRPr="005E7F75">
              <w:rPr>
                <w:rStyle w:val="Hyperlink"/>
                <w:noProof/>
              </w:rPr>
              <w:t>(b) Earthworks to shape dumps to the required angle of slope</w:t>
            </w:r>
            <w:r w:rsidR="00D7687F">
              <w:rPr>
                <w:noProof/>
                <w:webHidden/>
              </w:rPr>
              <w:tab/>
            </w:r>
            <w:r w:rsidR="00D7687F">
              <w:rPr>
                <w:noProof/>
                <w:webHidden/>
              </w:rPr>
              <w:fldChar w:fldCharType="begin"/>
            </w:r>
            <w:r w:rsidR="00D7687F">
              <w:rPr>
                <w:noProof/>
                <w:webHidden/>
              </w:rPr>
              <w:instrText xml:space="preserve"> PAGEREF _Toc519445728 \h </w:instrText>
            </w:r>
            <w:r w:rsidR="00D7687F">
              <w:rPr>
                <w:noProof/>
                <w:webHidden/>
              </w:rPr>
            </w:r>
            <w:r w:rsidR="00D7687F">
              <w:rPr>
                <w:noProof/>
                <w:webHidden/>
              </w:rPr>
              <w:fldChar w:fldCharType="separate"/>
            </w:r>
            <w:r w:rsidR="009A7398">
              <w:rPr>
                <w:noProof/>
                <w:webHidden/>
              </w:rPr>
              <w:t>54</w:t>
            </w:r>
            <w:r w:rsidR="00D7687F">
              <w:rPr>
                <w:noProof/>
                <w:webHidden/>
              </w:rPr>
              <w:fldChar w:fldCharType="end"/>
            </w:r>
          </w:hyperlink>
        </w:p>
        <w:p w14:paraId="08F44147" w14:textId="32658CC0" w:rsidR="00D7687F" w:rsidRDefault="00B1706E">
          <w:pPr>
            <w:pStyle w:val="TOC3"/>
            <w:rPr>
              <w:rFonts w:eastAsiaTheme="minorEastAsia"/>
              <w:noProof/>
              <w:sz w:val="22"/>
              <w:lang w:eastAsia="en-ZA"/>
            </w:rPr>
          </w:pPr>
          <w:hyperlink w:anchor="_Toc519445729" w:history="1">
            <w:r w:rsidR="00D7687F" w:rsidRPr="005E7F75">
              <w:rPr>
                <w:rStyle w:val="Hyperlink"/>
                <w:noProof/>
              </w:rPr>
              <w:t>4.3.5</w:t>
            </w:r>
            <w:r w:rsidR="00D7687F">
              <w:rPr>
                <w:rFonts w:eastAsiaTheme="minorEastAsia"/>
                <w:noProof/>
                <w:sz w:val="22"/>
                <w:lang w:eastAsia="en-ZA"/>
              </w:rPr>
              <w:tab/>
            </w:r>
            <w:r w:rsidR="00D7687F" w:rsidRPr="005E7F75">
              <w:rPr>
                <w:rStyle w:val="Hyperlink"/>
                <w:noProof/>
              </w:rPr>
              <w:t>Master Rate (10): General surface rehab and grassing</w:t>
            </w:r>
            <w:r w:rsidR="00D7687F">
              <w:rPr>
                <w:noProof/>
                <w:webHidden/>
              </w:rPr>
              <w:tab/>
            </w:r>
            <w:r w:rsidR="00D7687F">
              <w:rPr>
                <w:noProof/>
                <w:webHidden/>
              </w:rPr>
              <w:fldChar w:fldCharType="begin"/>
            </w:r>
            <w:r w:rsidR="00D7687F">
              <w:rPr>
                <w:noProof/>
                <w:webHidden/>
              </w:rPr>
              <w:instrText xml:space="preserve"> PAGEREF _Toc519445729 \h </w:instrText>
            </w:r>
            <w:r w:rsidR="00D7687F">
              <w:rPr>
                <w:noProof/>
                <w:webHidden/>
              </w:rPr>
            </w:r>
            <w:r w:rsidR="00D7687F">
              <w:rPr>
                <w:noProof/>
                <w:webHidden/>
              </w:rPr>
              <w:fldChar w:fldCharType="separate"/>
            </w:r>
            <w:r w:rsidR="009A7398">
              <w:rPr>
                <w:noProof/>
                <w:webHidden/>
              </w:rPr>
              <w:t>60</w:t>
            </w:r>
            <w:r w:rsidR="00D7687F">
              <w:rPr>
                <w:noProof/>
                <w:webHidden/>
              </w:rPr>
              <w:fldChar w:fldCharType="end"/>
            </w:r>
          </w:hyperlink>
        </w:p>
        <w:p w14:paraId="1D78E390" w14:textId="6FCA880C" w:rsidR="00D7687F" w:rsidRDefault="00B1706E">
          <w:pPr>
            <w:pStyle w:val="TOC3"/>
            <w:rPr>
              <w:rFonts w:eastAsiaTheme="minorEastAsia"/>
              <w:noProof/>
              <w:sz w:val="22"/>
              <w:lang w:eastAsia="en-ZA"/>
            </w:rPr>
          </w:pPr>
          <w:hyperlink w:anchor="_Toc519445730" w:history="1">
            <w:r w:rsidR="00D7687F" w:rsidRPr="005E7F75">
              <w:rPr>
                <w:rStyle w:val="Hyperlink"/>
                <w:noProof/>
              </w:rPr>
              <w:t>4.3.6</w:t>
            </w:r>
            <w:r w:rsidR="00D7687F">
              <w:rPr>
                <w:rFonts w:eastAsiaTheme="minorEastAsia"/>
                <w:noProof/>
                <w:sz w:val="22"/>
                <w:lang w:eastAsia="en-ZA"/>
              </w:rPr>
              <w:tab/>
            </w:r>
            <w:r w:rsidR="00D7687F" w:rsidRPr="005E7F75">
              <w:rPr>
                <w:rStyle w:val="Hyperlink"/>
                <w:noProof/>
              </w:rPr>
              <w:t>Master Rate (12): Fencing</w:t>
            </w:r>
            <w:r w:rsidR="00D7687F">
              <w:rPr>
                <w:noProof/>
                <w:webHidden/>
              </w:rPr>
              <w:tab/>
            </w:r>
            <w:r w:rsidR="00D7687F">
              <w:rPr>
                <w:noProof/>
                <w:webHidden/>
              </w:rPr>
              <w:fldChar w:fldCharType="begin"/>
            </w:r>
            <w:r w:rsidR="00D7687F">
              <w:rPr>
                <w:noProof/>
                <w:webHidden/>
              </w:rPr>
              <w:instrText xml:space="preserve"> PAGEREF _Toc519445730 \h </w:instrText>
            </w:r>
            <w:r w:rsidR="00D7687F">
              <w:rPr>
                <w:noProof/>
                <w:webHidden/>
              </w:rPr>
            </w:r>
            <w:r w:rsidR="00D7687F">
              <w:rPr>
                <w:noProof/>
                <w:webHidden/>
              </w:rPr>
              <w:fldChar w:fldCharType="separate"/>
            </w:r>
            <w:r w:rsidR="009A7398">
              <w:rPr>
                <w:noProof/>
                <w:webHidden/>
              </w:rPr>
              <w:t>62</w:t>
            </w:r>
            <w:r w:rsidR="00D7687F">
              <w:rPr>
                <w:noProof/>
                <w:webHidden/>
              </w:rPr>
              <w:fldChar w:fldCharType="end"/>
            </w:r>
          </w:hyperlink>
        </w:p>
        <w:p w14:paraId="41BEC994" w14:textId="731D33BB" w:rsidR="00D7687F" w:rsidRDefault="00B1706E">
          <w:pPr>
            <w:pStyle w:val="TOC2"/>
            <w:rPr>
              <w:rFonts w:eastAsiaTheme="minorEastAsia"/>
              <w:noProof/>
              <w:sz w:val="22"/>
              <w:lang w:eastAsia="en-ZA"/>
            </w:rPr>
          </w:pPr>
          <w:hyperlink w:anchor="_Toc519445731" w:history="1">
            <w:r w:rsidR="00D7687F" w:rsidRPr="005E7F75">
              <w:rPr>
                <w:rStyle w:val="Hyperlink"/>
                <w:noProof/>
              </w:rPr>
              <w:t>4.4</w:t>
            </w:r>
            <w:r w:rsidR="00D7687F">
              <w:rPr>
                <w:rFonts w:eastAsiaTheme="minorEastAsia"/>
                <w:noProof/>
                <w:sz w:val="22"/>
                <w:lang w:eastAsia="en-ZA"/>
              </w:rPr>
              <w:tab/>
            </w:r>
            <w:r w:rsidR="00D7687F" w:rsidRPr="005E7F75">
              <w:rPr>
                <w:rStyle w:val="Hyperlink"/>
                <w:noProof/>
              </w:rPr>
              <w:t>Master Rates other than direct construction works</w:t>
            </w:r>
            <w:r w:rsidR="00D7687F">
              <w:rPr>
                <w:noProof/>
                <w:webHidden/>
              </w:rPr>
              <w:tab/>
            </w:r>
            <w:r w:rsidR="00D7687F">
              <w:rPr>
                <w:noProof/>
                <w:webHidden/>
              </w:rPr>
              <w:fldChar w:fldCharType="begin"/>
            </w:r>
            <w:r w:rsidR="00D7687F">
              <w:rPr>
                <w:noProof/>
                <w:webHidden/>
              </w:rPr>
              <w:instrText xml:space="preserve"> PAGEREF _Toc519445731 \h </w:instrText>
            </w:r>
            <w:r w:rsidR="00D7687F">
              <w:rPr>
                <w:noProof/>
                <w:webHidden/>
              </w:rPr>
            </w:r>
            <w:r w:rsidR="00D7687F">
              <w:rPr>
                <w:noProof/>
                <w:webHidden/>
              </w:rPr>
              <w:fldChar w:fldCharType="separate"/>
            </w:r>
            <w:r w:rsidR="009A7398">
              <w:rPr>
                <w:noProof/>
                <w:webHidden/>
              </w:rPr>
              <w:t>63</w:t>
            </w:r>
            <w:r w:rsidR="00D7687F">
              <w:rPr>
                <w:noProof/>
                <w:webHidden/>
              </w:rPr>
              <w:fldChar w:fldCharType="end"/>
            </w:r>
          </w:hyperlink>
        </w:p>
        <w:p w14:paraId="4F480A6E" w14:textId="2E54A431" w:rsidR="00D7687F" w:rsidRDefault="00B1706E">
          <w:pPr>
            <w:pStyle w:val="TOC2"/>
            <w:rPr>
              <w:rFonts w:eastAsiaTheme="minorEastAsia"/>
              <w:noProof/>
              <w:sz w:val="22"/>
              <w:lang w:eastAsia="en-ZA"/>
            </w:rPr>
          </w:pPr>
          <w:hyperlink w:anchor="_Toc519445732" w:history="1">
            <w:r w:rsidR="00D7687F" w:rsidRPr="005E7F75">
              <w:rPr>
                <w:rStyle w:val="Hyperlink"/>
                <w:noProof/>
              </w:rPr>
              <w:t>4.5</w:t>
            </w:r>
            <w:r w:rsidR="00D7687F">
              <w:rPr>
                <w:rFonts w:eastAsiaTheme="minorEastAsia"/>
                <w:noProof/>
                <w:sz w:val="22"/>
                <w:lang w:eastAsia="en-ZA"/>
              </w:rPr>
              <w:tab/>
            </w:r>
            <w:r w:rsidR="00D7687F" w:rsidRPr="005E7F75">
              <w:rPr>
                <w:rStyle w:val="Hyperlink"/>
                <w:noProof/>
              </w:rPr>
              <w:t>Summary of findings</w:t>
            </w:r>
            <w:r w:rsidR="00D7687F">
              <w:rPr>
                <w:noProof/>
                <w:webHidden/>
              </w:rPr>
              <w:tab/>
            </w:r>
            <w:r w:rsidR="00D7687F">
              <w:rPr>
                <w:noProof/>
                <w:webHidden/>
              </w:rPr>
              <w:fldChar w:fldCharType="begin"/>
            </w:r>
            <w:r w:rsidR="00D7687F">
              <w:rPr>
                <w:noProof/>
                <w:webHidden/>
              </w:rPr>
              <w:instrText xml:space="preserve"> PAGEREF _Toc519445732 \h </w:instrText>
            </w:r>
            <w:r w:rsidR="00D7687F">
              <w:rPr>
                <w:noProof/>
                <w:webHidden/>
              </w:rPr>
            </w:r>
            <w:r w:rsidR="00D7687F">
              <w:rPr>
                <w:noProof/>
                <w:webHidden/>
              </w:rPr>
              <w:fldChar w:fldCharType="separate"/>
            </w:r>
            <w:r w:rsidR="009A7398">
              <w:rPr>
                <w:noProof/>
                <w:webHidden/>
              </w:rPr>
              <w:t>66</w:t>
            </w:r>
            <w:r w:rsidR="00D7687F">
              <w:rPr>
                <w:noProof/>
                <w:webHidden/>
              </w:rPr>
              <w:fldChar w:fldCharType="end"/>
            </w:r>
          </w:hyperlink>
        </w:p>
        <w:p w14:paraId="19C50BBC" w14:textId="3B8B129E" w:rsidR="00D7687F" w:rsidRDefault="00B1706E">
          <w:pPr>
            <w:pStyle w:val="TOC1"/>
            <w:rPr>
              <w:rFonts w:eastAsiaTheme="minorEastAsia"/>
              <w:noProof/>
              <w:sz w:val="22"/>
              <w:lang w:eastAsia="en-ZA"/>
            </w:rPr>
          </w:pPr>
          <w:hyperlink w:anchor="_Toc519445733" w:history="1">
            <w:r w:rsidR="00D7687F" w:rsidRPr="005E7F75">
              <w:rPr>
                <w:rStyle w:val="Hyperlink"/>
                <w:noProof/>
              </w:rPr>
              <w:t>5</w:t>
            </w:r>
            <w:r w:rsidR="00D7687F">
              <w:rPr>
                <w:rFonts w:eastAsiaTheme="minorEastAsia"/>
                <w:noProof/>
                <w:sz w:val="22"/>
                <w:lang w:eastAsia="en-ZA"/>
              </w:rPr>
              <w:tab/>
            </w:r>
            <w:r w:rsidR="00D7687F" w:rsidRPr="005E7F75">
              <w:rPr>
                <w:rStyle w:val="Hyperlink"/>
                <w:noProof/>
              </w:rPr>
              <w:t>Discussion</w:t>
            </w:r>
            <w:r w:rsidR="00D7687F">
              <w:rPr>
                <w:noProof/>
                <w:webHidden/>
              </w:rPr>
              <w:tab/>
            </w:r>
            <w:r w:rsidR="00D7687F">
              <w:rPr>
                <w:noProof/>
                <w:webHidden/>
              </w:rPr>
              <w:fldChar w:fldCharType="begin"/>
            </w:r>
            <w:r w:rsidR="00D7687F">
              <w:rPr>
                <w:noProof/>
                <w:webHidden/>
              </w:rPr>
              <w:instrText xml:space="preserve"> PAGEREF _Toc519445733 \h </w:instrText>
            </w:r>
            <w:r w:rsidR="00D7687F">
              <w:rPr>
                <w:noProof/>
                <w:webHidden/>
              </w:rPr>
            </w:r>
            <w:r w:rsidR="00D7687F">
              <w:rPr>
                <w:noProof/>
                <w:webHidden/>
              </w:rPr>
              <w:fldChar w:fldCharType="separate"/>
            </w:r>
            <w:r w:rsidR="009A7398">
              <w:rPr>
                <w:noProof/>
                <w:webHidden/>
              </w:rPr>
              <w:t>69</w:t>
            </w:r>
            <w:r w:rsidR="00D7687F">
              <w:rPr>
                <w:noProof/>
                <w:webHidden/>
              </w:rPr>
              <w:fldChar w:fldCharType="end"/>
            </w:r>
          </w:hyperlink>
        </w:p>
        <w:p w14:paraId="375FE2BF" w14:textId="65EF66E2" w:rsidR="00D7687F" w:rsidRDefault="00B1706E">
          <w:pPr>
            <w:pStyle w:val="TOC1"/>
            <w:rPr>
              <w:rFonts w:eastAsiaTheme="minorEastAsia"/>
              <w:noProof/>
              <w:sz w:val="22"/>
              <w:lang w:eastAsia="en-ZA"/>
            </w:rPr>
          </w:pPr>
          <w:hyperlink w:anchor="_Toc519445734" w:history="1">
            <w:r w:rsidR="00D7687F" w:rsidRPr="005E7F75">
              <w:rPr>
                <w:rStyle w:val="Hyperlink"/>
                <w:noProof/>
              </w:rPr>
              <w:t>6</w:t>
            </w:r>
            <w:r w:rsidR="00D7687F">
              <w:rPr>
                <w:rFonts w:eastAsiaTheme="minorEastAsia"/>
                <w:noProof/>
                <w:sz w:val="22"/>
                <w:lang w:eastAsia="en-ZA"/>
              </w:rPr>
              <w:tab/>
            </w:r>
            <w:r w:rsidR="00D7687F" w:rsidRPr="005E7F75">
              <w:rPr>
                <w:rStyle w:val="Hyperlink"/>
                <w:noProof/>
              </w:rPr>
              <w:t>Conclusion</w:t>
            </w:r>
            <w:r w:rsidR="00D7687F">
              <w:rPr>
                <w:noProof/>
                <w:webHidden/>
              </w:rPr>
              <w:tab/>
            </w:r>
            <w:r w:rsidR="00D7687F">
              <w:rPr>
                <w:noProof/>
                <w:webHidden/>
              </w:rPr>
              <w:fldChar w:fldCharType="begin"/>
            </w:r>
            <w:r w:rsidR="00D7687F">
              <w:rPr>
                <w:noProof/>
                <w:webHidden/>
              </w:rPr>
              <w:instrText xml:space="preserve"> PAGEREF _Toc519445734 \h </w:instrText>
            </w:r>
            <w:r w:rsidR="00D7687F">
              <w:rPr>
                <w:noProof/>
                <w:webHidden/>
              </w:rPr>
            </w:r>
            <w:r w:rsidR="00D7687F">
              <w:rPr>
                <w:noProof/>
                <w:webHidden/>
              </w:rPr>
              <w:fldChar w:fldCharType="separate"/>
            </w:r>
            <w:r w:rsidR="009A7398">
              <w:rPr>
                <w:noProof/>
                <w:webHidden/>
              </w:rPr>
              <w:t>71</w:t>
            </w:r>
            <w:r w:rsidR="00D7687F">
              <w:rPr>
                <w:noProof/>
                <w:webHidden/>
              </w:rPr>
              <w:fldChar w:fldCharType="end"/>
            </w:r>
          </w:hyperlink>
        </w:p>
        <w:p w14:paraId="748A7CBF" w14:textId="4A5B35F0" w:rsidR="00D7687F" w:rsidRDefault="00B1706E">
          <w:pPr>
            <w:pStyle w:val="TOC1"/>
            <w:rPr>
              <w:rFonts w:eastAsiaTheme="minorEastAsia"/>
              <w:noProof/>
              <w:sz w:val="22"/>
              <w:lang w:eastAsia="en-ZA"/>
            </w:rPr>
          </w:pPr>
          <w:hyperlink w:anchor="_Toc519445735" w:history="1">
            <w:r w:rsidR="00D7687F" w:rsidRPr="005E7F75">
              <w:rPr>
                <w:rStyle w:val="Hyperlink"/>
                <w:noProof/>
              </w:rPr>
              <w:t>7</w:t>
            </w:r>
            <w:r w:rsidR="00D7687F">
              <w:rPr>
                <w:rFonts w:eastAsiaTheme="minorEastAsia"/>
                <w:noProof/>
                <w:sz w:val="22"/>
                <w:lang w:eastAsia="en-ZA"/>
              </w:rPr>
              <w:tab/>
            </w:r>
            <w:r w:rsidR="00D7687F" w:rsidRPr="005E7F75">
              <w:rPr>
                <w:rStyle w:val="Hyperlink"/>
                <w:noProof/>
              </w:rPr>
              <w:t>Postscript: further insights from tender prices</w:t>
            </w:r>
            <w:r w:rsidR="00D7687F">
              <w:rPr>
                <w:noProof/>
                <w:webHidden/>
              </w:rPr>
              <w:tab/>
            </w:r>
            <w:r w:rsidR="00D7687F">
              <w:rPr>
                <w:noProof/>
                <w:webHidden/>
              </w:rPr>
              <w:fldChar w:fldCharType="begin"/>
            </w:r>
            <w:r w:rsidR="00D7687F">
              <w:rPr>
                <w:noProof/>
                <w:webHidden/>
              </w:rPr>
              <w:instrText xml:space="preserve"> PAGEREF _Toc519445735 \h </w:instrText>
            </w:r>
            <w:r w:rsidR="00D7687F">
              <w:rPr>
                <w:noProof/>
                <w:webHidden/>
              </w:rPr>
            </w:r>
            <w:r w:rsidR="00D7687F">
              <w:rPr>
                <w:noProof/>
                <w:webHidden/>
              </w:rPr>
              <w:fldChar w:fldCharType="separate"/>
            </w:r>
            <w:r w:rsidR="009A7398">
              <w:rPr>
                <w:noProof/>
                <w:webHidden/>
              </w:rPr>
              <w:t>74</w:t>
            </w:r>
            <w:r w:rsidR="00D7687F">
              <w:rPr>
                <w:noProof/>
                <w:webHidden/>
              </w:rPr>
              <w:fldChar w:fldCharType="end"/>
            </w:r>
          </w:hyperlink>
        </w:p>
        <w:p w14:paraId="7FE09089" w14:textId="01B5A6DE" w:rsidR="00D7687F" w:rsidRDefault="00B1706E">
          <w:pPr>
            <w:pStyle w:val="TOC1"/>
            <w:rPr>
              <w:rFonts w:eastAsiaTheme="minorEastAsia"/>
              <w:noProof/>
              <w:sz w:val="22"/>
              <w:lang w:eastAsia="en-ZA"/>
            </w:rPr>
          </w:pPr>
          <w:hyperlink w:anchor="_Toc519445736" w:history="1">
            <w:r w:rsidR="00D7687F" w:rsidRPr="005E7F75">
              <w:rPr>
                <w:rStyle w:val="Hyperlink"/>
                <w:noProof/>
              </w:rPr>
              <w:t>8</w:t>
            </w:r>
            <w:r w:rsidR="00D7687F">
              <w:rPr>
                <w:rFonts w:eastAsiaTheme="minorEastAsia"/>
                <w:noProof/>
                <w:sz w:val="22"/>
                <w:lang w:eastAsia="en-ZA"/>
              </w:rPr>
              <w:tab/>
            </w:r>
            <w:r w:rsidR="00D7687F" w:rsidRPr="005E7F75">
              <w:rPr>
                <w:rStyle w:val="Hyperlink"/>
                <w:noProof/>
              </w:rPr>
              <w:t>References</w:t>
            </w:r>
            <w:r w:rsidR="00D7687F">
              <w:rPr>
                <w:noProof/>
                <w:webHidden/>
              </w:rPr>
              <w:tab/>
            </w:r>
            <w:r w:rsidR="00D7687F">
              <w:rPr>
                <w:noProof/>
                <w:webHidden/>
              </w:rPr>
              <w:fldChar w:fldCharType="begin"/>
            </w:r>
            <w:r w:rsidR="00D7687F">
              <w:rPr>
                <w:noProof/>
                <w:webHidden/>
              </w:rPr>
              <w:instrText xml:space="preserve"> PAGEREF _Toc519445736 \h </w:instrText>
            </w:r>
            <w:r w:rsidR="00D7687F">
              <w:rPr>
                <w:noProof/>
                <w:webHidden/>
              </w:rPr>
            </w:r>
            <w:r w:rsidR="00D7687F">
              <w:rPr>
                <w:noProof/>
                <w:webHidden/>
              </w:rPr>
              <w:fldChar w:fldCharType="separate"/>
            </w:r>
            <w:r w:rsidR="009A7398">
              <w:rPr>
                <w:noProof/>
                <w:webHidden/>
              </w:rPr>
              <w:t>77</w:t>
            </w:r>
            <w:r w:rsidR="00D7687F">
              <w:rPr>
                <w:noProof/>
                <w:webHidden/>
              </w:rPr>
              <w:fldChar w:fldCharType="end"/>
            </w:r>
          </w:hyperlink>
        </w:p>
        <w:p w14:paraId="6515E05D" w14:textId="0797C0C2" w:rsidR="00D7687F" w:rsidRDefault="00B1706E">
          <w:pPr>
            <w:pStyle w:val="TOC1"/>
            <w:rPr>
              <w:rFonts w:eastAsiaTheme="minorEastAsia"/>
              <w:noProof/>
              <w:sz w:val="22"/>
              <w:lang w:eastAsia="en-ZA"/>
            </w:rPr>
          </w:pPr>
          <w:hyperlink w:anchor="_Toc519445737" w:history="1">
            <w:r w:rsidR="00D7687F" w:rsidRPr="005E7F75">
              <w:rPr>
                <w:rStyle w:val="Hyperlink"/>
                <w:noProof/>
              </w:rPr>
              <w:t>9</w:t>
            </w:r>
            <w:r w:rsidR="00D7687F">
              <w:rPr>
                <w:rFonts w:eastAsiaTheme="minorEastAsia"/>
                <w:noProof/>
                <w:sz w:val="22"/>
                <w:lang w:eastAsia="en-ZA"/>
              </w:rPr>
              <w:tab/>
            </w:r>
            <w:r w:rsidR="00D7687F" w:rsidRPr="005E7F75">
              <w:rPr>
                <w:rStyle w:val="Hyperlink"/>
                <w:noProof/>
              </w:rPr>
              <w:t>Bibliography</w:t>
            </w:r>
            <w:r w:rsidR="00D7687F">
              <w:rPr>
                <w:noProof/>
                <w:webHidden/>
              </w:rPr>
              <w:tab/>
            </w:r>
            <w:r w:rsidR="00D7687F">
              <w:rPr>
                <w:noProof/>
                <w:webHidden/>
              </w:rPr>
              <w:fldChar w:fldCharType="begin"/>
            </w:r>
            <w:r w:rsidR="00D7687F">
              <w:rPr>
                <w:noProof/>
                <w:webHidden/>
              </w:rPr>
              <w:instrText xml:space="preserve"> PAGEREF _Toc519445737 \h </w:instrText>
            </w:r>
            <w:r w:rsidR="00D7687F">
              <w:rPr>
                <w:noProof/>
                <w:webHidden/>
              </w:rPr>
            </w:r>
            <w:r w:rsidR="00D7687F">
              <w:rPr>
                <w:noProof/>
                <w:webHidden/>
              </w:rPr>
              <w:fldChar w:fldCharType="separate"/>
            </w:r>
            <w:r w:rsidR="009A7398">
              <w:rPr>
                <w:noProof/>
                <w:webHidden/>
              </w:rPr>
              <w:t>83</w:t>
            </w:r>
            <w:r w:rsidR="00D7687F">
              <w:rPr>
                <w:noProof/>
                <w:webHidden/>
              </w:rPr>
              <w:fldChar w:fldCharType="end"/>
            </w:r>
          </w:hyperlink>
        </w:p>
        <w:p w14:paraId="134D2EB9" w14:textId="36355D88" w:rsidR="00D7687F" w:rsidRDefault="00B1706E">
          <w:pPr>
            <w:pStyle w:val="TOC1"/>
            <w:rPr>
              <w:rFonts w:eastAsiaTheme="minorEastAsia"/>
              <w:noProof/>
              <w:sz w:val="22"/>
              <w:lang w:eastAsia="en-ZA"/>
            </w:rPr>
          </w:pPr>
          <w:hyperlink w:anchor="_Toc519445738" w:history="1">
            <w:r w:rsidR="00D7687F" w:rsidRPr="005E7F75">
              <w:rPr>
                <w:rStyle w:val="Hyperlink"/>
                <w:noProof/>
              </w:rPr>
              <w:t>ANNEXURE A:</w:t>
            </w:r>
            <w:r w:rsidR="00D7687F" w:rsidRPr="005E7F75">
              <w:rPr>
                <w:rStyle w:val="Hyperlink"/>
                <w:noProof/>
                <w:lang w:val="en-GB"/>
              </w:rPr>
              <w:t xml:space="preserve"> Master Rates table escalated to 2017</w:t>
            </w:r>
            <w:r w:rsidR="00D7687F">
              <w:rPr>
                <w:noProof/>
                <w:webHidden/>
              </w:rPr>
              <w:tab/>
            </w:r>
            <w:r w:rsidR="00D7687F">
              <w:rPr>
                <w:noProof/>
                <w:webHidden/>
              </w:rPr>
              <w:fldChar w:fldCharType="begin"/>
            </w:r>
            <w:r w:rsidR="00D7687F">
              <w:rPr>
                <w:noProof/>
                <w:webHidden/>
              </w:rPr>
              <w:instrText xml:space="preserve"> PAGEREF _Toc519445738 \h </w:instrText>
            </w:r>
            <w:r w:rsidR="00D7687F">
              <w:rPr>
                <w:noProof/>
                <w:webHidden/>
              </w:rPr>
            </w:r>
            <w:r w:rsidR="00D7687F">
              <w:rPr>
                <w:noProof/>
                <w:webHidden/>
              </w:rPr>
              <w:fldChar w:fldCharType="separate"/>
            </w:r>
            <w:r w:rsidR="009A7398">
              <w:rPr>
                <w:noProof/>
                <w:webHidden/>
              </w:rPr>
              <w:t>84</w:t>
            </w:r>
            <w:r w:rsidR="00D7687F">
              <w:rPr>
                <w:noProof/>
                <w:webHidden/>
              </w:rPr>
              <w:fldChar w:fldCharType="end"/>
            </w:r>
          </w:hyperlink>
        </w:p>
        <w:p w14:paraId="13062801" w14:textId="49734FFD" w:rsidR="00D7687F" w:rsidRDefault="00B1706E">
          <w:pPr>
            <w:pStyle w:val="TOC1"/>
            <w:rPr>
              <w:rFonts w:eastAsiaTheme="minorEastAsia"/>
              <w:noProof/>
              <w:sz w:val="22"/>
              <w:lang w:eastAsia="en-ZA"/>
            </w:rPr>
          </w:pPr>
          <w:hyperlink w:anchor="_Toc519445739" w:history="1">
            <w:r w:rsidR="00D7687F" w:rsidRPr="005E7F75">
              <w:rPr>
                <w:rStyle w:val="Hyperlink"/>
                <w:noProof/>
              </w:rPr>
              <w:t>ANNEXURE B: Closure cost elements used as base assumptions for certain master rates in the DME guideline</w:t>
            </w:r>
            <w:r w:rsidR="00D7687F">
              <w:rPr>
                <w:noProof/>
                <w:webHidden/>
              </w:rPr>
              <w:tab/>
            </w:r>
            <w:r w:rsidR="00D7687F">
              <w:rPr>
                <w:noProof/>
                <w:webHidden/>
              </w:rPr>
              <w:fldChar w:fldCharType="begin"/>
            </w:r>
            <w:r w:rsidR="00D7687F">
              <w:rPr>
                <w:noProof/>
                <w:webHidden/>
              </w:rPr>
              <w:instrText xml:space="preserve"> PAGEREF _Toc519445739 \h </w:instrText>
            </w:r>
            <w:r w:rsidR="00D7687F">
              <w:rPr>
                <w:noProof/>
                <w:webHidden/>
              </w:rPr>
            </w:r>
            <w:r w:rsidR="00D7687F">
              <w:rPr>
                <w:noProof/>
                <w:webHidden/>
              </w:rPr>
              <w:fldChar w:fldCharType="separate"/>
            </w:r>
            <w:r w:rsidR="009A7398">
              <w:rPr>
                <w:noProof/>
                <w:webHidden/>
              </w:rPr>
              <w:t>85</w:t>
            </w:r>
            <w:r w:rsidR="00D7687F">
              <w:rPr>
                <w:noProof/>
                <w:webHidden/>
              </w:rPr>
              <w:fldChar w:fldCharType="end"/>
            </w:r>
          </w:hyperlink>
        </w:p>
        <w:p w14:paraId="6E397C10" w14:textId="223FFAD9" w:rsidR="00D7687F" w:rsidRDefault="00B1706E">
          <w:pPr>
            <w:pStyle w:val="TOC1"/>
            <w:rPr>
              <w:rFonts w:eastAsiaTheme="minorEastAsia"/>
              <w:noProof/>
              <w:sz w:val="22"/>
              <w:lang w:eastAsia="en-ZA"/>
            </w:rPr>
          </w:pPr>
          <w:hyperlink w:anchor="_Toc519445740" w:history="1">
            <w:r w:rsidR="00D7687F" w:rsidRPr="005E7F75">
              <w:rPr>
                <w:rStyle w:val="Hyperlink"/>
                <w:noProof/>
              </w:rPr>
              <w:t>ANNEXURE C: Explanatory notes on applied closure methods and standards</w:t>
            </w:r>
            <w:r w:rsidR="00D7687F">
              <w:rPr>
                <w:noProof/>
                <w:webHidden/>
              </w:rPr>
              <w:tab/>
            </w:r>
            <w:r w:rsidR="00D7687F">
              <w:rPr>
                <w:noProof/>
                <w:webHidden/>
              </w:rPr>
              <w:fldChar w:fldCharType="begin"/>
            </w:r>
            <w:r w:rsidR="00D7687F">
              <w:rPr>
                <w:noProof/>
                <w:webHidden/>
              </w:rPr>
              <w:instrText xml:space="preserve"> PAGEREF _Toc519445740 \h </w:instrText>
            </w:r>
            <w:r w:rsidR="00D7687F">
              <w:rPr>
                <w:noProof/>
                <w:webHidden/>
              </w:rPr>
            </w:r>
            <w:r w:rsidR="00D7687F">
              <w:rPr>
                <w:noProof/>
                <w:webHidden/>
              </w:rPr>
              <w:fldChar w:fldCharType="separate"/>
            </w:r>
            <w:r w:rsidR="009A7398">
              <w:rPr>
                <w:noProof/>
                <w:webHidden/>
              </w:rPr>
              <w:t>89</w:t>
            </w:r>
            <w:r w:rsidR="00D7687F">
              <w:rPr>
                <w:noProof/>
                <w:webHidden/>
              </w:rPr>
              <w:fldChar w:fldCharType="end"/>
            </w:r>
          </w:hyperlink>
        </w:p>
        <w:p w14:paraId="2E595984" w14:textId="0B29F5D7" w:rsidR="00D7687F" w:rsidRDefault="00B1706E">
          <w:pPr>
            <w:pStyle w:val="TOC1"/>
            <w:rPr>
              <w:rFonts w:eastAsiaTheme="minorEastAsia"/>
              <w:noProof/>
              <w:sz w:val="22"/>
              <w:lang w:eastAsia="en-ZA"/>
            </w:rPr>
          </w:pPr>
          <w:hyperlink w:anchor="_Toc519445741" w:history="1">
            <w:r w:rsidR="00D7687F" w:rsidRPr="005E7F75">
              <w:rPr>
                <w:rStyle w:val="Hyperlink"/>
                <w:noProof/>
              </w:rPr>
              <w:t>ANNEXURE D: Permission to use Mintek data in Research report</w:t>
            </w:r>
            <w:r w:rsidR="00D7687F">
              <w:rPr>
                <w:noProof/>
                <w:webHidden/>
              </w:rPr>
              <w:tab/>
            </w:r>
            <w:r w:rsidR="00D7687F">
              <w:rPr>
                <w:noProof/>
                <w:webHidden/>
              </w:rPr>
              <w:fldChar w:fldCharType="begin"/>
            </w:r>
            <w:r w:rsidR="00D7687F">
              <w:rPr>
                <w:noProof/>
                <w:webHidden/>
              </w:rPr>
              <w:instrText xml:space="preserve"> PAGEREF _Toc519445741 \h </w:instrText>
            </w:r>
            <w:r w:rsidR="00D7687F">
              <w:rPr>
                <w:noProof/>
                <w:webHidden/>
              </w:rPr>
            </w:r>
            <w:r w:rsidR="00D7687F">
              <w:rPr>
                <w:noProof/>
                <w:webHidden/>
              </w:rPr>
              <w:fldChar w:fldCharType="separate"/>
            </w:r>
            <w:r w:rsidR="009A7398">
              <w:rPr>
                <w:noProof/>
                <w:webHidden/>
              </w:rPr>
              <w:t>100</w:t>
            </w:r>
            <w:r w:rsidR="00D7687F">
              <w:rPr>
                <w:noProof/>
                <w:webHidden/>
              </w:rPr>
              <w:fldChar w:fldCharType="end"/>
            </w:r>
          </w:hyperlink>
        </w:p>
        <w:p w14:paraId="6C0BE2EC" w14:textId="68AF1DF3" w:rsidR="00E77CB4" w:rsidRDefault="00E77CB4">
          <w:r>
            <w:rPr>
              <w:b/>
              <w:bCs/>
              <w:noProof/>
            </w:rPr>
            <w:fldChar w:fldCharType="end"/>
          </w:r>
        </w:p>
      </w:sdtContent>
    </w:sdt>
    <w:p w14:paraId="717D8393" w14:textId="77777777" w:rsidR="003C70D7" w:rsidRDefault="003C70D7" w:rsidP="00AE71A0">
      <w:pPr>
        <w:rPr>
          <w:rFonts w:asciiTheme="majorHAnsi" w:eastAsiaTheme="majorEastAsia" w:hAnsiTheme="majorHAnsi" w:cstheme="majorBidi"/>
          <w:b/>
          <w:bCs/>
          <w:color w:val="365F91" w:themeColor="accent1" w:themeShade="BF"/>
          <w:sz w:val="28"/>
          <w:szCs w:val="28"/>
        </w:rPr>
        <w:sectPr w:rsidR="003C70D7" w:rsidSect="004321A7">
          <w:pgSz w:w="11906" w:h="16838"/>
          <w:pgMar w:top="1440" w:right="1440" w:bottom="1440" w:left="1440" w:header="709" w:footer="709" w:gutter="0"/>
          <w:cols w:space="708"/>
          <w:docGrid w:linePitch="360"/>
        </w:sectPr>
      </w:pPr>
    </w:p>
    <w:p w14:paraId="0CE53213" w14:textId="77777777" w:rsidR="00E77CB4" w:rsidRDefault="008E0EB2" w:rsidP="002D6002">
      <w:pPr>
        <w:pStyle w:val="Heading1"/>
        <w:numPr>
          <w:ilvl w:val="0"/>
          <w:numId w:val="0"/>
        </w:numPr>
      </w:pPr>
      <w:bookmarkStart w:id="3" w:name="_Toc519445702"/>
      <w:r w:rsidRPr="002328EF">
        <w:lastRenderedPageBreak/>
        <w:t xml:space="preserve">List of </w:t>
      </w:r>
      <w:r w:rsidR="00BF272A" w:rsidRPr="002328EF">
        <w:t>Figures</w:t>
      </w:r>
      <w:bookmarkEnd w:id="3"/>
    </w:p>
    <w:p w14:paraId="35AAE6B3" w14:textId="0EA61220" w:rsidR="00BB27AE" w:rsidRDefault="00E77CB4">
      <w:pPr>
        <w:pStyle w:val="TableofFigures"/>
        <w:tabs>
          <w:tab w:val="right" w:leader="dot" w:pos="9016"/>
        </w:tabs>
        <w:rPr>
          <w:rFonts w:eastAsiaTheme="minorEastAsia"/>
          <w:noProof/>
          <w:sz w:val="22"/>
          <w:lang w:eastAsia="en-ZA"/>
        </w:rPr>
      </w:pPr>
      <w:r>
        <w:rPr>
          <w:rFonts w:asciiTheme="majorHAnsi" w:eastAsiaTheme="majorEastAsia" w:hAnsiTheme="majorHAnsi" w:cstheme="majorBidi"/>
          <w:b/>
          <w:bCs/>
          <w:color w:val="365F91" w:themeColor="accent1" w:themeShade="BF"/>
          <w:sz w:val="28"/>
          <w:szCs w:val="28"/>
        </w:rPr>
        <w:fldChar w:fldCharType="begin"/>
      </w:r>
      <w:r>
        <w:rPr>
          <w:rFonts w:asciiTheme="majorHAnsi" w:eastAsiaTheme="majorEastAsia" w:hAnsiTheme="majorHAnsi" w:cstheme="majorBidi"/>
          <w:b/>
          <w:bCs/>
          <w:color w:val="365F91" w:themeColor="accent1" w:themeShade="BF"/>
          <w:sz w:val="28"/>
          <w:szCs w:val="28"/>
        </w:rPr>
        <w:instrText xml:space="preserve"> TOC \f F \h \z \t "Caption" \c </w:instrText>
      </w:r>
      <w:r>
        <w:rPr>
          <w:rFonts w:asciiTheme="majorHAnsi" w:eastAsiaTheme="majorEastAsia" w:hAnsiTheme="majorHAnsi" w:cstheme="majorBidi"/>
          <w:b/>
          <w:bCs/>
          <w:color w:val="365F91" w:themeColor="accent1" w:themeShade="BF"/>
          <w:sz w:val="28"/>
          <w:szCs w:val="28"/>
        </w:rPr>
        <w:fldChar w:fldCharType="separate"/>
      </w:r>
      <w:hyperlink w:anchor="_Toc519445855" w:history="1">
        <w:r w:rsidR="00BB27AE" w:rsidRPr="00533A46">
          <w:rPr>
            <w:rStyle w:val="Hyperlink"/>
            <w:noProof/>
          </w:rPr>
          <w:t>Figure 2.1: CPI and PPI with PPI for building projects and civil engineering highlighted: 2006 – 2015</w:t>
        </w:r>
        <w:r w:rsidR="00BB27AE">
          <w:rPr>
            <w:noProof/>
            <w:webHidden/>
          </w:rPr>
          <w:tab/>
        </w:r>
        <w:r w:rsidR="00BB27AE">
          <w:rPr>
            <w:noProof/>
            <w:webHidden/>
          </w:rPr>
          <w:fldChar w:fldCharType="begin"/>
        </w:r>
        <w:r w:rsidR="00BB27AE">
          <w:rPr>
            <w:noProof/>
            <w:webHidden/>
          </w:rPr>
          <w:instrText xml:space="preserve"> PAGEREF _Toc519445855 \h </w:instrText>
        </w:r>
        <w:r w:rsidR="00BB27AE">
          <w:rPr>
            <w:noProof/>
            <w:webHidden/>
          </w:rPr>
        </w:r>
        <w:r w:rsidR="00BB27AE">
          <w:rPr>
            <w:noProof/>
            <w:webHidden/>
          </w:rPr>
          <w:fldChar w:fldCharType="separate"/>
        </w:r>
        <w:r w:rsidR="009A7398">
          <w:rPr>
            <w:noProof/>
            <w:webHidden/>
          </w:rPr>
          <w:t>26</w:t>
        </w:r>
        <w:r w:rsidR="00BB27AE">
          <w:rPr>
            <w:noProof/>
            <w:webHidden/>
          </w:rPr>
          <w:fldChar w:fldCharType="end"/>
        </w:r>
      </w:hyperlink>
    </w:p>
    <w:p w14:paraId="78612A9B" w14:textId="7AE9BD04" w:rsidR="00BB27AE" w:rsidRDefault="00B1706E">
      <w:pPr>
        <w:pStyle w:val="TableofFigures"/>
        <w:tabs>
          <w:tab w:val="right" w:leader="dot" w:pos="9016"/>
        </w:tabs>
        <w:rPr>
          <w:rFonts w:eastAsiaTheme="minorEastAsia"/>
          <w:noProof/>
          <w:sz w:val="22"/>
          <w:lang w:eastAsia="en-ZA"/>
        </w:rPr>
      </w:pPr>
      <w:hyperlink w:anchor="_Toc519445856" w:history="1">
        <w:r w:rsidR="00BB27AE" w:rsidRPr="00533A46">
          <w:rPr>
            <w:rStyle w:val="Hyperlink"/>
            <w:noProof/>
          </w:rPr>
          <w:t>Figure 2.2: CPI, labour and Plant indices: 2006 – 2015 (Source: Dept Public Works:2017)</w:t>
        </w:r>
        <w:r w:rsidR="00BB27AE">
          <w:rPr>
            <w:noProof/>
            <w:webHidden/>
          </w:rPr>
          <w:tab/>
        </w:r>
        <w:r w:rsidR="00BB27AE">
          <w:rPr>
            <w:noProof/>
            <w:webHidden/>
          </w:rPr>
          <w:fldChar w:fldCharType="begin"/>
        </w:r>
        <w:r w:rsidR="00BB27AE">
          <w:rPr>
            <w:noProof/>
            <w:webHidden/>
          </w:rPr>
          <w:instrText xml:space="preserve"> PAGEREF _Toc519445856 \h </w:instrText>
        </w:r>
        <w:r w:rsidR="00BB27AE">
          <w:rPr>
            <w:noProof/>
            <w:webHidden/>
          </w:rPr>
        </w:r>
        <w:r w:rsidR="00BB27AE">
          <w:rPr>
            <w:noProof/>
            <w:webHidden/>
          </w:rPr>
          <w:fldChar w:fldCharType="separate"/>
        </w:r>
        <w:r w:rsidR="009A7398">
          <w:rPr>
            <w:noProof/>
            <w:webHidden/>
          </w:rPr>
          <w:t>27</w:t>
        </w:r>
        <w:r w:rsidR="00BB27AE">
          <w:rPr>
            <w:noProof/>
            <w:webHidden/>
          </w:rPr>
          <w:fldChar w:fldCharType="end"/>
        </w:r>
      </w:hyperlink>
    </w:p>
    <w:p w14:paraId="42AC6462" w14:textId="6914790F" w:rsidR="00BB27AE" w:rsidRDefault="00B1706E">
      <w:pPr>
        <w:pStyle w:val="TableofFigures"/>
        <w:tabs>
          <w:tab w:val="right" w:leader="dot" w:pos="9016"/>
        </w:tabs>
        <w:rPr>
          <w:rFonts w:eastAsiaTheme="minorEastAsia"/>
          <w:noProof/>
          <w:sz w:val="22"/>
          <w:lang w:eastAsia="en-ZA"/>
        </w:rPr>
      </w:pPr>
      <w:hyperlink w:anchor="_Toc519445857" w:history="1">
        <w:r w:rsidR="00BB27AE" w:rsidRPr="00533A46">
          <w:rPr>
            <w:rStyle w:val="Hyperlink"/>
            <w:noProof/>
          </w:rPr>
          <w:t>Figure 3.1: Illustrated methodology followed in this study</w:t>
        </w:r>
        <w:r w:rsidR="00BB27AE">
          <w:rPr>
            <w:noProof/>
            <w:webHidden/>
          </w:rPr>
          <w:tab/>
        </w:r>
        <w:r w:rsidR="00BB27AE">
          <w:rPr>
            <w:noProof/>
            <w:webHidden/>
          </w:rPr>
          <w:fldChar w:fldCharType="begin"/>
        </w:r>
        <w:r w:rsidR="00BB27AE">
          <w:rPr>
            <w:noProof/>
            <w:webHidden/>
          </w:rPr>
          <w:instrText xml:space="preserve"> PAGEREF _Toc519445857 \h </w:instrText>
        </w:r>
        <w:r w:rsidR="00BB27AE">
          <w:rPr>
            <w:noProof/>
            <w:webHidden/>
          </w:rPr>
        </w:r>
        <w:r w:rsidR="00BB27AE">
          <w:rPr>
            <w:noProof/>
            <w:webHidden/>
          </w:rPr>
          <w:fldChar w:fldCharType="separate"/>
        </w:r>
        <w:r w:rsidR="009A7398">
          <w:rPr>
            <w:noProof/>
            <w:webHidden/>
          </w:rPr>
          <w:t>36</w:t>
        </w:r>
        <w:r w:rsidR="00BB27AE">
          <w:rPr>
            <w:noProof/>
            <w:webHidden/>
          </w:rPr>
          <w:fldChar w:fldCharType="end"/>
        </w:r>
      </w:hyperlink>
    </w:p>
    <w:p w14:paraId="3C1C1609" w14:textId="769CA069" w:rsidR="00BB27AE" w:rsidRDefault="00B1706E">
      <w:pPr>
        <w:pStyle w:val="TableofFigures"/>
        <w:tabs>
          <w:tab w:val="right" w:leader="dot" w:pos="9016"/>
        </w:tabs>
        <w:rPr>
          <w:rFonts w:eastAsiaTheme="minorEastAsia"/>
          <w:noProof/>
          <w:sz w:val="22"/>
          <w:lang w:eastAsia="en-ZA"/>
        </w:rPr>
      </w:pPr>
      <w:hyperlink w:anchor="_Toc519445861" w:history="1">
        <w:r w:rsidR="00BB27AE" w:rsidRPr="00533A46">
          <w:rPr>
            <w:rStyle w:val="Hyperlink"/>
            <w:noProof/>
          </w:rPr>
          <w:t>Figure 3.2: Illustrated method of deriving the median values from BOQ’s for different projects in a year used in this research report</w:t>
        </w:r>
        <w:r w:rsidR="00BB27AE">
          <w:rPr>
            <w:noProof/>
            <w:webHidden/>
          </w:rPr>
          <w:tab/>
        </w:r>
        <w:r w:rsidR="00BB27AE">
          <w:rPr>
            <w:noProof/>
            <w:webHidden/>
          </w:rPr>
          <w:fldChar w:fldCharType="begin"/>
        </w:r>
        <w:r w:rsidR="00BB27AE">
          <w:rPr>
            <w:noProof/>
            <w:webHidden/>
          </w:rPr>
          <w:instrText xml:space="preserve"> PAGEREF _Toc519445861 \h </w:instrText>
        </w:r>
        <w:r w:rsidR="00BB27AE">
          <w:rPr>
            <w:noProof/>
            <w:webHidden/>
          </w:rPr>
        </w:r>
        <w:r w:rsidR="00BB27AE">
          <w:rPr>
            <w:noProof/>
            <w:webHidden/>
          </w:rPr>
          <w:fldChar w:fldCharType="separate"/>
        </w:r>
        <w:r w:rsidR="009A7398">
          <w:rPr>
            <w:noProof/>
            <w:webHidden/>
          </w:rPr>
          <w:t>40</w:t>
        </w:r>
        <w:r w:rsidR="00BB27AE">
          <w:rPr>
            <w:noProof/>
            <w:webHidden/>
          </w:rPr>
          <w:fldChar w:fldCharType="end"/>
        </w:r>
      </w:hyperlink>
    </w:p>
    <w:p w14:paraId="6036F1F3" w14:textId="6E70A131" w:rsidR="00BB27AE" w:rsidRDefault="00B1706E">
      <w:pPr>
        <w:pStyle w:val="TableofFigures"/>
        <w:tabs>
          <w:tab w:val="right" w:leader="dot" w:pos="9016"/>
        </w:tabs>
        <w:rPr>
          <w:rFonts w:eastAsiaTheme="minorEastAsia"/>
          <w:noProof/>
          <w:sz w:val="22"/>
          <w:lang w:eastAsia="en-ZA"/>
        </w:rPr>
      </w:pPr>
      <w:hyperlink w:anchor="_Toc519445863" w:history="1">
        <w:r w:rsidR="00BB27AE" w:rsidRPr="00533A46">
          <w:rPr>
            <w:rStyle w:val="Hyperlink"/>
            <w:noProof/>
          </w:rPr>
          <w:t>Figure 4.1: South Africa’s annual average CPI; 2005 – 2017 (Source data: StatsSA; 2017)</w:t>
        </w:r>
        <w:r w:rsidR="00BB27AE">
          <w:rPr>
            <w:noProof/>
            <w:webHidden/>
          </w:rPr>
          <w:tab/>
        </w:r>
        <w:r w:rsidR="00BB27AE">
          <w:rPr>
            <w:noProof/>
            <w:webHidden/>
          </w:rPr>
          <w:fldChar w:fldCharType="begin"/>
        </w:r>
        <w:r w:rsidR="00BB27AE">
          <w:rPr>
            <w:noProof/>
            <w:webHidden/>
          </w:rPr>
          <w:instrText xml:space="preserve"> PAGEREF _Toc519445863 \h </w:instrText>
        </w:r>
        <w:r w:rsidR="00BB27AE">
          <w:rPr>
            <w:noProof/>
            <w:webHidden/>
          </w:rPr>
        </w:r>
        <w:r w:rsidR="00BB27AE">
          <w:rPr>
            <w:noProof/>
            <w:webHidden/>
          </w:rPr>
          <w:fldChar w:fldCharType="separate"/>
        </w:r>
        <w:r w:rsidR="009A7398">
          <w:rPr>
            <w:noProof/>
            <w:webHidden/>
          </w:rPr>
          <w:t>44</w:t>
        </w:r>
        <w:r w:rsidR="00BB27AE">
          <w:rPr>
            <w:noProof/>
            <w:webHidden/>
          </w:rPr>
          <w:fldChar w:fldCharType="end"/>
        </w:r>
      </w:hyperlink>
    </w:p>
    <w:p w14:paraId="38EDDD3D" w14:textId="74A4F53B" w:rsidR="00BB27AE" w:rsidRDefault="00B1706E">
      <w:pPr>
        <w:pStyle w:val="TableofFigures"/>
        <w:tabs>
          <w:tab w:val="right" w:leader="dot" w:pos="9016"/>
        </w:tabs>
        <w:rPr>
          <w:rFonts w:eastAsiaTheme="minorEastAsia"/>
          <w:noProof/>
          <w:sz w:val="22"/>
          <w:lang w:eastAsia="en-ZA"/>
        </w:rPr>
      </w:pPr>
      <w:hyperlink w:anchor="_Toc519445865" w:history="1">
        <w:r w:rsidR="00BB27AE" w:rsidRPr="00533A46">
          <w:rPr>
            <w:rStyle w:val="Hyperlink"/>
            <w:noProof/>
          </w:rPr>
          <w:t>Figure 4.2: Comparison of actual tendered prices for the demolition of concrete with DME and CIDB  guideline rates</w:t>
        </w:r>
        <w:r w:rsidR="00BB27AE">
          <w:rPr>
            <w:noProof/>
            <w:webHidden/>
          </w:rPr>
          <w:tab/>
        </w:r>
        <w:r w:rsidR="00BB27AE">
          <w:rPr>
            <w:noProof/>
            <w:webHidden/>
          </w:rPr>
          <w:fldChar w:fldCharType="begin"/>
        </w:r>
        <w:r w:rsidR="00BB27AE">
          <w:rPr>
            <w:noProof/>
            <w:webHidden/>
          </w:rPr>
          <w:instrText xml:space="preserve"> PAGEREF _Toc519445865 \h </w:instrText>
        </w:r>
        <w:r w:rsidR="00BB27AE">
          <w:rPr>
            <w:noProof/>
            <w:webHidden/>
          </w:rPr>
        </w:r>
        <w:r w:rsidR="00BB27AE">
          <w:rPr>
            <w:noProof/>
            <w:webHidden/>
          </w:rPr>
          <w:fldChar w:fldCharType="separate"/>
        </w:r>
        <w:r w:rsidR="009A7398">
          <w:rPr>
            <w:noProof/>
            <w:webHidden/>
          </w:rPr>
          <w:t>50</w:t>
        </w:r>
        <w:r w:rsidR="00BB27AE">
          <w:rPr>
            <w:noProof/>
            <w:webHidden/>
          </w:rPr>
          <w:fldChar w:fldCharType="end"/>
        </w:r>
      </w:hyperlink>
    </w:p>
    <w:p w14:paraId="184D4C19" w14:textId="60B5D39C" w:rsidR="00BB27AE" w:rsidRDefault="00B1706E">
      <w:pPr>
        <w:pStyle w:val="TableofFigures"/>
        <w:tabs>
          <w:tab w:val="right" w:leader="dot" w:pos="9016"/>
        </w:tabs>
        <w:rPr>
          <w:rFonts w:eastAsiaTheme="minorEastAsia"/>
          <w:noProof/>
          <w:sz w:val="22"/>
          <w:lang w:eastAsia="en-ZA"/>
        </w:rPr>
      </w:pPr>
      <w:hyperlink w:anchor="_Toc519445866" w:history="1">
        <w:r w:rsidR="00BB27AE" w:rsidRPr="00533A46">
          <w:rPr>
            <w:rStyle w:val="Hyperlink"/>
            <w:noProof/>
          </w:rPr>
          <w:t>Figure 4.3: Comparison of DME Guideline values and actual tender data. Guideline item 3: Rehabilitation of access roads</w:t>
        </w:r>
        <w:r w:rsidR="00BB27AE">
          <w:rPr>
            <w:noProof/>
            <w:webHidden/>
          </w:rPr>
          <w:tab/>
        </w:r>
        <w:r w:rsidR="00BB27AE">
          <w:rPr>
            <w:noProof/>
            <w:webHidden/>
          </w:rPr>
          <w:fldChar w:fldCharType="begin"/>
        </w:r>
        <w:r w:rsidR="00BB27AE">
          <w:rPr>
            <w:noProof/>
            <w:webHidden/>
          </w:rPr>
          <w:instrText xml:space="preserve"> PAGEREF _Toc519445866 \h </w:instrText>
        </w:r>
        <w:r w:rsidR="00BB27AE">
          <w:rPr>
            <w:noProof/>
            <w:webHidden/>
          </w:rPr>
        </w:r>
        <w:r w:rsidR="00BB27AE">
          <w:rPr>
            <w:noProof/>
            <w:webHidden/>
          </w:rPr>
          <w:fldChar w:fldCharType="separate"/>
        </w:r>
        <w:r w:rsidR="009A7398">
          <w:rPr>
            <w:noProof/>
            <w:webHidden/>
          </w:rPr>
          <w:t>51</w:t>
        </w:r>
        <w:r w:rsidR="00BB27AE">
          <w:rPr>
            <w:noProof/>
            <w:webHidden/>
          </w:rPr>
          <w:fldChar w:fldCharType="end"/>
        </w:r>
      </w:hyperlink>
    </w:p>
    <w:p w14:paraId="686D13E0" w14:textId="302FE012" w:rsidR="00BB27AE" w:rsidRDefault="00B1706E">
      <w:pPr>
        <w:pStyle w:val="TableofFigures"/>
        <w:tabs>
          <w:tab w:val="right" w:leader="dot" w:pos="9016"/>
        </w:tabs>
        <w:rPr>
          <w:rFonts w:eastAsiaTheme="minorEastAsia"/>
          <w:noProof/>
          <w:sz w:val="22"/>
          <w:lang w:eastAsia="en-ZA"/>
        </w:rPr>
      </w:pPr>
      <w:hyperlink w:anchor="_Toc519445867" w:history="1">
        <w:r w:rsidR="00BB27AE" w:rsidRPr="00533A46">
          <w:rPr>
            <w:rStyle w:val="Hyperlink"/>
            <w:noProof/>
          </w:rPr>
          <w:t>Figure 4.4: Comparison of DME guideline values and actual tender data. Guideline item 7: Backfilling of shafts</w:t>
        </w:r>
        <w:r w:rsidR="00BB27AE">
          <w:rPr>
            <w:noProof/>
            <w:webHidden/>
          </w:rPr>
          <w:tab/>
        </w:r>
        <w:r w:rsidR="00BB27AE">
          <w:rPr>
            <w:noProof/>
            <w:webHidden/>
          </w:rPr>
          <w:fldChar w:fldCharType="begin"/>
        </w:r>
        <w:r w:rsidR="00BB27AE">
          <w:rPr>
            <w:noProof/>
            <w:webHidden/>
          </w:rPr>
          <w:instrText xml:space="preserve"> PAGEREF _Toc519445867 \h </w:instrText>
        </w:r>
        <w:r w:rsidR="00BB27AE">
          <w:rPr>
            <w:noProof/>
            <w:webHidden/>
          </w:rPr>
        </w:r>
        <w:r w:rsidR="00BB27AE">
          <w:rPr>
            <w:noProof/>
            <w:webHidden/>
          </w:rPr>
          <w:fldChar w:fldCharType="separate"/>
        </w:r>
        <w:r w:rsidR="009A7398">
          <w:rPr>
            <w:noProof/>
            <w:webHidden/>
          </w:rPr>
          <w:t>52</w:t>
        </w:r>
        <w:r w:rsidR="00BB27AE">
          <w:rPr>
            <w:noProof/>
            <w:webHidden/>
          </w:rPr>
          <w:fldChar w:fldCharType="end"/>
        </w:r>
      </w:hyperlink>
    </w:p>
    <w:p w14:paraId="3BA06C71" w14:textId="74645C1D" w:rsidR="00BB27AE" w:rsidRDefault="00B1706E">
      <w:pPr>
        <w:pStyle w:val="TableofFigures"/>
        <w:tabs>
          <w:tab w:val="right" w:leader="dot" w:pos="9016"/>
        </w:tabs>
        <w:rPr>
          <w:rFonts w:eastAsiaTheme="minorEastAsia"/>
          <w:noProof/>
          <w:sz w:val="22"/>
          <w:lang w:eastAsia="en-ZA"/>
        </w:rPr>
      </w:pPr>
      <w:hyperlink w:anchor="_Toc519445868" w:history="1">
        <w:r w:rsidR="00BB27AE" w:rsidRPr="00533A46">
          <w:rPr>
            <w:rStyle w:val="Hyperlink"/>
            <w:noProof/>
          </w:rPr>
          <w:t>Figure 4.5: Comparison of DME Guideline values and actual tender data. Guideline item 7: Backfilling of incline shafts</w:t>
        </w:r>
        <w:r w:rsidR="00BB27AE">
          <w:rPr>
            <w:noProof/>
            <w:webHidden/>
          </w:rPr>
          <w:tab/>
        </w:r>
        <w:r w:rsidR="00BB27AE">
          <w:rPr>
            <w:noProof/>
            <w:webHidden/>
          </w:rPr>
          <w:fldChar w:fldCharType="begin"/>
        </w:r>
        <w:r w:rsidR="00BB27AE">
          <w:rPr>
            <w:noProof/>
            <w:webHidden/>
          </w:rPr>
          <w:instrText xml:space="preserve"> PAGEREF _Toc519445868 \h </w:instrText>
        </w:r>
        <w:r w:rsidR="00BB27AE">
          <w:rPr>
            <w:noProof/>
            <w:webHidden/>
          </w:rPr>
        </w:r>
        <w:r w:rsidR="00BB27AE">
          <w:rPr>
            <w:noProof/>
            <w:webHidden/>
          </w:rPr>
          <w:fldChar w:fldCharType="separate"/>
        </w:r>
        <w:r w:rsidR="009A7398">
          <w:rPr>
            <w:noProof/>
            <w:webHidden/>
          </w:rPr>
          <w:t>53</w:t>
        </w:r>
        <w:r w:rsidR="00BB27AE">
          <w:rPr>
            <w:noProof/>
            <w:webHidden/>
          </w:rPr>
          <w:fldChar w:fldCharType="end"/>
        </w:r>
      </w:hyperlink>
    </w:p>
    <w:p w14:paraId="146CEC64" w14:textId="4A06DB16" w:rsidR="00BB27AE" w:rsidRDefault="00B1706E">
      <w:pPr>
        <w:pStyle w:val="TableofFigures"/>
        <w:tabs>
          <w:tab w:val="right" w:leader="dot" w:pos="9016"/>
        </w:tabs>
        <w:rPr>
          <w:rFonts w:eastAsiaTheme="minorEastAsia"/>
          <w:noProof/>
          <w:sz w:val="22"/>
          <w:lang w:eastAsia="en-ZA"/>
        </w:rPr>
      </w:pPr>
      <w:hyperlink w:anchor="_Toc519445869" w:history="1">
        <w:r w:rsidR="00BB27AE" w:rsidRPr="00533A46">
          <w:rPr>
            <w:rStyle w:val="Hyperlink"/>
            <w:noProof/>
          </w:rPr>
          <w:t>Figure 4.6: Comparison of DME guideline values and actual tender data. Guideline item 8C (a)  Slope modification</w:t>
        </w:r>
        <w:r w:rsidR="00BB27AE">
          <w:rPr>
            <w:noProof/>
            <w:webHidden/>
          </w:rPr>
          <w:tab/>
        </w:r>
        <w:r w:rsidR="00BB27AE">
          <w:rPr>
            <w:noProof/>
            <w:webHidden/>
          </w:rPr>
          <w:fldChar w:fldCharType="begin"/>
        </w:r>
        <w:r w:rsidR="00BB27AE">
          <w:rPr>
            <w:noProof/>
            <w:webHidden/>
          </w:rPr>
          <w:instrText xml:space="preserve"> PAGEREF _Toc519445869 \h </w:instrText>
        </w:r>
        <w:r w:rsidR="00BB27AE">
          <w:rPr>
            <w:noProof/>
            <w:webHidden/>
          </w:rPr>
        </w:r>
        <w:r w:rsidR="00BB27AE">
          <w:rPr>
            <w:noProof/>
            <w:webHidden/>
          </w:rPr>
          <w:fldChar w:fldCharType="separate"/>
        </w:r>
        <w:r w:rsidR="009A7398">
          <w:rPr>
            <w:noProof/>
            <w:webHidden/>
          </w:rPr>
          <w:t>54</w:t>
        </w:r>
        <w:r w:rsidR="00BB27AE">
          <w:rPr>
            <w:noProof/>
            <w:webHidden/>
          </w:rPr>
          <w:fldChar w:fldCharType="end"/>
        </w:r>
      </w:hyperlink>
    </w:p>
    <w:p w14:paraId="31B57ACA" w14:textId="1A7A7043" w:rsidR="00BB27AE" w:rsidRDefault="00B1706E">
      <w:pPr>
        <w:pStyle w:val="TableofFigures"/>
        <w:tabs>
          <w:tab w:val="right" w:leader="dot" w:pos="9016"/>
        </w:tabs>
        <w:rPr>
          <w:rFonts w:eastAsiaTheme="minorEastAsia"/>
          <w:noProof/>
          <w:sz w:val="22"/>
          <w:lang w:eastAsia="en-ZA"/>
        </w:rPr>
      </w:pPr>
      <w:hyperlink w:anchor="_Toc519445870" w:history="1">
        <w:r w:rsidR="00BB27AE" w:rsidRPr="00533A46">
          <w:rPr>
            <w:rStyle w:val="Hyperlink"/>
            <w:noProof/>
          </w:rPr>
          <w:t>Figure 4.7: Comparison of DME guideline values and actual tender data. Guideline item 8C (b) Shaping</w:t>
        </w:r>
        <w:r w:rsidR="00BB27AE">
          <w:rPr>
            <w:noProof/>
            <w:webHidden/>
          </w:rPr>
          <w:tab/>
        </w:r>
        <w:r w:rsidR="00BB27AE">
          <w:rPr>
            <w:noProof/>
            <w:webHidden/>
          </w:rPr>
          <w:fldChar w:fldCharType="begin"/>
        </w:r>
        <w:r w:rsidR="00BB27AE">
          <w:rPr>
            <w:noProof/>
            <w:webHidden/>
          </w:rPr>
          <w:instrText xml:space="preserve"> PAGEREF _Toc519445870 \h </w:instrText>
        </w:r>
        <w:r w:rsidR="00BB27AE">
          <w:rPr>
            <w:noProof/>
            <w:webHidden/>
          </w:rPr>
        </w:r>
        <w:r w:rsidR="00BB27AE">
          <w:rPr>
            <w:noProof/>
            <w:webHidden/>
          </w:rPr>
          <w:fldChar w:fldCharType="separate"/>
        </w:r>
        <w:r w:rsidR="009A7398">
          <w:rPr>
            <w:noProof/>
            <w:webHidden/>
          </w:rPr>
          <w:t>55</w:t>
        </w:r>
        <w:r w:rsidR="00BB27AE">
          <w:rPr>
            <w:noProof/>
            <w:webHidden/>
          </w:rPr>
          <w:fldChar w:fldCharType="end"/>
        </w:r>
      </w:hyperlink>
    </w:p>
    <w:p w14:paraId="1A3475A5" w14:textId="11FAAFDB" w:rsidR="00BB27AE" w:rsidRDefault="00B1706E">
      <w:pPr>
        <w:pStyle w:val="TableofFigures"/>
        <w:tabs>
          <w:tab w:val="right" w:leader="dot" w:pos="9016"/>
        </w:tabs>
        <w:rPr>
          <w:rFonts w:eastAsiaTheme="minorEastAsia"/>
          <w:noProof/>
          <w:sz w:val="22"/>
          <w:lang w:eastAsia="en-ZA"/>
        </w:rPr>
      </w:pPr>
      <w:hyperlink w:anchor="_Toc519445871" w:history="1">
        <w:r w:rsidR="00BB27AE" w:rsidRPr="00533A46">
          <w:rPr>
            <w:rStyle w:val="Hyperlink"/>
            <w:noProof/>
          </w:rPr>
          <w:t>Figure 4.8: Comparison of DME guideline values and actual tender data. Guideline item 8C (c)  Covering: Armour</w:t>
        </w:r>
        <w:r w:rsidR="00BB27AE">
          <w:rPr>
            <w:noProof/>
            <w:webHidden/>
          </w:rPr>
          <w:tab/>
        </w:r>
        <w:r w:rsidR="00BB27AE">
          <w:rPr>
            <w:noProof/>
            <w:webHidden/>
          </w:rPr>
          <w:fldChar w:fldCharType="begin"/>
        </w:r>
        <w:r w:rsidR="00BB27AE">
          <w:rPr>
            <w:noProof/>
            <w:webHidden/>
          </w:rPr>
          <w:instrText xml:space="preserve"> PAGEREF _Toc519445871 \h </w:instrText>
        </w:r>
        <w:r w:rsidR="00BB27AE">
          <w:rPr>
            <w:noProof/>
            <w:webHidden/>
          </w:rPr>
        </w:r>
        <w:r w:rsidR="00BB27AE">
          <w:rPr>
            <w:noProof/>
            <w:webHidden/>
          </w:rPr>
          <w:fldChar w:fldCharType="separate"/>
        </w:r>
        <w:r w:rsidR="009A7398">
          <w:rPr>
            <w:noProof/>
            <w:webHidden/>
          </w:rPr>
          <w:t>56</w:t>
        </w:r>
        <w:r w:rsidR="00BB27AE">
          <w:rPr>
            <w:noProof/>
            <w:webHidden/>
          </w:rPr>
          <w:fldChar w:fldCharType="end"/>
        </w:r>
      </w:hyperlink>
    </w:p>
    <w:p w14:paraId="699201BF" w14:textId="7BC0D9D2" w:rsidR="00BB27AE" w:rsidRDefault="00B1706E">
      <w:pPr>
        <w:pStyle w:val="TableofFigures"/>
        <w:tabs>
          <w:tab w:val="right" w:leader="dot" w:pos="9016"/>
        </w:tabs>
        <w:rPr>
          <w:rFonts w:eastAsiaTheme="minorEastAsia"/>
          <w:noProof/>
          <w:sz w:val="22"/>
          <w:lang w:eastAsia="en-ZA"/>
        </w:rPr>
      </w:pPr>
      <w:hyperlink w:anchor="_Toc519445872" w:history="1">
        <w:r w:rsidR="00BB27AE" w:rsidRPr="00533A46">
          <w:rPr>
            <w:rStyle w:val="Hyperlink"/>
            <w:noProof/>
          </w:rPr>
          <w:t>Figure 4.9: Comparison of DME guideline values and actual tender data. Guideline item 8C (d)  Covering: Evaporative</w:t>
        </w:r>
        <w:r w:rsidR="00BB27AE">
          <w:rPr>
            <w:noProof/>
            <w:webHidden/>
          </w:rPr>
          <w:tab/>
        </w:r>
        <w:r w:rsidR="00BB27AE">
          <w:rPr>
            <w:noProof/>
            <w:webHidden/>
          </w:rPr>
          <w:fldChar w:fldCharType="begin"/>
        </w:r>
        <w:r w:rsidR="00BB27AE">
          <w:rPr>
            <w:noProof/>
            <w:webHidden/>
          </w:rPr>
          <w:instrText xml:space="preserve"> PAGEREF _Toc519445872 \h </w:instrText>
        </w:r>
        <w:r w:rsidR="00BB27AE">
          <w:rPr>
            <w:noProof/>
            <w:webHidden/>
          </w:rPr>
        </w:r>
        <w:r w:rsidR="00BB27AE">
          <w:rPr>
            <w:noProof/>
            <w:webHidden/>
          </w:rPr>
          <w:fldChar w:fldCharType="separate"/>
        </w:r>
        <w:r w:rsidR="009A7398">
          <w:rPr>
            <w:noProof/>
            <w:webHidden/>
          </w:rPr>
          <w:t>57</w:t>
        </w:r>
        <w:r w:rsidR="00BB27AE">
          <w:rPr>
            <w:noProof/>
            <w:webHidden/>
          </w:rPr>
          <w:fldChar w:fldCharType="end"/>
        </w:r>
      </w:hyperlink>
    </w:p>
    <w:p w14:paraId="2159EF2E" w14:textId="6555877F" w:rsidR="00BB27AE" w:rsidRDefault="00B1706E">
      <w:pPr>
        <w:pStyle w:val="TableofFigures"/>
        <w:tabs>
          <w:tab w:val="right" w:leader="dot" w:pos="9016"/>
        </w:tabs>
        <w:rPr>
          <w:rFonts w:eastAsiaTheme="minorEastAsia"/>
          <w:noProof/>
          <w:sz w:val="22"/>
          <w:lang w:eastAsia="en-ZA"/>
        </w:rPr>
      </w:pPr>
      <w:hyperlink w:anchor="_Toc519445873" w:history="1">
        <w:r w:rsidR="00BB27AE" w:rsidRPr="00533A46">
          <w:rPr>
            <w:rStyle w:val="Hyperlink"/>
            <w:noProof/>
          </w:rPr>
          <w:t>Figure 4.10: Comparison of DME guideline values and actual tender data. Guideline item 8C (e) Grassing &amp; vegetation</w:t>
        </w:r>
        <w:r w:rsidR="00BB27AE">
          <w:rPr>
            <w:noProof/>
            <w:webHidden/>
          </w:rPr>
          <w:tab/>
        </w:r>
        <w:r w:rsidR="00BB27AE">
          <w:rPr>
            <w:noProof/>
            <w:webHidden/>
          </w:rPr>
          <w:fldChar w:fldCharType="begin"/>
        </w:r>
        <w:r w:rsidR="00BB27AE">
          <w:rPr>
            <w:noProof/>
            <w:webHidden/>
          </w:rPr>
          <w:instrText xml:space="preserve"> PAGEREF _Toc519445873 \h </w:instrText>
        </w:r>
        <w:r w:rsidR="00BB27AE">
          <w:rPr>
            <w:noProof/>
            <w:webHidden/>
          </w:rPr>
        </w:r>
        <w:r w:rsidR="00BB27AE">
          <w:rPr>
            <w:noProof/>
            <w:webHidden/>
          </w:rPr>
          <w:fldChar w:fldCharType="separate"/>
        </w:r>
        <w:r w:rsidR="009A7398">
          <w:rPr>
            <w:noProof/>
            <w:webHidden/>
          </w:rPr>
          <w:t>58</w:t>
        </w:r>
        <w:r w:rsidR="00BB27AE">
          <w:rPr>
            <w:noProof/>
            <w:webHidden/>
          </w:rPr>
          <w:fldChar w:fldCharType="end"/>
        </w:r>
      </w:hyperlink>
    </w:p>
    <w:p w14:paraId="123975AE" w14:textId="7E7AA3D1" w:rsidR="00BB27AE" w:rsidRDefault="00B1706E">
      <w:pPr>
        <w:pStyle w:val="TableofFigures"/>
        <w:tabs>
          <w:tab w:val="right" w:leader="dot" w:pos="9016"/>
        </w:tabs>
        <w:rPr>
          <w:rFonts w:eastAsiaTheme="minorEastAsia"/>
          <w:noProof/>
          <w:sz w:val="22"/>
          <w:lang w:eastAsia="en-ZA"/>
        </w:rPr>
      </w:pPr>
      <w:hyperlink w:anchor="_Toc519445874" w:history="1">
        <w:r w:rsidR="00BB27AE" w:rsidRPr="00533A46">
          <w:rPr>
            <w:rStyle w:val="Hyperlink"/>
            <w:noProof/>
          </w:rPr>
          <w:t>Figure 4.11: Comparison of DME guideline values and actual tender data. Guideline item 8C (f) Aggregate</w:t>
        </w:r>
        <w:r w:rsidR="00BB27AE">
          <w:rPr>
            <w:noProof/>
            <w:webHidden/>
          </w:rPr>
          <w:tab/>
        </w:r>
        <w:r w:rsidR="00BB27AE">
          <w:rPr>
            <w:noProof/>
            <w:webHidden/>
          </w:rPr>
          <w:fldChar w:fldCharType="begin"/>
        </w:r>
        <w:r w:rsidR="00BB27AE">
          <w:rPr>
            <w:noProof/>
            <w:webHidden/>
          </w:rPr>
          <w:instrText xml:space="preserve"> PAGEREF _Toc519445874 \h </w:instrText>
        </w:r>
        <w:r w:rsidR="00BB27AE">
          <w:rPr>
            <w:noProof/>
            <w:webHidden/>
          </w:rPr>
        </w:r>
        <w:r w:rsidR="00BB27AE">
          <w:rPr>
            <w:noProof/>
            <w:webHidden/>
          </w:rPr>
          <w:fldChar w:fldCharType="separate"/>
        </w:r>
        <w:r w:rsidR="009A7398">
          <w:rPr>
            <w:noProof/>
            <w:webHidden/>
          </w:rPr>
          <w:t>59</w:t>
        </w:r>
        <w:r w:rsidR="00BB27AE">
          <w:rPr>
            <w:noProof/>
            <w:webHidden/>
          </w:rPr>
          <w:fldChar w:fldCharType="end"/>
        </w:r>
      </w:hyperlink>
    </w:p>
    <w:p w14:paraId="41645001" w14:textId="1DC846F5" w:rsidR="00BB27AE" w:rsidRDefault="00B1706E">
      <w:pPr>
        <w:pStyle w:val="TableofFigures"/>
        <w:tabs>
          <w:tab w:val="right" w:leader="dot" w:pos="9016"/>
        </w:tabs>
        <w:rPr>
          <w:rFonts w:eastAsiaTheme="minorEastAsia"/>
          <w:noProof/>
          <w:sz w:val="22"/>
          <w:lang w:eastAsia="en-ZA"/>
        </w:rPr>
      </w:pPr>
      <w:hyperlink w:anchor="_Toc519445875" w:history="1">
        <w:r w:rsidR="00BB27AE" w:rsidRPr="00533A46">
          <w:rPr>
            <w:rStyle w:val="Hyperlink"/>
            <w:noProof/>
          </w:rPr>
          <w:t>Figure 4.12: Comparison of DME guideline values and actual tender data. Guideline item 8C (g) Geotextile</w:t>
        </w:r>
        <w:r w:rsidR="00BB27AE">
          <w:rPr>
            <w:noProof/>
            <w:webHidden/>
          </w:rPr>
          <w:tab/>
        </w:r>
        <w:r w:rsidR="00BB27AE">
          <w:rPr>
            <w:noProof/>
            <w:webHidden/>
          </w:rPr>
          <w:fldChar w:fldCharType="begin"/>
        </w:r>
        <w:r w:rsidR="00BB27AE">
          <w:rPr>
            <w:noProof/>
            <w:webHidden/>
          </w:rPr>
          <w:instrText xml:space="preserve"> PAGEREF _Toc519445875 \h </w:instrText>
        </w:r>
        <w:r w:rsidR="00BB27AE">
          <w:rPr>
            <w:noProof/>
            <w:webHidden/>
          </w:rPr>
        </w:r>
        <w:r w:rsidR="00BB27AE">
          <w:rPr>
            <w:noProof/>
            <w:webHidden/>
          </w:rPr>
          <w:fldChar w:fldCharType="separate"/>
        </w:r>
        <w:r w:rsidR="009A7398">
          <w:rPr>
            <w:noProof/>
            <w:webHidden/>
          </w:rPr>
          <w:t>60</w:t>
        </w:r>
        <w:r w:rsidR="00BB27AE">
          <w:rPr>
            <w:noProof/>
            <w:webHidden/>
          </w:rPr>
          <w:fldChar w:fldCharType="end"/>
        </w:r>
      </w:hyperlink>
    </w:p>
    <w:p w14:paraId="405E0E41" w14:textId="299CB9F6" w:rsidR="00BB27AE" w:rsidRDefault="00B1706E">
      <w:pPr>
        <w:pStyle w:val="TableofFigures"/>
        <w:tabs>
          <w:tab w:val="right" w:leader="dot" w:pos="9016"/>
        </w:tabs>
        <w:rPr>
          <w:rFonts w:eastAsiaTheme="minorEastAsia"/>
          <w:noProof/>
          <w:sz w:val="22"/>
          <w:lang w:eastAsia="en-ZA"/>
        </w:rPr>
      </w:pPr>
      <w:hyperlink w:anchor="_Toc519445876" w:history="1">
        <w:r w:rsidR="00BB27AE" w:rsidRPr="00533A46">
          <w:rPr>
            <w:rStyle w:val="Hyperlink"/>
            <w:noProof/>
          </w:rPr>
          <w:t>Figure 4.13: Comparison of DME guideline values and actual tender data. Guideline item 10 General surface rehabilitation and grassing</w:t>
        </w:r>
        <w:r w:rsidR="00BB27AE">
          <w:rPr>
            <w:noProof/>
            <w:webHidden/>
          </w:rPr>
          <w:tab/>
        </w:r>
        <w:r w:rsidR="00BB27AE">
          <w:rPr>
            <w:noProof/>
            <w:webHidden/>
          </w:rPr>
          <w:fldChar w:fldCharType="begin"/>
        </w:r>
        <w:r w:rsidR="00BB27AE">
          <w:rPr>
            <w:noProof/>
            <w:webHidden/>
          </w:rPr>
          <w:instrText xml:space="preserve"> PAGEREF _Toc519445876 \h </w:instrText>
        </w:r>
        <w:r w:rsidR="00BB27AE">
          <w:rPr>
            <w:noProof/>
            <w:webHidden/>
          </w:rPr>
        </w:r>
        <w:r w:rsidR="00BB27AE">
          <w:rPr>
            <w:noProof/>
            <w:webHidden/>
          </w:rPr>
          <w:fldChar w:fldCharType="separate"/>
        </w:r>
        <w:r w:rsidR="009A7398">
          <w:rPr>
            <w:noProof/>
            <w:webHidden/>
          </w:rPr>
          <w:t>61</w:t>
        </w:r>
        <w:r w:rsidR="00BB27AE">
          <w:rPr>
            <w:noProof/>
            <w:webHidden/>
          </w:rPr>
          <w:fldChar w:fldCharType="end"/>
        </w:r>
      </w:hyperlink>
    </w:p>
    <w:p w14:paraId="7355AFEC" w14:textId="17D6EDD7" w:rsidR="00BB27AE" w:rsidRDefault="00B1706E">
      <w:pPr>
        <w:pStyle w:val="TableofFigures"/>
        <w:tabs>
          <w:tab w:val="right" w:leader="dot" w:pos="9016"/>
        </w:tabs>
        <w:rPr>
          <w:rFonts w:eastAsiaTheme="minorEastAsia"/>
          <w:noProof/>
          <w:sz w:val="22"/>
          <w:lang w:eastAsia="en-ZA"/>
        </w:rPr>
      </w:pPr>
      <w:hyperlink w:anchor="_Toc519445877" w:history="1">
        <w:r w:rsidR="00BB27AE" w:rsidRPr="00533A46">
          <w:rPr>
            <w:rStyle w:val="Hyperlink"/>
            <w:noProof/>
          </w:rPr>
          <w:t>Figure 4.14: Comparison of DME guideline values and actual tender data. Guideline item 12 Fencing</w:t>
        </w:r>
        <w:r w:rsidR="00BB27AE">
          <w:rPr>
            <w:noProof/>
            <w:webHidden/>
          </w:rPr>
          <w:tab/>
        </w:r>
        <w:r w:rsidR="00BB27AE">
          <w:rPr>
            <w:noProof/>
            <w:webHidden/>
          </w:rPr>
          <w:fldChar w:fldCharType="begin"/>
        </w:r>
        <w:r w:rsidR="00BB27AE">
          <w:rPr>
            <w:noProof/>
            <w:webHidden/>
          </w:rPr>
          <w:instrText xml:space="preserve"> PAGEREF _Toc519445877 \h </w:instrText>
        </w:r>
        <w:r w:rsidR="00BB27AE">
          <w:rPr>
            <w:noProof/>
            <w:webHidden/>
          </w:rPr>
        </w:r>
        <w:r w:rsidR="00BB27AE">
          <w:rPr>
            <w:noProof/>
            <w:webHidden/>
          </w:rPr>
          <w:fldChar w:fldCharType="separate"/>
        </w:r>
        <w:r w:rsidR="009A7398">
          <w:rPr>
            <w:noProof/>
            <w:webHidden/>
          </w:rPr>
          <w:t>62</w:t>
        </w:r>
        <w:r w:rsidR="00BB27AE">
          <w:rPr>
            <w:noProof/>
            <w:webHidden/>
          </w:rPr>
          <w:fldChar w:fldCharType="end"/>
        </w:r>
      </w:hyperlink>
    </w:p>
    <w:p w14:paraId="09C8076C" w14:textId="050DE618" w:rsidR="00BB27AE" w:rsidRDefault="00B1706E">
      <w:pPr>
        <w:pStyle w:val="TableofFigures"/>
        <w:tabs>
          <w:tab w:val="right" w:leader="dot" w:pos="9016"/>
        </w:tabs>
        <w:rPr>
          <w:rFonts w:eastAsiaTheme="minorEastAsia"/>
          <w:noProof/>
          <w:sz w:val="22"/>
          <w:lang w:eastAsia="en-ZA"/>
        </w:rPr>
      </w:pPr>
      <w:hyperlink w:anchor="_Toc519445879" w:history="1">
        <w:r w:rsidR="00BB27AE" w:rsidRPr="00533A46">
          <w:rPr>
            <w:rStyle w:val="Hyperlink"/>
            <w:noProof/>
          </w:rPr>
          <w:t>Figure 4.15: Median project values over the period from 2014 – 2016 with the percentages attributable to preliminary and general and site supervision costs</w:t>
        </w:r>
        <w:r w:rsidR="00BB27AE">
          <w:rPr>
            <w:noProof/>
            <w:webHidden/>
          </w:rPr>
          <w:tab/>
        </w:r>
        <w:r w:rsidR="00BB27AE">
          <w:rPr>
            <w:noProof/>
            <w:webHidden/>
          </w:rPr>
          <w:fldChar w:fldCharType="begin"/>
        </w:r>
        <w:r w:rsidR="00BB27AE">
          <w:rPr>
            <w:noProof/>
            <w:webHidden/>
          </w:rPr>
          <w:instrText xml:space="preserve"> PAGEREF _Toc519445879 \h </w:instrText>
        </w:r>
        <w:r w:rsidR="00BB27AE">
          <w:rPr>
            <w:noProof/>
            <w:webHidden/>
          </w:rPr>
        </w:r>
        <w:r w:rsidR="00BB27AE">
          <w:rPr>
            <w:noProof/>
            <w:webHidden/>
          </w:rPr>
          <w:fldChar w:fldCharType="separate"/>
        </w:r>
        <w:r w:rsidR="009A7398">
          <w:rPr>
            <w:noProof/>
            <w:webHidden/>
          </w:rPr>
          <w:t>64</w:t>
        </w:r>
        <w:r w:rsidR="00BB27AE">
          <w:rPr>
            <w:noProof/>
            <w:webHidden/>
          </w:rPr>
          <w:fldChar w:fldCharType="end"/>
        </w:r>
      </w:hyperlink>
    </w:p>
    <w:p w14:paraId="59D1756D" w14:textId="540B6A73" w:rsidR="00BB27AE" w:rsidRDefault="00B1706E">
      <w:pPr>
        <w:pStyle w:val="TableofFigures"/>
        <w:tabs>
          <w:tab w:val="right" w:leader="dot" w:pos="9016"/>
        </w:tabs>
        <w:rPr>
          <w:rFonts w:eastAsiaTheme="minorEastAsia"/>
          <w:noProof/>
          <w:sz w:val="22"/>
          <w:lang w:eastAsia="en-ZA"/>
        </w:rPr>
      </w:pPr>
      <w:hyperlink w:anchor="_Toc519445880" w:history="1">
        <w:r w:rsidR="00BB27AE" w:rsidRPr="00533A46">
          <w:rPr>
            <w:rStyle w:val="Hyperlink"/>
            <w:noProof/>
          </w:rPr>
          <w:t>Figure 4.16: Correlation between average tender costs and preliminary and general costs</w:t>
        </w:r>
        <w:r w:rsidR="00BB27AE">
          <w:rPr>
            <w:noProof/>
            <w:webHidden/>
          </w:rPr>
          <w:tab/>
        </w:r>
        <w:r w:rsidR="00BB27AE">
          <w:rPr>
            <w:noProof/>
            <w:webHidden/>
          </w:rPr>
          <w:fldChar w:fldCharType="begin"/>
        </w:r>
        <w:r w:rsidR="00BB27AE">
          <w:rPr>
            <w:noProof/>
            <w:webHidden/>
          </w:rPr>
          <w:instrText xml:space="preserve"> PAGEREF _Toc519445880 \h </w:instrText>
        </w:r>
        <w:r w:rsidR="00BB27AE">
          <w:rPr>
            <w:noProof/>
            <w:webHidden/>
          </w:rPr>
        </w:r>
        <w:r w:rsidR="00BB27AE">
          <w:rPr>
            <w:noProof/>
            <w:webHidden/>
          </w:rPr>
          <w:fldChar w:fldCharType="separate"/>
        </w:r>
        <w:r w:rsidR="009A7398">
          <w:rPr>
            <w:noProof/>
            <w:webHidden/>
          </w:rPr>
          <w:t>65</w:t>
        </w:r>
        <w:r w:rsidR="00BB27AE">
          <w:rPr>
            <w:noProof/>
            <w:webHidden/>
          </w:rPr>
          <w:fldChar w:fldCharType="end"/>
        </w:r>
      </w:hyperlink>
    </w:p>
    <w:p w14:paraId="4061A983" w14:textId="642A0422" w:rsidR="00BB27AE" w:rsidRDefault="00B1706E">
      <w:pPr>
        <w:pStyle w:val="TableofFigures"/>
        <w:tabs>
          <w:tab w:val="right" w:leader="dot" w:pos="9016"/>
        </w:tabs>
        <w:rPr>
          <w:rFonts w:eastAsiaTheme="minorEastAsia"/>
          <w:noProof/>
          <w:sz w:val="22"/>
          <w:lang w:eastAsia="en-ZA"/>
        </w:rPr>
      </w:pPr>
      <w:hyperlink w:anchor="_Toc519445882" w:history="1">
        <w:r w:rsidR="00BB27AE" w:rsidRPr="00533A46">
          <w:rPr>
            <w:rStyle w:val="Hyperlink"/>
            <w:noProof/>
          </w:rPr>
          <w:t>Figure 7.1 Comparison of total awarded project cost with engineer’s estimate and average of all bids submitted for selected projects</w:t>
        </w:r>
        <w:r w:rsidR="00BB27AE">
          <w:rPr>
            <w:noProof/>
            <w:webHidden/>
          </w:rPr>
          <w:tab/>
        </w:r>
        <w:r w:rsidR="00BB27AE">
          <w:rPr>
            <w:noProof/>
            <w:webHidden/>
          </w:rPr>
          <w:fldChar w:fldCharType="begin"/>
        </w:r>
        <w:r w:rsidR="00BB27AE">
          <w:rPr>
            <w:noProof/>
            <w:webHidden/>
          </w:rPr>
          <w:instrText xml:space="preserve"> PAGEREF _Toc519445882 \h </w:instrText>
        </w:r>
        <w:r w:rsidR="00BB27AE">
          <w:rPr>
            <w:noProof/>
            <w:webHidden/>
          </w:rPr>
        </w:r>
        <w:r w:rsidR="00BB27AE">
          <w:rPr>
            <w:noProof/>
            <w:webHidden/>
          </w:rPr>
          <w:fldChar w:fldCharType="separate"/>
        </w:r>
        <w:r w:rsidR="009A7398">
          <w:rPr>
            <w:noProof/>
            <w:webHidden/>
          </w:rPr>
          <w:t>75</w:t>
        </w:r>
        <w:r w:rsidR="00BB27AE">
          <w:rPr>
            <w:noProof/>
            <w:webHidden/>
          </w:rPr>
          <w:fldChar w:fldCharType="end"/>
        </w:r>
      </w:hyperlink>
    </w:p>
    <w:p w14:paraId="7DB0D509" w14:textId="4098DAE2" w:rsidR="00BB27AE" w:rsidRDefault="00B1706E">
      <w:pPr>
        <w:pStyle w:val="TableofFigures"/>
        <w:tabs>
          <w:tab w:val="right" w:leader="dot" w:pos="9016"/>
        </w:tabs>
        <w:rPr>
          <w:rFonts w:eastAsiaTheme="minorEastAsia"/>
          <w:noProof/>
          <w:sz w:val="22"/>
          <w:lang w:eastAsia="en-ZA"/>
        </w:rPr>
      </w:pPr>
      <w:hyperlink w:anchor="_Toc519445883" w:history="1">
        <w:r w:rsidR="00BB27AE" w:rsidRPr="00533A46">
          <w:rPr>
            <w:rStyle w:val="Hyperlink"/>
            <w:noProof/>
          </w:rPr>
          <w:t>Figure A-3.1: Typical cross-section of access road rehabilitation details as specified in modern asbestos rehabilitation projects (Source: Mintek)</w:t>
        </w:r>
        <w:r w:rsidR="00BB27AE">
          <w:rPr>
            <w:noProof/>
            <w:webHidden/>
          </w:rPr>
          <w:tab/>
        </w:r>
        <w:r w:rsidR="00BB27AE">
          <w:rPr>
            <w:noProof/>
            <w:webHidden/>
          </w:rPr>
          <w:fldChar w:fldCharType="begin"/>
        </w:r>
        <w:r w:rsidR="00BB27AE">
          <w:rPr>
            <w:noProof/>
            <w:webHidden/>
          </w:rPr>
          <w:instrText xml:space="preserve"> PAGEREF _Toc519445883 \h </w:instrText>
        </w:r>
        <w:r w:rsidR="00BB27AE">
          <w:rPr>
            <w:noProof/>
            <w:webHidden/>
          </w:rPr>
        </w:r>
        <w:r w:rsidR="00BB27AE">
          <w:rPr>
            <w:noProof/>
            <w:webHidden/>
          </w:rPr>
          <w:fldChar w:fldCharType="separate"/>
        </w:r>
        <w:r w:rsidR="009A7398">
          <w:rPr>
            <w:noProof/>
            <w:webHidden/>
          </w:rPr>
          <w:t>90</w:t>
        </w:r>
        <w:r w:rsidR="00BB27AE">
          <w:rPr>
            <w:noProof/>
            <w:webHidden/>
          </w:rPr>
          <w:fldChar w:fldCharType="end"/>
        </w:r>
      </w:hyperlink>
    </w:p>
    <w:p w14:paraId="03E9C14B" w14:textId="5D036818" w:rsidR="00BB27AE" w:rsidRDefault="00B1706E">
      <w:pPr>
        <w:pStyle w:val="TableofFigures"/>
        <w:tabs>
          <w:tab w:val="right" w:leader="dot" w:pos="9016"/>
        </w:tabs>
        <w:rPr>
          <w:rFonts w:eastAsiaTheme="minorEastAsia"/>
          <w:noProof/>
          <w:sz w:val="22"/>
          <w:lang w:eastAsia="en-ZA"/>
        </w:rPr>
      </w:pPr>
      <w:hyperlink w:anchor="_Toc519445884" w:history="1">
        <w:r w:rsidR="00BB27AE" w:rsidRPr="00533A46">
          <w:rPr>
            <w:rStyle w:val="Hyperlink"/>
            <w:noProof/>
          </w:rPr>
          <w:t>Figure A-3.2:  Adits are small, usually hand-dug inclined or horizontal entrances to asbestos seams that are found on most project sites (Source: Author)</w:t>
        </w:r>
        <w:r w:rsidR="00BB27AE">
          <w:rPr>
            <w:noProof/>
            <w:webHidden/>
          </w:rPr>
          <w:tab/>
        </w:r>
        <w:r w:rsidR="00BB27AE">
          <w:rPr>
            <w:noProof/>
            <w:webHidden/>
          </w:rPr>
          <w:fldChar w:fldCharType="begin"/>
        </w:r>
        <w:r w:rsidR="00BB27AE">
          <w:rPr>
            <w:noProof/>
            <w:webHidden/>
          </w:rPr>
          <w:instrText xml:space="preserve"> PAGEREF _Toc519445884 \h </w:instrText>
        </w:r>
        <w:r w:rsidR="00BB27AE">
          <w:rPr>
            <w:noProof/>
            <w:webHidden/>
          </w:rPr>
        </w:r>
        <w:r w:rsidR="00BB27AE">
          <w:rPr>
            <w:noProof/>
            <w:webHidden/>
          </w:rPr>
          <w:fldChar w:fldCharType="separate"/>
        </w:r>
        <w:r w:rsidR="009A7398">
          <w:rPr>
            <w:noProof/>
            <w:webHidden/>
          </w:rPr>
          <w:t>90</w:t>
        </w:r>
        <w:r w:rsidR="00BB27AE">
          <w:rPr>
            <w:noProof/>
            <w:webHidden/>
          </w:rPr>
          <w:fldChar w:fldCharType="end"/>
        </w:r>
      </w:hyperlink>
    </w:p>
    <w:p w14:paraId="39A91A03" w14:textId="47F4DF47" w:rsidR="00BB27AE" w:rsidRDefault="00B1706E">
      <w:pPr>
        <w:pStyle w:val="TableofFigures"/>
        <w:tabs>
          <w:tab w:val="right" w:leader="dot" w:pos="9016"/>
        </w:tabs>
        <w:rPr>
          <w:rFonts w:eastAsiaTheme="minorEastAsia"/>
          <w:noProof/>
          <w:sz w:val="22"/>
          <w:lang w:eastAsia="en-ZA"/>
        </w:rPr>
      </w:pPr>
      <w:hyperlink w:anchor="_Toc519445885" w:history="1">
        <w:r w:rsidR="00BB27AE" w:rsidRPr="00533A46">
          <w:rPr>
            <w:rStyle w:val="Hyperlink"/>
            <w:noProof/>
          </w:rPr>
          <w:t>Figure A-3.3: Typical detail of how a vertical shaft is closed (Source: Mintek)</w:t>
        </w:r>
        <w:r w:rsidR="00BB27AE">
          <w:rPr>
            <w:noProof/>
            <w:webHidden/>
          </w:rPr>
          <w:tab/>
        </w:r>
        <w:r w:rsidR="00BB27AE">
          <w:rPr>
            <w:noProof/>
            <w:webHidden/>
          </w:rPr>
          <w:fldChar w:fldCharType="begin"/>
        </w:r>
        <w:r w:rsidR="00BB27AE">
          <w:rPr>
            <w:noProof/>
            <w:webHidden/>
          </w:rPr>
          <w:instrText xml:space="preserve"> PAGEREF _Toc519445885 \h </w:instrText>
        </w:r>
        <w:r w:rsidR="00BB27AE">
          <w:rPr>
            <w:noProof/>
            <w:webHidden/>
          </w:rPr>
        </w:r>
        <w:r w:rsidR="00BB27AE">
          <w:rPr>
            <w:noProof/>
            <w:webHidden/>
          </w:rPr>
          <w:fldChar w:fldCharType="separate"/>
        </w:r>
        <w:r w:rsidR="009A7398">
          <w:rPr>
            <w:noProof/>
            <w:webHidden/>
          </w:rPr>
          <w:t>91</w:t>
        </w:r>
        <w:r w:rsidR="00BB27AE">
          <w:rPr>
            <w:noProof/>
            <w:webHidden/>
          </w:rPr>
          <w:fldChar w:fldCharType="end"/>
        </w:r>
      </w:hyperlink>
    </w:p>
    <w:p w14:paraId="2757AEAC" w14:textId="0A497D38" w:rsidR="00BB27AE" w:rsidRDefault="00B1706E">
      <w:pPr>
        <w:pStyle w:val="TableofFigures"/>
        <w:tabs>
          <w:tab w:val="right" w:leader="dot" w:pos="9016"/>
        </w:tabs>
        <w:rPr>
          <w:rFonts w:eastAsiaTheme="minorEastAsia"/>
          <w:noProof/>
          <w:sz w:val="22"/>
          <w:lang w:eastAsia="en-ZA"/>
        </w:rPr>
      </w:pPr>
      <w:hyperlink w:anchor="_Toc519445886" w:history="1">
        <w:r w:rsidR="00BB27AE" w:rsidRPr="00533A46">
          <w:rPr>
            <w:rStyle w:val="Hyperlink"/>
            <w:noProof/>
          </w:rPr>
          <w:t>Figure A-3.4: Typical detail of how an adit is closed (Source: Mintek)</w:t>
        </w:r>
        <w:r w:rsidR="00BB27AE">
          <w:rPr>
            <w:noProof/>
            <w:webHidden/>
          </w:rPr>
          <w:tab/>
        </w:r>
        <w:r w:rsidR="00BB27AE">
          <w:rPr>
            <w:noProof/>
            <w:webHidden/>
          </w:rPr>
          <w:fldChar w:fldCharType="begin"/>
        </w:r>
        <w:r w:rsidR="00BB27AE">
          <w:rPr>
            <w:noProof/>
            <w:webHidden/>
          </w:rPr>
          <w:instrText xml:space="preserve"> PAGEREF _Toc519445886 \h </w:instrText>
        </w:r>
        <w:r w:rsidR="00BB27AE">
          <w:rPr>
            <w:noProof/>
            <w:webHidden/>
          </w:rPr>
        </w:r>
        <w:r w:rsidR="00BB27AE">
          <w:rPr>
            <w:noProof/>
            <w:webHidden/>
          </w:rPr>
          <w:fldChar w:fldCharType="separate"/>
        </w:r>
        <w:r w:rsidR="009A7398">
          <w:rPr>
            <w:noProof/>
            <w:webHidden/>
          </w:rPr>
          <w:t>92</w:t>
        </w:r>
        <w:r w:rsidR="00BB27AE">
          <w:rPr>
            <w:noProof/>
            <w:webHidden/>
          </w:rPr>
          <w:fldChar w:fldCharType="end"/>
        </w:r>
      </w:hyperlink>
    </w:p>
    <w:p w14:paraId="69D4BE32" w14:textId="6428D2C2" w:rsidR="00BB27AE" w:rsidRDefault="00B1706E">
      <w:pPr>
        <w:pStyle w:val="TableofFigures"/>
        <w:tabs>
          <w:tab w:val="right" w:leader="dot" w:pos="9016"/>
        </w:tabs>
        <w:rPr>
          <w:rFonts w:eastAsiaTheme="minorEastAsia"/>
          <w:noProof/>
          <w:sz w:val="22"/>
          <w:lang w:eastAsia="en-ZA"/>
        </w:rPr>
      </w:pPr>
      <w:hyperlink w:anchor="_Toc519445887" w:history="1">
        <w:r w:rsidR="00BB27AE" w:rsidRPr="00533A46">
          <w:rPr>
            <w:rStyle w:val="Hyperlink"/>
            <w:noProof/>
          </w:rPr>
          <w:t>Figure A-3.5: Asbestos waste and fine fibrous material was often end-tipped at steep elevations just outside shaft entrances (Source: Author)</w:t>
        </w:r>
        <w:r w:rsidR="00BB27AE">
          <w:rPr>
            <w:noProof/>
            <w:webHidden/>
          </w:rPr>
          <w:tab/>
        </w:r>
        <w:r w:rsidR="00BB27AE">
          <w:rPr>
            <w:noProof/>
            <w:webHidden/>
          </w:rPr>
          <w:fldChar w:fldCharType="begin"/>
        </w:r>
        <w:r w:rsidR="00BB27AE">
          <w:rPr>
            <w:noProof/>
            <w:webHidden/>
          </w:rPr>
          <w:instrText xml:space="preserve"> PAGEREF _Toc519445887 \h </w:instrText>
        </w:r>
        <w:r w:rsidR="00BB27AE">
          <w:rPr>
            <w:noProof/>
            <w:webHidden/>
          </w:rPr>
        </w:r>
        <w:r w:rsidR="00BB27AE">
          <w:rPr>
            <w:noProof/>
            <w:webHidden/>
          </w:rPr>
          <w:fldChar w:fldCharType="separate"/>
        </w:r>
        <w:r w:rsidR="009A7398">
          <w:rPr>
            <w:noProof/>
            <w:webHidden/>
          </w:rPr>
          <w:t>93</w:t>
        </w:r>
        <w:r w:rsidR="00BB27AE">
          <w:rPr>
            <w:noProof/>
            <w:webHidden/>
          </w:rPr>
          <w:fldChar w:fldCharType="end"/>
        </w:r>
      </w:hyperlink>
    </w:p>
    <w:p w14:paraId="21916978" w14:textId="462694CE" w:rsidR="00BB27AE" w:rsidRDefault="00B1706E">
      <w:pPr>
        <w:pStyle w:val="TableofFigures"/>
        <w:tabs>
          <w:tab w:val="right" w:leader="dot" w:pos="9016"/>
        </w:tabs>
        <w:rPr>
          <w:rFonts w:eastAsiaTheme="minorEastAsia"/>
          <w:noProof/>
          <w:sz w:val="22"/>
          <w:lang w:eastAsia="en-ZA"/>
        </w:rPr>
      </w:pPr>
      <w:hyperlink w:anchor="_Toc519445888" w:history="1">
        <w:r w:rsidR="00BB27AE" w:rsidRPr="00533A46">
          <w:rPr>
            <w:rStyle w:val="Hyperlink"/>
            <w:noProof/>
          </w:rPr>
          <w:t>Figure A-3.6: Contaminated waste rock deposits often encountered at abandoned asbestos mines  (Source: Author)</w:t>
        </w:r>
        <w:r w:rsidR="00BB27AE">
          <w:rPr>
            <w:noProof/>
            <w:webHidden/>
          </w:rPr>
          <w:tab/>
        </w:r>
        <w:r w:rsidR="00BB27AE">
          <w:rPr>
            <w:noProof/>
            <w:webHidden/>
          </w:rPr>
          <w:fldChar w:fldCharType="begin"/>
        </w:r>
        <w:r w:rsidR="00BB27AE">
          <w:rPr>
            <w:noProof/>
            <w:webHidden/>
          </w:rPr>
          <w:instrText xml:space="preserve"> PAGEREF _Toc519445888 \h </w:instrText>
        </w:r>
        <w:r w:rsidR="00BB27AE">
          <w:rPr>
            <w:noProof/>
            <w:webHidden/>
          </w:rPr>
        </w:r>
        <w:r w:rsidR="00BB27AE">
          <w:rPr>
            <w:noProof/>
            <w:webHidden/>
          </w:rPr>
          <w:fldChar w:fldCharType="separate"/>
        </w:r>
        <w:r w:rsidR="009A7398">
          <w:rPr>
            <w:noProof/>
            <w:webHidden/>
          </w:rPr>
          <w:t>94</w:t>
        </w:r>
        <w:r w:rsidR="00BB27AE">
          <w:rPr>
            <w:noProof/>
            <w:webHidden/>
          </w:rPr>
          <w:fldChar w:fldCharType="end"/>
        </w:r>
      </w:hyperlink>
    </w:p>
    <w:p w14:paraId="6287EA3F" w14:textId="1BD169E7" w:rsidR="00BB27AE" w:rsidRDefault="00B1706E">
      <w:pPr>
        <w:pStyle w:val="TableofFigures"/>
        <w:tabs>
          <w:tab w:val="right" w:leader="dot" w:pos="9016"/>
        </w:tabs>
        <w:rPr>
          <w:rFonts w:eastAsiaTheme="minorEastAsia"/>
          <w:noProof/>
          <w:sz w:val="22"/>
          <w:lang w:eastAsia="en-ZA"/>
        </w:rPr>
      </w:pPr>
      <w:hyperlink w:anchor="_Toc519445889" w:history="1">
        <w:r w:rsidR="00BB27AE" w:rsidRPr="00533A46">
          <w:rPr>
            <w:rStyle w:val="Hyperlink"/>
            <w:noProof/>
          </w:rPr>
          <w:t>Figure A-3.7: Some asbestos mines still contain very large dumps of fibre and waste rock (Source: Author)</w:t>
        </w:r>
        <w:r w:rsidR="00BB27AE">
          <w:rPr>
            <w:noProof/>
            <w:webHidden/>
          </w:rPr>
          <w:tab/>
        </w:r>
        <w:r w:rsidR="00BB27AE">
          <w:rPr>
            <w:noProof/>
            <w:webHidden/>
          </w:rPr>
          <w:fldChar w:fldCharType="begin"/>
        </w:r>
        <w:r w:rsidR="00BB27AE">
          <w:rPr>
            <w:noProof/>
            <w:webHidden/>
          </w:rPr>
          <w:instrText xml:space="preserve"> PAGEREF _Toc519445889 \h </w:instrText>
        </w:r>
        <w:r w:rsidR="00BB27AE">
          <w:rPr>
            <w:noProof/>
            <w:webHidden/>
          </w:rPr>
        </w:r>
        <w:r w:rsidR="00BB27AE">
          <w:rPr>
            <w:noProof/>
            <w:webHidden/>
          </w:rPr>
          <w:fldChar w:fldCharType="separate"/>
        </w:r>
        <w:r w:rsidR="009A7398">
          <w:rPr>
            <w:noProof/>
            <w:webHidden/>
          </w:rPr>
          <w:t>94</w:t>
        </w:r>
        <w:r w:rsidR="00BB27AE">
          <w:rPr>
            <w:noProof/>
            <w:webHidden/>
          </w:rPr>
          <w:fldChar w:fldCharType="end"/>
        </w:r>
      </w:hyperlink>
    </w:p>
    <w:p w14:paraId="133261EF" w14:textId="780C2CB8" w:rsidR="00BB27AE" w:rsidRDefault="00B1706E">
      <w:pPr>
        <w:pStyle w:val="TableofFigures"/>
        <w:tabs>
          <w:tab w:val="right" w:leader="dot" w:pos="9016"/>
        </w:tabs>
        <w:rPr>
          <w:rFonts w:eastAsiaTheme="minorEastAsia"/>
          <w:noProof/>
          <w:sz w:val="22"/>
          <w:lang w:eastAsia="en-ZA"/>
        </w:rPr>
      </w:pPr>
      <w:hyperlink w:anchor="_Toc519445890" w:history="1">
        <w:r w:rsidR="00BB27AE" w:rsidRPr="00533A46">
          <w:rPr>
            <w:rStyle w:val="Hyperlink"/>
            <w:noProof/>
          </w:rPr>
          <w:t>Figure A-3.8: Typical detail of how general surface shaping of asbestos dumps and rehabilitation is conducted (Source: Mintek)</w:t>
        </w:r>
        <w:r w:rsidR="00BB27AE">
          <w:rPr>
            <w:noProof/>
            <w:webHidden/>
          </w:rPr>
          <w:tab/>
        </w:r>
        <w:r w:rsidR="00BB27AE">
          <w:rPr>
            <w:noProof/>
            <w:webHidden/>
          </w:rPr>
          <w:fldChar w:fldCharType="begin"/>
        </w:r>
        <w:r w:rsidR="00BB27AE">
          <w:rPr>
            <w:noProof/>
            <w:webHidden/>
          </w:rPr>
          <w:instrText xml:space="preserve"> PAGEREF _Toc519445890 \h </w:instrText>
        </w:r>
        <w:r w:rsidR="00BB27AE">
          <w:rPr>
            <w:noProof/>
            <w:webHidden/>
          </w:rPr>
        </w:r>
        <w:r w:rsidR="00BB27AE">
          <w:rPr>
            <w:noProof/>
            <w:webHidden/>
          </w:rPr>
          <w:fldChar w:fldCharType="separate"/>
        </w:r>
        <w:r w:rsidR="009A7398">
          <w:rPr>
            <w:noProof/>
            <w:webHidden/>
          </w:rPr>
          <w:t>95</w:t>
        </w:r>
        <w:r w:rsidR="00BB27AE">
          <w:rPr>
            <w:noProof/>
            <w:webHidden/>
          </w:rPr>
          <w:fldChar w:fldCharType="end"/>
        </w:r>
      </w:hyperlink>
    </w:p>
    <w:p w14:paraId="0EE3C8A5" w14:textId="389D3EA1" w:rsidR="00BB27AE" w:rsidRDefault="00B1706E">
      <w:pPr>
        <w:pStyle w:val="TableofFigures"/>
        <w:tabs>
          <w:tab w:val="right" w:leader="dot" w:pos="9016"/>
        </w:tabs>
        <w:rPr>
          <w:rFonts w:eastAsiaTheme="minorEastAsia"/>
          <w:noProof/>
          <w:sz w:val="22"/>
          <w:lang w:eastAsia="en-ZA"/>
        </w:rPr>
      </w:pPr>
      <w:hyperlink w:anchor="_Toc519445891" w:history="1">
        <w:r w:rsidR="00BB27AE" w:rsidRPr="00533A46">
          <w:rPr>
            <w:rStyle w:val="Hyperlink"/>
            <w:noProof/>
          </w:rPr>
          <w:t>Figure A-3.9: Typical detail of stock fence installed after rehabilitation projects (Source: Mintek)</w:t>
        </w:r>
        <w:r w:rsidR="00BB27AE">
          <w:rPr>
            <w:noProof/>
            <w:webHidden/>
          </w:rPr>
          <w:tab/>
        </w:r>
        <w:r w:rsidR="00BB27AE">
          <w:rPr>
            <w:noProof/>
            <w:webHidden/>
          </w:rPr>
          <w:fldChar w:fldCharType="begin"/>
        </w:r>
        <w:r w:rsidR="00BB27AE">
          <w:rPr>
            <w:noProof/>
            <w:webHidden/>
          </w:rPr>
          <w:instrText xml:space="preserve"> PAGEREF _Toc519445891 \h </w:instrText>
        </w:r>
        <w:r w:rsidR="00BB27AE">
          <w:rPr>
            <w:noProof/>
            <w:webHidden/>
          </w:rPr>
        </w:r>
        <w:r w:rsidR="00BB27AE">
          <w:rPr>
            <w:noProof/>
            <w:webHidden/>
          </w:rPr>
          <w:fldChar w:fldCharType="separate"/>
        </w:r>
        <w:r w:rsidR="009A7398">
          <w:rPr>
            <w:noProof/>
            <w:webHidden/>
          </w:rPr>
          <w:t>99</w:t>
        </w:r>
        <w:r w:rsidR="00BB27AE">
          <w:rPr>
            <w:noProof/>
            <w:webHidden/>
          </w:rPr>
          <w:fldChar w:fldCharType="end"/>
        </w:r>
      </w:hyperlink>
    </w:p>
    <w:p w14:paraId="43824683" w14:textId="360695BB" w:rsidR="008E0EB2" w:rsidRDefault="00E77CB4" w:rsidP="00AE71A0">
      <w:pPr>
        <w:rPr>
          <w:rFonts w:asciiTheme="majorHAnsi" w:eastAsiaTheme="majorEastAsia" w:hAnsiTheme="majorHAnsi" w:cstheme="majorBidi"/>
          <w:b/>
          <w:bCs/>
          <w:color w:val="365F91" w:themeColor="accent1" w:themeShade="BF"/>
          <w:sz w:val="28"/>
          <w:szCs w:val="28"/>
        </w:rPr>
        <w:sectPr w:rsidR="008E0EB2" w:rsidSect="004321A7">
          <w:pgSz w:w="11906" w:h="16838"/>
          <w:pgMar w:top="1440" w:right="1440" w:bottom="1440" w:left="1440" w:header="709" w:footer="709" w:gutter="0"/>
          <w:cols w:space="708"/>
          <w:docGrid w:linePitch="360"/>
        </w:sectPr>
      </w:pPr>
      <w:r>
        <w:rPr>
          <w:rFonts w:asciiTheme="majorHAnsi" w:eastAsiaTheme="majorEastAsia" w:hAnsiTheme="majorHAnsi" w:cstheme="majorBidi"/>
          <w:b/>
          <w:bCs/>
          <w:color w:val="365F91" w:themeColor="accent1" w:themeShade="BF"/>
          <w:sz w:val="28"/>
          <w:szCs w:val="28"/>
        </w:rPr>
        <w:fldChar w:fldCharType="end"/>
      </w:r>
    </w:p>
    <w:p w14:paraId="4EFFBA28" w14:textId="68C81E3C" w:rsidR="00B14641" w:rsidRDefault="008E0EB2" w:rsidP="002D6002">
      <w:pPr>
        <w:pStyle w:val="Heading1"/>
        <w:numPr>
          <w:ilvl w:val="0"/>
          <w:numId w:val="0"/>
        </w:numPr>
      </w:pPr>
      <w:bookmarkStart w:id="4" w:name="_Toc519445703"/>
      <w:r w:rsidRPr="002328EF">
        <w:lastRenderedPageBreak/>
        <w:t xml:space="preserve">List of </w:t>
      </w:r>
      <w:r w:rsidR="00BF272A" w:rsidRPr="002328EF">
        <w:t>Tables</w:t>
      </w:r>
      <w:bookmarkEnd w:id="4"/>
      <w:r w:rsidR="00BF272A" w:rsidRPr="002328EF">
        <w:t xml:space="preserve"> </w:t>
      </w:r>
    </w:p>
    <w:p w14:paraId="15C9B834" w14:textId="69B8F6E4" w:rsidR="00BB27AE" w:rsidRDefault="00A54376">
      <w:pPr>
        <w:pStyle w:val="TableofFigures"/>
        <w:tabs>
          <w:tab w:val="right" w:leader="dot" w:pos="9016"/>
        </w:tabs>
        <w:rPr>
          <w:rFonts w:eastAsiaTheme="minorEastAsia"/>
          <w:noProof/>
          <w:sz w:val="22"/>
          <w:lang w:eastAsia="en-ZA"/>
        </w:rPr>
      </w:pPr>
      <w:r>
        <w:rPr>
          <w:rFonts w:asciiTheme="majorHAnsi" w:eastAsiaTheme="majorEastAsia" w:hAnsiTheme="majorHAnsi" w:cstheme="majorBidi"/>
          <w:b/>
          <w:bCs/>
          <w:color w:val="365F91" w:themeColor="accent1" w:themeShade="BF"/>
          <w:sz w:val="28"/>
          <w:szCs w:val="28"/>
        </w:rPr>
        <w:fldChar w:fldCharType="begin"/>
      </w:r>
      <w:r>
        <w:rPr>
          <w:rFonts w:asciiTheme="majorHAnsi" w:eastAsiaTheme="majorEastAsia" w:hAnsiTheme="majorHAnsi" w:cstheme="majorBidi"/>
          <w:b/>
          <w:bCs/>
          <w:color w:val="365F91" w:themeColor="accent1" w:themeShade="BF"/>
          <w:sz w:val="28"/>
          <w:szCs w:val="28"/>
        </w:rPr>
        <w:instrText xml:space="preserve"> TOC \f T \h \z \t "Caption" \c </w:instrText>
      </w:r>
      <w:r>
        <w:rPr>
          <w:rFonts w:asciiTheme="majorHAnsi" w:eastAsiaTheme="majorEastAsia" w:hAnsiTheme="majorHAnsi" w:cstheme="majorBidi"/>
          <w:b/>
          <w:bCs/>
          <w:color w:val="365F91" w:themeColor="accent1" w:themeShade="BF"/>
          <w:sz w:val="28"/>
          <w:szCs w:val="28"/>
        </w:rPr>
        <w:fldChar w:fldCharType="separate"/>
      </w:r>
      <w:hyperlink w:anchor="_Toc519445895" w:history="1">
        <w:r w:rsidR="00BB27AE" w:rsidRPr="00504770">
          <w:rPr>
            <w:rStyle w:val="Hyperlink"/>
            <w:noProof/>
          </w:rPr>
          <w:t>Table 3.1: Number of tenders advertised and actual BOQ data captured per year (n) for the period 2009 - 2016</w:t>
        </w:r>
        <w:r w:rsidR="00BB27AE">
          <w:rPr>
            <w:noProof/>
            <w:webHidden/>
          </w:rPr>
          <w:tab/>
        </w:r>
        <w:r w:rsidR="00BB27AE">
          <w:rPr>
            <w:noProof/>
            <w:webHidden/>
          </w:rPr>
          <w:fldChar w:fldCharType="begin"/>
        </w:r>
        <w:r w:rsidR="00BB27AE">
          <w:rPr>
            <w:noProof/>
            <w:webHidden/>
          </w:rPr>
          <w:instrText xml:space="preserve"> PAGEREF _Toc519445895 \h </w:instrText>
        </w:r>
        <w:r w:rsidR="00BB27AE">
          <w:rPr>
            <w:noProof/>
            <w:webHidden/>
          </w:rPr>
        </w:r>
        <w:r w:rsidR="00BB27AE">
          <w:rPr>
            <w:noProof/>
            <w:webHidden/>
          </w:rPr>
          <w:fldChar w:fldCharType="separate"/>
        </w:r>
        <w:r w:rsidR="009A7398">
          <w:rPr>
            <w:noProof/>
            <w:webHidden/>
          </w:rPr>
          <w:t>37</w:t>
        </w:r>
        <w:r w:rsidR="00BB27AE">
          <w:rPr>
            <w:noProof/>
            <w:webHidden/>
          </w:rPr>
          <w:fldChar w:fldCharType="end"/>
        </w:r>
      </w:hyperlink>
    </w:p>
    <w:p w14:paraId="4B71B1B8" w14:textId="0B59BAFB" w:rsidR="00BB27AE" w:rsidRDefault="00B1706E">
      <w:pPr>
        <w:pStyle w:val="TableofFigures"/>
        <w:tabs>
          <w:tab w:val="right" w:leader="dot" w:pos="9016"/>
        </w:tabs>
        <w:rPr>
          <w:rFonts w:eastAsiaTheme="minorEastAsia"/>
          <w:noProof/>
          <w:sz w:val="22"/>
          <w:lang w:eastAsia="en-ZA"/>
        </w:rPr>
      </w:pPr>
      <w:hyperlink w:anchor="_Toc519445897" w:history="1">
        <w:r w:rsidR="00BB27AE" w:rsidRPr="00504770">
          <w:rPr>
            <w:rStyle w:val="Hyperlink"/>
            <w:noProof/>
          </w:rPr>
          <w:t>Table 3.2: Projects per year of tender closure and number of respondents (s) for each tender used in the data for this research report</w:t>
        </w:r>
        <w:r w:rsidR="00BB27AE">
          <w:rPr>
            <w:noProof/>
            <w:webHidden/>
          </w:rPr>
          <w:tab/>
        </w:r>
        <w:r w:rsidR="00BB27AE">
          <w:rPr>
            <w:noProof/>
            <w:webHidden/>
          </w:rPr>
          <w:fldChar w:fldCharType="begin"/>
        </w:r>
        <w:r w:rsidR="00BB27AE">
          <w:rPr>
            <w:noProof/>
            <w:webHidden/>
          </w:rPr>
          <w:instrText xml:space="preserve"> PAGEREF _Toc519445897 \h </w:instrText>
        </w:r>
        <w:r w:rsidR="00BB27AE">
          <w:rPr>
            <w:noProof/>
            <w:webHidden/>
          </w:rPr>
        </w:r>
        <w:r w:rsidR="00BB27AE">
          <w:rPr>
            <w:noProof/>
            <w:webHidden/>
          </w:rPr>
          <w:fldChar w:fldCharType="separate"/>
        </w:r>
        <w:r w:rsidR="009A7398">
          <w:rPr>
            <w:noProof/>
            <w:webHidden/>
          </w:rPr>
          <w:t>38</w:t>
        </w:r>
        <w:r w:rsidR="00BB27AE">
          <w:rPr>
            <w:noProof/>
            <w:webHidden/>
          </w:rPr>
          <w:fldChar w:fldCharType="end"/>
        </w:r>
      </w:hyperlink>
    </w:p>
    <w:p w14:paraId="33174886" w14:textId="1F211F83" w:rsidR="00BB27AE" w:rsidRDefault="00B1706E">
      <w:pPr>
        <w:pStyle w:val="TableofFigures"/>
        <w:tabs>
          <w:tab w:val="right" w:leader="dot" w:pos="9016"/>
        </w:tabs>
        <w:rPr>
          <w:rFonts w:eastAsiaTheme="minorEastAsia"/>
          <w:noProof/>
          <w:sz w:val="22"/>
          <w:lang w:eastAsia="en-ZA"/>
        </w:rPr>
      </w:pPr>
      <w:hyperlink w:anchor="_Toc519445899" w:history="1">
        <w:r w:rsidR="00BB27AE" w:rsidRPr="00504770">
          <w:rPr>
            <w:rStyle w:val="Hyperlink"/>
            <w:noProof/>
          </w:rPr>
          <w:t>Table 3.3: Step-by-step use of the DME guideline</w:t>
        </w:r>
        <w:r w:rsidR="00BB27AE">
          <w:rPr>
            <w:noProof/>
            <w:webHidden/>
          </w:rPr>
          <w:tab/>
        </w:r>
        <w:r w:rsidR="00BB27AE">
          <w:rPr>
            <w:noProof/>
            <w:webHidden/>
          </w:rPr>
          <w:fldChar w:fldCharType="begin"/>
        </w:r>
        <w:r w:rsidR="00BB27AE">
          <w:rPr>
            <w:noProof/>
            <w:webHidden/>
          </w:rPr>
          <w:instrText xml:space="preserve"> PAGEREF _Toc519445899 \h </w:instrText>
        </w:r>
        <w:r w:rsidR="00BB27AE">
          <w:rPr>
            <w:noProof/>
            <w:webHidden/>
          </w:rPr>
        </w:r>
        <w:r w:rsidR="00BB27AE">
          <w:rPr>
            <w:noProof/>
            <w:webHidden/>
          </w:rPr>
          <w:fldChar w:fldCharType="separate"/>
        </w:r>
        <w:r w:rsidR="009A7398">
          <w:rPr>
            <w:noProof/>
            <w:webHidden/>
          </w:rPr>
          <w:t>42</w:t>
        </w:r>
        <w:r w:rsidR="00BB27AE">
          <w:rPr>
            <w:noProof/>
            <w:webHidden/>
          </w:rPr>
          <w:fldChar w:fldCharType="end"/>
        </w:r>
      </w:hyperlink>
    </w:p>
    <w:p w14:paraId="5E11870A" w14:textId="026463E4" w:rsidR="00BB27AE" w:rsidRDefault="00B1706E">
      <w:pPr>
        <w:pStyle w:val="TableofFigures"/>
        <w:tabs>
          <w:tab w:val="right" w:leader="dot" w:pos="9016"/>
        </w:tabs>
        <w:rPr>
          <w:rFonts w:eastAsiaTheme="minorEastAsia"/>
          <w:noProof/>
          <w:sz w:val="22"/>
          <w:lang w:eastAsia="en-ZA"/>
        </w:rPr>
      </w:pPr>
      <w:hyperlink w:anchor="_Toc519445901" w:history="1">
        <w:r w:rsidR="00BB27AE" w:rsidRPr="00504770">
          <w:rPr>
            <w:rStyle w:val="Hyperlink"/>
            <w:noProof/>
          </w:rPr>
          <w:t>Table 4.2: Applicability of cost items from the master rates table in the DME guideline to surface mine rehabilitation project for abandoned asbestos mines</w:t>
        </w:r>
        <w:r w:rsidR="00BB27AE">
          <w:rPr>
            <w:noProof/>
            <w:webHidden/>
          </w:rPr>
          <w:tab/>
        </w:r>
        <w:r w:rsidR="00BB27AE">
          <w:rPr>
            <w:noProof/>
            <w:webHidden/>
          </w:rPr>
          <w:fldChar w:fldCharType="begin"/>
        </w:r>
        <w:r w:rsidR="00BB27AE">
          <w:rPr>
            <w:noProof/>
            <w:webHidden/>
          </w:rPr>
          <w:instrText xml:space="preserve"> PAGEREF _Toc519445901 \h </w:instrText>
        </w:r>
        <w:r w:rsidR="00BB27AE">
          <w:rPr>
            <w:noProof/>
            <w:webHidden/>
          </w:rPr>
        </w:r>
        <w:r w:rsidR="00BB27AE">
          <w:rPr>
            <w:noProof/>
            <w:webHidden/>
          </w:rPr>
          <w:fldChar w:fldCharType="separate"/>
        </w:r>
        <w:r w:rsidR="009A7398">
          <w:rPr>
            <w:noProof/>
            <w:webHidden/>
          </w:rPr>
          <w:t>47</w:t>
        </w:r>
        <w:r w:rsidR="00BB27AE">
          <w:rPr>
            <w:noProof/>
            <w:webHidden/>
          </w:rPr>
          <w:fldChar w:fldCharType="end"/>
        </w:r>
      </w:hyperlink>
    </w:p>
    <w:p w14:paraId="7DA35ADE" w14:textId="56A29B1B" w:rsidR="00BB27AE" w:rsidRDefault="00B1706E">
      <w:pPr>
        <w:pStyle w:val="TableofFigures"/>
        <w:tabs>
          <w:tab w:val="right" w:leader="dot" w:pos="9016"/>
        </w:tabs>
        <w:rPr>
          <w:rFonts w:eastAsiaTheme="minorEastAsia"/>
          <w:noProof/>
          <w:sz w:val="22"/>
          <w:lang w:eastAsia="en-ZA"/>
        </w:rPr>
      </w:pPr>
      <w:hyperlink w:anchor="_Toc519445915" w:history="1">
        <w:r w:rsidR="00BB27AE" w:rsidRPr="00504770">
          <w:rPr>
            <w:rStyle w:val="Hyperlink"/>
            <w:noProof/>
          </w:rPr>
          <w:t>Table 4.5: Extract from DME guideline master rates table for preliminary and general and administrative costs</w:t>
        </w:r>
        <w:r w:rsidR="00BB27AE">
          <w:rPr>
            <w:noProof/>
            <w:webHidden/>
          </w:rPr>
          <w:tab/>
        </w:r>
        <w:r w:rsidR="00BB27AE">
          <w:rPr>
            <w:noProof/>
            <w:webHidden/>
          </w:rPr>
          <w:fldChar w:fldCharType="begin"/>
        </w:r>
        <w:r w:rsidR="00BB27AE">
          <w:rPr>
            <w:noProof/>
            <w:webHidden/>
          </w:rPr>
          <w:instrText xml:space="preserve"> PAGEREF _Toc519445915 \h </w:instrText>
        </w:r>
        <w:r w:rsidR="00BB27AE">
          <w:rPr>
            <w:noProof/>
            <w:webHidden/>
          </w:rPr>
        </w:r>
        <w:r w:rsidR="00BB27AE">
          <w:rPr>
            <w:noProof/>
            <w:webHidden/>
          </w:rPr>
          <w:fldChar w:fldCharType="separate"/>
        </w:r>
        <w:r w:rsidR="009A7398">
          <w:rPr>
            <w:noProof/>
            <w:webHidden/>
          </w:rPr>
          <w:t>63</w:t>
        </w:r>
        <w:r w:rsidR="00BB27AE">
          <w:rPr>
            <w:noProof/>
            <w:webHidden/>
          </w:rPr>
          <w:fldChar w:fldCharType="end"/>
        </w:r>
      </w:hyperlink>
    </w:p>
    <w:p w14:paraId="20164501" w14:textId="5217672D" w:rsidR="00BB27AE" w:rsidRDefault="00B1706E">
      <w:pPr>
        <w:pStyle w:val="TableofFigures"/>
        <w:tabs>
          <w:tab w:val="right" w:leader="dot" w:pos="9016"/>
        </w:tabs>
        <w:rPr>
          <w:rFonts w:eastAsiaTheme="minorEastAsia"/>
          <w:noProof/>
          <w:sz w:val="22"/>
          <w:lang w:eastAsia="en-ZA"/>
        </w:rPr>
      </w:pPr>
      <w:hyperlink w:anchor="_Toc519445918" w:history="1">
        <w:r w:rsidR="00BB27AE" w:rsidRPr="00504770">
          <w:rPr>
            <w:rStyle w:val="Hyperlink"/>
            <w:noProof/>
          </w:rPr>
          <w:t>Table 4.6: Summary of findings of tender cost comparison with DME guideline values</w:t>
        </w:r>
        <w:r w:rsidR="00BB27AE">
          <w:rPr>
            <w:noProof/>
            <w:webHidden/>
          </w:rPr>
          <w:tab/>
        </w:r>
        <w:r w:rsidR="00BB27AE">
          <w:rPr>
            <w:noProof/>
            <w:webHidden/>
          </w:rPr>
          <w:fldChar w:fldCharType="begin"/>
        </w:r>
        <w:r w:rsidR="00BB27AE">
          <w:rPr>
            <w:noProof/>
            <w:webHidden/>
          </w:rPr>
          <w:instrText xml:space="preserve"> PAGEREF _Toc519445918 \h </w:instrText>
        </w:r>
        <w:r w:rsidR="00BB27AE">
          <w:rPr>
            <w:noProof/>
            <w:webHidden/>
          </w:rPr>
        </w:r>
        <w:r w:rsidR="00BB27AE">
          <w:rPr>
            <w:noProof/>
            <w:webHidden/>
          </w:rPr>
          <w:fldChar w:fldCharType="separate"/>
        </w:r>
        <w:r w:rsidR="009A7398">
          <w:rPr>
            <w:noProof/>
            <w:webHidden/>
          </w:rPr>
          <w:t>66</w:t>
        </w:r>
        <w:r w:rsidR="00BB27AE">
          <w:rPr>
            <w:noProof/>
            <w:webHidden/>
          </w:rPr>
          <w:fldChar w:fldCharType="end"/>
        </w:r>
      </w:hyperlink>
    </w:p>
    <w:p w14:paraId="31D0913E" w14:textId="30A63E49" w:rsidR="00E77CB4" w:rsidRDefault="00A54376" w:rsidP="00E77CB4">
      <w:pPr>
        <w:pStyle w:val="TableofFigures"/>
        <w:tabs>
          <w:tab w:val="right" w:leader="dot" w:pos="9016"/>
        </w:tabs>
        <w:rPr>
          <w:rFonts w:eastAsiaTheme="minorEastAsia"/>
          <w:noProof/>
          <w:sz w:val="22"/>
          <w:lang w:eastAsia="en-ZA"/>
        </w:rPr>
      </w:pPr>
      <w:r>
        <w:rPr>
          <w:rFonts w:asciiTheme="majorHAnsi" w:eastAsiaTheme="majorEastAsia" w:hAnsiTheme="majorHAnsi" w:cstheme="majorBidi"/>
          <w:b/>
          <w:bCs/>
          <w:color w:val="365F91" w:themeColor="accent1" w:themeShade="BF"/>
          <w:sz w:val="28"/>
          <w:szCs w:val="28"/>
        </w:rPr>
        <w:fldChar w:fldCharType="end"/>
      </w:r>
      <w:bookmarkStart w:id="5" w:name="_GoBack"/>
      <w:bookmarkEnd w:id="5"/>
      <w:r w:rsidR="00EC3DDA">
        <w:rPr>
          <w:rFonts w:asciiTheme="majorHAnsi" w:eastAsiaTheme="majorEastAsia" w:hAnsiTheme="majorHAnsi" w:cstheme="majorBidi"/>
          <w:b/>
          <w:bCs/>
          <w:color w:val="365F91" w:themeColor="accent1" w:themeShade="BF"/>
          <w:sz w:val="28"/>
          <w:szCs w:val="28"/>
        </w:rPr>
        <w:fldChar w:fldCharType="begin"/>
      </w:r>
      <w:r w:rsidR="00EC3DDA">
        <w:rPr>
          <w:rFonts w:asciiTheme="majorHAnsi" w:eastAsiaTheme="majorEastAsia" w:hAnsiTheme="majorHAnsi" w:cstheme="majorBidi"/>
          <w:b/>
          <w:bCs/>
          <w:color w:val="365F91" w:themeColor="accent1" w:themeShade="BF"/>
          <w:sz w:val="28"/>
          <w:szCs w:val="28"/>
        </w:rPr>
        <w:instrText xml:space="preserve"> TOC \h \z \c "Table" </w:instrText>
      </w:r>
      <w:r w:rsidR="00EC3DDA">
        <w:rPr>
          <w:rFonts w:asciiTheme="majorHAnsi" w:eastAsiaTheme="majorEastAsia" w:hAnsiTheme="majorHAnsi" w:cstheme="majorBidi"/>
          <w:b/>
          <w:bCs/>
          <w:color w:val="365F91" w:themeColor="accent1" w:themeShade="BF"/>
          <w:sz w:val="28"/>
          <w:szCs w:val="28"/>
        </w:rPr>
        <w:fldChar w:fldCharType="separate"/>
      </w:r>
    </w:p>
    <w:p w14:paraId="3F3EFA61" w14:textId="57262AC5" w:rsidR="00443D2B" w:rsidRDefault="00EC3DDA" w:rsidP="00AE71A0">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fldChar w:fldCharType="end"/>
      </w:r>
      <w:r w:rsidR="00443D2B">
        <w:rPr>
          <w:rFonts w:asciiTheme="majorHAnsi" w:eastAsiaTheme="majorEastAsia" w:hAnsiTheme="majorHAnsi" w:cstheme="majorBidi"/>
          <w:b/>
          <w:bCs/>
          <w:color w:val="365F91" w:themeColor="accent1" w:themeShade="BF"/>
          <w:sz w:val="28"/>
          <w:szCs w:val="28"/>
        </w:rPr>
        <w:br w:type="page"/>
      </w:r>
    </w:p>
    <w:p w14:paraId="58652FB7" w14:textId="4F63CA1A" w:rsidR="00BF272A" w:rsidRPr="002328EF" w:rsidRDefault="008E0EB2" w:rsidP="002D6002">
      <w:pPr>
        <w:pStyle w:val="Heading1"/>
        <w:numPr>
          <w:ilvl w:val="0"/>
          <w:numId w:val="0"/>
        </w:numPr>
      </w:pPr>
      <w:bookmarkStart w:id="6" w:name="_Toc519445704"/>
      <w:r w:rsidRPr="002328EF">
        <w:lastRenderedPageBreak/>
        <w:t>List of symbols, a</w:t>
      </w:r>
      <w:r w:rsidR="00BF272A" w:rsidRPr="002328EF">
        <w:t>cronyms and abbreviations</w:t>
      </w:r>
      <w:bookmarkEnd w:id="6"/>
      <w:r w:rsidR="00BF272A" w:rsidRPr="002328EF">
        <w:t xml:space="preserve"> </w:t>
      </w:r>
    </w:p>
    <w:p w14:paraId="6C6B8B9C" w14:textId="5A852371" w:rsidR="00652FE4" w:rsidRDefault="00652FE4" w:rsidP="00AE71A0">
      <w:r>
        <w:t>ARC</w:t>
      </w:r>
      <w:r>
        <w:tab/>
        <w:t xml:space="preserve">Agricultural Research Council </w:t>
      </w:r>
    </w:p>
    <w:p w14:paraId="40AD7B52" w14:textId="7FC9FBBA" w:rsidR="00071FDA" w:rsidRDefault="00071FDA" w:rsidP="00AE71A0">
      <w:r>
        <w:t>BCI</w:t>
      </w:r>
      <w:r>
        <w:tab/>
        <w:t>Building Cost Index</w:t>
      </w:r>
    </w:p>
    <w:p w14:paraId="3CE475F2" w14:textId="0C3DF327" w:rsidR="00BF272A" w:rsidRDefault="00BF272A" w:rsidP="00EC3DDA">
      <w:pPr>
        <w:ind w:left="720" w:hanging="720"/>
      </w:pPr>
      <w:r>
        <w:t>BOQ</w:t>
      </w:r>
      <w:r>
        <w:tab/>
        <w:t xml:space="preserve">Bill of Quantities, a </w:t>
      </w:r>
      <w:r w:rsidR="00B03B79">
        <w:t xml:space="preserve">detailed list </w:t>
      </w:r>
      <w:r>
        <w:t xml:space="preserve">in </w:t>
      </w:r>
      <w:r w:rsidR="00B03B79">
        <w:t xml:space="preserve">the </w:t>
      </w:r>
      <w:r>
        <w:t xml:space="preserve">specification for construction work that </w:t>
      </w:r>
      <w:r w:rsidR="00B03B79">
        <w:t xml:space="preserve">provides </w:t>
      </w:r>
      <w:r>
        <w:t>a</w:t>
      </w:r>
      <w:r w:rsidR="00B03B79">
        <w:t>n itemised</w:t>
      </w:r>
      <w:r>
        <w:t xml:space="preserve"> estimation of all required cost elements</w:t>
      </w:r>
      <w:r w:rsidR="00B03B79">
        <w:t xml:space="preserve"> to complete the work</w:t>
      </w:r>
      <w:r>
        <w:t xml:space="preserve">. </w:t>
      </w:r>
    </w:p>
    <w:p w14:paraId="6F7AE53F" w14:textId="624A8D7E" w:rsidR="007B67EC" w:rsidRDefault="007B67EC" w:rsidP="00AE71A0">
      <w:r>
        <w:t>CIDB</w:t>
      </w:r>
      <w:r>
        <w:tab/>
        <w:t>Construction Industry Development Board</w:t>
      </w:r>
    </w:p>
    <w:p w14:paraId="6122F8CF" w14:textId="33551464" w:rsidR="00041F53" w:rsidRDefault="00041F53" w:rsidP="00AE71A0">
      <w:r>
        <w:t>CPG</w:t>
      </w:r>
      <w:r>
        <w:tab/>
        <w:t>Community Participation Goals</w:t>
      </w:r>
    </w:p>
    <w:p w14:paraId="0D51B418" w14:textId="77777777" w:rsidR="00BF272A" w:rsidRDefault="00BF272A" w:rsidP="00EC3DDA">
      <w:pPr>
        <w:ind w:left="720" w:hanging="720"/>
      </w:pPr>
      <w:r>
        <w:t>CPI</w:t>
      </w:r>
      <w:r>
        <w:tab/>
        <w:t xml:space="preserve">Consumer Price Index, a measure of the cost of a fixed basket of goods, specifically applied in statistical methods to measure the rate of change of the price of this basket of goods, i.e.: inflation. </w:t>
      </w:r>
    </w:p>
    <w:p w14:paraId="1276C5DA" w14:textId="3C16F5E1" w:rsidR="00BF272A" w:rsidRDefault="00BF272A" w:rsidP="00EC3DDA">
      <w:pPr>
        <w:ind w:left="720" w:hanging="720"/>
      </w:pPr>
      <w:r>
        <w:t>DEA</w:t>
      </w:r>
      <w:r>
        <w:tab/>
        <w:t>Department of Environmental Affairs.</w:t>
      </w:r>
      <w:r w:rsidRPr="009701FA">
        <w:t xml:space="preserve"> National government </w:t>
      </w:r>
      <w:r w:rsidR="00F43CE5">
        <w:t>d</w:t>
      </w:r>
      <w:r w:rsidRPr="009701FA">
        <w:t>epartment of the Republic of South Africa.</w:t>
      </w:r>
    </w:p>
    <w:p w14:paraId="38A91460" w14:textId="77777777" w:rsidR="008C024F" w:rsidRDefault="008C024F" w:rsidP="00EC3DDA">
      <w:pPr>
        <w:ind w:left="720" w:hanging="720"/>
      </w:pPr>
      <w:r>
        <w:t>DME</w:t>
      </w:r>
      <w:r>
        <w:tab/>
        <w:t xml:space="preserve">Department of Minerals and Energy. National government department of the Republic of South Africa. Predecessor to the Department of Mineral Resources (DMR) </w:t>
      </w:r>
    </w:p>
    <w:p w14:paraId="497F8210" w14:textId="6A2F688D" w:rsidR="008C024F" w:rsidRDefault="008C024F" w:rsidP="00EC3DDA">
      <w:pPr>
        <w:ind w:left="720" w:hanging="720"/>
      </w:pPr>
      <w:r>
        <w:t>DMR</w:t>
      </w:r>
      <w:r>
        <w:tab/>
        <w:t xml:space="preserve">Department of Mineral Resources. National government </w:t>
      </w:r>
      <w:r w:rsidR="00F43CE5">
        <w:t>d</w:t>
      </w:r>
      <w:r>
        <w:t>epartment of the Republic of South Africa.</w:t>
      </w:r>
    </w:p>
    <w:p w14:paraId="620B2F2C" w14:textId="3D6CB199" w:rsidR="008C024F" w:rsidRDefault="008C024F" w:rsidP="00EC3DDA">
      <w:pPr>
        <w:ind w:left="720" w:hanging="720"/>
      </w:pPr>
      <w:r>
        <w:t>DPW</w:t>
      </w:r>
      <w:r>
        <w:tab/>
        <w:t>Department of Public Works</w:t>
      </w:r>
      <w:r w:rsidR="008012A7">
        <w:t xml:space="preserve">. </w:t>
      </w:r>
      <w:r w:rsidR="008012A7" w:rsidRPr="008012A7">
        <w:t>National government department of the Republic of South Africa.</w:t>
      </w:r>
    </w:p>
    <w:p w14:paraId="5E353D17" w14:textId="1CFE5DC7" w:rsidR="00071FDA" w:rsidRDefault="00071FDA" w:rsidP="00AE71A0">
      <w:r>
        <w:t>EMP</w:t>
      </w:r>
      <w:r>
        <w:tab/>
        <w:t xml:space="preserve">Environmental Management Programme </w:t>
      </w:r>
    </w:p>
    <w:p w14:paraId="3021DBED" w14:textId="68D1A93D" w:rsidR="00652FE4" w:rsidRDefault="00652FE4" w:rsidP="00AE71A0">
      <w:r>
        <w:t>Ha</w:t>
      </w:r>
      <w:r w:rsidR="00A67147">
        <w:t>/ha</w:t>
      </w:r>
      <w:r>
        <w:tab/>
        <w:t>hectare (</w:t>
      </w:r>
      <w:r w:rsidR="0054519B">
        <w:t xml:space="preserve">1ha = </w:t>
      </w:r>
      <w:r>
        <w:t>10,000 m</w:t>
      </w:r>
      <w:r w:rsidRPr="00652FE4">
        <w:rPr>
          <w:vertAlign w:val="superscript"/>
        </w:rPr>
        <w:t>2</w:t>
      </w:r>
      <w:r>
        <w:t>)</w:t>
      </w:r>
    </w:p>
    <w:p w14:paraId="772DA27F" w14:textId="77777777" w:rsidR="003C70D7" w:rsidRDefault="009F5F52" w:rsidP="00AE71A0">
      <w:r>
        <w:t>m</w:t>
      </w:r>
      <w:r w:rsidRPr="009F5F52">
        <w:rPr>
          <w:vertAlign w:val="superscript"/>
        </w:rPr>
        <w:t>2</w:t>
      </w:r>
      <w:r>
        <w:t>/m</w:t>
      </w:r>
      <w:r w:rsidRPr="009F5F52">
        <w:rPr>
          <w:vertAlign w:val="superscript"/>
        </w:rPr>
        <w:t>3</w:t>
      </w:r>
      <w:r>
        <w:rPr>
          <w:vertAlign w:val="superscript"/>
        </w:rPr>
        <w:tab/>
      </w:r>
      <w:r>
        <w:t>Square metre (surface area) &amp; Cubic metre (volume)</w:t>
      </w:r>
      <w:r w:rsidR="00A67147">
        <w:t xml:space="preserve"> respectively</w:t>
      </w:r>
    </w:p>
    <w:p w14:paraId="0AA44F72" w14:textId="74BF54B8" w:rsidR="009F5F52" w:rsidRPr="009F5F52" w:rsidRDefault="003C70D7" w:rsidP="00EC3DDA">
      <w:pPr>
        <w:ind w:left="720" w:hanging="720"/>
      </w:pPr>
      <w:r>
        <w:t>MPa</w:t>
      </w:r>
      <w:r>
        <w:tab/>
        <w:t>MegaPascal, a</w:t>
      </w:r>
      <w:r w:rsidR="00D21B40">
        <w:t xml:space="preserve">n SI unit of pressure. Usually measures </w:t>
      </w:r>
      <w:r>
        <w:t xml:space="preserve">compressive strength when applied to surface </w:t>
      </w:r>
      <w:r w:rsidR="00D21B40">
        <w:t>compaction in civil engineering works.</w:t>
      </w:r>
    </w:p>
    <w:p w14:paraId="0D306C66" w14:textId="5472FD67" w:rsidR="007B67EC" w:rsidRDefault="00BF272A" w:rsidP="00EC3DDA">
      <w:pPr>
        <w:ind w:left="720" w:hanging="720"/>
      </w:pPr>
      <w:r>
        <w:t>NEMA</w:t>
      </w:r>
      <w:r>
        <w:tab/>
        <w:t xml:space="preserve">National Environmental Management Act, 1998. Act </w:t>
      </w:r>
      <w:r w:rsidR="006148D8">
        <w:t>107</w:t>
      </w:r>
      <w:r>
        <w:t xml:space="preserve"> of 1998. An act of the Republic of South Africa that serves as the overarching environmental management legislation in the country – framework for several other specialised environmental laws.</w:t>
      </w:r>
    </w:p>
    <w:p w14:paraId="0A060491" w14:textId="77777777" w:rsidR="004F43E2" w:rsidRDefault="007B67EC" w:rsidP="00EC3DDA">
      <w:pPr>
        <w:ind w:left="720" w:hanging="720"/>
      </w:pPr>
      <w:r>
        <w:lastRenderedPageBreak/>
        <w:t>PPI</w:t>
      </w:r>
      <w:r w:rsidR="00BF272A">
        <w:t xml:space="preserve"> </w:t>
      </w:r>
      <w:r>
        <w:tab/>
        <w:t>Producer Price Index</w:t>
      </w:r>
      <w:r w:rsidR="00741BD6">
        <w:t xml:space="preserve">. </w:t>
      </w:r>
      <w:r w:rsidR="00741BD6" w:rsidRPr="00741BD6">
        <w:t xml:space="preserve">The PPI </w:t>
      </w:r>
      <w:r w:rsidR="00741BD6">
        <w:t>records</w:t>
      </w:r>
      <w:r w:rsidR="00741BD6" w:rsidRPr="00741BD6">
        <w:t xml:space="preserve"> changes in </w:t>
      </w:r>
      <w:r w:rsidR="00741BD6">
        <w:t xml:space="preserve">the </w:t>
      </w:r>
      <w:r w:rsidR="00741BD6" w:rsidRPr="00741BD6">
        <w:t>producer prices of locally produced commodities</w:t>
      </w:r>
      <w:r w:rsidR="00741BD6">
        <w:t>,</w:t>
      </w:r>
      <w:r w:rsidR="00741BD6" w:rsidRPr="00741BD6">
        <w:t xml:space="preserve"> including exports</w:t>
      </w:r>
      <w:r w:rsidR="00741BD6">
        <w:t>.</w:t>
      </w:r>
    </w:p>
    <w:p w14:paraId="7190FA75" w14:textId="5D58A253" w:rsidR="00BF272A" w:rsidRDefault="004F43E2" w:rsidP="00EC3DDA">
      <w:pPr>
        <w:ind w:left="720" w:hanging="720"/>
      </w:pPr>
      <w:r>
        <w:t>PPPFA</w:t>
      </w:r>
      <w:r>
        <w:tab/>
        <w:t xml:space="preserve">Preferential Procurement Policy Framework Act. (Act 5 of 2000) An Act of the Republic of South Africa. </w:t>
      </w:r>
    </w:p>
    <w:p w14:paraId="19C45AEC" w14:textId="4E16C73B" w:rsidR="00CC6781" w:rsidRDefault="00CC6781" w:rsidP="00AE71A0">
      <w:r>
        <w:t>US</w:t>
      </w:r>
      <w:r w:rsidR="00946703">
        <w:t>$</w:t>
      </w:r>
      <w:r>
        <w:tab/>
        <w:t>United States Dollars</w:t>
      </w:r>
    </w:p>
    <w:p w14:paraId="11B3B1C0" w14:textId="44890497" w:rsidR="009B762F" w:rsidRPr="00203170" w:rsidRDefault="009B762F" w:rsidP="00AE71A0">
      <w:pPr>
        <w:rPr>
          <w:rFonts w:asciiTheme="majorHAnsi" w:eastAsiaTheme="majorEastAsia" w:hAnsiTheme="majorHAnsi" w:cstheme="majorBidi"/>
          <w:b/>
          <w:bCs/>
          <w:color w:val="365F91" w:themeColor="accent1" w:themeShade="BF"/>
          <w:szCs w:val="24"/>
        </w:rPr>
      </w:pPr>
      <w:r w:rsidRPr="00203170">
        <w:rPr>
          <w:szCs w:val="24"/>
        </w:rPr>
        <w:br w:type="page"/>
      </w:r>
    </w:p>
    <w:p w14:paraId="72E6A863" w14:textId="78EC061E" w:rsidR="00443D2B" w:rsidRPr="002328EF" w:rsidRDefault="00443D2B" w:rsidP="002D6002">
      <w:pPr>
        <w:pStyle w:val="Heading1"/>
      </w:pPr>
      <w:bookmarkStart w:id="7" w:name="_Toc519445705"/>
      <w:r w:rsidRPr="002328EF">
        <w:lastRenderedPageBreak/>
        <w:t>Introduction</w:t>
      </w:r>
      <w:bookmarkEnd w:id="2"/>
      <w:bookmarkEnd w:id="7"/>
      <w:r w:rsidRPr="002328EF">
        <w:t xml:space="preserve"> </w:t>
      </w:r>
    </w:p>
    <w:p w14:paraId="6B6433FD" w14:textId="7DA16135" w:rsidR="00443D2B" w:rsidRPr="00203170" w:rsidRDefault="00443D2B" w:rsidP="00AE71A0">
      <w:pPr>
        <w:rPr>
          <w:szCs w:val="24"/>
        </w:rPr>
      </w:pPr>
      <w:r w:rsidRPr="00203170">
        <w:rPr>
          <w:szCs w:val="24"/>
        </w:rPr>
        <w:t xml:space="preserve">Mining has historically been a cornerstone of the South African economy. An unfortunate legacy of more than a century of mining in South Africa is the existence of a significant number of abandoned mines. One of the mechanisms employed by the government of South Africa to curb future risks of mining is the legal requirement for a mining company to make financial provision </w:t>
      </w:r>
      <w:r w:rsidR="00946703" w:rsidRPr="00203170">
        <w:rPr>
          <w:szCs w:val="24"/>
        </w:rPr>
        <w:t xml:space="preserve">to fund mine closure </w:t>
      </w:r>
      <w:r w:rsidRPr="00203170">
        <w:rPr>
          <w:szCs w:val="24"/>
        </w:rPr>
        <w:t xml:space="preserve">and so to internalise the risk of the environmental impacts of mining. </w:t>
      </w:r>
      <w:r w:rsidR="00946703" w:rsidRPr="00203170">
        <w:rPr>
          <w:szCs w:val="24"/>
        </w:rPr>
        <w:t>It also provides and build</w:t>
      </w:r>
      <w:r w:rsidR="00745799">
        <w:rPr>
          <w:szCs w:val="24"/>
        </w:rPr>
        <w:t>s</w:t>
      </w:r>
      <w:r w:rsidR="00946703" w:rsidRPr="00203170">
        <w:rPr>
          <w:szCs w:val="24"/>
        </w:rPr>
        <w:t xml:space="preserve"> up a fund </w:t>
      </w:r>
      <w:r w:rsidR="00745799">
        <w:rPr>
          <w:szCs w:val="24"/>
        </w:rPr>
        <w:t xml:space="preserve">to pay for final closure of the mine and a form of insurance </w:t>
      </w:r>
      <w:r w:rsidR="00946703" w:rsidRPr="00203170">
        <w:rPr>
          <w:szCs w:val="24"/>
        </w:rPr>
        <w:t>in case a company cannot close the mine itself. The need for financial provision or financial assurances to reduce the risk to governments and internalise the environmental risks of mining is an established international principle and most mining jurisdictions require this as a precondition to granting a mining right.</w:t>
      </w:r>
    </w:p>
    <w:p w14:paraId="7E2B6558" w14:textId="2015E313" w:rsidR="00443D2B" w:rsidRPr="00203170" w:rsidRDefault="00443D2B" w:rsidP="00AE71A0">
      <w:pPr>
        <w:rPr>
          <w:szCs w:val="24"/>
        </w:rPr>
      </w:pPr>
      <w:r w:rsidRPr="00203170">
        <w:rPr>
          <w:szCs w:val="24"/>
        </w:rPr>
        <w:t>In 2004, the Department of Minerals and Energy (DME, predecessor to the current Department of Mineral Resources - DM</w:t>
      </w:r>
      <w:r w:rsidR="00745799">
        <w:rPr>
          <w:szCs w:val="24"/>
        </w:rPr>
        <w:t>R</w:t>
      </w:r>
      <w:r w:rsidRPr="00203170">
        <w:rPr>
          <w:szCs w:val="24"/>
        </w:rPr>
        <w:t>) published a guideline to calculate the amount that a mining right holder would require for financial provision at mine closure. This guideline was based on several international guide</w:t>
      </w:r>
      <w:r w:rsidR="00946703" w:rsidRPr="00203170">
        <w:rPr>
          <w:szCs w:val="24"/>
        </w:rPr>
        <w:t>line</w:t>
      </w:r>
      <w:r w:rsidRPr="00203170">
        <w:rPr>
          <w:szCs w:val="24"/>
        </w:rPr>
        <w:t>s available at the time and introduced an approach of using predetermined rates per mine component to be rehabilitated at closure</w:t>
      </w:r>
      <w:r w:rsidR="00583B31" w:rsidRPr="00203170">
        <w:rPr>
          <w:szCs w:val="24"/>
        </w:rPr>
        <w:t xml:space="preserve">, </w:t>
      </w:r>
      <w:r w:rsidRPr="00203170">
        <w:rPr>
          <w:szCs w:val="24"/>
        </w:rPr>
        <w:t xml:space="preserve">called the ‘rules-based approach’ to determine the quantum of financial provision. </w:t>
      </w:r>
    </w:p>
    <w:p w14:paraId="6B3A08F6" w14:textId="7777D477" w:rsidR="0047689B" w:rsidRDefault="00443D2B" w:rsidP="00AE71A0">
      <w:pPr>
        <w:rPr>
          <w:szCs w:val="24"/>
        </w:rPr>
      </w:pPr>
      <w:r w:rsidRPr="00203170">
        <w:rPr>
          <w:szCs w:val="24"/>
        </w:rPr>
        <w:t>Th</w:t>
      </w:r>
      <w:r w:rsidR="00583B31" w:rsidRPr="00203170">
        <w:rPr>
          <w:szCs w:val="24"/>
        </w:rPr>
        <w:t xml:space="preserve">is </w:t>
      </w:r>
      <w:r w:rsidR="00745799">
        <w:rPr>
          <w:szCs w:val="24"/>
        </w:rPr>
        <w:t>research</w:t>
      </w:r>
      <w:r w:rsidR="00583B31" w:rsidRPr="00203170">
        <w:rPr>
          <w:szCs w:val="24"/>
        </w:rPr>
        <w:t xml:space="preserve"> </w:t>
      </w:r>
      <w:r w:rsidRPr="00203170">
        <w:rPr>
          <w:szCs w:val="24"/>
        </w:rPr>
        <w:t>review</w:t>
      </w:r>
      <w:r w:rsidR="00745799">
        <w:rPr>
          <w:szCs w:val="24"/>
        </w:rPr>
        <w:t>s</w:t>
      </w:r>
      <w:r w:rsidRPr="00203170">
        <w:rPr>
          <w:szCs w:val="24"/>
        </w:rPr>
        <w:t xml:space="preserve"> the guideline published in 2004 by the DME</w:t>
      </w:r>
      <w:r w:rsidR="00330F95" w:rsidRPr="00203170">
        <w:rPr>
          <w:rStyle w:val="FootnoteReference"/>
          <w:szCs w:val="24"/>
        </w:rPr>
        <w:footnoteReference w:id="1"/>
      </w:r>
      <w:r w:rsidRPr="00203170">
        <w:rPr>
          <w:szCs w:val="24"/>
        </w:rPr>
        <w:t xml:space="preserve">, (Department of Minerals &amp; Energy, 2004) specifically </w:t>
      </w:r>
      <w:r w:rsidR="00583B31" w:rsidRPr="00203170">
        <w:rPr>
          <w:szCs w:val="24"/>
        </w:rPr>
        <w:t xml:space="preserve">focussing on the </w:t>
      </w:r>
      <w:r w:rsidRPr="00203170">
        <w:rPr>
          <w:szCs w:val="24"/>
        </w:rPr>
        <w:t xml:space="preserve">“rules-based approach” for determining the quantum of financial provision. This </w:t>
      </w:r>
      <w:r w:rsidR="00745799">
        <w:rPr>
          <w:szCs w:val="24"/>
        </w:rPr>
        <w:t>guideline</w:t>
      </w:r>
      <w:r w:rsidRPr="00203170">
        <w:rPr>
          <w:szCs w:val="24"/>
        </w:rPr>
        <w:t xml:space="preserve"> has often been misapplied in practice (Hewitson, 2012) and has been superseded in its application by the publication of new </w:t>
      </w:r>
      <w:r w:rsidR="00330F95" w:rsidRPr="00203170">
        <w:rPr>
          <w:szCs w:val="24"/>
        </w:rPr>
        <w:t xml:space="preserve">mine financial provision </w:t>
      </w:r>
      <w:r w:rsidRPr="00203170">
        <w:rPr>
          <w:szCs w:val="24"/>
        </w:rPr>
        <w:t>guidelines by the Department of Environmental Affairs in November 201</w:t>
      </w:r>
      <w:r w:rsidR="00330F95" w:rsidRPr="00203170">
        <w:rPr>
          <w:szCs w:val="24"/>
        </w:rPr>
        <w:t>7</w:t>
      </w:r>
      <w:r w:rsidRPr="00203170">
        <w:rPr>
          <w:szCs w:val="24"/>
        </w:rPr>
        <w:t>. (</w:t>
      </w:r>
      <w:r w:rsidR="004F43E2" w:rsidRPr="004F43E2">
        <w:rPr>
          <w:szCs w:val="24"/>
        </w:rPr>
        <w:t>Department of Environmental Affairs</w:t>
      </w:r>
      <w:r w:rsidRPr="00203170">
        <w:rPr>
          <w:szCs w:val="24"/>
        </w:rPr>
        <w:t>, 201</w:t>
      </w:r>
      <w:r w:rsidR="00330F95" w:rsidRPr="00203170">
        <w:rPr>
          <w:szCs w:val="24"/>
        </w:rPr>
        <w:t>7</w:t>
      </w:r>
      <w:r w:rsidRPr="00203170">
        <w:rPr>
          <w:szCs w:val="24"/>
        </w:rPr>
        <w:t xml:space="preserve">) </w:t>
      </w:r>
      <w:r w:rsidR="00745799">
        <w:rPr>
          <w:szCs w:val="24"/>
        </w:rPr>
        <w:t xml:space="preserve">The approach is </w:t>
      </w:r>
      <w:r w:rsidRPr="00203170">
        <w:rPr>
          <w:szCs w:val="24"/>
        </w:rPr>
        <w:t xml:space="preserve">to use actual mine rehabilitation </w:t>
      </w:r>
      <w:r w:rsidR="00583B31" w:rsidRPr="00203170">
        <w:rPr>
          <w:szCs w:val="24"/>
        </w:rPr>
        <w:t xml:space="preserve">project </w:t>
      </w:r>
      <w:r w:rsidRPr="00203170">
        <w:rPr>
          <w:szCs w:val="24"/>
        </w:rPr>
        <w:t>data to review the guideline values and to</w:t>
      </w:r>
      <w:r w:rsidR="00330F95" w:rsidRPr="00203170">
        <w:rPr>
          <w:szCs w:val="24"/>
        </w:rPr>
        <w:t xml:space="preserve"> </w:t>
      </w:r>
      <w:r w:rsidR="00006AEC">
        <w:rPr>
          <w:szCs w:val="24"/>
        </w:rPr>
        <w:t>d</w:t>
      </w:r>
      <w:r w:rsidR="00330F95" w:rsidRPr="00203170">
        <w:rPr>
          <w:szCs w:val="24"/>
        </w:rPr>
        <w:t>raw inferences of the rate at which mines which did follow the guideline rate over the years from 200</w:t>
      </w:r>
      <w:r w:rsidR="00745799">
        <w:rPr>
          <w:szCs w:val="24"/>
        </w:rPr>
        <w:t>5</w:t>
      </w:r>
      <w:r w:rsidR="00330F95" w:rsidRPr="00203170">
        <w:rPr>
          <w:szCs w:val="24"/>
        </w:rPr>
        <w:t xml:space="preserve"> to 2017 were costing their closure</w:t>
      </w:r>
      <w:r w:rsidR="00745799">
        <w:rPr>
          <w:szCs w:val="24"/>
        </w:rPr>
        <w:t xml:space="preserve"> liabilities</w:t>
      </w:r>
      <w:r w:rsidR="00330F95" w:rsidRPr="00203170">
        <w:rPr>
          <w:szCs w:val="24"/>
        </w:rPr>
        <w:t xml:space="preserve">. </w:t>
      </w:r>
      <w:r w:rsidR="0044595D">
        <w:rPr>
          <w:szCs w:val="24"/>
        </w:rPr>
        <w:t xml:space="preserve">This </w:t>
      </w:r>
      <w:r w:rsidRPr="00203170">
        <w:rPr>
          <w:szCs w:val="24"/>
        </w:rPr>
        <w:t xml:space="preserve">comparison </w:t>
      </w:r>
      <w:r w:rsidR="0044595D">
        <w:rPr>
          <w:szCs w:val="24"/>
        </w:rPr>
        <w:t>may</w:t>
      </w:r>
      <w:r w:rsidR="00583B31" w:rsidRPr="00203170">
        <w:rPr>
          <w:szCs w:val="24"/>
        </w:rPr>
        <w:t xml:space="preserve"> </w:t>
      </w:r>
      <w:r w:rsidR="00330F95" w:rsidRPr="00203170">
        <w:rPr>
          <w:szCs w:val="24"/>
        </w:rPr>
        <w:t>have value in determining if the DM</w:t>
      </w:r>
      <w:r w:rsidR="00A67147">
        <w:rPr>
          <w:szCs w:val="24"/>
        </w:rPr>
        <w:t>E</w:t>
      </w:r>
      <w:r w:rsidRPr="00203170">
        <w:rPr>
          <w:szCs w:val="24"/>
        </w:rPr>
        <w:t xml:space="preserve"> guideline and rules</w:t>
      </w:r>
      <w:r w:rsidR="00812F54" w:rsidRPr="00203170">
        <w:rPr>
          <w:szCs w:val="24"/>
        </w:rPr>
        <w:t>-</w:t>
      </w:r>
      <w:r w:rsidRPr="00203170">
        <w:rPr>
          <w:szCs w:val="24"/>
        </w:rPr>
        <w:t xml:space="preserve">based approach </w:t>
      </w:r>
      <w:r w:rsidR="00330F95" w:rsidRPr="00203170">
        <w:rPr>
          <w:szCs w:val="24"/>
        </w:rPr>
        <w:t xml:space="preserve">was a </w:t>
      </w:r>
      <w:r w:rsidRPr="00203170">
        <w:rPr>
          <w:szCs w:val="24"/>
        </w:rPr>
        <w:t>valid</w:t>
      </w:r>
      <w:r w:rsidR="00330F95" w:rsidRPr="00203170">
        <w:rPr>
          <w:szCs w:val="24"/>
        </w:rPr>
        <w:t xml:space="preserve"> tool</w:t>
      </w:r>
      <w:r w:rsidRPr="00203170">
        <w:rPr>
          <w:szCs w:val="24"/>
        </w:rPr>
        <w:t xml:space="preserve"> to arrive at a reasonable cost estimate</w:t>
      </w:r>
      <w:r w:rsidR="00330F95" w:rsidRPr="00203170">
        <w:rPr>
          <w:szCs w:val="24"/>
        </w:rPr>
        <w:t xml:space="preserve"> for closure. </w:t>
      </w:r>
      <w:r w:rsidRPr="00203170">
        <w:rPr>
          <w:szCs w:val="24"/>
        </w:rPr>
        <w:t xml:space="preserve">The publication of actual mine rehabilitation cost data is considered valuable in itself as there is a </w:t>
      </w:r>
      <w:r w:rsidRPr="00203170">
        <w:rPr>
          <w:szCs w:val="24"/>
        </w:rPr>
        <w:lastRenderedPageBreak/>
        <w:t xml:space="preserve">general dearth of this information in the public domain. Whether the research proves correlation with the </w:t>
      </w:r>
      <w:r w:rsidR="0044595D">
        <w:rPr>
          <w:szCs w:val="24"/>
        </w:rPr>
        <w:t xml:space="preserve">guideline </w:t>
      </w:r>
      <w:r w:rsidRPr="00203170">
        <w:rPr>
          <w:szCs w:val="24"/>
        </w:rPr>
        <w:t xml:space="preserve">rates published compared to actual tender values or not, the outcomes may be useful for possible </w:t>
      </w:r>
      <w:r w:rsidR="0044595D">
        <w:rPr>
          <w:szCs w:val="24"/>
        </w:rPr>
        <w:t>future</w:t>
      </w:r>
      <w:r w:rsidRPr="00203170">
        <w:rPr>
          <w:szCs w:val="24"/>
        </w:rPr>
        <w:t xml:space="preserve"> publications to </w:t>
      </w:r>
      <w:r w:rsidR="0044595D">
        <w:rPr>
          <w:szCs w:val="24"/>
        </w:rPr>
        <w:t xml:space="preserve">support </w:t>
      </w:r>
      <w:r w:rsidRPr="00203170">
        <w:rPr>
          <w:szCs w:val="24"/>
        </w:rPr>
        <w:t xml:space="preserve">the new financial provision regulations or perhaps an updated </w:t>
      </w:r>
      <w:r w:rsidR="0044595D">
        <w:rPr>
          <w:szCs w:val="24"/>
        </w:rPr>
        <w:t xml:space="preserve">mine closure </w:t>
      </w:r>
      <w:r w:rsidR="00583B31" w:rsidRPr="00203170">
        <w:rPr>
          <w:szCs w:val="24"/>
        </w:rPr>
        <w:t xml:space="preserve">cost estimation </w:t>
      </w:r>
      <w:r w:rsidRPr="00203170">
        <w:rPr>
          <w:szCs w:val="24"/>
        </w:rPr>
        <w:t>guideline.</w:t>
      </w:r>
    </w:p>
    <w:p w14:paraId="66B40714" w14:textId="4C6B0912" w:rsidR="00006AEC" w:rsidRPr="002328EF" w:rsidRDefault="00006AEC" w:rsidP="00063C48">
      <w:pPr>
        <w:pStyle w:val="Heading2"/>
      </w:pPr>
      <w:bookmarkStart w:id="8" w:name="_Toc519445706"/>
      <w:r w:rsidRPr="002328EF">
        <w:t>Research aim and objectives</w:t>
      </w:r>
      <w:bookmarkEnd w:id="8"/>
      <w:r w:rsidRPr="002328EF">
        <w:t xml:space="preserve"> </w:t>
      </w:r>
    </w:p>
    <w:p w14:paraId="1CAEA3CB" w14:textId="203D6A3D" w:rsidR="00F11C97" w:rsidRPr="00F11C97" w:rsidRDefault="00F11C97" w:rsidP="00AE71A0">
      <w:r w:rsidRPr="00F11C97">
        <w:t xml:space="preserve">This research </w:t>
      </w:r>
      <w:r w:rsidR="0044595D">
        <w:t xml:space="preserve">report </w:t>
      </w:r>
      <w:r w:rsidRPr="00F11C97">
        <w:t xml:space="preserve">aims to </w:t>
      </w:r>
      <w:r>
        <w:t xml:space="preserve">determine if </w:t>
      </w:r>
      <w:r w:rsidRPr="00F11C97">
        <w:t>the values in the DME’s financial provision guideline</w:t>
      </w:r>
      <w:r>
        <w:t xml:space="preserve"> </w:t>
      </w:r>
      <w:r w:rsidRPr="00F11C97">
        <w:t>are an accurate and reasonable reflection of the real cost of mine rehabilitation</w:t>
      </w:r>
      <w:r>
        <w:t xml:space="preserve">. This will be achieved by </w:t>
      </w:r>
      <w:r w:rsidR="00F82E86">
        <w:t xml:space="preserve">a </w:t>
      </w:r>
      <w:r w:rsidRPr="00F11C97">
        <w:t>compar</w:t>
      </w:r>
      <w:r w:rsidR="00F82E86">
        <w:t xml:space="preserve">ison of the </w:t>
      </w:r>
      <w:r w:rsidRPr="00F11C97">
        <w:t>real costs</w:t>
      </w:r>
      <w:r w:rsidR="00F82E86">
        <w:t xml:space="preserve"> for mine rehabilitation projects </w:t>
      </w:r>
      <w:r w:rsidRPr="00F11C97">
        <w:t xml:space="preserve">as tendered </w:t>
      </w:r>
      <w:r w:rsidR="00F82E86">
        <w:t xml:space="preserve">for </w:t>
      </w:r>
      <w:r w:rsidRPr="00F11C97">
        <w:t xml:space="preserve">State rehabilitation projects. </w:t>
      </w:r>
      <w:r w:rsidR="0044595D">
        <w:t xml:space="preserve">This </w:t>
      </w:r>
      <w:r w:rsidR="00F82E86">
        <w:t>analysis allow</w:t>
      </w:r>
      <w:r w:rsidR="0044595D">
        <w:t xml:space="preserve">s </w:t>
      </w:r>
      <w:r w:rsidRPr="00F11C97">
        <w:t>conclusions o</w:t>
      </w:r>
      <w:r w:rsidR="00C95F4C">
        <w:t>f</w:t>
      </w:r>
      <w:r w:rsidRPr="00F11C97">
        <w:t xml:space="preserve"> the probable </w:t>
      </w:r>
      <w:r w:rsidR="00C95F4C">
        <w:t xml:space="preserve">past </w:t>
      </w:r>
      <w:r w:rsidRPr="00F11C97">
        <w:t xml:space="preserve">and </w:t>
      </w:r>
      <w:r w:rsidR="00C95F4C">
        <w:t xml:space="preserve">current </w:t>
      </w:r>
      <w:r w:rsidRPr="00F11C97">
        <w:t xml:space="preserve">costs for surface mine rehabilitation and the applicability of published </w:t>
      </w:r>
      <w:r w:rsidR="00F82E86">
        <w:t xml:space="preserve">DME guideline </w:t>
      </w:r>
      <w:r w:rsidRPr="00F11C97">
        <w:t xml:space="preserve">rates to actual </w:t>
      </w:r>
      <w:r w:rsidR="00F82E86">
        <w:t xml:space="preserve">mine rehabilitation </w:t>
      </w:r>
      <w:r w:rsidRPr="00F11C97">
        <w:t xml:space="preserve">costs. </w:t>
      </w:r>
      <w:r w:rsidR="00F82E86">
        <w:t xml:space="preserve">As an outcome of this analysis, </w:t>
      </w:r>
      <w:r w:rsidRPr="00F11C97">
        <w:t>the following key question</w:t>
      </w:r>
      <w:r w:rsidR="00F82E86">
        <w:t xml:space="preserve">s could potentially be resolved: </w:t>
      </w:r>
    </w:p>
    <w:p w14:paraId="72CE69B3" w14:textId="6921F3F5" w:rsidR="00F11C97" w:rsidRPr="00F82E86" w:rsidRDefault="00F82E86" w:rsidP="009F013B">
      <w:pPr>
        <w:pStyle w:val="ListParagraph"/>
        <w:numPr>
          <w:ilvl w:val="0"/>
          <w:numId w:val="27"/>
        </w:numPr>
      </w:pPr>
      <w:r>
        <w:t>D</w:t>
      </w:r>
      <w:r w:rsidR="00C95F4C">
        <w:t>id</w:t>
      </w:r>
      <w:r w:rsidR="00F11C97" w:rsidRPr="00F82E86">
        <w:t xml:space="preserve"> the guideline values published by the DME in 2004 </w:t>
      </w:r>
      <w:r>
        <w:t xml:space="preserve">provide useful guidance to calculate current mine </w:t>
      </w:r>
      <w:r w:rsidR="00F11C97" w:rsidRPr="00F82E86">
        <w:t xml:space="preserve">rehabilitation costs </w:t>
      </w:r>
      <w:r w:rsidR="00C95F4C">
        <w:t xml:space="preserve">in the period from 2005 – 2016 </w:t>
      </w:r>
      <w:r>
        <w:t xml:space="preserve">when </w:t>
      </w:r>
      <w:r w:rsidR="00F11C97" w:rsidRPr="00F82E86">
        <w:t>compared to actual tender data</w:t>
      </w:r>
      <w:r w:rsidRPr="00F82E86">
        <w:t>?</w:t>
      </w:r>
    </w:p>
    <w:p w14:paraId="065C8397" w14:textId="038C6876" w:rsidR="00183484" w:rsidRDefault="00F11C97" w:rsidP="009F013B">
      <w:pPr>
        <w:pStyle w:val="ListParagraph"/>
        <w:numPr>
          <w:ilvl w:val="0"/>
          <w:numId w:val="27"/>
        </w:numPr>
      </w:pPr>
      <w:r w:rsidRPr="00F82E86">
        <w:t>In what significant areas d</w:t>
      </w:r>
      <w:r w:rsidR="00C95F4C">
        <w:t>id</w:t>
      </w:r>
      <w:r w:rsidRPr="00F82E86">
        <w:t xml:space="preserve"> the guideline values deviate from</w:t>
      </w:r>
      <w:r w:rsidR="00F82E86">
        <w:t xml:space="preserve">/ concur with </w:t>
      </w:r>
      <w:r w:rsidRPr="00F82E86">
        <w:t xml:space="preserve">actual mine closure costs?  </w:t>
      </w:r>
    </w:p>
    <w:p w14:paraId="78025D0F" w14:textId="14C5AC30" w:rsidR="00745799" w:rsidRPr="00F82E86" w:rsidRDefault="00745799" w:rsidP="009F013B">
      <w:pPr>
        <w:pStyle w:val="ListParagraph"/>
        <w:numPr>
          <w:ilvl w:val="0"/>
          <w:numId w:val="27"/>
        </w:numPr>
      </w:pPr>
      <w:r>
        <w:t xml:space="preserve">Are mines which </w:t>
      </w:r>
      <w:r w:rsidR="00C95F4C">
        <w:t>diligently applied</w:t>
      </w:r>
      <w:r>
        <w:t xml:space="preserve"> the DME guidelines in the period from 2005 to 2016 over- or underfunded? </w:t>
      </w:r>
    </w:p>
    <w:p w14:paraId="143D104E" w14:textId="00CC4BD6" w:rsidR="00183484" w:rsidRDefault="00183484" w:rsidP="00AE71A0">
      <w:pPr>
        <w:rPr>
          <w:szCs w:val="24"/>
        </w:rPr>
      </w:pPr>
      <w:r w:rsidRPr="00183484">
        <w:rPr>
          <w:szCs w:val="24"/>
        </w:rPr>
        <w:t xml:space="preserve">The focus of this report lies in the comparison of the values of mine financial provision made or probably made by mines, assuming they used the formulae of the DME guideline until 2016, with actual mine closure costs. It is believed this comparison can give an indication of whether the financial provisions of those mines are likely to be under-funded or not. This might give mines and government agencies alike an insight into past funding practices compared to the real cost of rehabilitation. In comparing these values, new rules or guidelines can perhaps be drafted for future mine rehabilitation cost provision calculations.  </w:t>
      </w:r>
    </w:p>
    <w:p w14:paraId="3885FFDF" w14:textId="28FEDC56" w:rsidR="009F013B" w:rsidRDefault="009F013B">
      <w:pPr>
        <w:spacing w:after="200" w:line="276" w:lineRule="auto"/>
        <w:jc w:val="left"/>
        <w:rPr>
          <w:szCs w:val="24"/>
        </w:rPr>
      </w:pPr>
      <w:r>
        <w:rPr>
          <w:szCs w:val="24"/>
        </w:rPr>
        <w:br w:type="page"/>
      </w:r>
    </w:p>
    <w:p w14:paraId="50CCD5DB" w14:textId="3D274311" w:rsidR="00006AEC" w:rsidRPr="002328EF" w:rsidRDefault="00006AEC" w:rsidP="00063C48">
      <w:pPr>
        <w:pStyle w:val="Heading2"/>
      </w:pPr>
      <w:bookmarkStart w:id="9" w:name="_Toc507233501"/>
      <w:bookmarkStart w:id="10" w:name="_Toc507242315"/>
      <w:bookmarkStart w:id="11" w:name="_Toc507244131"/>
      <w:bookmarkStart w:id="12" w:name="_Toc507250023"/>
      <w:bookmarkStart w:id="13" w:name="_Toc507264672"/>
      <w:bookmarkStart w:id="14" w:name="_Toc507300831"/>
      <w:bookmarkStart w:id="15" w:name="_Toc507300997"/>
      <w:bookmarkStart w:id="16" w:name="_Toc507301257"/>
      <w:bookmarkStart w:id="17" w:name="_Toc507301318"/>
      <w:bookmarkStart w:id="18" w:name="_Toc507317946"/>
      <w:bookmarkStart w:id="19" w:name="_Toc507318995"/>
      <w:bookmarkStart w:id="20" w:name="_Toc507319059"/>
      <w:bookmarkStart w:id="21" w:name="_Toc507233502"/>
      <w:bookmarkStart w:id="22" w:name="_Toc507242316"/>
      <w:bookmarkStart w:id="23" w:name="_Toc507244132"/>
      <w:bookmarkStart w:id="24" w:name="_Toc507250024"/>
      <w:bookmarkStart w:id="25" w:name="_Toc507264673"/>
      <w:bookmarkStart w:id="26" w:name="_Toc507300832"/>
      <w:bookmarkStart w:id="27" w:name="_Toc507300998"/>
      <w:bookmarkStart w:id="28" w:name="_Toc507301258"/>
      <w:bookmarkStart w:id="29" w:name="_Toc507301319"/>
      <w:bookmarkStart w:id="30" w:name="_Toc507317947"/>
      <w:bookmarkStart w:id="31" w:name="_Toc507318996"/>
      <w:bookmarkStart w:id="32" w:name="_Toc507319060"/>
      <w:bookmarkStart w:id="33" w:name="_Toc51944570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2328EF">
        <w:lastRenderedPageBreak/>
        <w:t>Outline of this research report</w:t>
      </w:r>
      <w:bookmarkEnd w:id="33"/>
      <w:r w:rsidRPr="002328EF">
        <w:t xml:space="preserve"> </w:t>
      </w:r>
    </w:p>
    <w:p w14:paraId="2256296C" w14:textId="6E5E617D" w:rsidR="00006AEC" w:rsidRPr="00266E60" w:rsidRDefault="00F82E86" w:rsidP="00AE71A0">
      <w:r w:rsidRPr="00266E60">
        <w:t xml:space="preserve">This </w:t>
      </w:r>
      <w:r w:rsidR="00C95F4C" w:rsidRPr="00266E60">
        <w:t xml:space="preserve">research </w:t>
      </w:r>
      <w:r w:rsidRPr="00266E60">
        <w:t xml:space="preserve">report is structured over 6 chapters as follows: </w:t>
      </w:r>
    </w:p>
    <w:p w14:paraId="11A7FC22" w14:textId="01163EED" w:rsidR="00F82E86" w:rsidRPr="00266E60" w:rsidRDefault="00F82E86" w:rsidP="009F013B">
      <w:pPr>
        <w:pStyle w:val="ListParagraph"/>
        <w:numPr>
          <w:ilvl w:val="0"/>
          <w:numId w:val="28"/>
        </w:numPr>
      </w:pPr>
      <w:r w:rsidRPr="00266E60">
        <w:t>Chapter 1 is an introduction to the report, the background to the problem</w:t>
      </w:r>
      <w:r w:rsidR="00C95F4C" w:rsidRPr="00266E60">
        <w:t>,</w:t>
      </w:r>
      <w:r w:rsidRPr="00266E60">
        <w:t xml:space="preserve"> </w:t>
      </w:r>
      <w:r w:rsidR="00C95F4C" w:rsidRPr="00266E60">
        <w:t xml:space="preserve">the rationale therefor and </w:t>
      </w:r>
      <w:r w:rsidRPr="00266E60">
        <w:t xml:space="preserve">the </w:t>
      </w:r>
      <w:r w:rsidR="00C95F4C" w:rsidRPr="00266E60">
        <w:t>research aims and objectives</w:t>
      </w:r>
      <w:r w:rsidRPr="00266E60">
        <w:t xml:space="preserve">. </w:t>
      </w:r>
    </w:p>
    <w:p w14:paraId="64916565" w14:textId="1E4B389A" w:rsidR="00F82E86" w:rsidRPr="00266E60" w:rsidRDefault="00F82E86" w:rsidP="009F013B">
      <w:pPr>
        <w:pStyle w:val="ListParagraph"/>
        <w:numPr>
          <w:ilvl w:val="0"/>
          <w:numId w:val="28"/>
        </w:numPr>
      </w:pPr>
      <w:r w:rsidRPr="00266E60">
        <w:t xml:space="preserve">Chapter 2 is the literature review in which the issue of financial provision for mine closure is addressed from a global perspective and then narrowed to a South African focus. The problems that </w:t>
      </w:r>
      <w:r w:rsidR="00C95F4C" w:rsidRPr="00266E60">
        <w:t xml:space="preserve">other </w:t>
      </w:r>
      <w:r w:rsidRPr="00266E60">
        <w:t xml:space="preserve">authors have noted with financial provision are also highlighted. </w:t>
      </w:r>
    </w:p>
    <w:p w14:paraId="39418864" w14:textId="16C38EDF" w:rsidR="00F82E86" w:rsidRPr="00266E60" w:rsidRDefault="00F82E86" w:rsidP="009F013B">
      <w:pPr>
        <w:pStyle w:val="ListParagraph"/>
        <w:numPr>
          <w:ilvl w:val="0"/>
          <w:numId w:val="28"/>
        </w:numPr>
      </w:pPr>
      <w:r w:rsidRPr="00266E60">
        <w:t>Chapter 3 describes the methodology followed to address the</w:t>
      </w:r>
      <w:r w:rsidR="00C95F4C" w:rsidRPr="00266E60">
        <w:t xml:space="preserve"> stated objectives </w:t>
      </w:r>
      <w:r w:rsidRPr="00266E60">
        <w:t xml:space="preserve">presented in this </w:t>
      </w:r>
      <w:r w:rsidR="00C95F4C" w:rsidRPr="00266E60">
        <w:t xml:space="preserve">research </w:t>
      </w:r>
      <w:r w:rsidRPr="00266E60">
        <w:t xml:space="preserve">report. </w:t>
      </w:r>
    </w:p>
    <w:p w14:paraId="04301517" w14:textId="54A313DA" w:rsidR="00F82E86" w:rsidRPr="00266E60" w:rsidRDefault="00F82E86" w:rsidP="009F013B">
      <w:pPr>
        <w:pStyle w:val="ListParagraph"/>
        <w:numPr>
          <w:ilvl w:val="0"/>
          <w:numId w:val="28"/>
        </w:numPr>
      </w:pPr>
      <w:r w:rsidRPr="00266E60">
        <w:t>Chapter 4 presents the results of the findings of the research work and con</w:t>
      </w:r>
      <w:r w:rsidR="00C95F4C" w:rsidRPr="00266E60">
        <w:t xml:space="preserve">stitutes </w:t>
      </w:r>
      <w:r w:rsidRPr="00266E60">
        <w:t xml:space="preserve">the main body of the work performed in this report. </w:t>
      </w:r>
    </w:p>
    <w:p w14:paraId="69485675" w14:textId="0D3C79F0" w:rsidR="00F82E86" w:rsidRPr="00266E60" w:rsidRDefault="00F82E86" w:rsidP="009F013B">
      <w:pPr>
        <w:pStyle w:val="ListParagraph"/>
        <w:numPr>
          <w:ilvl w:val="0"/>
          <w:numId w:val="28"/>
        </w:numPr>
      </w:pPr>
      <w:r w:rsidRPr="00266E60">
        <w:t xml:space="preserve">Chapter 5 provides a discussion of the findings, especially in the context of recently changed legislation around mine financial provision and the relevance of the findings in the context of this new regulatory regime. </w:t>
      </w:r>
    </w:p>
    <w:p w14:paraId="0E05F033" w14:textId="5D8DCD4C" w:rsidR="00F82E86" w:rsidRPr="00266E60" w:rsidRDefault="00F82E86" w:rsidP="009F013B">
      <w:pPr>
        <w:pStyle w:val="ListParagraph"/>
        <w:numPr>
          <w:ilvl w:val="0"/>
          <w:numId w:val="28"/>
        </w:numPr>
      </w:pPr>
      <w:r w:rsidRPr="00266E60">
        <w:t>Chapter 6 is the conclusion of the report and summarises the findings and the context of the report</w:t>
      </w:r>
      <w:r w:rsidR="00C95F4C" w:rsidRPr="00266E60">
        <w:t xml:space="preserve">. It also introduces </w:t>
      </w:r>
      <w:r w:rsidRPr="00266E60">
        <w:t xml:space="preserve">some further potential research questions and unresolved matters. </w:t>
      </w:r>
    </w:p>
    <w:p w14:paraId="09C5ED92" w14:textId="77777777" w:rsidR="00F82E86" w:rsidRDefault="00F82E86" w:rsidP="00AE71A0">
      <w:pPr>
        <w:sectPr w:rsidR="00F82E86" w:rsidSect="004321A7">
          <w:pgSz w:w="11906" w:h="16838"/>
          <w:pgMar w:top="1440" w:right="1440" w:bottom="1440" w:left="1440" w:header="709" w:footer="709" w:gutter="0"/>
          <w:cols w:space="708"/>
          <w:docGrid w:linePitch="360"/>
        </w:sectPr>
      </w:pPr>
    </w:p>
    <w:p w14:paraId="3071AC76" w14:textId="77777777" w:rsidR="009F013B" w:rsidRPr="009F013B" w:rsidRDefault="009F013B" w:rsidP="009F013B">
      <w:pPr>
        <w:pStyle w:val="ListParagraph"/>
        <w:numPr>
          <w:ilvl w:val="0"/>
          <w:numId w:val="29"/>
        </w:numPr>
        <w:rPr>
          <w:vanish/>
          <w:sz w:val="28"/>
        </w:rPr>
      </w:pPr>
      <w:bookmarkStart w:id="34" w:name="_Toc443556936"/>
      <w:bookmarkStart w:id="35" w:name="_Toc443556935"/>
    </w:p>
    <w:p w14:paraId="668A2E7D" w14:textId="433702C2" w:rsidR="00D464FB" w:rsidRPr="009F013B" w:rsidRDefault="00D464FB" w:rsidP="002D6002">
      <w:pPr>
        <w:pStyle w:val="Heading1"/>
      </w:pPr>
      <w:bookmarkStart w:id="36" w:name="_Toc519445708"/>
      <w:r w:rsidRPr="009F013B">
        <w:t>Literature review</w:t>
      </w:r>
      <w:bookmarkEnd w:id="34"/>
      <w:bookmarkEnd w:id="36"/>
    </w:p>
    <w:p w14:paraId="5E2671D6" w14:textId="62F46619" w:rsidR="00D464FB" w:rsidRPr="00203170" w:rsidRDefault="00D464FB" w:rsidP="00AE71A0">
      <w:pPr>
        <w:rPr>
          <w:szCs w:val="24"/>
        </w:rPr>
      </w:pPr>
      <w:r w:rsidRPr="00203170">
        <w:rPr>
          <w:szCs w:val="24"/>
        </w:rPr>
        <w:t xml:space="preserve">The history and impacts of mining in South Africa and the negative effects of mine closure processes that traditionally externalise the environmental risks and result in significant financial burdens, </w:t>
      </w:r>
      <w:r w:rsidR="000A1F9A">
        <w:rPr>
          <w:szCs w:val="24"/>
        </w:rPr>
        <w:t xml:space="preserve">are both </w:t>
      </w:r>
      <w:r w:rsidRPr="00203170">
        <w:rPr>
          <w:szCs w:val="24"/>
        </w:rPr>
        <w:t xml:space="preserve">well recorded. </w:t>
      </w:r>
      <w:r w:rsidR="001678D5" w:rsidRPr="00203170">
        <w:rPr>
          <w:szCs w:val="24"/>
        </w:rPr>
        <w:t>It is an accepted facet of the modern mining industry in all mining jurisdictions that companies who wish to mine or apply for a mining right must provide some form of surety</w:t>
      </w:r>
      <w:r w:rsidR="000A1F9A">
        <w:rPr>
          <w:szCs w:val="24"/>
        </w:rPr>
        <w:t>,</w:t>
      </w:r>
      <w:r w:rsidR="001678D5" w:rsidRPr="00203170">
        <w:rPr>
          <w:szCs w:val="24"/>
        </w:rPr>
        <w:t xml:space="preserve"> bond </w:t>
      </w:r>
      <w:r w:rsidR="00FB54E7">
        <w:rPr>
          <w:szCs w:val="24"/>
        </w:rPr>
        <w:t xml:space="preserve">(Sassoon, 2009) </w:t>
      </w:r>
      <w:r w:rsidR="001678D5" w:rsidRPr="00203170">
        <w:rPr>
          <w:szCs w:val="24"/>
        </w:rPr>
        <w:t xml:space="preserve">or financial provision, as it is termed in </w:t>
      </w:r>
      <w:r w:rsidR="0058700E" w:rsidRPr="00203170">
        <w:rPr>
          <w:szCs w:val="24"/>
        </w:rPr>
        <w:t>S</w:t>
      </w:r>
      <w:r w:rsidR="001678D5" w:rsidRPr="00203170">
        <w:rPr>
          <w:szCs w:val="24"/>
        </w:rPr>
        <w:t>outh Africa</w:t>
      </w:r>
      <w:r w:rsidR="0058700E" w:rsidRPr="00203170">
        <w:rPr>
          <w:szCs w:val="24"/>
        </w:rPr>
        <w:t xml:space="preserve">. This serves </w:t>
      </w:r>
      <w:r w:rsidR="001678D5" w:rsidRPr="00203170">
        <w:rPr>
          <w:szCs w:val="24"/>
        </w:rPr>
        <w:t xml:space="preserve">to ensure that </w:t>
      </w:r>
      <w:r w:rsidR="008E3C00" w:rsidRPr="00203170">
        <w:rPr>
          <w:szCs w:val="24"/>
        </w:rPr>
        <w:t xml:space="preserve">governments do not shoulder all the risks of a mining venture </w:t>
      </w:r>
      <w:r w:rsidR="0058700E" w:rsidRPr="00203170">
        <w:rPr>
          <w:szCs w:val="24"/>
        </w:rPr>
        <w:t xml:space="preserve">potentially </w:t>
      </w:r>
      <w:r w:rsidR="008E3C00" w:rsidRPr="00203170">
        <w:rPr>
          <w:szCs w:val="24"/>
        </w:rPr>
        <w:t xml:space="preserve">failing and then consequently </w:t>
      </w:r>
      <w:r w:rsidR="0058700E" w:rsidRPr="00203170">
        <w:rPr>
          <w:szCs w:val="24"/>
        </w:rPr>
        <w:t xml:space="preserve">also </w:t>
      </w:r>
      <w:r w:rsidR="008E3C00" w:rsidRPr="00203170">
        <w:rPr>
          <w:szCs w:val="24"/>
        </w:rPr>
        <w:t>fail</w:t>
      </w:r>
      <w:r w:rsidR="000F6334">
        <w:rPr>
          <w:szCs w:val="24"/>
        </w:rPr>
        <w:t>ing</w:t>
      </w:r>
      <w:r w:rsidR="008E3C00" w:rsidRPr="00203170">
        <w:rPr>
          <w:szCs w:val="24"/>
        </w:rPr>
        <w:t xml:space="preserve"> to address the environmental legacy or impact of the mining that did take place. </w:t>
      </w:r>
      <w:r w:rsidR="000C7643" w:rsidRPr="00203170">
        <w:rPr>
          <w:szCs w:val="24"/>
        </w:rPr>
        <w:t xml:space="preserve">This chapter </w:t>
      </w:r>
      <w:r w:rsidR="0058700E" w:rsidRPr="00203170">
        <w:rPr>
          <w:szCs w:val="24"/>
        </w:rPr>
        <w:t xml:space="preserve">provides </w:t>
      </w:r>
      <w:r w:rsidR="000C7643" w:rsidRPr="00203170">
        <w:rPr>
          <w:szCs w:val="24"/>
        </w:rPr>
        <w:t>a look at the general need to provide funds for the environmental financial provision and then take</w:t>
      </w:r>
      <w:r w:rsidR="0058700E" w:rsidRPr="00203170">
        <w:rPr>
          <w:szCs w:val="24"/>
        </w:rPr>
        <w:t>s</w:t>
      </w:r>
      <w:r w:rsidR="000C7643" w:rsidRPr="00203170">
        <w:rPr>
          <w:szCs w:val="24"/>
        </w:rPr>
        <w:t xml:space="preserve"> a closer look at how financial provision was addressed in South Africa in the past and </w:t>
      </w:r>
      <w:r w:rsidR="0058700E" w:rsidRPr="00203170">
        <w:rPr>
          <w:szCs w:val="24"/>
        </w:rPr>
        <w:t xml:space="preserve">also </w:t>
      </w:r>
      <w:r w:rsidR="000C7643" w:rsidRPr="00203170">
        <w:rPr>
          <w:szCs w:val="24"/>
        </w:rPr>
        <w:t xml:space="preserve">how it is done currently. </w:t>
      </w:r>
      <w:r w:rsidR="00117FD6" w:rsidRPr="00203170">
        <w:rPr>
          <w:szCs w:val="24"/>
        </w:rPr>
        <w:t xml:space="preserve">The focus of this </w:t>
      </w:r>
      <w:r w:rsidR="000A1F9A">
        <w:rPr>
          <w:szCs w:val="24"/>
        </w:rPr>
        <w:t xml:space="preserve">research report </w:t>
      </w:r>
      <w:r w:rsidR="00117FD6" w:rsidRPr="00203170">
        <w:rPr>
          <w:szCs w:val="24"/>
        </w:rPr>
        <w:t>is not a general overview of the need an</w:t>
      </w:r>
      <w:r w:rsidR="00AE71DD" w:rsidRPr="00203170">
        <w:rPr>
          <w:szCs w:val="24"/>
        </w:rPr>
        <w:t>d mechanisms for financial provision for mine closure</w:t>
      </w:r>
      <w:r w:rsidR="0058700E" w:rsidRPr="00203170">
        <w:rPr>
          <w:szCs w:val="24"/>
        </w:rPr>
        <w:t>;</w:t>
      </w:r>
      <w:r w:rsidR="00AE71DD" w:rsidRPr="00203170">
        <w:rPr>
          <w:szCs w:val="24"/>
        </w:rPr>
        <w:t xml:space="preserve"> the focus is rather on the </w:t>
      </w:r>
      <w:r w:rsidR="0058700E" w:rsidRPr="00203170">
        <w:rPr>
          <w:szCs w:val="24"/>
        </w:rPr>
        <w:t xml:space="preserve">guidelines to determine the </w:t>
      </w:r>
      <w:r w:rsidR="00AE71DD" w:rsidRPr="00203170">
        <w:rPr>
          <w:szCs w:val="24"/>
        </w:rPr>
        <w:t xml:space="preserve">quantity of that provision. </w:t>
      </w:r>
      <w:r w:rsidR="000C7643" w:rsidRPr="00203170">
        <w:rPr>
          <w:szCs w:val="24"/>
        </w:rPr>
        <w:t xml:space="preserve"> </w:t>
      </w:r>
    </w:p>
    <w:p w14:paraId="0947B923" w14:textId="269A5BD9" w:rsidR="00D31E4C" w:rsidRPr="002328EF" w:rsidRDefault="009F3B1A" w:rsidP="00063C48">
      <w:pPr>
        <w:pStyle w:val="Heading2"/>
      </w:pPr>
      <w:bookmarkStart w:id="37" w:name="_Toc519445709"/>
      <w:r w:rsidRPr="002328EF">
        <w:t>O</w:t>
      </w:r>
      <w:r w:rsidR="00D31E4C" w:rsidRPr="002328EF">
        <w:t>verview of the need to make financial provision for mining projects</w:t>
      </w:r>
      <w:bookmarkEnd w:id="37"/>
    </w:p>
    <w:p w14:paraId="052548AF" w14:textId="5BF37BB7" w:rsidR="002D1309" w:rsidRPr="002D1309" w:rsidRDefault="002D1309" w:rsidP="00AE71A0">
      <w:pPr>
        <w:rPr>
          <w:szCs w:val="24"/>
        </w:rPr>
      </w:pPr>
      <w:r w:rsidRPr="002D1309">
        <w:rPr>
          <w:szCs w:val="24"/>
        </w:rPr>
        <w:t xml:space="preserve">Guidance on the philosophy and approach to financial provision for mine closure is relatively </w:t>
      </w:r>
      <w:r w:rsidR="000F6334">
        <w:rPr>
          <w:szCs w:val="24"/>
        </w:rPr>
        <w:t>abundant</w:t>
      </w:r>
      <w:r w:rsidRPr="002D1309">
        <w:rPr>
          <w:szCs w:val="24"/>
        </w:rPr>
        <w:t xml:space="preserve">. Park and Brorson (2004) reported from Swedish experiences with third party assurances for environmental performance that the existence of sound policy and the implementation of proper financial provision by a mine generally impacts positively on investor perceptions. </w:t>
      </w:r>
    </w:p>
    <w:p w14:paraId="1B3D3697" w14:textId="02620B2A" w:rsidR="002D1309" w:rsidRDefault="002D1309" w:rsidP="00AE71A0">
      <w:pPr>
        <w:rPr>
          <w:szCs w:val="24"/>
        </w:rPr>
      </w:pPr>
      <w:r w:rsidRPr="002D1309">
        <w:rPr>
          <w:szCs w:val="24"/>
        </w:rPr>
        <w:t>Laurence (2006) asserted that mines close for a variety of reasons and that mine closure plans must include legal and financial issues. He further found that the proper, planned closure of mines only occurs in a small percentage of cases and that, for a variety of reasons, the most mines close suddenly or prematurely.</w:t>
      </w:r>
    </w:p>
    <w:p w14:paraId="16641C6B" w14:textId="200D74BB" w:rsidR="00A85B56" w:rsidRPr="00203170" w:rsidRDefault="00CC6781" w:rsidP="00AE71A0">
      <w:pPr>
        <w:rPr>
          <w:szCs w:val="24"/>
        </w:rPr>
      </w:pPr>
      <w:r w:rsidRPr="00203170">
        <w:rPr>
          <w:szCs w:val="24"/>
        </w:rPr>
        <w:t xml:space="preserve">According to data published </w:t>
      </w:r>
      <w:r w:rsidR="000A050E">
        <w:rPr>
          <w:szCs w:val="24"/>
        </w:rPr>
        <w:t>f</w:t>
      </w:r>
      <w:r w:rsidRPr="00203170">
        <w:rPr>
          <w:szCs w:val="24"/>
        </w:rPr>
        <w:t xml:space="preserve">or the World Mining Congress 2017, Reichl </w:t>
      </w:r>
      <w:r w:rsidRPr="00203170">
        <w:rPr>
          <w:i/>
          <w:szCs w:val="24"/>
        </w:rPr>
        <w:t>et al</w:t>
      </w:r>
      <w:r w:rsidRPr="00203170">
        <w:rPr>
          <w:szCs w:val="24"/>
        </w:rPr>
        <w:t xml:space="preserve"> confirm that t</w:t>
      </w:r>
      <w:r w:rsidR="00A85B56" w:rsidRPr="00203170">
        <w:rPr>
          <w:szCs w:val="24"/>
        </w:rPr>
        <w:t xml:space="preserve">he world’s </w:t>
      </w:r>
      <w:r w:rsidR="002C4039" w:rsidRPr="00203170">
        <w:rPr>
          <w:szCs w:val="24"/>
        </w:rPr>
        <w:t>10</w:t>
      </w:r>
      <w:r w:rsidR="00A85B56" w:rsidRPr="00203170">
        <w:rPr>
          <w:szCs w:val="24"/>
        </w:rPr>
        <w:t xml:space="preserve"> largest mining destination</w:t>
      </w:r>
      <w:r w:rsidRPr="00203170">
        <w:rPr>
          <w:szCs w:val="24"/>
        </w:rPr>
        <w:t>s</w:t>
      </w:r>
      <w:r w:rsidR="00A85B56" w:rsidRPr="00203170">
        <w:rPr>
          <w:szCs w:val="24"/>
        </w:rPr>
        <w:t xml:space="preserve">, by </w:t>
      </w:r>
      <w:r w:rsidRPr="00203170">
        <w:rPr>
          <w:szCs w:val="24"/>
        </w:rPr>
        <w:t>US</w:t>
      </w:r>
      <w:r w:rsidR="002D1309">
        <w:rPr>
          <w:szCs w:val="24"/>
        </w:rPr>
        <w:t>$</w:t>
      </w:r>
      <w:r w:rsidRPr="00203170">
        <w:rPr>
          <w:szCs w:val="24"/>
        </w:rPr>
        <w:t xml:space="preserve"> </w:t>
      </w:r>
      <w:r w:rsidR="00A85B56" w:rsidRPr="00203170">
        <w:rPr>
          <w:szCs w:val="24"/>
        </w:rPr>
        <w:t>value of mining products (including fuel oils and bauxite</w:t>
      </w:r>
      <w:r w:rsidRPr="00203170">
        <w:rPr>
          <w:szCs w:val="24"/>
        </w:rPr>
        <w:t xml:space="preserve">) in 2016, were, in order of production value: China, USA, Russia (Asian), Saudi Arabia, Australia, Canada, India, South Africa, Brazil and Iran. </w:t>
      </w:r>
      <w:r w:rsidR="007D0389" w:rsidRPr="00203170">
        <w:rPr>
          <w:szCs w:val="24"/>
        </w:rPr>
        <w:t>Cheng and Skousen (201</w:t>
      </w:r>
      <w:r w:rsidR="00E239C8" w:rsidRPr="00203170">
        <w:rPr>
          <w:szCs w:val="24"/>
        </w:rPr>
        <w:t>7</w:t>
      </w:r>
      <w:r w:rsidR="00233EA2" w:rsidRPr="00203170">
        <w:rPr>
          <w:szCs w:val="24"/>
        </w:rPr>
        <w:t>)</w:t>
      </w:r>
      <w:r w:rsidR="007D0389" w:rsidRPr="00203170">
        <w:rPr>
          <w:szCs w:val="24"/>
        </w:rPr>
        <w:t xml:space="preserve"> confirm that most mining jurisdictions require reclamation after mining and that this requires </w:t>
      </w:r>
      <w:r w:rsidR="007D0389" w:rsidRPr="00203170">
        <w:rPr>
          <w:szCs w:val="24"/>
        </w:rPr>
        <w:lastRenderedPageBreak/>
        <w:t>posting a bond or surety upon application for the right. The</w:t>
      </w:r>
      <w:r w:rsidR="002D1309">
        <w:rPr>
          <w:szCs w:val="24"/>
        </w:rPr>
        <w:t xml:space="preserve">se 2 </w:t>
      </w:r>
      <w:r w:rsidR="007D0389" w:rsidRPr="00203170">
        <w:rPr>
          <w:szCs w:val="24"/>
        </w:rPr>
        <w:t>authors list the 6 most common mining reclamation bond types and compare the mining reclamation bond process</w:t>
      </w:r>
      <w:r w:rsidR="002D1309">
        <w:rPr>
          <w:szCs w:val="24"/>
        </w:rPr>
        <w:t xml:space="preserve">es </w:t>
      </w:r>
      <w:r w:rsidR="007D0389" w:rsidRPr="00203170">
        <w:rPr>
          <w:szCs w:val="24"/>
        </w:rPr>
        <w:t>and cost calculation models for three main mining destinations. In the USA, the Office of Surface Mining Reclamation a</w:t>
      </w:r>
      <w:r w:rsidR="00D0211C">
        <w:rPr>
          <w:szCs w:val="24"/>
        </w:rPr>
        <w:t>n</w:t>
      </w:r>
      <w:r w:rsidR="007D0389" w:rsidRPr="00203170">
        <w:rPr>
          <w:szCs w:val="24"/>
        </w:rPr>
        <w:t>d Enforcement produced a handbook to help determine the value of the bond which is broadly based on the estimated cost of reclamation. The value is based, much like the S</w:t>
      </w:r>
      <w:r w:rsidR="00233EA2" w:rsidRPr="00203170">
        <w:rPr>
          <w:szCs w:val="24"/>
        </w:rPr>
        <w:t xml:space="preserve">outh </w:t>
      </w:r>
      <w:r w:rsidR="007D0389" w:rsidRPr="00203170">
        <w:rPr>
          <w:szCs w:val="24"/>
        </w:rPr>
        <w:t>A</w:t>
      </w:r>
      <w:r w:rsidR="00233EA2" w:rsidRPr="00203170">
        <w:rPr>
          <w:szCs w:val="24"/>
        </w:rPr>
        <w:t>frican</w:t>
      </w:r>
      <w:r w:rsidR="007D0389" w:rsidRPr="00203170">
        <w:rPr>
          <w:szCs w:val="24"/>
        </w:rPr>
        <w:t xml:space="preserve"> guideline, on actual costs of al</w:t>
      </w:r>
      <w:r w:rsidR="00D269F6" w:rsidRPr="00203170">
        <w:rPr>
          <w:szCs w:val="24"/>
        </w:rPr>
        <w:t>l</w:t>
      </w:r>
      <w:r w:rsidR="007D0389" w:rsidRPr="00203170">
        <w:rPr>
          <w:szCs w:val="24"/>
        </w:rPr>
        <w:t xml:space="preserve"> </w:t>
      </w:r>
      <w:r w:rsidR="00233EA2" w:rsidRPr="00203170">
        <w:rPr>
          <w:szCs w:val="24"/>
        </w:rPr>
        <w:t xml:space="preserve">the </w:t>
      </w:r>
      <w:r w:rsidR="007D0389" w:rsidRPr="00203170">
        <w:rPr>
          <w:szCs w:val="24"/>
        </w:rPr>
        <w:t>cost components of the mine’s total rehabilitation state, preliminary and general costs</w:t>
      </w:r>
      <w:r w:rsidR="00233EA2" w:rsidRPr="00203170">
        <w:rPr>
          <w:szCs w:val="24"/>
        </w:rPr>
        <w:t xml:space="preserve"> of a rehabilitation project</w:t>
      </w:r>
      <w:r w:rsidR="007D0389" w:rsidRPr="00203170">
        <w:rPr>
          <w:szCs w:val="24"/>
        </w:rPr>
        <w:t xml:space="preserve"> and</w:t>
      </w:r>
      <w:r w:rsidR="000F6334">
        <w:rPr>
          <w:szCs w:val="24"/>
        </w:rPr>
        <w:t xml:space="preserve"> </w:t>
      </w:r>
      <w:r w:rsidR="007D0389" w:rsidRPr="00203170">
        <w:rPr>
          <w:szCs w:val="24"/>
        </w:rPr>
        <w:t xml:space="preserve">also allows for adjustment in inflation. </w:t>
      </w:r>
      <w:r w:rsidR="002D1309" w:rsidRPr="00203170">
        <w:rPr>
          <w:szCs w:val="24"/>
        </w:rPr>
        <w:t xml:space="preserve">The USA handbook prescribes the method and rules for calculating the value of the bond to be posted and against which the bond provided by the mine can be compared. </w:t>
      </w:r>
      <w:r w:rsidR="007D0389" w:rsidRPr="00203170">
        <w:rPr>
          <w:szCs w:val="24"/>
        </w:rPr>
        <w:t xml:space="preserve">In Canada, the size of the bond differs amongst the various provinces. The required bond value does not necessarily relate directly to total rehabilitation cost, as </w:t>
      </w:r>
      <w:r w:rsidR="00233EA2" w:rsidRPr="00203170">
        <w:rPr>
          <w:szCs w:val="24"/>
        </w:rPr>
        <w:t xml:space="preserve">the specific mine’s </w:t>
      </w:r>
      <w:r w:rsidR="007D0389" w:rsidRPr="00203170">
        <w:rPr>
          <w:szCs w:val="24"/>
        </w:rPr>
        <w:t xml:space="preserve">risk profile is </w:t>
      </w:r>
      <w:r w:rsidR="00233EA2" w:rsidRPr="00203170">
        <w:rPr>
          <w:szCs w:val="24"/>
        </w:rPr>
        <w:t xml:space="preserve">also </w:t>
      </w:r>
      <w:r w:rsidR="007D0389" w:rsidRPr="00203170">
        <w:rPr>
          <w:szCs w:val="24"/>
        </w:rPr>
        <w:t>considered. Australia also has regional differen</w:t>
      </w:r>
      <w:r w:rsidR="00E239C8" w:rsidRPr="00203170">
        <w:rPr>
          <w:szCs w:val="24"/>
        </w:rPr>
        <w:t>c</w:t>
      </w:r>
      <w:r w:rsidR="007D0389" w:rsidRPr="00203170">
        <w:rPr>
          <w:szCs w:val="24"/>
        </w:rPr>
        <w:t xml:space="preserve">es in bond value calculation amongst its main mining territories. In </w:t>
      </w:r>
      <w:r w:rsidR="00233EA2" w:rsidRPr="00203170">
        <w:rPr>
          <w:szCs w:val="24"/>
        </w:rPr>
        <w:t xml:space="preserve">some </w:t>
      </w:r>
      <w:r w:rsidR="007D0389" w:rsidRPr="00203170">
        <w:rPr>
          <w:szCs w:val="24"/>
        </w:rPr>
        <w:t xml:space="preserve">instances, a fixed rate per area disturbed is used while the bond value for other projects </w:t>
      </w:r>
      <w:r w:rsidR="00233EA2" w:rsidRPr="00203170">
        <w:rPr>
          <w:szCs w:val="24"/>
        </w:rPr>
        <w:t>is determined o</w:t>
      </w:r>
      <w:r w:rsidR="007D0389" w:rsidRPr="00203170">
        <w:rPr>
          <w:szCs w:val="24"/>
        </w:rPr>
        <w:t>n a project-specific basis, taking t</w:t>
      </w:r>
      <w:r w:rsidR="00233EA2" w:rsidRPr="00203170">
        <w:rPr>
          <w:szCs w:val="24"/>
        </w:rPr>
        <w:t>otal</w:t>
      </w:r>
      <w:r w:rsidR="007D0389" w:rsidRPr="00203170">
        <w:rPr>
          <w:szCs w:val="24"/>
        </w:rPr>
        <w:t xml:space="preserve"> remediation cost into account and not necessarily </w:t>
      </w:r>
      <w:r w:rsidR="00E239C8" w:rsidRPr="00203170">
        <w:rPr>
          <w:szCs w:val="24"/>
        </w:rPr>
        <w:t>full reclamation cost</w:t>
      </w:r>
      <w:r w:rsidR="002D1309">
        <w:rPr>
          <w:rStyle w:val="FootnoteReference"/>
          <w:szCs w:val="24"/>
        </w:rPr>
        <w:footnoteReference w:id="2"/>
      </w:r>
      <w:r w:rsidR="00E239C8" w:rsidRPr="00203170">
        <w:rPr>
          <w:szCs w:val="24"/>
        </w:rPr>
        <w:t>. Regional variations also exi</w:t>
      </w:r>
      <w:r w:rsidR="00FB29FC">
        <w:rPr>
          <w:szCs w:val="24"/>
        </w:rPr>
        <w:t>s</w:t>
      </w:r>
      <w:r w:rsidR="00E239C8" w:rsidRPr="00203170">
        <w:rPr>
          <w:szCs w:val="24"/>
        </w:rPr>
        <w:t>t amongst the Chinese provinces in how the bonds for mining reclamation are determined but the basic principle is that the bond posted should be at least equal to the reclamation fee. Most importantly for this r</w:t>
      </w:r>
      <w:r w:rsidR="001E063D">
        <w:rPr>
          <w:szCs w:val="24"/>
        </w:rPr>
        <w:t>eport</w:t>
      </w:r>
      <w:r w:rsidR="00E239C8" w:rsidRPr="00203170">
        <w:rPr>
          <w:szCs w:val="24"/>
        </w:rPr>
        <w:t xml:space="preserve">, none of these countries (Canada, China and Australia) have a single prescribed bond value method. </w:t>
      </w:r>
    </w:p>
    <w:p w14:paraId="03EA0553" w14:textId="00DE7A19" w:rsidR="00D464FB" w:rsidRPr="00203170" w:rsidRDefault="00D464FB" w:rsidP="00AE71A0">
      <w:pPr>
        <w:rPr>
          <w:szCs w:val="24"/>
        </w:rPr>
      </w:pPr>
      <w:r w:rsidRPr="00203170">
        <w:rPr>
          <w:szCs w:val="24"/>
        </w:rPr>
        <w:t xml:space="preserve">Sheldon </w:t>
      </w:r>
      <w:r w:rsidRPr="00203170">
        <w:rPr>
          <w:i/>
          <w:szCs w:val="24"/>
        </w:rPr>
        <w:t xml:space="preserve">et </w:t>
      </w:r>
      <w:r w:rsidR="00F05A42" w:rsidRPr="00203170">
        <w:rPr>
          <w:i/>
          <w:szCs w:val="24"/>
        </w:rPr>
        <w:t>a</w:t>
      </w:r>
      <w:r w:rsidRPr="00203170">
        <w:rPr>
          <w:i/>
          <w:szCs w:val="24"/>
        </w:rPr>
        <w:t>l</w:t>
      </w:r>
      <w:r w:rsidRPr="00203170">
        <w:rPr>
          <w:szCs w:val="24"/>
        </w:rPr>
        <w:t xml:space="preserve"> (2002) provided several insights into the typical costs of closure </w:t>
      </w:r>
      <w:r w:rsidR="00985EB4">
        <w:rPr>
          <w:szCs w:val="24"/>
        </w:rPr>
        <w:t xml:space="preserve">in various countries </w:t>
      </w:r>
      <w:r w:rsidRPr="00203170">
        <w:rPr>
          <w:szCs w:val="24"/>
        </w:rPr>
        <w:t xml:space="preserve">and </w:t>
      </w:r>
      <w:r w:rsidR="00233EA2" w:rsidRPr="00203170">
        <w:rPr>
          <w:szCs w:val="24"/>
        </w:rPr>
        <w:t xml:space="preserve">found </w:t>
      </w:r>
      <w:r w:rsidRPr="00203170">
        <w:rPr>
          <w:szCs w:val="24"/>
        </w:rPr>
        <w:t xml:space="preserve">that these costs </w:t>
      </w:r>
      <w:r w:rsidR="00F05A42" w:rsidRPr="00203170">
        <w:rPr>
          <w:szCs w:val="24"/>
        </w:rPr>
        <w:t xml:space="preserve">may </w:t>
      </w:r>
      <w:r w:rsidRPr="00203170">
        <w:rPr>
          <w:szCs w:val="24"/>
        </w:rPr>
        <w:t>vary greatly</w:t>
      </w:r>
      <w:r w:rsidR="00F05A42" w:rsidRPr="00203170">
        <w:rPr>
          <w:szCs w:val="24"/>
        </w:rPr>
        <w:t xml:space="preserve">. The variance </w:t>
      </w:r>
      <w:r w:rsidR="00233EA2" w:rsidRPr="00203170">
        <w:rPr>
          <w:szCs w:val="24"/>
        </w:rPr>
        <w:t>i</w:t>
      </w:r>
      <w:r w:rsidR="00F05A42" w:rsidRPr="00203170">
        <w:rPr>
          <w:szCs w:val="24"/>
        </w:rPr>
        <w:t>n the costs of closure can depend on the location and age of the mine</w:t>
      </w:r>
      <w:r w:rsidR="00233EA2" w:rsidRPr="00203170">
        <w:rPr>
          <w:szCs w:val="24"/>
        </w:rPr>
        <w:t>,</w:t>
      </w:r>
      <w:r w:rsidR="00F05A42" w:rsidRPr="00203170">
        <w:rPr>
          <w:szCs w:val="24"/>
        </w:rPr>
        <w:t xml:space="preserve"> the type of mineral extracted and </w:t>
      </w:r>
      <w:r w:rsidR="00233EA2" w:rsidRPr="00203170">
        <w:rPr>
          <w:szCs w:val="24"/>
        </w:rPr>
        <w:t xml:space="preserve">also on </w:t>
      </w:r>
      <w:r w:rsidR="00F05A42" w:rsidRPr="00203170">
        <w:rPr>
          <w:szCs w:val="24"/>
        </w:rPr>
        <w:t>the type of mine developed. The physical size of the mine, its attendant infrast</w:t>
      </w:r>
      <w:r w:rsidR="008113DF" w:rsidRPr="00203170">
        <w:rPr>
          <w:szCs w:val="24"/>
        </w:rPr>
        <w:t>r</w:t>
      </w:r>
      <w:r w:rsidR="00F05A42" w:rsidRPr="00203170">
        <w:rPr>
          <w:szCs w:val="24"/>
        </w:rPr>
        <w:t>u</w:t>
      </w:r>
      <w:r w:rsidR="008113DF" w:rsidRPr="00203170">
        <w:rPr>
          <w:szCs w:val="24"/>
        </w:rPr>
        <w:t>c</w:t>
      </w:r>
      <w:r w:rsidR="00F05A42" w:rsidRPr="00203170">
        <w:rPr>
          <w:szCs w:val="24"/>
        </w:rPr>
        <w:t>ture, the history of ongoing rehabili</w:t>
      </w:r>
      <w:r w:rsidR="008113DF" w:rsidRPr="00203170">
        <w:rPr>
          <w:szCs w:val="24"/>
        </w:rPr>
        <w:t>tation</w:t>
      </w:r>
      <w:r w:rsidR="00F05A42" w:rsidRPr="00203170">
        <w:rPr>
          <w:szCs w:val="24"/>
        </w:rPr>
        <w:t>, (or not) and the volume of waste on surface are other factors</w:t>
      </w:r>
      <w:r w:rsidR="008113DF" w:rsidRPr="00203170">
        <w:rPr>
          <w:szCs w:val="24"/>
        </w:rPr>
        <w:t xml:space="preserve"> </w:t>
      </w:r>
      <w:r w:rsidR="00F05A42" w:rsidRPr="00203170">
        <w:rPr>
          <w:szCs w:val="24"/>
        </w:rPr>
        <w:t>that significantly infl</w:t>
      </w:r>
      <w:r w:rsidR="008113DF" w:rsidRPr="00203170">
        <w:rPr>
          <w:szCs w:val="24"/>
        </w:rPr>
        <w:t>uence</w:t>
      </w:r>
      <w:r w:rsidR="00F05A42" w:rsidRPr="00203170">
        <w:rPr>
          <w:szCs w:val="24"/>
        </w:rPr>
        <w:t xml:space="preserve"> the final clo</w:t>
      </w:r>
      <w:r w:rsidR="008113DF" w:rsidRPr="00203170">
        <w:rPr>
          <w:szCs w:val="24"/>
        </w:rPr>
        <w:t>sure</w:t>
      </w:r>
      <w:r w:rsidR="00F05A42" w:rsidRPr="00203170">
        <w:rPr>
          <w:szCs w:val="24"/>
        </w:rPr>
        <w:t xml:space="preserve"> cost. For small mines, the</w:t>
      </w:r>
      <w:r w:rsidR="00985EB4">
        <w:rPr>
          <w:szCs w:val="24"/>
        </w:rPr>
        <w:t>se</w:t>
      </w:r>
      <w:r w:rsidR="00F05A42" w:rsidRPr="00203170">
        <w:rPr>
          <w:szCs w:val="24"/>
        </w:rPr>
        <w:t xml:space="preserve"> author</w:t>
      </w:r>
      <w:r w:rsidR="00233EA2" w:rsidRPr="00203170">
        <w:rPr>
          <w:szCs w:val="24"/>
        </w:rPr>
        <w:t>s</w:t>
      </w:r>
      <w:r w:rsidR="00F05A42" w:rsidRPr="00203170">
        <w:rPr>
          <w:szCs w:val="24"/>
        </w:rPr>
        <w:t xml:space="preserve"> found that environmental closure costs could be as little as US$</w:t>
      </w:r>
      <w:r w:rsidR="00233EA2" w:rsidRPr="00203170">
        <w:rPr>
          <w:szCs w:val="24"/>
        </w:rPr>
        <w:t xml:space="preserve"> </w:t>
      </w:r>
      <w:r w:rsidR="00F05A42" w:rsidRPr="00203170">
        <w:rPr>
          <w:szCs w:val="24"/>
        </w:rPr>
        <w:t>1</w:t>
      </w:r>
      <w:r w:rsidR="00233EA2" w:rsidRPr="00203170">
        <w:rPr>
          <w:szCs w:val="24"/>
        </w:rPr>
        <w:t xml:space="preserve"> </w:t>
      </w:r>
      <w:r w:rsidR="00F05A42" w:rsidRPr="00203170">
        <w:rPr>
          <w:szCs w:val="24"/>
        </w:rPr>
        <w:t>million per min</w:t>
      </w:r>
      <w:r w:rsidR="00233EA2" w:rsidRPr="00203170">
        <w:rPr>
          <w:szCs w:val="24"/>
        </w:rPr>
        <w:t>e</w:t>
      </w:r>
      <w:r w:rsidR="00F05A42" w:rsidRPr="00203170">
        <w:rPr>
          <w:szCs w:val="24"/>
        </w:rPr>
        <w:t xml:space="preserve"> in places like Lithuania to hundreds of Millions of US</w:t>
      </w:r>
      <w:r w:rsidR="00233EA2" w:rsidRPr="00203170">
        <w:rPr>
          <w:szCs w:val="24"/>
        </w:rPr>
        <w:t>$</w:t>
      </w:r>
      <w:r w:rsidR="00F05A42" w:rsidRPr="00203170">
        <w:rPr>
          <w:szCs w:val="24"/>
        </w:rPr>
        <w:t xml:space="preserve"> for large lignite mines in Germany. The typical closure costs, however, range in the tens of millions of US</w:t>
      </w:r>
      <w:r w:rsidR="00233EA2" w:rsidRPr="00203170">
        <w:rPr>
          <w:szCs w:val="24"/>
        </w:rPr>
        <w:t>$</w:t>
      </w:r>
      <w:r w:rsidR="00F05A42" w:rsidRPr="00203170">
        <w:rPr>
          <w:szCs w:val="24"/>
        </w:rPr>
        <w:t xml:space="preserve">.  </w:t>
      </w:r>
      <w:r w:rsidR="003A4754" w:rsidRPr="00203170">
        <w:rPr>
          <w:szCs w:val="24"/>
        </w:rPr>
        <w:t>Researc</w:t>
      </w:r>
      <w:r w:rsidR="008113DF" w:rsidRPr="00203170">
        <w:rPr>
          <w:szCs w:val="24"/>
        </w:rPr>
        <w:t>h</w:t>
      </w:r>
      <w:r w:rsidR="003A4754" w:rsidRPr="00203170">
        <w:rPr>
          <w:szCs w:val="24"/>
        </w:rPr>
        <w:t xml:space="preserve"> conducted by these authors </w:t>
      </w:r>
      <w:r w:rsidR="003A4754" w:rsidRPr="00203170">
        <w:rPr>
          <w:szCs w:val="24"/>
        </w:rPr>
        <w:lastRenderedPageBreak/>
        <w:t xml:space="preserve">indicate that </w:t>
      </w:r>
      <w:r w:rsidR="008113DF" w:rsidRPr="00203170">
        <w:rPr>
          <w:szCs w:val="24"/>
        </w:rPr>
        <w:t>medium-sized underground or open-pit mines that were operating up to 15 years previously could cost in the order of 5-15</w:t>
      </w:r>
      <w:r w:rsidR="00233EA2" w:rsidRPr="00203170">
        <w:rPr>
          <w:szCs w:val="24"/>
        </w:rPr>
        <w:t xml:space="preserve"> </w:t>
      </w:r>
      <w:r w:rsidR="008113DF" w:rsidRPr="00203170">
        <w:rPr>
          <w:szCs w:val="24"/>
        </w:rPr>
        <w:t>million US</w:t>
      </w:r>
      <w:r w:rsidR="00233EA2" w:rsidRPr="00203170">
        <w:rPr>
          <w:szCs w:val="24"/>
        </w:rPr>
        <w:t>$</w:t>
      </w:r>
      <w:r w:rsidR="008113DF" w:rsidRPr="00203170">
        <w:rPr>
          <w:szCs w:val="24"/>
        </w:rPr>
        <w:t>. For much older mines up to 35 years old (</w:t>
      </w:r>
      <w:r w:rsidR="00233EA2" w:rsidRPr="00203170">
        <w:rPr>
          <w:szCs w:val="24"/>
        </w:rPr>
        <w:t>very similar to</w:t>
      </w:r>
      <w:r w:rsidR="008113DF" w:rsidRPr="00203170">
        <w:rPr>
          <w:szCs w:val="24"/>
        </w:rPr>
        <w:t xml:space="preserve"> all South African asbestos mines) and which contain large waste and tailings facilities, the price escalates to upward of US</w:t>
      </w:r>
      <w:r w:rsidR="00233EA2" w:rsidRPr="00203170">
        <w:rPr>
          <w:szCs w:val="24"/>
        </w:rPr>
        <w:t>$</w:t>
      </w:r>
      <w:r w:rsidR="008113DF" w:rsidRPr="00203170">
        <w:rPr>
          <w:szCs w:val="24"/>
        </w:rPr>
        <w:t xml:space="preserve"> 50 million. Additionally, the presence of Acid Mine Drainage problems add</w:t>
      </w:r>
      <w:r w:rsidR="00D0211C">
        <w:rPr>
          <w:szCs w:val="24"/>
        </w:rPr>
        <w:t>s</w:t>
      </w:r>
      <w:r w:rsidR="008113DF" w:rsidRPr="00203170">
        <w:rPr>
          <w:szCs w:val="24"/>
        </w:rPr>
        <w:t xml:space="preserve"> significant cost</w:t>
      </w:r>
      <w:r w:rsidR="00D0211C">
        <w:rPr>
          <w:szCs w:val="24"/>
        </w:rPr>
        <w:t>s</w:t>
      </w:r>
      <w:r w:rsidR="008113DF" w:rsidRPr="00203170">
        <w:rPr>
          <w:szCs w:val="24"/>
        </w:rPr>
        <w:t xml:space="preserve"> to treat the water and to rehabilitate the tailings dams and dumps. </w:t>
      </w:r>
      <w:r w:rsidRPr="00203170">
        <w:rPr>
          <w:szCs w:val="24"/>
        </w:rPr>
        <w:t xml:space="preserve">The authors also affirm that, in most cases around the world, the “polluter pays” principle is applied and that is usually cheaper for mines to close themselves rather than for </w:t>
      </w:r>
      <w:r w:rsidR="00985EB4">
        <w:rPr>
          <w:szCs w:val="24"/>
        </w:rPr>
        <w:t xml:space="preserve">the </w:t>
      </w:r>
      <w:r w:rsidRPr="00203170">
        <w:rPr>
          <w:szCs w:val="24"/>
        </w:rPr>
        <w:t>government to conduct the closure afterwards</w:t>
      </w:r>
      <w:r w:rsidR="00985EB4">
        <w:rPr>
          <w:szCs w:val="24"/>
        </w:rPr>
        <w:t>,</w:t>
      </w:r>
      <w:r w:rsidRPr="00203170">
        <w:rPr>
          <w:szCs w:val="24"/>
        </w:rPr>
        <w:t xml:space="preserve"> when a site is abandoned. </w:t>
      </w:r>
    </w:p>
    <w:p w14:paraId="596F3457" w14:textId="510515C4" w:rsidR="009F3B1A" w:rsidRPr="002328EF" w:rsidRDefault="009F3B1A" w:rsidP="00063C48">
      <w:pPr>
        <w:pStyle w:val="Heading2"/>
      </w:pPr>
      <w:bookmarkStart w:id="38" w:name="_Toc519445710"/>
      <w:r w:rsidRPr="002328EF">
        <w:t>The South African approach to financial provision for mine closure</w:t>
      </w:r>
      <w:bookmarkEnd w:id="38"/>
      <w:r w:rsidRPr="002328EF">
        <w:t xml:space="preserve">  </w:t>
      </w:r>
    </w:p>
    <w:p w14:paraId="2A2D1720" w14:textId="18CCBF6E" w:rsidR="00652437" w:rsidRDefault="00652437" w:rsidP="00AE71A0">
      <w:pPr>
        <w:rPr>
          <w:szCs w:val="24"/>
        </w:rPr>
      </w:pPr>
      <w:r w:rsidRPr="00652437">
        <w:rPr>
          <w:szCs w:val="24"/>
        </w:rPr>
        <w:t>Van Eeden, Liefferink and Du Randt (2009) assert that, over the past century, the negative environmental and social impacts of mining have been largely ignored or underappreciated whilst the economical contribution of mining to South Africa has been overvalued. The authors claim that the abandonment of mines and the resultant unmitigated environmental impacts have worsened in the years prior to their paper. The authors feel that the failure of government agencies to effectively deal with mines being abandoned conflict</w:t>
      </w:r>
      <w:r w:rsidR="0008744D">
        <w:rPr>
          <w:szCs w:val="24"/>
        </w:rPr>
        <w:t>s</w:t>
      </w:r>
      <w:r w:rsidRPr="00652437">
        <w:rPr>
          <w:szCs w:val="24"/>
        </w:rPr>
        <w:t xml:space="preserve"> with the environmental quality as well as health and safety objectives of the Constitution and the many specific environmental laws that stem from it.</w:t>
      </w:r>
    </w:p>
    <w:p w14:paraId="18C6BEBF" w14:textId="39EFA749" w:rsidR="009F3B1A" w:rsidRPr="00203170" w:rsidRDefault="009F3B1A" w:rsidP="00AE71A0">
      <w:pPr>
        <w:rPr>
          <w:szCs w:val="24"/>
        </w:rPr>
      </w:pPr>
      <w:r w:rsidRPr="00203170">
        <w:rPr>
          <w:szCs w:val="24"/>
        </w:rPr>
        <w:t xml:space="preserve">South Africa introduced the requirement for financial provision for mine rehabilitation through </w:t>
      </w:r>
      <w:r w:rsidR="002A4DEE">
        <w:rPr>
          <w:szCs w:val="24"/>
        </w:rPr>
        <w:t>R</w:t>
      </w:r>
      <w:r w:rsidRPr="006A5F19">
        <w:rPr>
          <w:szCs w:val="24"/>
        </w:rPr>
        <w:t>egulation</w:t>
      </w:r>
      <w:r w:rsidR="002A4DEE">
        <w:rPr>
          <w:szCs w:val="24"/>
        </w:rPr>
        <w:t xml:space="preserve"> 5.16</w:t>
      </w:r>
      <w:r w:rsidRPr="006A5F19">
        <w:rPr>
          <w:szCs w:val="24"/>
        </w:rPr>
        <w:t xml:space="preserve"> promulgated under the Minerals Act of 1991</w:t>
      </w:r>
      <w:r w:rsidRPr="00203170">
        <w:rPr>
          <w:szCs w:val="24"/>
        </w:rPr>
        <w:t xml:space="preserve"> (Act 50 of 1991) This regulation required mines to make financial provision to fund closure and also to plan for premature or unplanned closure. To put this requirement in historical context, th</w:t>
      </w:r>
      <w:r w:rsidR="009526D1">
        <w:rPr>
          <w:szCs w:val="24"/>
        </w:rPr>
        <w:t xml:space="preserve">e promulgation of these regulations came </w:t>
      </w:r>
      <w:r w:rsidRPr="00203170">
        <w:rPr>
          <w:szCs w:val="24"/>
        </w:rPr>
        <w:t>just a few years after the first World Summit on Sustainable Development</w:t>
      </w:r>
      <w:r w:rsidR="009526D1">
        <w:rPr>
          <w:szCs w:val="24"/>
        </w:rPr>
        <w:t xml:space="preserve"> in 1992</w:t>
      </w:r>
      <w:r w:rsidRPr="00203170">
        <w:rPr>
          <w:szCs w:val="24"/>
        </w:rPr>
        <w:t xml:space="preserve">, so there was a raised public awareness of environmental responsibility in all aspects of business and life in general. Additionally, in South Africa, and all over the world, the market for asbestos had just collapsed in a very short space of time and many mines </w:t>
      </w:r>
      <w:r w:rsidR="000F6334">
        <w:rPr>
          <w:szCs w:val="24"/>
        </w:rPr>
        <w:t>which</w:t>
      </w:r>
      <w:r w:rsidRPr="00203170">
        <w:rPr>
          <w:szCs w:val="24"/>
        </w:rPr>
        <w:t xml:space="preserve"> had </w:t>
      </w:r>
      <w:r w:rsidR="000F6334">
        <w:rPr>
          <w:szCs w:val="24"/>
        </w:rPr>
        <w:t xml:space="preserve">a </w:t>
      </w:r>
      <w:r w:rsidRPr="00203170">
        <w:rPr>
          <w:szCs w:val="24"/>
        </w:rPr>
        <w:t xml:space="preserve">long theoretical life-of-mine remaining, were closing or simply being abandoned. Clearly, there was a need for financial provision to limit the risk of the State inheriting the environmental legacies of mining. The issue that was raised by the industry very quickly after the promulgation of the regulation, was that there was no guideline or directive </w:t>
      </w:r>
      <w:r w:rsidRPr="00203170">
        <w:rPr>
          <w:szCs w:val="24"/>
        </w:rPr>
        <w:lastRenderedPageBreak/>
        <w:t>from the State on how much money should be put aside – how the calculation should be done. The DM</w:t>
      </w:r>
      <w:r>
        <w:rPr>
          <w:szCs w:val="24"/>
        </w:rPr>
        <w:t>E</w:t>
      </w:r>
      <w:r w:rsidRPr="00203170">
        <w:rPr>
          <w:szCs w:val="24"/>
        </w:rPr>
        <w:t xml:space="preserve"> guideline that is the focus of this report had its roots in this call from the mining industry in South Africa to provide such guidance. </w:t>
      </w:r>
    </w:p>
    <w:p w14:paraId="1B9069CC" w14:textId="0555AAEF" w:rsidR="009F3B1A" w:rsidRPr="00203170" w:rsidRDefault="009F3B1A" w:rsidP="00AE71A0">
      <w:pPr>
        <w:rPr>
          <w:i/>
          <w:iCs/>
          <w:color w:val="000000" w:themeColor="text1"/>
          <w:szCs w:val="24"/>
        </w:rPr>
      </w:pPr>
      <w:r w:rsidRPr="00203170">
        <w:rPr>
          <w:szCs w:val="24"/>
        </w:rPr>
        <w:t xml:space="preserve">Swart (2003) affirmed that the provisions for financing mine closure processes were already addressed in the Minerals Act of 1991 (Act 50 of 1991): She stated that the “polluter pays” principle was well understood and accepted by both the industry and government for damage to the environment caused by prospecting and mining operations. Swart also mentioned the appropriate regulations promulgated under the Minerals Act, 1991 for making financial provision in her paper. </w:t>
      </w:r>
    </w:p>
    <w:p w14:paraId="03D1F6B0" w14:textId="77777777" w:rsidR="009F3B1A" w:rsidRPr="00203170" w:rsidRDefault="009F3B1A" w:rsidP="00AE71A0">
      <w:pPr>
        <w:rPr>
          <w:i/>
          <w:szCs w:val="24"/>
        </w:rPr>
      </w:pPr>
      <w:r w:rsidRPr="00203170">
        <w:rPr>
          <w:szCs w:val="24"/>
        </w:rPr>
        <w:t xml:space="preserve">The Auditor-General of South Africa conducted a performance audit of the rehabilitation of abandoned mines at the Department of Mineral Resources and produced a report to Parliament in October 2009 on this audit. One key finding recorded in this report is that the legacies of abandoned mine sites, the results of inadequate or inefficient closure processes or simply mine abandonment, are three root causes to one major environmental problem. The Auditor-General’s audit found that the environmental impacts of unrehabilitated abandoned mines were extensive and that adequate measures were not in place to ensure that mines rehabilitate timeously and effectively, with the result that the social and environmental impacts of unplanned mine closure or abandonment are not addressed. </w:t>
      </w:r>
    </w:p>
    <w:p w14:paraId="28F16DBE" w14:textId="753D81AD" w:rsidR="009F3B1A" w:rsidRPr="00203170" w:rsidRDefault="009F3B1A" w:rsidP="00AE71A0">
      <w:pPr>
        <w:rPr>
          <w:szCs w:val="24"/>
        </w:rPr>
      </w:pPr>
      <w:r w:rsidRPr="00203170">
        <w:rPr>
          <w:szCs w:val="24"/>
        </w:rPr>
        <w:t>Brent and Fourie (200</w:t>
      </w:r>
      <w:r w:rsidR="00306489">
        <w:rPr>
          <w:szCs w:val="24"/>
        </w:rPr>
        <w:t>5</w:t>
      </w:r>
      <w:r w:rsidRPr="00203170">
        <w:rPr>
          <w:szCs w:val="24"/>
        </w:rPr>
        <w:t>) postulated that the closure objectives of the mining industry and the various government agencies involved in closure are misaligned and that this results in a legacy of unsuccessful mine closures. They propose using project management principles to</w:t>
      </w:r>
      <w:r w:rsidRPr="00203170">
        <w:rPr>
          <w:i/>
          <w:iCs/>
          <w:color w:val="000000" w:themeColor="text1"/>
          <w:szCs w:val="24"/>
        </w:rPr>
        <w:t xml:space="preserve"> </w:t>
      </w:r>
      <w:r w:rsidRPr="00203170">
        <w:rPr>
          <w:iCs/>
          <w:color w:val="000000" w:themeColor="text1"/>
          <w:szCs w:val="24"/>
        </w:rPr>
        <w:t>assist government agencies with the effective evaluation of mine closures and to manage the mine closure process more diligently.</w:t>
      </w:r>
      <w:r w:rsidRPr="00203170">
        <w:rPr>
          <w:szCs w:val="24"/>
        </w:rPr>
        <w:t xml:space="preserve"> </w:t>
      </w:r>
    </w:p>
    <w:p w14:paraId="510BE784" w14:textId="23CEA4E0" w:rsidR="009F3B1A" w:rsidRPr="00203170" w:rsidRDefault="00652437" w:rsidP="00AE71A0">
      <w:pPr>
        <w:rPr>
          <w:szCs w:val="24"/>
        </w:rPr>
      </w:pPr>
      <w:r>
        <w:rPr>
          <w:szCs w:val="24"/>
        </w:rPr>
        <w:t xml:space="preserve">These </w:t>
      </w:r>
      <w:r w:rsidR="009F3B1A" w:rsidRPr="00203170">
        <w:rPr>
          <w:szCs w:val="24"/>
        </w:rPr>
        <w:t xml:space="preserve">authors </w:t>
      </w:r>
      <w:r>
        <w:rPr>
          <w:szCs w:val="24"/>
        </w:rPr>
        <w:t xml:space="preserve">referenced above </w:t>
      </w:r>
      <w:r w:rsidR="009F3B1A" w:rsidRPr="00203170">
        <w:rPr>
          <w:szCs w:val="24"/>
        </w:rPr>
        <w:t xml:space="preserve">have </w:t>
      </w:r>
      <w:r w:rsidR="000F6334">
        <w:rPr>
          <w:szCs w:val="24"/>
        </w:rPr>
        <w:t xml:space="preserve">clearly </w:t>
      </w:r>
      <w:r w:rsidR="009F3B1A" w:rsidRPr="00203170">
        <w:rPr>
          <w:szCs w:val="24"/>
        </w:rPr>
        <w:t xml:space="preserve">identified problems with the mine closure process and with the funding for proper, planned closure of a mine. The focus of this </w:t>
      </w:r>
      <w:r>
        <w:rPr>
          <w:szCs w:val="24"/>
        </w:rPr>
        <w:t xml:space="preserve">research </w:t>
      </w:r>
      <w:r w:rsidR="009F3B1A" w:rsidRPr="00203170">
        <w:rPr>
          <w:szCs w:val="24"/>
        </w:rPr>
        <w:t xml:space="preserve">report is, however, </w:t>
      </w:r>
      <w:r w:rsidR="000F6334">
        <w:rPr>
          <w:szCs w:val="24"/>
        </w:rPr>
        <w:t xml:space="preserve">on </w:t>
      </w:r>
      <w:r w:rsidR="009F3B1A" w:rsidRPr="00203170">
        <w:rPr>
          <w:szCs w:val="24"/>
        </w:rPr>
        <w:t>the actual costs of mine closure with specific reference to the DM</w:t>
      </w:r>
      <w:r w:rsidR="009F3B1A">
        <w:rPr>
          <w:szCs w:val="24"/>
        </w:rPr>
        <w:t>E</w:t>
      </w:r>
      <w:r w:rsidR="009F3B1A" w:rsidRPr="00203170">
        <w:rPr>
          <w:szCs w:val="24"/>
        </w:rPr>
        <w:t xml:space="preserve"> guideline for financial provision and, on this topic, the sources and references are far less abundant. </w:t>
      </w:r>
    </w:p>
    <w:p w14:paraId="50BD9675" w14:textId="504BC17F" w:rsidR="009F3B1A" w:rsidRPr="00203170" w:rsidRDefault="009F3B1A" w:rsidP="00AE71A0">
      <w:pPr>
        <w:rPr>
          <w:szCs w:val="24"/>
        </w:rPr>
      </w:pPr>
      <w:r w:rsidRPr="00203170">
        <w:rPr>
          <w:szCs w:val="24"/>
        </w:rPr>
        <w:t xml:space="preserve">There are several publications on the topic of the approaches to determine the financial provision but few that give actual rates and values to estimate mine closure costs. Anglo </w:t>
      </w:r>
      <w:r w:rsidRPr="00203170">
        <w:rPr>
          <w:szCs w:val="24"/>
        </w:rPr>
        <w:lastRenderedPageBreak/>
        <w:t>American</w:t>
      </w:r>
      <w:r w:rsidR="006B3E8B">
        <w:rPr>
          <w:szCs w:val="24"/>
        </w:rPr>
        <w:t xml:space="preserve"> (</w:t>
      </w:r>
      <w:r w:rsidRPr="00203170">
        <w:rPr>
          <w:szCs w:val="24"/>
        </w:rPr>
        <w:t>2013) have published a worked example of the closure costs estimate using their Mine Closure Toolbox and a limited number of consultancies have published their own closure costing report</w:t>
      </w:r>
      <w:r w:rsidR="000F6334">
        <w:rPr>
          <w:szCs w:val="24"/>
        </w:rPr>
        <w:t>s</w:t>
      </w:r>
      <w:r w:rsidRPr="00203170">
        <w:rPr>
          <w:szCs w:val="24"/>
        </w:rPr>
        <w:t xml:space="preserve"> for mine clients online, like Golder </w:t>
      </w:r>
      <w:r w:rsidR="00306489">
        <w:rPr>
          <w:szCs w:val="24"/>
        </w:rPr>
        <w:t xml:space="preserve">Associates </w:t>
      </w:r>
      <w:r w:rsidRPr="00203170">
        <w:rPr>
          <w:szCs w:val="24"/>
        </w:rPr>
        <w:t xml:space="preserve">(2012) and Plan African (2007) In addition, the World Wildlife Fund </w:t>
      </w:r>
      <w:r w:rsidR="000F6334">
        <w:rPr>
          <w:szCs w:val="24"/>
        </w:rPr>
        <w:t xml:space="preserve">(WWF) </w:t>
      </w:r>
      <w:r w:rsidRPr="00203170">
        <w:rPr>
          <w:szCs w:val="24"/>
        </w:rPr>
        <w:t xml:space="preserve">commissioned a review of the financial provision process applied in South Africa (van Zyl </w:t>
      </w:r>
      <w:r w:rsidRPr="00203170">
        <w:rPr>
          <w:i/>
          <w:szCs w:val="24"/>
        </w:rPr>
        <w:t>et al</w:t>
      </w:r>
      <w:r w:rsidRPr="00203170">
        <w:rPr>
          <w:szCs w:val="24"/>
        </w:rPr>
        <w:t>, 2012)  This report noted persistent degradation of the environment from mining operations and high numbers of abandoned mining operations and argued that there is a need to improve rehabilitation in the mining sector. The report further raised questions about the cost of rehabilitation of a mine and the amount of financial provision made to allow for future rehabilitation. The report conducted a review of the method of making financial provision and makes certain recommendations for improvement. The authors’ review of the mechanism of determining the amount of financial provision found that there were high levels of variation in the quality of environmental management plans with the consideration of the long-term effects of mining on water quality being a particularly overlooked aspect. In many cases, mines had no rehabilitation plans at all, which made it difficult to link the eventual cost of rehabilitation to actual tasks required on the ground to achieve closure objectives. Th</w:t>
      </w:r>
      <w:r w:rsidR="000F6334">
        <w:rPr>
          <w:szCs w:val="24"/>
        </w:rPr>
        <w:t>e WWF</w:t>
      </w:r>
      <w:r w:rsidRPr="00203170">
        <w:rPr>
          <w:szCs w:val="24"/>
        </w:rPr>
        <w:t xml:space="preserve"> report highlights the general failure of mining companies to adjust the DM</w:t>
      </w:r>
      <w:r>
        <w:rPr>
          <w:szCs w:val="24"/>
        </w:rPr>
        <w:t>E</w:t>
      </w:r>
      <w:r w:rsidRPr="00203170">
        <w:rPr>
          <w:szCs w:val="24"/>
        </w:rPr>
        <w:t>’s master guidelines rates for inflation and the resultant underestimation of potential closure cost. The report also notes the lack of concurrent rehabilitation by mines and the general lack of publicly available information</w:t>
      </w:r>
      <w:r w:rsidR="00652437">
        <w:rPr>
          <w:szCs w:val="24"/>
        </w:rPr>
        <w:t xml:space="preserve"> to inform </w:t>
      </w:r>
      <w:r w:rsidRPr="00203170">
        <w:rPr>
          <w:szCs w:val="24"/>
        </w:rPr>
        <w:t xml:space="preserve">the review of financial provision to aid benchmarking. The report recommends that more stringent guidelines should be published, in line with more current research and that the guideline values should be updated. </w:t>
      </w:r>
    </w:p>
    <w:p w14:paraId="51C7F51B" w14:textId="6BA0D22B" w:rsidR="00D31E4C" w:rsidRPr="002328EF" w:rsidRDefault="009F3B1A" w:rsidP="00063C48">
      <w:pPr>
        <w:pStyle w:val="Heading2"/>
      </w:pPr>
      <w:bookmarkStart w:id="39" w:name="_Toc519445711"/>
      <w:r w:rsidRPr="002328EF">
        <w:t>Noted p</w:t>
      </w:r>
      <w:r w:rsidR="00D31E4C" w:rsidRPr="002328EF">
        <w:t xml:space="preserve">roblems with </w:t>
      </w:r>
      <w:r w:rsidR="00F9632F" w:rsidRPr="002328EF">
        <w:t xml:space="preserve">mine closure and </w:t>
      </w:r>
      <w:r w:rsidR="00D31E4C" w:rsidRPr="002328EF">
        <w:t>financial provision for mining operations</w:t>
      </w:r>
      <w:r w:rsidR="00652437" w:rsidRPr="002328EF">
        <w:t xml:space="preserve"> in South Africa</w:t>
      </w:r>
      <w:bookmarkEnd w:id="39"/>
    </w:p>
    <w:p w14:paraId="314B3813" w14:textId="134FF694" w:rsidR="00D464FB" w:rsidRPr="00203170" w:rsidRDefault="00D464FB" w:rsidP="00AE71A0">
      <w:pPr>
        <w:rPr>
          <w:szCs w:val="24"/>
        </w:rPr>
      </w:pPr>
      <w:r w:rsidRPr="00203170">
        <w:rPr>
          <w:szCs w:val="24"/>
        </w:rPr>
        <w:t>In June 2006, Du Plessis and Brent published their approach to arrive at a more realistic closure cost model in the Journal of the South African Institute of Mining and Metallurgy. Their paper outlines the process they followed, using the master rates table published by the DM</w:t>
      </w:r>
      <w:r w:rsidR="00A67147">
        <w:rPr>
          <w:szCs w:val="24"/>
        </w:rPr>
        <w:t>E</w:t>
      </w:r>
      <w:r w:rsidRPr="00203170">
        <w:rPr>
          <w:szCs w:val="24"/>
        </w:rPr>
        <w:t xml:space="preserve"> guideline in 2004. The authors correctly assert a basic assumption of the DM</w:t>
      </w:r>
      <w:r w:rsidR="00A67147">
        <w:rPr>
          <w:szCs w:val="24"/>
        </w:rPr>
        <w:t>E</w:t>
      </w:r>
      <w:r w:rsidRPr="00203170">
        <w:rPr>
          <w:szCs w:val="24"/>
        </w:rPr>
        <w:t xml:space="preserve"> guideline that all regulatory and legislative mechanisms are assumed to have f</w:t>
      </w:r>
      <w:r w:rsidR="0083097A" w:rsidRPr="00203170">
        <w:rPr>
          <w:szCs w:val="24"/>
        </w:rPr>
        <w:t>a</w:t>
      </w:r>
      <w:r w:rsidRPr="00203170">
        <w:rPr>
          <w:szCs w:val="24"/>
        </w:rPr>
        <w:t>iled when the DM</w:t>
      </w:r>
      <w:r w:rsidR="00A67147">
        <w:rPr>
          <w:szCs w:val="24"/>
        </w:rPr>
        <w:t>E</w:t>
      </w:r>
      <w:r w:rsidRPr="00203170">
        <w:rPr>
          <w:szCs w:val="24"/>
        </w:rPr>
        <w:t xml:space="preserve"> </w:t>
      </w:r>
      <w:r w:rsidR="0008744D">
        <w:rPr>
          <w:szCs w:val="24"/>
        </w:rPr>
        <w:t xml:space="preserve">must </w:t>
      </w:r>
      <w:r w:rsidRPr="00203170">
        <w:rPr>
          <w:szCs w:val="24"/>
        </w:rPr>
        <w:t>take over the rehabilitation of a mine (as is the case with abandoned asbestos mines consider</w:t>
      </w:r>
      <w:r w:rsidR="0083097A" w:rsidRPr="00203170">
        <w:rPr>
          <w:szCs w:val="24"/>
        </w:rPr>
        <w:t>ed</w:t>
      </w:r>
      <w:r w:rsidRPr="00203170">
        <w:rPr>
          <w:szCs w:val="24"/>
        </w:rPr>
        <w:t xml:space="preserve"> in this </w:t>
      </w:r>
      <w:r w:rsidR="0083097A" w:rsidRPr="00203170">
        <w:rPr>
          <w:szCs w:val="24"/>
        </w:rPr>
        <w:t>report</w:t>
      </w:r>
      <w:r w:rsidRPr="00203170">
        <w:rPr>
          <w:szCs w:val="24"/>
        </w:rPr>
        <w:t xml:space="preserve">) and that the use of the guideline assumes the worst-case scenario </w:t>
      </w:r>
      <w:r w:rsidRPr="00203170">
        <w:rPr>
          <w:szCs w:val="24"/>
        </w:rPr>
        <w:lastRenderedPageBreak/>
        <w:t xml:space="preserve">- when the </w:t>
      </w:r>
      <w:r w:rsidR="0083097A" w:rsidRPr="00203170">
        <w:rPr>
          <w:szCs w:val="24"/>
        </w:rPr>
        <w:t>S</w:t>
      </w:r>
      <w:r w:rsidRPr="00203170">
        <w:rPr>
          <w:szCs w:val="24"/>
        </w:rPr>
        <w:t>tate step</w:t>
      </w:r>
      <w:r w:rsidR="0083097A" w:rsidRPr="00203170">
        <w:rPr>
          <w:szCs w:val="24"/>
        </w:rPr>
        <w:t>s</w:t>
      </w:r>
      <w:r w:rsidRPr="00203170">
        <w:rPr>
          <w:szCs w:val="24"/>
        </w:rPr>
        <w:t xml:space="preserve"> in with taxpayers’ money and a third-party contractor</w:t>
      </w:r>
      <w:r w:rsidR="0083097A" w:rsidRPr="00203170">
        <w:rPr>
          <w:szCs w:val="24"/>
        </w:rPr>
        <w:t xml:space="preserve"> to close the mine</w:t>
      </w:r>
      <w:r w:rsidRPr="00203170">
        <w:rPr>
          <w:szCs w:val="24"/>
        </w:rPr>
        <w:t xml:space="preserve">. </w:t>
      </w:r>
      <w:r w:rsidR="0083097A" w:rsidRPr="00203170">
        <w:rPr>
          <w:szCs w:val="24"/>
        </w:rPr>
        <w:t>In their paper, t</w:t>
      </w:r>
      <w:r w:rsidRPr="00203170">
        <w:rPr>
          <w:szCs w:val="24"/>
        </w:rPr>
        <w:t xml:space="preserve">he authors apply the master rates to a sample mine site with an area of 260ha and then use Monte Carlo analysis as well as an average escalation of the master rates based on the CPI, PPI, diesel prices and </w:t>
      </w:r>
      <w:r w:rsidR="0008744D" w:rsidRPr="00203170">
        <w:rPr>
          <w:szCs w:val="24"/>
        </w:rPr>
        <w:t>several</w:t>
      </w:r>
      <w:r w:rsidRPr="00203170">
        <w:rPr>
          <w:szCs w:val="24"/>
        </w:rPr>
        <w:t xml:space="preserve"> other relevant variables to arrive at a risk model for likely closure costs. Worth noting here is that the master rates were escalated by the authors based on these diverse input rates not at CPI, but at an average of the selected published variable rates which is over 9.5% per annum for most master rates (The rates for fencing, maintenance and after case and specialist studies being the exception at just under 9% p.a.) This study is significant </w:t>
      </w:r>
      <w:r w:rsidR="0083097A" w:rsidRPr="00203170">
        <w:rPr>
          <w:szCs w:val="24"/>
        </w:rPr>
        <w:t xml:space="preserve">for its finding </w:t>
      </w:r>
      <w:r w:rsidRPr="00203170">
        <w:rPr>
          <w:szCs w:val="24"/>
        </w:rPr>
        <w:t>that the DM</w:t>
      </w:r>
      <w:r w:rsidR="00A67147">
        <w:rPr>
          <w:szCs w:val="24"/>
        </w:rPr>
        <w:t>E</w:t>
      </w:r>
      <w:r w:rsidRPr="00203170">
        <w:rPr>
          <w:szCs w:val="24"/>
        </w:rPr>
        <w:t xml:space="preserve"> guideline master rates should </w:t>
      </w:r>
      <w:r w:rsidR="0008744D" w:rsidRPr="00203170">
        <w:rPr>
          <w:szCs w:val="24"/>
        </w:rPr>
        <w:t>escalate</w:t>
      </w:r>
      <w:r w:rsidRPr="00203170">
        <w:rPr>
          <w:szCs w:val="24"/>
        </w:rPr>
        <w:t xml:space="preserve"> by significantly more than the published CPI, when other, perhaps more relevant escalation factors are considered. To quote the authors: “</w:t>
      </w:r>
      <w:r w:rsidRPr="00203170">
        <w:rPr>
          <w:i/>
          <w:szCs w:val="24"/>
        </w:rPr>
        <w:t>When using relevant CPI and PPI tables for the last decade, it is shown that the mean of the distribution of escalating factors is higher than what is generally used in the mining industry to escalate closure costs</w:t>
      </w:r>
      <w:r w:rsidRPr="00203170">
        <w:rPr>
          <w:szCs w:val="24"/>
        </w:rPr>
        <w:t>.” The implication of this finding is that the actual cost of closure would depart very rapidly from the DM</w:t>
      </w:r>
      <w:r w:rsidR="00A67147">
        <w:rPr>
          <w:szCs w:val="24"/>
        </w:rPr>
        <w:t>E</w:t>
      </w:r>
      <w:r w:rsidRPr="00203170">
        <w:rPr>
          <w:szCs w:val="24"/>
        </w:rPr>
        <w:t xml:space="preserve"> rates if the two were escalated at different rates year-on-year. The authors conclude their paper </w:t>
      </w:r>
      <w:r w:rsidR="008D2A50" w:rsidRPr="00203170">
        <w:rPr>
          <w:szCs w:val="24"/>
        </w:rPr>
        <w:t xml:space="preserve">with the </w:t>
      </w:r>
      <w:r w:rsidRPr="00203170">
        <w:rPr>
          <w:szCs w:val="24"/>
        </w:rPr>
        <w:t>recommend</w:t>
      </w:r>
      <w:r w:rsidR="008D2A50" w:rsidRPr="00203170">
        <w:rPr>
          <w:szCs w:val="24"/>
        </w:rPr>
        <w:t>ation that th</w:t>
      </w:r>
      <w:r w:rsidR="0083097A" w:rsidRPr="00203170">
        <w:rPr>
          <w:szCs w:val="24"/>
        </w:rPr>
        <w:t>eir</w:t>
      </w:r>
      <w:r w:rsidR="008D2A50" w:rsidRPr="00203170">
        <w:rPr>
          <w:szCs w:val="24"/>
        </w:rPr>
        <w:t xml:space="preserve"> proposed model should be tested on completed projects and on more case studies to determine its accuracy in predicting closure costs. </w:t>
      </w:r>
    </w:p>
    <w:p w14:paraId="3220C9FF" w14:textId="1763968A" w:rsidR="00D464FB" w:rsidRDefault="00D464FB" w:rsidP="00AE71A0">
      <w:pPr>
        <w:rPr>
          <w:szCs w:val="24"/>
        </w:rPr>
      </w:pPr>
      <w:r w:rsidRPr="00203170">
        <w:rPr>
          <w:szCs w:val="24"/>
        </w:rPr>
        <w:t xml:space="preserve">Hewitson (2012) published on the topic of estimated mine closure costs in his MSc thesis, </w:t>
      </w:r>
      <w:r w:rsidR="00404A01">
        <w:rPr>
          <w:szCs w:val="24"/>
        </w:rPr>
        <w:t xml:space="preserve">also </w:t>
      </w:r>
      <w:r w:rsidRPr="00203170">
        <w:rPr>
          <w:szCs w:val="24"/>
        </w:rPr>
        <w:t xml:space="preserve">using a Monte Carlo analysis to determine the probable values for </w:t>
      </w:r>
      <w:r w:rsidR="007B5ABB" w:rsidRPr="00203170">
        <w:rPr>
          <w:szCs w:val="24"/>
        </w:rPr>
        <w:t xml:space="preserve">mine </w:t>
      </w:r>
      <w:r w:rsidRPr="00203170">
        <w:rPr>
          <w:szCs w:val="24"/>
        </w:rPr>
        <w:t xml:space="preserve">rehabilitation </w:t>
      </w:r>
      <w:r w:rsidR="007B5ABB" w:rsidRPr="00203170">
        <w:rPr>
          <w:szCs w:val="24"/>
        </w:rPr>
        <w:t xml:space="preserve">cost </w:t>
      </w:r>
      <w:r w:rsidRPr="00203170">
        <w:rPr>
          <w:szCs w:val="24"/>
        </w:rPr>
        <w:t>items. Th</w:t>
      </w:r>
      <w:r w:rsidR="000535EB">
        <w:rPr>
          <w:szCs w:val="24"/>
        </w:rPr>
        <w:t>at</w:t>
      </w:r>
      <w:r w:rsidRPr="00203170">
        <w:rPr>
          <w:szCs w:val="24"/>
        </w:rPr>
        <w:t xml:space="preserve"> author found that</w:t>
      </w:r>
      <w:r w:rsidR="007B5ABB" w:rsidRPr="00203170">
        <w:rPr>
          <w:szCs w:val="24"/>
        </w:rPr>
        <w:t>,</w:t>
      </w:r>
      <w:r w:rsidRPr="00203170">
        <w:rPr>
          <w:szCs w:val="24"/>
        </w:rPr>
        <w:t xml:space="preserve"> while closure costs are very significant, the amount of financial provision is inadequate in many cases. The approach of the study conducted by Hewitson was to apply a Monte Carlo analysis to the closure cost estimation of several mines to assess the accuracy of the financial provision in place.  considered the escalation of closure costs and the uncertainty with respect to the master rates published by the DME. The report also looked at the </w:t>
      </w:r>
      <w:r w:rsidR="0008744D" w:rsidRPr="00203170">
        <w:rPr>
          <w:szCs w:val="24"/>
        </w:rPr>
        <w:t>way</w:t>
      </w:r>
      <w:r w:rsidRPr="00203170">
        <w:rPr>
          <w:szCs w:val="24"/>
        </w:rPr>
        <w:t xml:space="preserve"> financial provision is made and suggest</w:t>
      </w:r>
      <w:r w:rsidR="00404A01">
        <w:rPr>
          <w:szCs w:val="24"/>
        </w:rPr>
        <w:t>s</w:t>
      </w:r>
      <w:r w:rsidRPr="00203170">
        <w:rPr>
          <w:szCs w:val="24"/>
        </w:rPr>
        <w:t xml:space="preserve"> some improvements. Hewitson found that most mines underestimate their closure cost and make inadequate financial provision. He notes that mines either do not escalate the published master rates or adjust for CPI</w:t>
      </w:r>
      <w:r w:rsidR="000F6334">
        <w:rPr>
          <w:szCs w:val="24"/>
        </w:rPr>
        <w:t xml:space="preserve"> only</w:t>
      </w:r>
      <w:r w:rsidRPr="00203170">
        <w:rPr>
          <w:szCs w:val="24"/>
        </w:rPr>
        <w:t xml:space="preserve">, with no further consideration of the potential costs. Specifically, the results of Hewitsons’ Monte Carlo analysis suggests that the mines that were assessed underestimate their possible future closure costs and generally provide for less than 50% of the possible future closure cost. </w:t>
      </w:r>
    </w:p>
    <w:p w14:paraId="2928207B" w14:textId="04C1FE16" w:rsidR="00414E5B" w:rsidRPr="00414E5B" w:rsidRDefault="00414E5B" w:rsidP="00AE71A0">
      <w:pPr>
        <w:rPr>
          <w:szCs w:val="24"/>
        </w:rPr>
      </w:pPr>
      <w:r w:rsidRPr="00414E5B">
        <w:rPr>
          <w:szCs w:val="24"/>
        </w:rPr>
        <w:lastRenderedPageBreak/>
        <w:t>Milaras and others (2014) hold that mine closure is a serious issue for South Africa and that</w:t>
      </w:r>
      <w:r w:rsidR="00404A01">
        <w:rPr>
          <w:szCs w:val="24"/>
        </w:rPr>
        <w:t>,</w:t>
      </w:r>
      <w:r w:rsidRPr="00414E5B">
        <w:rPr>
          <w:szCs w:val="24"/>
        </w:rPr>
        <w:t xml:space="preserve"> although a lot has bee</w:t>
      </w:r>
      <w:r w:rsidR="00404A01">
        <w:rPr>
          <w:szCs w:val="24"/>
        </w:rPr>
        <w:t>n</w:t>
      </w:r>
      <w:r w:rsidRPr="00414E5B">
        <w:rPr>
          <w:szCs w:val="24"/>
        </w:rPr>
        <w:t xml:space="preserve"> written and there appears to be robust legislation and regulatory mechanisms around mine closure, </w:t>
      </w:r>
      <w:r w:rsidR="00404A01">
        <w:rPr>
          <w:szCs w:val="24"/>
        </w:rPr>
        <w:t xml:space="preserve">sustainable mine closure </w:t>
      </w:r>
      <w:r w:rsidRPr="00414E5B">
        <w:rPr>
          <w:szCs w:val="24"/>
        </w:rPr>
        <w:t xml:space="preserve">is </w:t>
      </w:r>
      <w:r w:rsidR="00404A01">
        <w:rPr>
          <w:szCs w:val="24"/>
        </w:rPr>
        <w:t xml:space="preserve">still </w:t>
      </w:r>
      <w:r w:rsidRPr="00414E5B">
        <w:rPr>
          <w:szCs w:val="24"/>
        </w:rPr>
        <w:t xml:space="preserve">not attained successfully. The authors believe that there is a disconnect between policy and practice in South Africa and </w:t>
      </w:r>
      <w:r w:rsidR="000F6334">
        <w:rPr>
          <w:szCs w:val="24"/>
        </w:rPr>
        <w:t xml:space="preserve">they </w:t>
      </w:r>
      <w:r w:rsidRPr="00414E5B">
        <w:rPr>
          <w:szCs w:val="24"/>
        </w:rPr>
        <w:t xml:space="preserve">set out </w:t>
      </w:r>
      <w:r w:rsidR="00404A01">
        <w:rPr>
          <w:szCs w:val="24"/>
        </w:rPr>
        <w:t>t</w:t>
      </w:r>
      <w:r w:rsidRPr="00414E5B">
        <w:rPr>
          <w:szCs w:val="24"/>
        </w:rPr>
        <w:t>o explore this gap by structured interviews with professional</w:t>
      </w:r>
      <w:r w:rsidR="000F6334">
        <w:rPr>
          <w:szCs w:val="24"/>
        </w:rPr>
        <w:t>s</w:t>
      </w:r>
      <w:r w:rsidRPr="00414E5B">
        <w:rPr>
          <w:szCs w:val="24"/>
        </w:rPr>
        <w:t xml:space="preserve"> practicing in the mine closure environment in </w:t>
      </w:r>
      <w:r w:rsidR="00404A01">
        <w:rPr>
          <w:szCs w:val="24"/>
        </w:rPr>
        <w:t>S</w:t>
      </w:r>
      <w:r w:rsidRPr="00414E5B">
        <w:rPr>
          <w:szCs w:val="24"/>
        </w:rPr>
        <w:t>outh Africa</w:t>
      </w:r>
      <w:r w:rsidR="00404A01">
        <w:rPr>
          <w:szCs w:val="24"/>
        </w:rPr>
        <w:t>.</w:t>
      </w:r>
      <w:r w:rsidRPr="00414E5B">
        <w:rPr>
          <w:szCs w:val="24"/>
        </w:rPr>
        <w:t xml:space="preserve"> Professionals fr</w:t>
      </w:r>
      <w:r w:rsidR="00404A01">
        <w:rPr>
          <w:szCs w:val="24"/>
        </w:rPr>
        <w:t>o</w:t>
      </w:r>
      <w:r w:rsidRPr="00414E5B">
        <w:rPr>
          <w:szCs w:val="24"/>
        </w:rPr>
        <w:t xml:space="preserve">m various sectors were interviewed, being in mining consulting, government and legal professions. A series of 19 open ended questions were posed to this group, which originally </w:t>
      </w:r>
      <w:r w:rsidR="00414BF0">
        <w:rPr>
          <w:szCs w:val="24"/>
        </w:rPr>
        <w:t xml:space="preserve">was a population of </w:t>
      </w:r>
      <w:r w:rsidRPr="00414E5B">
        <w:rPr>
          <w:szCs w:val="24"/>
        </w:rPr>
        <w:t xml:space="preserve">169 professionals. A response rate of 35% was obtained. The survey found that detailed baseline </w:t>
      </w:r>
      <w:r w:rsidR="00414BF0">
        <w:rPr>
          <w:szCs w:val="24"/>
        </w:rPr>
        <w:t xml:space="preserve">environmental </w:t>
      </w:r>
      <w:r w:rsidRPr="00414E5B">
        <w:rPr>
          <w:szCs w:val="24"/>
        </w:rPr>
        <w:t xml:space="preserve">assessments are imperative to </w:t>
      </w:r>
      <w:r w:rsidR="00414BF0">
        <w:rPr>
          <w:szCs w:val="24"/>
        </w:rPr>
        <w:t xml:space="preserve">the </w:t>
      </w:r>
      <w:r w:rsidRPr="00414E5B">
        <w:rPr>
          <w:szCs w:val="24"/>
        </w:rPr>
        <w:t>formulation of an effective mine closure p</w:t>
      </w:r>
      <w:r w:rsidR="00F9632F">
        <w:rPr>
          <w:szCs w:val="24"/>
        </w:rPr>
        <w:t>l</w:t>
      </w:r>
      <w:r w:rsidRPr="00414E5B">
        <w:rPr>
          <w:szCs w:val="24"/>
        </w:rPr>
        <w:t>an. The survey also fo</w:t>
      </w:r>
      <w:r w:rsidR="00F9632F">
        <w:rPr>
          <w:szCs w:val="24"/>
        </w:rPr>
        <w:t>u</w:t>
      </w:r>
      <w:r w:rsidRPr="00414E5B">
        <w:rPr>
          <w:szCs w:val="24"/>
        </w:rPr>
        <w:t>nd that professional</w:t>
      </w:r>
      <w:r w:rsidR="00F9632F">
        <w:rPr>
          <w:szCs w:val="24"/>
        </w:rPr>
        <w:t>s</w:t>
      </w:r>
      <w:r w:rsidRPr="00414E5B">
        <w:rPr>
          <w:szCs w:val="24"/>
        </w:rPr>
        <w:t xml:space="preserve"> believed that rigorous liability costings must be conducted and that financial provision must be made accordingly. Rehabilitation must take place as mining continues so that the final landscape and mine condition as well as actions required to close </w:t>
      </w:r>
      <w:r w:rsidR="00F9632F">
        <w:rPr>
          <w:szCs w:val="24"/>
        </w:rPr>
        <w:t>d</w:t>
      </w:r>
      <w:r w:rsidRPr="00414E5B">
        <w:rPr>
          <w:szCs w:val="24"/>
        </w:rPr>
        <w:t>o not represent unmanageable cost. Good cooperation between stakeholders is considered important, as is buy-in from senior management. The closure dialogue with stakeholders must be initiated well in advance to clarify the objectives</w:t>
      </w:r>
      <w:r w:rsidR="000F6334">
        <w:rPr>
          <w:szCs w:val="24"/>
        </w:rPr>
        <w:t>,</w:t>
      </w:r>
      <w:r w:rsidRPr="00414E5B">
        <w:rPr>
          <w:szCs w:val="24"/>
        </w:rPr>
        <w:t xml:space="preserve"> outcomes and final la</w:t>
      </w:r>
      <w:r w:rsidR="00F9632F">
        <w:rPr>
          <w:szCs w:val="24"/>
        </w:rPr>
        <w:t>n</w:t>
      </w:r>
      <w:r w:rsidRPr="00414E5B">
        <w:rPr>
          <w:szCs w:val="24"/>
        </w:rPr>
        <w:t xml:space="preserve">d use. </w:t>
      </w:r>
      <w:r w:rsidR="00F9632F">
        <w:rPr>
          <w:szCs w:val="24"/>
        </w:rPr>
        <w:t>The report concludes that m</w:t>
      </w:r>
      <w:r w:rsidRPr="00414E5B">
        <w:rPr>
          <w:szCs w:val="24"/>
        </w:rPr>
        <w:t>ine closure in South Africa has bee</w:t>
      </w:r>
      <w:r w:rsidR="00F9632F">
        <w:rPr>
          <w:szCs w:val="24"/>
        </w:rPr>
        <w:t>n</w:t>
      </w:r>
      <w:r w:rsidRPr="00414E5B">
        <w:rPr>
          <w:szCs w:val="24"/>
        </w:rPr>
        <w:t xml:space="preserve"> shown to be problematic and sustainable closure remains elusive. The professionals interviewed showed significant negative sentiment </w:t>
      </w:r>
      <w:r w:rsidR="0008744D" w:rsidRPr="00414E5B">
        <w:rPr>
          <w:szCs w:val="24"/>
        </w:rPr>
        <w:t>about</w:t>
      </w:r>
      <w:r w:rsidRPr="00414E5B">
        <w:rPr>
          <w:szCs w:val="24"/>
        </w:rPr>
        <w:t xml:space="preserve"> the possibility of attaining </w:t>
      </w:r>
      <w:r w:rsidR="00F9632F">
        <w:rPr>
          <w:szCs w:val="24"/>
        </w:rPr>
        <w:t xml:space="preserve">sustainable mine </w:t>
      </w:r>
      <w:r w:rsidRPr="00414E5B">
        <w:rPr>
          <w:szCs w:val="24"/>
        </w:rPr>
        <w:t>closure. The failure of closure through the prescribed means is mainly attributable to poor management, lack of baseline environment</w:t>
      </w:r>
      <w:r w:rsidR="00F9632F">
        <w:rPr>
          <w:szCs w:val="24"/>
        </w:rPr>
        <w:t>al</w:t>
      </w:r>
      <w:r w:rsidRPr="00414E5B">
        <w:rPr>
          <w:szCs w:val="24"/>
        </w:rPr>
        <w:t xml:space="preserve"> indictors, and a lack of government and public buy-in to </w:t>
      </w:r>
      <w:r w:rsidR="00F9632F">
        <w:rPr>
          <w:szCs w:val="24"/>
        </w:rPr>
        <w:t xml:space="preserve">the </w:t>
      </w:r>
      <w:r w:rsidRPr="00414E5B">
        <w:rPr>
          <w:szCs w:val="24"/>
        </w:rPr>
        <w:t xml:space="preserve">closure processes. </w:t>
      </w:r>
    </w:p>
    <w:p w14:paraId="0372E169" w14:textId="1E8BCF2C" w:rsidR="00414E5B" w:rsidRPr="00414E5B" w:rsidRDefault="00414E5B" w:rsidP="00AE71A0">
      <w:pPr>
        <w:rPr>
          <w:szCs w:val="24"/>
        </w:rPr>
      </w:pPr>
      <w:r w:rsidRPr="00414E5B">
        <w:rPr>
          <w:szCs w:val="24"/>
        </w:rPr>
        <w:t xml:space="preserve">Van Druten &amp; Bekker (2017) </w:t>
      </w:r>
      <w:r w:rsidR="00F9632F">
        <w:rPr>
          <w:szCs w:val="24"/>
        </w:rPr>
        <w:t>state that t</w:t>
      </w:r>
      <w:r w:rsidRPr="00414E5B">
        <w:rPr>
          <w:szCs w:val="24"/>
        </w:rPr>
        <w:t>he complete and successful closure of a mine in South Africa rema</w:t>
      </w:r>
      <w:r w:rsidR="00F9632F">
        <w:rPr>
          <w:szCs w:val="24"/>
        </w:rPr>
        <w:t>i</w:t>
      </w:r>
      <w:r w:rsidRPr="00414E5B">
        <w:rPr>
          <w:szCs w:val="24"/>
        </w:rPr>
        <w:t>n</w:t>
      </w:r>
      <w:r w:rsidR="00F9632F">
        <w:rPr>
          <w:szCs w:val="24"/>
        </w:rPr>
        <w:t>s</w:t>
      </w:r>
      <w:r w:rsidRPr="00414E5B">
        <w:rPr>
          <w:szCs w:val="24"/>
        </w:rPr>
        <w:t xml:space="preserve"> problematic. </w:t>
      </w:r>
      <w:r w:rsidR="00F9632F">
        <w:rPr>
          <w:szCs w:val="24"/>
        </w:rPr>
        <w:t>Some of the problems noted by these authors include u</w:t>
      </w:r>
      <w:r w:rsidRPr="00414E5B">
        <w:rPr>
          <w:szCs w:val="24"/>
        </w:rPr>
        <w:t>nclear roles and responsibilities, inaccurate closure manage</w:t>
      </w:r>
      <w:r w:rsidR="00F9632F">
        <w:rPr>
          <w:szCs w:val="24"/>
        </w:rPr>
        <w:t>ment</w:t>
      </w:r>
      <w:r w:rsidRPr="00414E5B">
        <w:rPr>
          <w:szCs w:val="24"/>
        </w:rPr>
        <w:t xml:space="preserve"> data</w:t>
      </w:r>
      <w:r w:rsidR="00F9632F">
        <w:rPr>
          <w:szCs w:val="24"/>
        </w:rPr>
        <w:t xml:space="preserve"> and the </w:t>
      </w:r>
      <w:r w:rsidRPr="00414E5B">
        <w:rPr>
          <w:szCs w:val="24"/>
        </w:rPr>
        <w:t xml:space="preserve">inability of stakeholders to conceptualise and integrate closure information into business processes. </w:t>
      </w:r>
      <w:r w:rsidR="00F9632F">
        <w:rPr>
          <w:szCs w:val="24"/>
        </w:rPr>
        <w:t xml:space="preserve">These authors state that no </w:t>
      </w:r>
      <w:r w:rsidRPr="00414E5B">
        <w:rPr>
          <w:szCs w:val="24"/>
        </w:rPr>
        <w:t>mine has bee</w:t>
      </w:r>
      <w:r w:rsidR="00F9632F">
        <w:rPr>
          <w:szCs w:val="24"/>
        </w:rPr>
        <w:t>n</w:t>
      </w:r>
      <w:r w:rsidRPr="00414E5B">
        <w:rPr>
          <w:szCs w:val="24"/>
        </w:rPr>
        <w:t xml:space="preserve"> granted closure and many mines are left abandoned and unrehabilitated. This results in risk to investors, impacts on surrounding communities and risk</w:t>
      </w:r>
      <w:r w:rsidR="00F9632F">
        <w:rPr>
          <w:szCs w:val="24"/>
        </w:rPr>
        <w:t>s</w:t>
      </w:r>
      <w:r w:rsidRPr="00414E5B">
        <w:rPr>
          <w:szCs w:val="24"/>
        </w:rPr>
        <w:t xml:space="preserve"> t</w:t>
      </w:r>
      <w:r w:rsidR="00F9632F">
        <w:rPr>
          <w:szCs w:val="24"/>
        </w:rPr>
        <w:t>o</w:t>
      </w:r>
      <w:r w:rsidRPr="00414E5B">
        <w:rPr>
          <w:szCs w:val="24"/>
        </w:rPr>
        <w:t xml:space="preserve"> regulators. The authors interviewe</w:t>
      </w:r>
      <w:r w:rsidR="00F9632F">
        <w:rPr>
          <w:szCs w:val="24"/>
        </w:rPr>
        <w:t>d</w:t>
      </w:r>
      <w:r w:rsidRPr="00414E5B">
        <w:rPr>
          <w:szCs w:val="24"/>
        </w:rPr>
        <w:t xml:space="preserve"> focus groups through a structured, rank order questionnaire to determine the relative importance of reason</w:t>
      </w:r>
      <w:r w:rsidR="00F9632F">
        <w:rPr>
          <w:szCs w:val="24"/>
        </w:rPr>
        <w:t>s</w:t>
      </w:r>
      <w:r w:rsidRPr="00414E5B">
        <w:rPr>
          <w:szCs w:val="24"/>
        </w:rPr>
        <w:t xml:space="preserve"> why closure fails. The aspects uncovered </w:t>
      </w:r>
      <w:r w:rsidR="00F9632F">
        <w:rPr>
          <w:szCs w:val="24"/>
        </w:rPr>
        <w:t xml:space="preserve">through this process were then </w:t>
      </w:r>
      <w:r w:rsidRPr="00414E5B">
        <w:rPr>
          <w:szCs w:val="24"/>
        </w:rPr>
        <w:t xml:space="preserve">ranked and listed by the </w:t>
      </w:r>
      <w:r w:rsidRPr="00414E5B">
        <w:rPr>
          <w:szCs w:val="24"/>
        </w:rPr>
        <w:lastRenderedPageBreak/>
        <w:t>authors. T</w:t>
      </w:r>
      <w:r w:rsidR="00F9632F">
        <w:rPr>
          <w:szCs w:val="24"/>
        </w:rPr>
        <w:t>he</w:t>
      </w:r>
      <w:r w:rsidRPr="00414E5B">
        <w:rPr>
          <w:szCs w:val="24"/>
        </w:rPr>
        <w:t xml:space="preserve"> respondents listed the shortage of relevant skills and knowledge relating to closure within the regulator as </w:t>
      </w:r>
      <w:r w:rsidR="00F9632F">
        <w:rPr>
          <w:szCs w:val="24"/>
        </w:rPr>
        <w:t xml:space="preserve">the major </w:t>
      </w:r>
      <w:r w:rsidRPr="00414E5B">
        <w:rPr>
          <w:szCs w:val="24"/>
        </w:rPr>
        <w:t>problem. A lack of qualified and experienced mine closure auditors has also been listed as a main problem</w:t>
      </w:r>
      <w:r w:rsidR="00F9632F">
        <w:rPr>
          <w:szCs w:val="24"/>
        </w:rPr>
        <w:t xml:space="preserve"> and the l</w:t>
      </w:r>
      <w:r w:rsidRPr="00414E5B">
        <w:rPr>
          <w:szCs w:val="24"/>
        </w:rPr>
        <w:t>ack of dedicated mine closure project t</w:t>
      </w:r>
      <w:r w:rsidR="00F9632F">
        <w:rPr>
          <w:szCs w:val="24"/>
        </w:rPr>
        <w:t>eams were identified a</w:t>
      </w:r>
      <w:r w:rsidRPr="00414E5B">
        <w:rPr>
          <w:szCs w:val="24"/>
        </w:rPr>
        <w:t>s another concern. Out of 37 potential contributing factors for the failure of mine clo</w:t>
      </w:r>
      <w:r w:rsidR="00F9632F">
        <w:rPr>
          <w:szCs w:val="24"/>
        </w:rPr>
        <w:t>s</w:t>
      </w:r>
      <w:r w:rsidRPr="00414E5B">
        <w:rPr>
          <w:szCs w:val="24"/>
        </w:rPr>
        <w:t xml:space="preserve">ure, it is commonly agreed that </w:t>
      </w:r>
      <w:r w:rsidR="000F6334">
        <w:rPr>
          <w:szCs w:val="24"/>
        </w:rPr>
        <w:t xml:space="preserve">a </w:t>
      </w:r>
      <w:r w:rsidRPr="00414E5B">
        <w:rPr>
          <w:szCs w:val="24"/>
        </w:rPr>
        <w:t>lack of skills is the biggest problem. A lack of planning during feasibly stages of the project is another planning constraint to eventual successful closure. Institutional uncertainties and dual responsibilities paralyse decision making in institutions charged with regulating closure</w:t>
      </w:r>
      <w:r w:rsidR="00F9632F">
        <w:rPr>
          <w:szCs w:val="24"/>
        </w:rPr>
        <w:t xml:space="preserve"> and </w:t>
      </w:r>
      <w:r w:rsidRPr="00414E5B">
        <w:rPr>
          <w:szCs w:val="24"/>
        </w:rPr>
        <w:t>there is fragmentation of responsibilities amongst govern</w:t>
      </w:r>
      <w:r w:rsidR="000F6334">
        <w:rPr>
          <w:szCs w:val="24"/>
        </w:rPr>
        <w:t>ment</w:t>
      </w:r>
      <w:r w:rsidRPr="00414E5B">
        <w:rPr>
          <w:szCs w:val="24"/>
        </w:rPr>
        <w:t xml:space="preserve"> departments. Insufficient financial provision does not seem to be a deciding factor but the lack of providing for social impact costs </w:t>
      </w:r>
      <w:r w:rsidR="00281AFA">
        <w:rPr>
          <w:szCs w:val="24"/>
        </w:rPr>
        <w:t xml:space="preserve">could </w:t>
      </w:r>
      <w:r w:rsidRPr="00414E5B">
        <w:rPr>
          <w:szCs w:val="24"/>
        </w:rPr>
        <w:t>be a potential problem</w:t>
      </w:r>
      <w:r w:rsidR="00281AFA">
        <w:rPr>
          <w:szCs w:val="24"/>
        </w:rPr>
        <w:t xml:space="preserve">. The authors suggest that </w:t>
      </w:r>
      <w:r w:rsidRPr="00414E5B">
        <w:rPr>
          <w:szCs w:val="24"/>
        </w:rPr>
        <w:t xml:space="preserve">the closure model could be a lot more effective if the impacts on the society affected by mining and the post closure mining state can </w:t>
      </w:r>
      <w:r w:rsidR="00281AFA">
        <w:rPr>
          <w:szCs w:val="24"/>
        </w:rPr>
        <w:t xml:space="preserve">be more </w:t>
      </w:r>
      <w:r w:rsidRPr="00414E5B">
        <w:rPr>
          <w:szCs w:val="24"/>
        </w:rPr>
        <w:t xml:space="preserve">effectively </w:t>
      </w:r>
      <w:r w:rsidR="00281AFA">
        <w:rPr>
          <w:szCs w:val="24"/>
        </w:rPr>
        <w:t xml:space="preserve">communicated </w:t>
      </w:r>
      <w:r w:rsidRPr="00414E5B">
        <w:rPr>
          <w:szCs w:val="24"/>
        </w:rPr>
        <w:t>at earlier stages in the closure planning process. The</w:t>
      </w:r>
      <w:r w:rsidR="00281AFA">
        <w:rPr>
          <w:szCs w:val="24"/>
        </w:rPr>
        <w:t xml:space="preserve"> authors recommend that these </w:t>
      </w:r>
      <w:r w:rsidRPr="00414E5B">
        <w:rPr>
          <w:szCs w:val="24"/>
        </w:rPr>
        <w:t xml:space="preserve">and other minor factors </w:t>
      </w:r>
      <w:r w:rsidR="00281AFA">
        <w:rPr>
          <w:szCs w:val="24"/>
        </w:rPr>
        <w:t xml:space="preserve">could be incorporated </w:t>
      </w:r>
      <w:r w:rsidRPr="00414E5B">
        <w:rPr>
          <w:szCs w:val="24"/>
        </w:rPr>
        <w:t xml:space="preserve">into an integrated mine closure model </w:t>
      </w:r>
      <w:r w:rsidR="00281AFA">
        <w:rPr>
          <w:szCs w:val="24"/>
        </w:rPr>
        <w:t xml:space="preserve">to improve the probability of </w:t>
      </w:r>
      <w:r w:rsidRPr="00414E5B">
        <w:rPr>
          <w:szCs w:val="24"/>
        </w:rPr>
        <w:t>attain</w:t>
      </w:r>
      <w:r w:rsidR="00281AFA">
        <w:rPr>
          <w:szCs w:val="24"/>
        </w:rPr>
        <w:t>ing</w:t>
      </w:r>
      <w:r w:rsidRPr="00414E5B">
        <w:rPr>
          <w:szCs w:val="24"/>
        </w:rPr>
        <w:t xml:space="preserve"> successful</w:t>
      </w:r>
      <w:r w:rsidR="000F6334">
        <w:rPr>
          <w:szCs w:val="24"/>
        </w:rPr>
        <w:t>,</w:t>
      </w:r>
      <w:r w:rsidRPr="00414E5B">
        <w:rPr>
          <w:szCs w:val="24"/>
        </w:rPr>
        <w:t xml:space="preserve"> sustainable closure o</w:t>
      </w:r>
      <w:r w:rsidR="00281AFA">
        <w:rPr>
          <w:szCs w:val="24"/>
        </w:rPr>
        <w:t>f</w:t>
      </w:r>
      <w:r w:rsidRPr="00414E5B">
        <w:rPr>
          <w:szCs w:val="24"/>
        </w:rPr>
        <w:t xml:space="preserve"> mines. </w:t>
      </w:r>
    </w:p>
    <w:p w14:paraId="693E1AA3" w14:textId="7A89D50D" w:rsidR="00414E5B" w:rsidRPr="00414E5B" w:rsidRDefault="00414E5B" w:rsidP="00AE71A0">
      <w:pPr>
        <w:rPr>
          <w:szCs w:val="24"/>
        </w:rPr>
      </w:pPr>
      <w:r w:rsidRPr="00414E5B">
        <w:rPr>
          <w:szCs w:val="24"/>
        </w:rPr>
        <w:t xml:space="preserve">Alberts and others (2017) </w:t>
      </w:r>
      <w:r w:rsidR="00281AFA" w:rsidRPr="00414E5B">
        <w:rPr>
          <w:szCs w:val="24"/>
        </w:rPr>
        <w:t>discusse</w:t>
      </w:r>
      <w:r w:rsidR="00281AFA">
        <w:rPr>
          <w:szCs w:val="24"/>
        </w:rPr>
        <w:t>d</w:t>
      </w:r>
      <w:r w:rsidR="00281AFA" w:rsidRPr="00414E5B">
        <w:rPr>
          <w:szCs w:val="24"/>
        </w:rPr>
        <w:t xml:space="preserve"> the legal framework for mine closure and abandoned mine sites in South Africa i</w:t>
      </w:r>
      <w:r w:rsidR="000F6334">
        <w:rPr>
          <w:szCs w:val="24"/>
        </w:rPr>
        <w:t>n</w:t>
      </w:r>
      <w:r w:rsidR="00281AFA" w:rsidRPr="00414E5B">
        <w:rPr>
          <w:szCs w:val="24"/>
        </w:rPr>
        <w:t xml:space="preserve"> comparison with other mining countries </w:t>
      </w:r>
      <w:r w:rsidR="00281AFA">
        <w:rPr>
          <w:szCs w:val="24"/>
        </w:rPr>
        <w:t xml:space="preserve">and found that </w:t>
      </w:r>
      <w:r w:rsidRPr="00414E5B">
        <w:rPr>
          <w:szCs w:val="24"/>
        </w:rPr>
        <w:t xml:space="preserve">the legal framework for mine closure in South Africa is comprehensive. While the </w:t>
      </w:r>
      <w:r w:rsidR="00281AFA">
        <w:rPr>
          <w:szCs w:val="24"/>
        </w:rPr>
        <w:t xml:space="preserve">South Africa </w:t>
      </w:r>
      <w:r w:rsidRPr="00414E5B">
        <w:rPr>
          <w:szCs w:val="24"/>
        </w:rPr>
        <w:t>system conforms to international expectation</w:t>
      </w:r>
      <w:r w:rsidR="00A37D30">
        <w:rPr>
          <w:szCs w:val="24"/>
        </w:rPr>
        <w:t>s</w:t>
      </w:r>
      <w:r w:rsidRPr="00414E5B">
        <w:rPr>
          <w:szCs w:val="24"/>
        </w:rPr>
        <w:t>, the system is very complex. Many individual laws, regulations, norms, standard</w:t>
      </w:r>
      <w:r w:rsidR="00A37D30">
        <w:rPr>
          <w:szCs w:val="24"/>
        </w:rPr>
        <w:t xml:space="preserve">s and </w:t>
      </w:r>
      <w:r w:rsidRPr="00414E5B">
        <w:rPr>
          <w:szCs w:val="24"/>
        </w:rPr>
        <w:t>guidelines which</w:t>
      </w:r>
      <w:r w:rsidR="00A37D30">
        <w:rPr>
          <w:szCs w:val="24"/>
        </w:rPr>
        <w:t xml:space="preserve"> are</w:t>
      </w:r>
      <w:r w:rsidRPr="00414E5B">
        <w:rPr>
          <w:szCs w:val="24"/>
        </w:rPr>
        <w:t xml:space="preserve"> administrat</w:t>
      </w:r>
      <w:r w:rsidR="00A37D30">
        <w:rPr>
          <w:szCs w:val="24"/>
        </w:rPr>
        <w:t>ed</w:t>
      </w:r>
      <w:r w:rsidRPr="00414E5B">
        <w:rPr>
          <w:szCs w:val="24"/>
        </w:rPr>
        <w:t xml:space="preserve"> through several </w:t>
      </w:r>
      <w:r w:rsidR="00A37D30">
        <w:rPr>
          <w:szCs w:val="24"/>
        </w:rPr>
        <w:t>M</w:t>
      </w:r>
      <w:r w:rsidRPr="00414E5B">
        <w:rPr>
          <w:szCs w:val="24"/>
        </w:rPr>
        <w:t>inistries</w:t>
      </w:r>
      <w:r w:rsidR="00A37D30">
        <w:rPr>
          <w:szCs w:val="24"/>
        </w:rPr>
        <w:t>,</w:t>
      </w:r>
      <w:r w:rsidRPr="00414E5B">
        <w:rPr>
          <w:szCs w:val="24"/>
        </w:rPr>
        <w:t xml:space="preserve"> complicate the processes of mine closure</w:t>
      </w:r>
      <w:r w:rsidR="00A37D30">
        <w:rPr>
          <w:szCs w:val="24"/>
        </w:rPr>
        <w:t xml:space="preserve"> in South Africa</w:t>
      </w:r>
      <w:r w:rsidRPr="00414E5B">
        <w:rPr>
          <w:szCs w:val="24"/>
        </w:rPr>
        <w:t>. Th</w:t>
      </w:r>
      <w:r w:rsidR="00A37D30">
        <w:rPr>
          <w:szCs w:val="24"/>
        </w:rPr>
        <w:t>is</w:t>
      </w:r>
      <w:r w:rsidRPr="00414E5B">
        <w:rPr>
          <w:szCs w:val="24"/>
        </w:rPr>
        <w:t xml:space="preserve"> complexity, coupled with governance capacity constraints, goes a long way to explain the reasons why mine closure practice has </w:t>
      </w:r>
      <w:r w:rsidR="0008744D" w:rsidRPr="00414E5B">
        <w:rPr>
          <w:szCs w:val="24"/>
        </w:rPr>
        <w:t>fallen</w:t>
      </w:r>
      <w:r w:rsidRPr="00414E5B">
        <w:rPr>
          <w:szCs w:val="24"/>
        </w:rPr>
        <w:t xml:space="preserve"> short of mine closure expectations and mandates. The authors list the raft of legislation and key regulations and other guidance that have a bearing on mine closure</w:t>
      </w:r>
      <w:r w:rsidR="00A37D30">
        <w:rPr>
          <w:szCs w:val="24"/>
        </w:rPr>
        <w:t xml:space="preserve"> and </w:t>
      </w:r>
      <w:r w:rsidRPr="00414E5B">
        <w:rPr>
          <w:szCs w:val="24"/>
        </w:rPr>
        <w:t>the various entities that govern this to illustrate the complexity of these provisions. The paper illustrate</w:t>
      </w:r>
      <w:r w:rsidR="00A37D30">
        <w:rPr>
          <w:szCs w:val="24"/>
        </w:rPr>
        <w:t xml:space="preserve">s this </w:t>
      </w:r>
      <w:r w:rsidRPr="00414E5B">
        <w:rPr>
          <w:szCs w:val="24"/>
        </w:rPr>
        <w:t>complexity with</w:t>
      </w:r>
      <w:r w:rsidR="00A37D30">
        <w:rPr>
          <w:szCs w:val="24"/>
        </w:rPr>
        <w:t xml:space="preserve"> </w:t>
      </w:r>
      <w:r w:rsidRPr="00414E5B">
        <w:rPr>
          <w:szCs w:val="24"/>
        </w:rPr>
        <w:t>a view to prove whether recent changes in the legislation have made the mine closure process and framework any easier</w:t>
      </w:r>
      <w:r w:rsidR="00A37D30">
        <w:rPr>
          <w:szCs w:val="24"/>
        </w:rPr>
        <w:t xml:space="preserve"> and concludes that t</w:t>
      </w:r>
      <w:r w:rsidRPr="00414E5B">
        <w:rPr>
          <w:szCs w:val="24"/>
        </w:rPr>
        <w:t xml:space="preserve">he </w:t>
      </w:r>
      <w:r w:rsidR="00A37D30">
        <w:rPr>
          <w:szCs w:val="24"/>
        </w:rPr>
        <w:t>S</w:t>
      </w:r>
      <w:r w:rsidRPr="00414E5B">
        <w:rPr>
          <w:szCs w:val="24"/>
        </w:rPr>
        <w:t xml:space="preserve">outh African framework for mine closure is </w:t>
      </w:r>
      <w:r w:rsidR="00A37D30">
        <w:rPr>
          <w:szCs w:val="24"/>
        </w:rPr>
        <w:t>s</w:t>
      </w:r>
      <w:r w:rsidRPr="00414E5B">
        <w:rPr>
          <w:szCs w:val="24"/>
        </w:rPr>
        <w:t xml:space="preserve">till very complex. While it is noted that </w:t>
      </w:r>
      <w:r w:rsidR="00A37D30">
        <w:rPr>
          <w:szCs w:val="24"/>
        </w:rPr>
        <w:t>th</w:t>
      </w:r>
      <w:r w:rsidRPr="00414E5B">
        <w:rPr>
          <w:szCs w:val="24"/>
        </w:rPr>
        <w:t>e complexities in mine closure are not only prevalent in the South African jurisdiction, the authors note that it is the degree to which the formalise</w:t>
      </w:r>
      <w:r w:rsidR="00A37D30">
        <w:rPr>
          <w:szCs w:val="24"/>
        </w:rPr>
        <w:t>d</w:t>
      </w:r>
      <w:r w:rsidRPr="00414E5B">
        <w:rPr>
          <w:szCs w:val="24"/>
        </w:rPr>
        <w:t xml:space="preserve"> closure processe</w:t>
      </w:r>
      <w:r w:rsidR="00A37D30">
        <w:rPr>
          <w:szCs w:val="24"/>
        </w:rPr>
        <w:t>s</w:t>
      </w:r>
      <w:r w:rsidRPr="00414E5B">
        <w:rPr>
          <w:szCs w:val="24"/>
        </w:rPr>
        <w:t xml:space="preserve"> are administrated by the regulators that make a difference in the eventual success. The </w:t>
      </w:r>
      <w:r w:rsidR="00A37D30">
        <w:rPr>
          <w:szCs w:val="24"/>
        </w:rPr>
        <w:lastRenderedPageBreak/>
        <w:t xml:space="preserve">development of the </w:t>
      </w:r>
      <w:r w:rsidRPr="00414E5B">
        <w:rPr>
          <w:szCs w:val="24"/>
        </w:rPr>
        <w:t>skills of professional</w:t>
      </w:r>
      <w:r w:rsidR="00A37D30">
        <w:rPr>
          <w:szCs w:val="24"/>
        </w:rPr>
        <w:t>s</w:t>
      </w:r>
      <w:r w:rsidRPr="00414E5B">
        <w:rPr>
          <w:szCs w:val="24"/>
        </w:rPr>
        <w:t xml:space="preserve"> in mine closure to develop relevant closure objectives</w:t>
      </w:r>
      <w:r w:rsidR="000F6334">
        <w:rPr>
          <w:szCs w:val="24"/>
        </w:rPr>
        <w:t>,</w:t>
      </w:r>
      <w:r w:rsidRPr="00414E5B">
        <w:rPr>
          <w:szCs w:val="24"/>
        </w:rPr>
        <w:t xml:space="preserve"> norms and standards to be attained at closure is seen as an important step to eventually attain and agree on closure outcomes. The legal framework does not often consider the human elements of mine closure, still a major shortcoming</w:t>
      </w:r>
      <w:r w:rsidR="00A37D30">
        <w:rPr>
          <w:szCs w:val="24"/>
        </w:rPr>
        <w:t>,</w:t>
      </w:r>
      <w:r w:rsidRPr="00414E5B">
        <w:rPr>
          <w:szCs w:val="24"/>
        </w:rPr>
        <w:t xml:space="preserve"> and it ends up depending on the govern</w:t>
      </w:r>
      <w:r w:rsidR="00A37D30">
        <w:rPr>
          <w:szCs w:val="24"/>
        </w:rPr>
        <w:t>ment to</w:t>
      </w:r>
      <w:r w:rsidRPr="00414E5B">
        <w:rPr>
          <w:szCs w:val="24"/>
        </w:rPr>
        <w:t xml:space="preserve"> be the intermediar</w:t>
      </w:r>
      <w:r w:rsidR="00A37D30">
        <w:rPr>
          <w:szCs w:val="24"/>
        </w:rPr>
        <w:t>y</w:t>
      </w:r>
      <w:r w:rsidRPr="00414E5B">
        <w:rPr>
          <w:szCs w:val="24"/>
        </w:rPr>
        <w:t xml:space="preserve"> between community expectation</w:t>
      </w:r>
      <w:r w:rsidR="00A37D30">
        <w:rPr>
          <w:szCs w:val="24"/>
        </w:rPr>
        <w:t>s</w:t>
      </w:r>
      <w:r w:rsidRPr="00414E5B">
        <w:rPr>
          <w:szCs w:val="24"/>
        </w:rPr>
        <w:t xml:space="preserve"> and the mines to negotiate and change closure outcomes. </w:t>
      </w:r>
    </w:p>
    <w:p w14:paraId="62ED4024" w14:textId="1AB59555" w:rsidR="00414E5B" w:rsidRPr="00203170" w:rsidRDefault="00414E5B" w:rsidP="00AE71A0">
      <w:pPr>
        <w:rPr>
          <w:szCs w:val="24"/>
        </w:rPr>
      </w:pPr>
      <w:r w:rsidRPr="00414E5B">
        <w:rPr>
          <w:szCs w:val="24"/>
        </w:rPr>
        <w:t xml:space="preserve">Humby </w:t>
      </w:r>
      <w:r w:rsidR="00A37D30">
        <w:rPr>
          <w:szCs w:val="24"/>
        </w:rPr>
        <w:t xml:space="preserve">(2014) </w:t>
      </w:r>
      <w:r w:rsidRPr="00414E5B">
        <w:rPr>
          <w:szCs w:val="24"/>
        </w:rPr>
        <w:t>found that there are serious gaps and lapses in the legal provisions for mine closure which, although they look comprehensive, allow mines to slip through legal cracks</w:t>
      </w:r>
      <w:r w:rsidR="00A37D30">
        <w:rPr>
          <w:szCs w:val="24"/>
        </w:rPr>
        <w:t xml:space="preserve"> to avoid the formal closure process. No</w:t>
      </w:r>
      <w:r w:rsidRPr="00414E5B">
        <w:rPr>
          <w:szCs w:val="24"/>
        </w:rPr>
        <w:t>tably</w:t>
      </w:r>
      <w:r w:rsidR="00A37D30">
        <w:rPr>
          <w:szCs w:val="24"/>
        </w:rPr>
        <w:t xml:space="preserve">, </w:t>
      </w:r>
      <w:r w:rsidRPr="00414E5B">
        <w:rPr>
          <w:szCs w:val="24"/>
        </w:rPr>
        <w:t>the Companies Act</w:t>
      </w:r>
      <w:r w:rsidR="00A37D30">
        <w:rPr>
          <w:szCs w:val="24"/>
        </w:rPr>
        <w:t xml:space="preserve"> allows mines to</w:t>
      </w:r>
      <w:r w:rsidRPr="00414E5B">
        <w:rPr>
          <w:szCs w:val="24"/>
        </w:rPr>
        <w:t xml:space="preserve"> sell off their liabilities to less and less capable mining houses in successive sales of mines and transfers of </w:t>
      </w:r>
      <w:r w:rsidR="000F6334">
        <w:rPr>
          <w:szCs w:val="24"/>
        </w:rPr>
        <w:t xml:space="preserve">mining </w:t>
      </w:r>
      <w:r w:rsidRPr="00414E5B">
        <w:rPr>
          <w:szCs w:val="24"/>
        </w:rPr>
        <w:t>right</w:t>
      </w:r>
      <w:r w:rsidR="000F6334">
        <w:rPr>
          <w:szCs w:val="24"/>
        </w:rPr>
        <w:t>s,</w:t>
      </w:r>
      <w:r w:rsidRPr="00414E5B">
        <w:rPr>
          <w:szCs w:val="24"/>
        </w:rPr>
        <w:t xml:space="preserve"> which ultimately lead</w:t>
      </w:r>
      <w:r w:rsidR="00A37D30">
        <w:rPr>
          <w:szCs w:val="24"/>
        </w:rPr>
        <w:t>s</w:t>
      </w:r>
      <w:r w:rsidRPr="00414E5B">
        <w:rPr>
          <w:szCs w:val="24"/>
        </w:rPr>
        <w:t xml:space="preserve"> to a mine owner not having the financial capacity to provide for closure and leading to abandonment and dereliction. </w:t>
      </w:r>
      <w:r w:rsidR="00A37D30">
        <w:rPr>
          <w:szCs w:val="24"/>
        </w:rPr>
        <w:t>T</w:t>
      </w:r>
      <w:r w:rsidR="00A37D30" w:rsidRPr="00414E5B">
        <w:rPr>
          <w:szCs w:val="24"/>
        </w:rPr>
        <w:t>o illustrate the point</w:t>
      </w:r>
      <w:r w:rsidR="00A37D30">
        <w:rPr>
          <w:szCs w:val="24"/>
        </w:rPr>
        <w:t xml:space="preserve">, </w:t>
      </w:r>
      <w:r w:rsidR="00306489">
        <w:rPr>
          <w:szCs w:val="24"/>
        </w:rPr>
        <w:t>Humby</w:t>
      </w:r>
      <w:r w:rsidRPr="00414E5B">
        <w:rPr>
          <w:szCs w:val="24"/>
        </w:rPr>
        <w:t xml:space="preserve"> uses the example of Blyvooruitzi</w:t>
      </w:r>
      <w:r w:rsidR="0041766C">
        <w:rPr>
          <w:szCs w:val="24"/>
        </w:rPr>
        <w:t>c</w:t>
      </w:r>
      <w:r w:rsidRPr="00414E5B">
        <w:rPr>
          <w:szCs w:val="24"/>
        </w:rPr>
        <w:t>ht mine</w:t>
      </w:r>
      <w:r w:rsidR="00A37D30">
        <w:rPr>
          <w:szCs w:val="24"/>
        </w:rPr>
        <w:t>,</w:t>
      </w:r>
      <w:r w:rsidRPr="00414E5B">
        <w:rPr>
          <w:szCs w:val="24"/>
        </w:rPr>
        <w:t xml:space="preserve"> which has gone through successive owners and was ultimately abandoned. </w:t>
      </w:r>
      <w:r w:rsidR="00A37D30">
        <w:rPr>
          <w:szCs w:val="24"/>
        </w:rPr>
        <w:t>Humby also identifies t</w:t>
      </w:r>
      <w:r w:rsidRPr="00414E5B">
        <w:rPr>
          <w:szCs w:val="24"/>
        </w:rPr>
        <w:t xml:space="preserve">he issue of inadequate legal protection of the funds put aside for closure in the financial provision of a mine during the ownership of rights transfer. The major loophole that </w:t>
      </w:r>
      <w:r w:rsidR="00306489">
        <w:rPr>
          <w:szCs w:val="24"/>
        </w:rPr>
        <w:t>Humby</w:t>
      </w:r>
      <w:r w:rsidRPr="00414E5B">
        <w:rPr>
          <w:szCs w:val="24"/>
        </w:rPr>
        <w:t xml:space="preserve"> identifies is that the MPRD</w:t>
      </w:r>
      <w:r w:rsidR="00A37D30">
        <w:rPr>
          <w:szCs w:val="24"/>
        </w:rPr>
        <w:t>A</w:t>
      </w:r>
      <w:r w:rsidRPr="00414E5B">
        <w:rPr>
          <w:szCs w:val="24"/>
        </w:rPr>
        <w:t xml:space="preserve"> allows the transfer of existing mining right</w:t>
      </w:r>
      <w:r w:rsidR="00A37D30">
        <w:rPr>
          <w:szCs w:val="24"/>
        </w:rPr>
        <w:t>s to other parties with little reference to other acts</w:t>
      </w:r>
      <w:r w:rsidRPr="00414E5B">
        <w:rPr>
          <w:szCs w:val="24"/>
        </w:rPr>
        <w:t>. The liability for pollution degradation of the environment,</w:t>
      </w:r>
      <w:r w:rsidR="00464F24">
        <w:rPr>
          <w:szCs w:val="24"/>
        </w:rPr>
        <w:t xml:space="preserve"> </w:t>
      </w:r>
      <w:r w:rsidRPr="00414E5B">
        <w:rPr>
          <w:szCs w:val="24"/>
        </w:rPr>
        <w:t>the pumping of mine water and residual impact</w:t>
      </w:r>
      <w:r w:rsidR="00464F24">
        <w:rPr>
          <w:szCs w:val="24"/>
        </w:rPr>
        <w:t>s</w:t>
      </w:r>
      <w:r w:rsidRPr="00414E5B">
        <w:rPr>
          <w:szCs w:val="24"/>
        </w:rPr>
        <w:t xml:space="preserve"> fall to the last holder of the right</w:t>
      </w:r>
      <w:r w:rsidR="00464F24">
        <w:rPr>
          <w:szCs w:val="24"/>
        </w:rPr>
        <w:t xml:space="preserve">, </w:t>
      </w:r>
      <w:r w:rsidRPr="00414E5B">
        <w:rPr>
          <w:szCs w:val="24"/>
        </w:rPr>
        <w:t xml:space="preserve">who must also apply for the closure certificate. </w:t>
      </w:r>
      <w:r w:rsidR="00464F24">
        <w:rPr>
          <w:szCs w:val="24"/>
        </w:rPr>
        <w:t xml:space="preserve">Humby </w:t>
      </w:r>
      <w:r w:rsidRPr="00414E5B">
        <w:rPr>
          <w:szCs w:val="24"/>
        </w:rPr>
        <w:t>concludes that, despite having very good legislation for regulat</w:t>
      </w:r>
      <w:r w:rsidR="00464F24">
        <w:rPr>
          <w:szCs w:val="24"/>
        </w:rPr>
        <w:t>ing</w:t>
      </w:r>
      <w:r w:rsidRPr="00414E5B">
        <w:rPr>
          <w:szCs w:val="24"/>
        </w:rPr>
        <w:t xml:space="preserve"> mine closure</w:t>
      </w:r>
      <w:r w:rsidR="00464F24">
        <w:rPr>
          <w:szCs w:val="24"/>
        </w:rPr>
        <w:t>, t</w:t>
      </w:r>
      <w:r w:rsidRPr="00414E5B">
        <w:rPr>
          <w:szCs w:val="24"/>
        </w:rPr>
        <w:t>he oversights and gaps created in the MPRDA regarding the transfer of right</w:t>
      </w:r>
      <w:r w:rsidR="00464F24">
        <w:rPr>
          <w:szCs w:val="24"/>
        </w:rPr>
        <w:t>s</w:t>
      </w:r>
      <w:r w:rsidRPr="00414E5B">
        <w:rPr>
          <w:szCs w:val="24"/>
        </w:rPr>
        <w:t xml:space="preserve"> has created serious gap</w:t>
      </w:r>
      <w:r w:rsidR="00464F24">
        <w:rPr>
          <w:szCs w:val="24"/>
        </w:rPr>
        <w:t>s</w:t>
      </w:r>
      <w:r w:rsidRPr="00414E5B">
        <w:rPr>
          <w:szCs w:val="24"/>
        </w:rPr>
        <w:t xml:space="preserve"> in the transfer of ownership and liabilities to a party less capable of fulfilling the closure obligations and the model of regulated mine closure is thereby undermined. The author </w:t>
      </w:r>
      <w:r w:rsidR="000535EB">
        <w:rPr>
          <w:szCs w:val="24"/>
        </w:rPr>
        <w:t xml:space="preserve">(Humby) </w:t>
      </w:r>
      <w:r w:rsidRPr="00414E5B">
        <w:rPr>
          <w:szCs w:val="24"/>
        </w:rPr>
        <w:t>call</w:t>
      </w:r>
      <w:r w:rsidR="00464F24">
        <w:rPr>
          <w:szCs w:val="24"/>
        </w:rPr>
        <w:t>s</w:t>
      </w:r>
      <w:r w:rsidRPr="00414E5B">
        <w:rPr>
          <w:szCs w:val="24"/>
        </w:rPr>
        <w:t xml:space="preserve"> for authorities to address these issues or face increased dereliction of mining responsibilities and failures to close mines in accordance with the solid legal foundation provided.</w:t>
      </w:r>
    </w:p>
    <w:p w14:paraId="2EF1FFD3" w14:textId="4E5FE2C4" w:rsidR="00D464FB" w:rsidRPr="00203170" w:rsidRDefault="00D464FB" w:rsidP="00AE71A0">
      <w:pPr>
        <w:rPr>
          <w:szCs w:val="24"/>
        </w:rPr>
      </w:pPr>
      <w:r w:rsidRPr="00203170">
        <w:rPr>
          <w:szCs w:val="24"/>
        </w:rPr>
        <w:t>In March 2017, a very significant report entitled: “</w:t>
      </w:r>
      <w:r w:rsidRPr="00203170">
        <w:rPr>
          <w:i/>
          <w:szCs w:val="24"/>
        </w:rPr>
        <w:t>The Drivers of the cost of public Sector Construction: Assessment and Recommendations</w:t>
      </w:r>
      <w:r w:rsidRPr="00203170">
        <w:rPr>
          <w:szCs w:val="24"/>
        </w:rPr>
        <w:t>” was published by the Construction Industry Development Board (CIDB) and the Department of Public Works</w:t>
      </w:r>
      <w:r w:rsidR="00DE1F6D" w:rsidRPr="00203170">
        <w:rPr>
          <w:szCs w:val="24"/>
        </w:rPr>
        <w:t xml:space="preserve"> (DPW)</w:t>
      </w:r>
      <w:r w:rsidRPr="00203170">
        <w:rPr>
          <w:szCs w:val="24"/>
        </w:rPr>
        <w:t xml:space="preserve">. </w:t>
      </w:r>
      <w:r w:rsidR="000535EB">
        <w:rPr>
          <w:szCs w:val="24"/>
        </w:rPr>
        <w:t>(</w:t>
      </w:r>
      <w:r w:rsidR="000535EB" w:rsidRPr="000535EB">
        <w:rPr>
          <w:szCs w:val="24"/>
        </w:rPr>
        <w:t>Department of Public Works</w:t>
      </w:r>
      <w:r w:rsidR="000535EB">
        <w:rPr>
          <w:szCs w:val="24"/>
        </w:rPr>
        <w:t xml:space="preserve">, </w:t>
      </w:r>
      <w:r w:rsidR="000535EB" w:rsidRPr="000535EB">
        <w:rPr>
          <w:szCs w:val="24"/>
        </w:rPr>
        <w:t>2017</w:t>
      </w:r>
      <w:r w:rsidR="000535EB">
        <w:rPr>
          <w:szCs w:val="24"/>
        </w:rPr>
        <w:t>)</w:t>
      </w:r>
      <w:r w:rsidR="000535EB" w:rsidRPr="000535EB">
        <w:rPr>
          <w:szCs w:val="24"/>
        </w:rPr>
        <w:t xml:space="preserve">. </w:t>
      </w:r>
      <w:r w:rsidRPr="00203170">
        <w:rPr>
          <w:szCs w:val="24"/>
        </w:rPr>
        <w:t>Th</w:t>
      </w:r>
      <w:r w:rsidR="007B5ABB" w:rsidRPr="00203170">
        <w:rPr>
          <w:szCs w:val="24"/>
        </w:rPr>
        <w:t xml:space="preserve">e research that informed this </w:t>
      </w:r>
      <w:r w:rsidRPr="00203170">
        <w:rPr>
          <w:szCs w:val="24"/>
        </w:rPr>
        <w:t>report</w:t>
      </w:r>
      <w:r w:rsidR="007B5ABB" w:rsidRPr="00203170">
        <w:rPr>
          <w:szCs w:val="24"/>
        </w:rPr>
        <w:t xml:space="preserve"> found </w:t>
      </w:r>
      <w:r w:rsidRPr="00203170">
        <w:rPr>
          <w:szCs w:val="24"/>
        </w:rPr>
        <w:t xml:space="preserve">that infrastructure spending by the various departments and agencies of the national, provincial and local </w:t>
      </w:r>
      <w:r w:rsidRPr="00203170">
        <w:rPr>
          <w:szCs w:val="24"/>
        </w:rPr>
        <w:lastRenderedPageBreak/>
        <w:t xml:space="preserve">spheres of government annually amount to R 220 </w:t>
      </w:r>
      <w:r w:rsidR="00D0211C" w:rsidRPr="00203170">
        <w:rPr>
          <w:szCs w:val="24"/>
        </w:rPr>
        <w:t>billion</w:t>
      </w:r>
      <w:r w:rsidRPr="00203170">
        <w:rPr>
          <w:szCs w:val="24"/>
        </w:rPr>
        <w:t xml:space="preserve"> and provide jobs to over 1,4 Million people. The scope of this work is therefore very significant. The report looks at the drivers of costs in public sector infrastructure spending and </w:t>
      </w:r>
      <w:r w:rsidR="007B5ABB" w:rsidRPr="00203170">
        <w:rPr>
          <w:szCs w:val="24"/>
        </w:rPr>
        <w:t>h</w:t>
      </w:r>
      <w:r w:rsidRPr="00203170">
        <w:rPr>
          <w:szCs w:val="24"/>
        </w:rPr>
        <w:t>as some relevan</w:t>
      </w:r>
      <w:r w:rsidR="007B5ABB" w:rsidRPr="00203170">
        <w:rPr>
          <w:szCs w:val="24"/>
        </w:rPr>
        <w:t>ce</w:t>
      </w:r>
      <w:r w:rsidRPr="00203170">
        <w:rPr>
          <w:szCs w:val="24"/>
        </w:rPr>
        <w:t xml:space="preserve"> to this </w:t>
      </w:r>
      <w:r w:rsidR="000F6334">
        <w:rPr>
          <w:szCs w:val="24"/>
        </w:rPr>
        <w:t xml:space="preserve">research </w:t>
      </w:r>
      <w:r w:rsidRPr="00203170">
        <w:rPr>
          <w:szCs w:val="24"/>
        </w:rPr>
        <w:t xml:space="preserve">report as it also covers several aspects that have a direct bearing on the civil engineering nature of most mine rehabilitation projects.  </w:t>
      </w:r>
    </w:p>
    <w:p w14:paraId="14F0005F" w14:textId="7CF08DCB" w:rsidR="00D464FB" w:rsidRPr="00203170" w:rsidRDefault="00D464FB" w:rsidP="00AE71A0">
      <w:pPr>
        <w:rPr>
          <w:szCs w:val="24"/>
        </w:rPr>
      </w:pPr>
      <w:r w:rsidRPr="00203170">
        <w:rPr>
          <w:szCs w:val="24"/>
        </w:rPr>
        <w:t>The DPW/CIDB report proposes the Building Cost Index (BCI) as a better indicator of construction and engineering cost increases, as it includes the contractors’ profit margins and better reflects actual market conditions. Historical data analysed for the DPW/CIDB report indicates an average annual increase in the BCI of 1% over the CPI in the period from 2005 to 2015. This report also considers the Output BCI, which reflects the cost to the client and includes allowances for risk and profit in addition to the actual contractor cost. The output BCI has risen with a significant 4.5% each year over the CPI in the period from 2010 to 2015.</w:t>
      </w:r>
      <w:r w:rsidR="00DE1F6D" w:rsidRPr="00203170">
        <w:rPr>
          <w:szCs w:val="24"/>
        </w:rPr>
        <w:t xml:space="preserve"> </w:t>
      </w:r>
      <w:r w:rsidRPr="00203170">
        <w:rPr>
          <w:szCs w:val="24"/>
        </w:rPr>
        <w:t xml:space="preserve">The combined findings of the DPW/CIDB report suggest that the noted increase in building costs could be ascribed to increasing profit allowances by contractors as well as allowances for risk factors, financing costs and the depreciation of the Rand over the study period. The study also found that plant- and material-intensive construction projects are more sensitive to cost increases than comparable labour-intensive projects. </w:t>
      </w:r>
    </w:p>
    <w:p w14:paraId="564AF143" w14:textId="5BB830A5" w:rsidR="00D464FB" w:rsidRPr="00203170" w:rsidRDefault="00D464FB" w:rsidP="00AE71A0">
      <w:pPr>
        <w:rPr>
          <w:szCs w:val="24"/>
        </w:rPr>
      </w:pPr>
      <w:r w:rsidRPr="00203170">
        <w:rPr>
          <w:szCs w:val="24"/>
        </w:rPr>
        <w:t xml:space="preserve">The DPW/CIDB report used the actual data from the bills of quantities of a selected number of projects in the General Building and Civil Engineering categories and in the size ranges from </w:t>
      </w:r>
      <w:r w:rsidR="00464F24">
        <w:rPr>
          <w:szCs w:val="24"/>
        </w:rPr>
        <w:t xml:space="preserve">CIBD </w:t>
      </w:r>
      <w:r w:rsidRPr="00203170">
        <w:rPr>
          <w:szCs w:val="24"/>
        </w:rPr>
        <w:t>grades 5 to 9</w:t>
      </w:r>
      <w:r w:rsidR="00464F24">
        <w:rPr>
          <w:rStyle w:val="FootnoteReference"/>
          <w:szCs w:val="24"/>
        </w:rPr>
        <w:footnoteReference w:id="3"/>
      </w:r>
      <w:r w:rsidR="00464F24">
        <w:rPr>
          <w:szCs w:val="24"/>
        </w:rPr>
        <w:t xml:space="preserve"> </w:t>
      </w:r>
      <w:r w:rsidRPr="00203170">
        <w:rPr>
          <w:szCs w:val="24"/>
        </w:rPr>
        <w:t xml:space="preserve">to track and analyse actual increases in various project cost elements. Using this data, the report developed a predictive modelling tool to determine the key drivers of construction costs. </w:t>
      </w:r>
    </w:p>
    <w:p w14:paraId="14166C63" w14:textId="342B5930" w:rsidR="00D464FB" w:rsidRPr="00203170" w:rsidRDefault="00D464FB" w:rsidP="00AE71A0">
      <w:pPr>
        <w:rPr>
          <w:szCs w:val="24"/>
        </w:rPr>
      </w:pPr>
      <w:r w:rsidRPr="00203170">
        <w:rPr>
          <w:szCs w:val="24"/>
        </w:rPr>
        <w:t xml:space="preserve">Figure </w:t>
      </w:r>
      <w:r w:rsidR="00447FA5">
        <w:rPr>
          <w:szCs w:val="24"/>
        </w:rPr>
        <w:t>2.</w:t>
      </w:r>
      <w:r w:rsidR="007B5ABB" w:rsidRPr="00203170">
        <w:rPr>
          <w:szCs w:val="24"/>
        </w:rPr>
        <w:t>1</w:t>
      </w:r>
      <w:r w:rsidR="00447FA5" w:rsidRPr="00203170">
        <w:rPr>
          <w:szCs w:val="24"/>
        </w:rPr>
        <w:t>, below</w:t>
      </w:r>
      <w:r w:rsidRPr="00203170">
        <w:rPr>
          <w:szCs w:val="24"/>
        </w:rPr>
        <w:t xml:space="preserve"> is taken from the DPW/CIBD report and reflects the headline PPI, building industries PI and Civil engineering PPI in relation to the CPI. While </w:t>
      </w:r>
      <w:r w:rsidR="0008744D" w:rsidRPr="00203170">
        <w:rPr>
          <w:szCs w:val="24"/>
        </w:rPr>
        <w:t>all</w:t>
      </w:r>
      <w:r w:rsidRPr="00203170">
        <w:rPr>
          <w:szCs w:val="24"/>
        </w:rPr>
        <w:t xml:space="preserve"> these indices follow a similar pattern and there is a correlation in the general trends of these four indices over the recorded period, the difference between certain rates could be higher than 10% </w:t>
      </w:r>
      <w:r w:rsidR="0008744D" w:rsidRPr="00203170">
        <w:rPr>
          <w:szCs w:val="24"/>
        </w:rPr>
        <w:t>in each</w:t>
      </w:r>
      <w:r w:rsidRPr="00203170">
        <w:rPr>
          <w:szCs w:val="24"/>
        </w:rPr>
        <w:t xml:space="preserve"> year</w:t>
      </w:r>
      <w:r w:rsidR="007B5ABB" w:rsidRPr="00203170">
        <w:rPr>
          <w:szCs w:val="24"/>
        </w:rPr>
        <w:t>.</w:t>
      </w:r>
      <w:r w:rsidRPr="00203170">
        <w:rPr>
          <w:szCs w:val="24"/>
        </w:rPr>
        <w:t xml:space="preserve"> </w:t>
      </w:r>
      <w:r w:rsidR="007B5ABB" w:rsidRPr="00203170">
        <w:rPr>
          <w:szCs w:val="24"/>
        </w:rPr>
        <w:t xml:space="preserve">For an example of this trend, </w:t>
      </w:r>
      <w:r w:rsidRPr="00203170">
        <w:rPr>
          <w:szCs w:val="24"/>
        </w:rPr>
        <w:t xml:space="preserve">compare the CPI with the Civil Engineering PPI in 2009 and 2015 in Figure </w:t>
      </w:r>
      <w:r w:rsidR="00447FA5">
        <w:rPr>
          <w:szCs w:val="24"/>
        </w:rPr>
        <w:t>2.</w:t>
      </w:r>
      <w:r w:rsidR="007B5ABB" w:rsidRPr="00203170">
        <w:rPr>
          <w:szCs w:val="24"/>
        </w:rPr>
        <w:t>1.</w:t>
      </w:r>
      <w:r w:rsidR="003C5D51">
        <w:rPr>
          <w:szCs w:val="24"/>
        </w:rPr>
        <w:t xml:space="preserve"> </w:t>
      </w:r>
      <w:r w:rsidR="007B5ABB" w:rsidRPr="00203170">
        <w:rPr>
          <w:szCs w:val="24"/>
        </w:rPr>
        <w:t xml:space="preserve"> </w:t>
      </w:r>
      <w:r w:rsidR="003C5D51">
        <w:rPr>
          <w:szCs w:val="24"/>
        </w:rPr>
        <w:t>Note that Figure 2.1 is copied directly from the DPW/CIDB</w:t>
      </w:r>
      <w:r w:rsidR="003C5D51" w:rsidRPr="003C5D51">
        <w:rPr>
          <w:szCs w:val="24"/>
        </w:rPr>
        <w:t xml:space="preserve"> </w:t>
      </w:r>
      <w:r w:rsidR="003C5D51">
        <w:rPr>
          <w:szCs w:val="24"/>
        </w:rPr>
        <w:t xml:space="preserve">report; the </w:t>
      </w:r>
      <w:r w:rsidR="003C5D51" w:rsidRPr="003C5D51">
        <w:rPr>
          <w:szCs w:val="24"/>
        </w:rPr>
        <w:t xml:space="preserve">data </w:t>
      </w:r>
      <w:r w:rsidR="003C5D51">
        <w:rPr>
          <w:szCs w:val="24"/>
        </w:rPr>
        <w:lastRenderedPageBreak/>
        <w:t>underlying the graph wa</w:t>
      </w:r>
      <w:r w:rsidR="003C5D51" w:rsidRPr="003C5D51">
        <w:rPr>
          <w:szCs w:val="24"/>
        </w:rPr>
        <w:t>s not freely available to graph the points of interest more distinctly for the purposes of this paper</w:t>
      </w:r>
      <w:r w:rsidR="003C5D51">
        <w:rPr>
          <w:szCs w:val="24"/>
        </w:rPr>
        <w:t xml:space="preserve">. </w:t>
      </w:r>
    </w:p>
    <w:p w14:paraId="1B69A804" w14:textId="77777777" w:rsidR="00741B55" w:rsidRDefault="00D464FB" w:rsidP="00AE71A0">
      <w:r w:rsidRPr="00203170">
        <w:rPr>
          <w:noProof/>
          <w:szCs w:val="24"/>
          <w:lang w:eastAsia="en-ZA"/>
        </w:rPr>
        <w:drawing>
          <wp:inline distT="0" distB="0" distL="0" distR="0" wp14:anchorId="3CE8E362" wp14:editId="4EC8F801">
            <wp:extent cx="5355554" cy="3978729"/>
            <wp:effectExtent l="19050" t="19050" r="17145" b="222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380736" cy="3997437"/>
                    </a:xfrm>
                    <a:prstGeom prst="rect">
                      <a:avLst/>
                    </a:prstGeom>
                    <a:noFill/>
                    <a:ln>
                      <a:solidFill>
                        <a:schemeClr val="tx1"/>
                      </a:solidFill>
                    </a:ln>
                  </pic:spPr>
                </pic:pic>
              </a:graphicData>
            </a:graphic>
          </wp:inline>
        </w:drawing>
      </w:r>
    </w:p>
    <w:p w14:paraId="3FB829F5" w14:textId="420680D4" w:rsidR="00741B55" w:rsidRDefault="00B8760A" w:rsidP="00322083">
      <w:pPr>
        <w:pStyle w:val="Caption"/>
      </w:pPr>
      <w:bookmarkStart w:id="40" w:name="_Toc507336564"/>
      <w:bookmarkStart w:id="41" w:name="_Toc507336677"/>
      <w:bookmarkStart w:id="42" w:name="_Toc517372929"/>
      <w:bookmarkStart w:id="43" w:name="_Toc517373084"/>
      <w:bookmarkStart w:id="44" w:name="_Toc519445855"/>
      <w:bookmarkStart w:id="45" w:name="_Toc519445892"/>
      <w:r>
        <w:t xml:space="preserve">Figure 2.1: </w:t>
      </w:r>
      <w:r w:rsidR="00741B55" w:rsidRPr="00741B55">
        <w:t>CPI and PPI with PPI for building projects and civil engineering highlighted: 2006 – 2015</w:t>
      </w:r>
      <w:bookmarkEnd w:id="40"/>
      <w:bookmarkEnd w:id="41"/>
      <w:bookmarkEnd w:id="42"/>
      <w:bookmarkEnd w:id="43"/>
      <w:bookmarkEnd w:id="44"/>
      <w:bookmarkEnd w:id="45"/>
    </w:p>
    <w:p w14:paraId="3B48CBA9" w14:textId="5771B1A0" w:rsidR="00D464FB" w:rsidRPr="00741B55" w:rsidRDefault="00741B55" w:rsidP="00322083">
      <w:pPr>
        <w:pStyle w:val="Figure"/>
        <w:rPr>
          <w:szCs w:val="24"/>
        </w:rPr>
      </w:pPr>
      <w:r w:rsidRPr="00741B55">
        <w:t>(Source: Dept Public Works: 2017)</w:t>
      </w:r>
    </w:p>
    <w:p w14:paraId="141F4250" w14:textId="77777777" w:rsidR="00B8760A" w:rsidRDefault="00B8760A" w:rsidP="00AE71A0">
      <w:pPr>
        <w:rPr>
          <w:szCs w:val="24"/>
        </w:rPr>
      </w:pPr>
    </w:p>
    <w:p w14:paraId="72BA5FA2" w14:textId="13A25BDC" w:rsidR="00D464FB" w:rsidRPr="00203170" w:rsidRDefault="00D464FB" w:rsidP="00AE71A0">
      <w:pPr>
        <w:rPr>
          <w:szCs w:val="24"/>
        </w:rPr>
      </w:pPr>
      <w:r w:rsidRPr="00203170">
        <w:rPr>
          <w:szCs w:val="24"/>
        </w:rPr>
        <w:t xml:space="preserve">Additional to the headline PPI and Civil engineering and building PPI, the DPW/CIDB report also considered the costs of labour, plant and equipment used in construction and civil engineering projects. The graph produced by the DPW/CIDB (Figure </w:t>
      </w:r>
      <w:r w:rsidR="00DE1F6D" w:rsidRPr="00203170">
        <w:rPr>
          <w:szCs w:val="24"/>
        </w:rPr>
        <w:t>2</w:t>
      </w:r>
      <w:r w:rsidR="008E68ED">
        <w:rPr>
          <w:szCs w:val="24"/>
        </w:rPr>
        <w:t>.2</w:t>
      </w:r>
      <w:r w:rsidRPr="00203170">
        <w:rPr>
          <w:szCs w:val="24"/>
        </w:rPr>
        <w:t xml:space="preserve">) shows that the material index has tracked the CPI closely while the plant and equipment index </w:t>
      </w:r>
      <w:r w:rsidR="0008744D" w:rsidRPr="00203170">
        <w:rPr>
          <w:szCs w:val="24"/>
        </w:rPr>
        <w:t>lagged</w:t>
      </w:r>
      <w:r w:rsidRPr="00203170">
        <w:rPr>
          <w:szCs w:val="24"/>
        </w:rPr>
        <w:t xml:space="preserve"> the CPI over the same period</w:t>
      </w:r>
      <w:r w:rsidR="003C5D51">
        <w:rPr>
          <w:szCs w:val="24"/>
        </w:rPr>
        <w:t>.</w:t>
      </w:r>
      <w:r w:rsidRPr="00203170">
        <w:rPr>
          <w:szCs w:val="24"/>
        </w:rPr>
        <w:t xml:space="preserve"> (2006 – 2015) </w:t>
      </w:r>
    </w:p>
    <w:p w14:paraId="071D8EA2" w14:textId="77777777" w:rsidR="00741B55" w:rsidRDefault="00D464FB" w:rsidP="00AE71A0">
      <w:r w:rsidRPr="00203170">
        <w:rPr>
          <w:noProof/>
          <w:szCs w:val="24"/>
          <w:lang w:eastAsia="en-ZA"/>
        </w:rPr>
        <w:lastRenderedPageBreak/>
        <w:drawing>
          <wp:inline distT="0" distB="0" distL="0" distR="0" wp14:anchorId="2864920E" wp14:editId="60AAD1D6">
            <wp:extent cx="5423204" cy="3341915"/>
            <wp:effectExtent l="19050" t="19050" r="2540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455019" cy="3361520"/>
                    </a:xfrm>
                    <a:prstGeom prst="rect">
                      <a:avLst/>
                    </a:prstGeom>
                    <a:noFill/>
                    <a:ln>
                      <a:solidFill>
                        <a:schemeClr val="tx1"/>
                      </a:solidFill>
                    </a:ln>
                  </pic:spPr>
                </pic:pic>
              </a:graphicData>
            </a:graphic>
          </wp:inline>
        </w:drawing>
      </w:r>
    </w:p>
    <w:p w14:paraId="13F58371" w14:textId="4F247092" w:rsidR="00741B55" w:rsidRPr="00741B55" w:rsidRDefault="008E68ED" w:rsidP="00322083">
      <w:pPr>
        <w:pStyle w:val="Caption"/>
      </w:pPr>
      <w:bookmarkStart w:id="46" w:name="_Toc507336565"/>
      <w:bookmarkStart w:id="47" w:name="_Toc507336678"/>
      <w:bookmarkStart w:id="48" w:name="_Toc517372930"/>
      <w:bookmarkStart w:id="49" w:name="_Toc517373085"/>
      <w:bookmarkStart w:id="50" w:name="_Toc519445856"/>
      <w:bookmarkStart w:id="51" w:name="_Toc519445893"/>
      <w:r>
        <w:t xml:space="preserve">Figure 2.2: </w:t>
      </w:r>
      <w:r w:rsidR="00741B55" w:rsidRPr="00741B55">
        <w:t>CPI, labour and Plant indices: 2006 – 2015 (Source: Dept Public Works:2017)</w:t>
      </w:r>
      <w:bookmarkEnd w:id="46"/>
      <w:bookmarkEnd w:id="47"/>
      <w:bookmarkEnd w:id="48"/>
      <w:bookmarkEnd w:id="49"/>
      <w:bookmarkEnd w:id="50"/>
      <w:bookmarkEnd w:id="51"/>
    </w:p>
    <w:p w14:paraId="6AA7F6BA" w14:textId="77777777" w:rsidR="00741B55" w:rsidRDefault="00741B55" w:rsidP="00AE71A0">
      <w:pPr>
        <w:rPr>
          <w:szCs w:val="24"/>
        </w:rPr>
      </w:pPr>
    </w:p>
    <w:p w14:paraId="2FFB02F2" w14:textId="0AF16B24" w:rsidR="00D464FB" w:rsidRPr="00203170" w:rsidRDefault="00D464FB" w:rsidP="00AE71A0">
      <w:pPr>
        <w:rPr>
          <w:szCs w:val="24"/>
        </w:rPr>
      </w:pPr>
      <w:r w:rsidRPr="00203170">
        <w:rPr>
          <w:szCs w:val="24"/>
        </w:rPr>
        <w:t>The DPW/CIDB reports finds that, in the period from 2010 to 2015, the cost of construction has increased at annual average rates varying between 1% to 4,5% higher than inflation. The report further indicates that these rates of escalation at a premium over CPI is likely to continue in the near future. It is noted that, while the input cost of construction ha</w:t>
      </w:r>
      <w:r w:rsidR="00D0211C">
        <w:rPr>
          <w:szCs w:val="24"/>
        </w:rPr>
        <w:t>s</w:t>
      </w:r>
      <w:r w:rsidRPr="00203170">
        <w:rPr>
          <w:szCs w:val="24"/>
        </w:rPr>
        <w:t xml:space="preserve"> remained in line with CPI inflation over the past 10 years (despite volatility in fuel prices and plant and equipment costs) the output prices – what it would cost a state entity to employ a contractor to do the work, has increased at 1 – 4.5 % p.a. premium over CPI in the same period. </w:t>
      </w:r>
    </w:p>
    <w:p w14:paraId="4BACD402" w14:textId="60A9C01D" w:rsidR="00D464FB" w:rsidRPr="00203170" w:rsidRDefault="00D464FB" w:rsidP="00AE71A0">
      <w:pPr>
        <w:rPr>
          <w:szCs w:val="24"/>
        </w:rPr>
      </w:pPr>
      <w:r w:rsidRPr="00203170">
        <w:rPr>
          <w:szCs w:val="24"/>
        </w:rPr>
        <w:t>Equally significantly, the DPW/CIDB report addresses the issues of preferential procurement and developmental objectives that have become a standard feature and, indeed</w:t>
      </w:r>
      <w:r w:rsidR="006413FF">
        <w:rPr>
          <w:szCs w:val="24"/>
        </w:rPr>
        <w:t>,</w:t>
      </w:r>
      <w:r w:rsidRPr="00203170">
        <w:rPr>
          <w:szCs w:val="24"/>
        </w:rPr>
        <w:t xml:space="preserve"> legislative requirement of all government projects in term</w:t>
      </w:r>
      <w:r w:rsidR="006413FF">
        <w:rPr>
          <w:szCs w:val="24"/>
        </w:rPr>
        <w:t>s</w:t>
      </w:r>
      <w:r w:rsidRPr="00203170">
        <w:rPr>
          <w:szCs w:val="24"/>
        </w:rPr>
        <w:t xml:space="preserve"> of the Preferential Procurement Policy Framework Act </w:t>
      </w:r>
      <w:r w:rsidR="000F6334">
        <w:rPr>
          <w:szCs w:val="24"/>
        </w:rPr>
        <w:t xml:space="preserve">(PPPFA) </w:t>
      </w:r>
      <w:r w:rsidRPr="00203170">
        <w:rPr>
          <w:szCs w:val="24"/>
        </w:rPr>
        <w:t>and CIDB project practice guidelines since 2011. These were obviously not anticipated when the DM</w:t>
      </w:r>
      <w:r w:rsidR="00A67147">
        <w:rPr>
          <w:szCs w:val="24"/>
        </w:rPr>
        <w:t>E</w:t>
      </w:r>
      <w:r w:rsidRPr="00203170">
        <w:rPr>
          <w:szCs w:val="24"/>
        </w:rPr>
        <w:t xml:space="preserve"> guideline was compiled in 2004 but have </w:t>
      </w:r>
      <w:r w:rsidR="00837CB5" w:rsidRPr="00203170">
        <w:rPr>
          <w:szCs w:val="24"/>
        </w:rPr>
        <w:t>been</w:t>
      </w:r>
      <w:r w:rsidRPr="00203170">
        <w:rPr>
          <w:szCs w:val="24"/>
        </w:rPr>
        <w:t xml:space="preserve"> shown to add an additional price premium on government project</w:t>
      </w:r>
      <w:r w:rsidR="000F6334">
        <w:rPr>
          <w:szCs w:val="24"/>
        </w:rPr>
        <w:t>s</w:t>
      </w:r>
      <w:r w:rsidRPr="00203170">
        <w:rPr>
          <w:szCs w:val="24"/>
        </w:rPr>
        <w:t xml:space="preserve"> at both national and provincial levels. </w:t>
      </w:r>
      <w:r w:rsidR="00FD2125">
        <w:rPr>
          <w:szCs w:val="24"/>
        </w:rPr>
        <w:t>T</w:t>
      </w:r>
      <w:r w:rsidRPr="00203170">
        <w:rPr>
          <w:szCs w:val="24"/>
        </w:rPr>
        <w:t>he DWP/CIDB report</w:t>
      </w:r>
      <w:r w:rsidR="00FD2125">
        <w:rPr>
          <w:szCs w:val="24"/>
        </w:rPr>
        <w:t>, citing r</w:t>
      </w:r>
      <w:r w:rsidR="00FD2125" w:rsidRPr="00203170">
        <w:rPr>
          <w:szCs w:val="24"/>
        </w:rPr>
        <w:t>esearch conducted by Letchmiah in 2012</w:t>
      </w:r>
      <w:r w:rsidR="00FD2125">
        <w:rPr>
          <w:szCs w:val="24"/>
        </w:rPr>
        <w:t>,</w:t>
      </w:r>
      <w:r w:rsidR="00FD2125" w:rsidRPr="00203170">
        <w:rPr>
          <w:szCs w:val="24"/>
        </w:rPr>
        <w:t xml:space="preserve"> </w:t>
      </w:r>
      <w:r w:rsidRPr="00203170">
        <w:rPr>
          <w:szCs w:val="24"/>
        </w:rPr>
        <w:t xml:space="preserve">indicates that the preferential procurement policy requirements add an additional 2% premium on government projects. Additional to the preferential procurement requirements, there are also developmental objectives that are considered a standard requirement of all </w:t>
      </w:r>
      <w:r w:rsidRPr="00203170">
        <w:rPr>
          <w:szCs w:val="24"/>
        </w:rPr>
        <w:lastRenderedPageBreak/>
        <w:t xml:space="preserve">government projects. As the DPW/CIDB report </w:t>
      </w:r>
      <w:r w:rsidR="00FD2125">
        <w:rPr>
          <w:szCs w:val="24"/>
        </w:rPr>
        <w:t xml:space="preserve">(Department of Public Work, 2017) </w:t>
      </w:r>
      <w:r w:rsidR="00522F8D" w:rsidRPr="00203170">
        <w:rPr>
          <w:szCs w:val="24"/>
        </w:rPr>
        <w:t>states</w:t>
      </w:r>
      <w:r w:rsidRPr="00203170">
        <w:rPr>
          <w:szCs w:val="24"/>
        </w:rPr>
        <w:t>: “</w:t>
      </w:r>
      <w:r w:rsidRPr="00203170">
        <w:rPr>
          <w:i/>
          <w:szCs w:val="24"/>
        </w:rPr>
        <w:t>A further cost driver that needs to be recognised is an increasing trend that is being observed due to requirements for developmental procurement and for contract participation goals (CPGs) in construction projects, as well as community demands and expectations related to construction works contracts</w:t>
      </w:r>
      <w:r w:rsidRPr="00203170">
        <w:rPr>
          <w:szCs w:val="24"/>
        </w:rPr>
        <w:t xml:space="preserve">.” (2017:24) The CIDB’s own </w:t>
      </w:r>
      <w:r w:rsidRPr="006413FF">
        <w:rPr>
          <w:szCs w:val="24"/>
        </w:rPr>
        <w:t>Practice Note 3: Balancing delivery and development on infrastructure Projects,</w:t>
      </w:r>
      <w:r w:rsidRPr="00203170">
        <w:rPr>
          <w:szCs w:val="24"/>
        </w:rPr>
        <w:t xml:space="preserve"> recommends an additional premium of 2% over and above the other premiums already addressed.  </w:t>
      </w:r>
    </w:p>
    <w:p w14:paraId="404E1F40" w14:textId="192D63CD" w:rsidR="00D464FB" w:rsidRPr="00203170" w:rsidRDefault="00D464FB" w:rsidP="00AE71A0">
      <w:pPr>
        <w:rPr>
          <w:szCs w:val="24"/>
        </w:rPr>
      </w:pPr>
      <w:r w:rsidRPr="00203170">
        <w:rPr>
          <w:szCs w:val="24"/>
        </w:rPr>
        <w:t>The research conducted and published by the DPW/ CIDB is significant for later analyses of the DM</w:t>
      </w:r>
      <w:r w:rsidR="00A67147">
        <w:rPr>
          <w:szCs w:val="24"/>
        </w:rPr>
        <w:t>E</w:t>
      </w:r>
      <w:r w:rsidRPr="00203170">
        <w:rPr>
          <w:szCs w:val="24"/>
        </w:rPr>
        <w:t>’</w:t>
      </w:r>
      <w:r w:rsidR="00DE1F6D" w:rsidRPr="00203170">
        <w:rPr>
          <w:szCs w:val="24"/>
        </w:rPr>
        <w:t>s</w:t>
      </w:r>
      <w:r w:rsidRPr="00203170">
        <w:rPr>
          <w:szCs w:val="24"/>
        </w:rPr>
        <w:t xml:space="preserve"> guideline and the master rates addressed in this report as it indicates not only the rates of change of construction and civil engineering projects in relation to the PPI and CPI, but also records these additional premiums on government project</w:t>
      </w:r>
      <w:r w:rsidR="00953D47">
        <w:rPr>
          <w:szCs w:val="24"/>
        </w:rPr>
        <w:t>s</w:t>
      </w:r>
      <w:r w:rsidRPr="00203170">
        <w:rPr>
          <w:szCs w:val="24"/>
        </w:rPr>
        <w:t xml:space="preserve"> </w:t>
      </w:r>
      <w:r w:rsidR="00AC1ED3">
        <w:rPr>
          <w:szCs w:val="24"/>
        </w:rPr>
        <w:t>which</w:t>
      </w:r>
      <w:r w:rsidRPr="00203170">
        <w:rPr>
          <w:szCs w:val="24"/>
        </w:rPr>
        <w:t xml:space="preserve"> were not anticipated or addressed in any measure in the DM</w:t>
      </w:r>
      <w:r w:rsidR="00A67147">
        <w:rPr>
          <w:szCs w:val="24"/>
        </w:rPr>
        <w:t>E</w:t>
      </w:r>
      <w:r w:rsidRPr="00203170">
        <w:rPr>
          <w:szCs w:val="24"/>
        </w:rPr>
        <w:t xml:space="preserve"> 2004 guideline document. </w:t>
      </w:r>
    </w:p>
    <w:p w14:paraId="1011C1E1" w14:textId="12A3C16E" w:rsidR="00D464FB" w:rsidRPr="00203170" w:rsidRDefault="00D464FB" w:rsidP="00AE71A0">
      <w:pPr>
        <w:rPr>
          <w:szCs w:val="24"/>
        </w:rPr>
      </w:pPr>
      <w:r w:rsidRPr="00203170">
        <w:rPr>
          <w:szCs w:val="24"/>
        </w:rPr>
        <w:t xml:space="preserve">While the reports by both the DPW/CIDB </w:t>
      </w:r>
      <w:r w:rsidR="00953D47">
        <w:rPr>
          <w:szCs w:val="24"/>
        </w:rPr>
        <w:t xml:space="preserve">(2017) </w:t>
      </w:r>
      <w:r w:rsidRPr="00203170">
        <w:rPr>
          <w:szCs w:val="24"/>
        </w:rPr>
        <w:t>and Du Plessis and Brent (2006) are very useful, neither contain specific data on mine rehabilitation costs. The DPW/CIBD project did use actual project data for some of its analyses, but these projects were not uniquely mine rehabilitation works. This matter could only potentially be addressed by using actual data from tenders submitted for mine rehabilitation projects by the State to verify the real market rates for rehabilitation components. Th</w:t>
      </w:r>
      <w:r w:rsidR="00DE1F6D" w:rsidRPr="00203170">
        <w:rPr>
          <w:szCs w:val="24"/>
        </w:rPr>
        <w:t xml:space="preserve">e </w:t>
      </w:r>
      <w:r w:rsidRPr="00203170">
        <w:rPr>
          <w:szCs w:val="24"/>
        </w:rPr>
        <w:t xml:space="preserve">intention </w:t>
      </w:r>
      <w:r w:rsidR="00DE1F6D" w:rsidRPr="00203170">
        <w:rPr>
          <w:szCs w:val="24"/>
        </w:rPr>
        <w:t>and co</w:t>
      </w:r>
      <w:r w:rsidR="0006327E">
        <w:rPr>
          <w:szCs w:val="24"/>
        </w:rPr>
        <w:t>re</w:t>
      </w:r>
      <w:r w:rsidR="00DE1F6D" w:rsidRPr="00203170">
        <w:rPr>
          <w:szCs w:val="24"/>
        </w:rPr>
        <w:t xml:space="preserve"> focus of this </w:t>
      </w:r>
      <w:r w:rsidR="0006327E">
        <w:rPr>
          <w:szCs w:val="24"/>
        </w:rPr>
        <w:t xml:space="preserve">research </w:t>
      </w:r>
      <w:r w:rsidRPr="00203170">
        <w:rPr>
          <w:szCs w:val="24"/>
        </w:rPr>
        <w:t>report was conceived</w:t>
      </w:r>
      <w:r w:rsidR="00DE1F6D" w:rsidRPr="00203170">
        <w:rPr>
          <w:szCs w:val="24"/>
        </w:rPr>
        <w:t xml:space="preserve"> with this subject in mind</w:t>
      </w:r>
      <w:r w:rsidRPr="00203170">
        <w:rPr>
          <w:szCs w:val="24"/>
        </w:rPr>
        <w:t xml:space="preserve">. </w:t>
      </w:r>
    </w:p>
    <w:p w14:paraId="1447903C" w14:textId="7A83879D" w:rsidR="00D464FB" w:rsidRPr="008E68ED" w:rsidRDefault="00D464FB" w:rsidP="00063C48">
      <w:pPr>
        <w:pStyle w:val="Heading2"/>
      </w:pPr>
      <w:bookmarkStart w:id="52" w:name="_Toc519445712"/>
      <w:r w:rsidRPr="008E68ED">
        <w:t>Recent changes in the legislation</w:t>
      </w:r>
      <w:r w:rsidR="009F3B1A" w:rsidRPr="008E68ED">
        <w:t xml:space="preserve"> for mine financial provision in South Africa</w:t>
      </w:r>
      <w:bookmarkEnd w:id="52"/>
      <w:r w:rsidR="009F3B1A" w:rsidRPr="008E68ED">
        <w:t xml:space="preserve"> </w:t>
      </w:r>
      <w:r w:rsidRPr="008E68ED">
        <w:t xml:space="preserve"> </w:t>
      </w:r>
    </w:p>
    <w:p w14:paraId="187509D1" w14:textId="040E9983" w:rsidR="00D464FB" w:rsidRPr="00203170" w:rsidRDefault="00D464FB" w:rsidP="00AE71A0">
      <w:pPr>
        <w:rPr>
          <w:szCs w:val="24"/>
        </w:rPr>
      </w:pPr>
      <w:r w:rsidRPr="00203170">
        <w:rPr>
          <w:szCs w:val="24"/>
        </w:rPr>
        <w:t xml:space="preserve">The national Department of Environmental Affairs </w:t>
      </w:r>
      <w:r w:rsidR="00DE1F6D" w:rsidRPr="00203170">
        <w:rPr>
          <w:szCs w:val="24"/>
        </w:rPr>
        <w:t xml:space="preserve">(DEA) </w:t>
      </w:r>
      <w:r w:rsidRPr="00203170">
        <w:rPr>
          <w:szCs w:val="24"/>
        </w:rPr>
        <w:t xml:space="preserve">has recently assumed several roles related to the approval of mining projects, including the publication of regulations around the financial provisions for mining operations under NEMA. </w:t>
      </w:r>
      <w:r w:rsidR="00DE1F6D" w:rsidRPr="00203170">
        <w:rPr>
          <w:szCs w:val="24"/>
        </w:rPr>
        <w:t>T</w:t>
      </w:r>
      <w:r w:rsidRPr="00203170">
        <w:rPr>
          <w:szCs w:val="24"/>
        </w:rPr>
        <w:t>his is a significant development that changes the status of the financial provision guideline published by the DM</w:t>
      </w:r>
      <w:r w:rsidR="00A67147">
        <w:rPr>
          <w:szCs w:val="24"/>
        </w:rPr>
        <w:t>E</w:t>
      </w:r>
      <w:r w:rsidR="00DE1F6D" w:rsidRPr="00203170">
        <w:rPr>
          <w:szCs w:val="24"/>
        </w:rPr>
        <w:t xml:space="preserve"> and </w:t>
      </w:r>
      <w:r w:rsidRPr="00203170">
        <w:rPr>
          <w:szCs w:val="24"/>
        </w:rPr>
        <w:t xml:space="preserve">it must be considered here. </w:t>
      </w:r>
    </w:p>
    <w:p w14:paraId="7ABD6AE9" w14:textId="11CBEB58" w:rsidR="00D464FB" w:rsidRPr="00203170" w:rsidRDefault="00D464FB" w:rsidP="00AE71A0">
      <w:pPr>
        <w:rPr>
          <w:szCs w:val="24"/>
        </w:rPr>
      </w:pPr>
      <w:r w:rsidRPr="00203170">
        <w:rPr>
          <w:szCs w:val="24"/>
        </w:rPr>
        <w:t>Subsequent to the publication of the</w:t>
      </w:r>
      <w:r w:rsidR="00DE1F6D" w:rsidRPr="00203170">
        <w:rPr>
          <w:szCs w:val="24"/>
        </w:rPr>
        <w:t xml:space="preserve"> draft </w:t>
      </w:r>
      <w:r w:rsidRPr="00203170">
        <w:rPr>
          <w:szCs w:val="24"/>
        </w:rPr>
        <w:t>financial provision regulations</w:t>
      </w:r>
      <w:r w:rsidR="00DE1F6D" w:rsidRPr="00203170">
        <w:rPr>
          <w:szCs w:val="24"/>
        </w:rPr>
        <w:t xml:space="preserve"> in 2015</w:t>
      </w:r>
      <w:r w:rsidRPr="00203170">
        <w:rPr>
          <w:szCs w:val="24"/>
        </w:rPr>
        <w:t xml:space="preserve">, the DEA also published a clarification note on 30 June 2016 in which the DEA answered specific questions about the rates used in </w:t>
      </w:r>
      <w:r w:rsidR="00DE1F6D" w:rsidRPr="00203170">
        <w:rPr>
          <w:szCs w:val="24"/>
        </w:rPr>
        <w:t xml:space="preserve">the mining </w:t>
      </w:r>
      <w:r w:rsidRPr="00203170">
        <w:rPr>
          <w:szCs w:val="24"/>
        </w:rPr>
        <w:t xml:space="preserve">industry and the role of third-party contractor’s rates. </w:t>
      </w:r>
      <w:r w:rsidR="00A00E34" w:rsidRPr="00203170">
        <w:rPr>
          <w:szCs w:val="24"/>
        </w:rPr>
        <w:t xml:space="preserve">One of these questions related to the </w:t>
      </w:r>
      <w:r w:rsidR="00522F8D" w:rsidRPr="00203170">
        <w:rPr>
          <w:szCs w:val="24"/>
        </w:rPr>
        <w:t xml:space="preserve">determination of the quantum and the </w:t>
      </w:r>
      <w:r w:rsidR="00DE1F6D" w:rsidRPr="00203170">
        <w:rPr>
          <w:szCs w:val="24"/>
        </w:rPr>
        <w:t>DEA</w:t>
      </w:r>
      <w:r w:rsidR="00522F8D" w:rsidRPr="00203170">
        <w:rPr>
          <w:szCs w:val="24"/>
        </w:rPr>
        <w:t xml:space="preserve"> confirmed that the contractor’s rates (or other external rates used in industry</w:t>
      </w:r>
      <w:r w:rsidR="00DE1F6D" w:rsidRPr="00203170">
        <w:rPr>
          <w:szCs w:val="24"/>
        </w:rPr>
        <w:t>)</w:t>
      </w:r>
      <w:r w:rsidR="00522F8D" w:rsidRPr="00203170">
        <w:rPr>
          <w:szCs w:val="24"/>
        </w:rPr>
        <w:t xml:space="preserve"> will be used </w:t>
      </w:r>
      <w:r w:rsidR="00522F8D" w:rsidRPr="00203170">
        <w:rPr>
          <w:szCs w:val="24"/>
        </w:rPr>
        <w:lastRenderedPageBreak/>
        <w:t xml:space="preserve">and that </w:t>
      </w:r>
      <w:r w:rsidR="00DE1F6D" w:rsidRPr="00203170">
        <w:rPr>
          <w:szCs w:val="24"/>
        </w:rPr>
        <w:t xml:space="preserve">the </w:t>
      </w:r>
      <w:r w:rsidR="00953D47">
        <w:rPr>
          <w:szCs w:val="24"/>
        </w:rPr>
        <w:t>draft</w:t>
      </w:r>
      <w:r w:rsidR="00DE1F6D" w:rsidRPr="00203170">
        <w:rPr>
          <w:szCs w:val="24"/>
        </w:rPr>
        <w:t xml:space="preserve"> </w:t>
      </w:r>
      <w:r w:rsidR="00522F8D" w:rsidRPr="00203170">
        <w:rPr>
          <w:szCs w:val="24"/>
        </w:rPr>
        <w:t>regulations d</w:t>
      </w:r>
      <w:r w:rsidR="00953D47">
        <w:rPr>
          <w:szCs w:val="24"/>
        </w:rPr>
        <w:t>id</w:t>
      </w:r>
      <w:r w:rsidR="00522F8D" w:rsidRPr="00203170">
        <w:rPr>
          <w:szCs w:val="24"/>
        </w:rPr>
        <w:t xml:space="preserve"> not provide a separate methodology to determine the value of the financial provision. </w:t>
      </w:r>
      <w:r w:rsidRPr="00203170">
        <w:rPr>
          <w:szCs w:val="24"/>
        </w:rPr>
        <w:t>Suzette Hartzer-Marais (2016) records that: “</w:t>
      </w:r>
      <w:r w:rsidRPr="00203170">
        <w:rPr>
          <w:i/>
          <w:szCs w:val="24"/>
        </w:rPr>
        <w:t>the rates that must be used must be external contract rates according to general practice, although the Regulations do not specifically provide for this</w:t>
      </w:r>
      <w:r w:rsidRPr="00203170">
        <w:rPr>
          <w:szCs w:val="24"/>
        </w:rPr>
        <w:t>”. In calculating financial provisions quantity surveyor rates will therefore have to be used.</w:t>
      </w:r>
    </w:p>
    <w:p w14:paraId="661B9242" w14:textId="7BD1A624" w:rsidR="00605D34" w:rsidRPr="00203170" w:rsidRDefault="00605D34" w:rsidP="00AE71A0">
      <w:pPr>
        <w:rPr>
          <w:szCs w:val="24"/>
        </w:rPr>
      </w:pPr>
      <w:r w:rsidRPr="00203170">
        <w:rPr>
          <w:szCs w:val="24"/>
        </w:rPr>
        <w:t xml:space="preserve">On 10 November 2017, the </w:t>
      </w:r>
      <w:r w:rsidR="00347B71" w:rsidRPr="00203170">
        <w:rPr>
          <w:szCs w:val="24"/>
        </w:rPr>
        <w:t>D</w:t>
      </w:r>
      <w:r w:rsidR="0025136A" w:rsidRPr="00203170">
        <w:rPr>
          <w:szCs w:val="24"/>
        </w:rPr>
        <w:t>epartment</w:t>
      </w:r>
      <w:r w:rsidRPr="00203170">
        <w:rPr>
          <w:szCs w:val="24"/>
        </w:rPr>
        <w:t xml:space="preserve"> of </w:t>
      </w:r>
      <w:r w:rsidR="0025136A" w:rsidRPr="00203170">
        <w:rPr>
          <w:szCs w:val="24"/>
        </w:rPr>
        <w:t>Environmental</w:t>
      </w:r>
      <w:r w:rsidRPr="00203170">
        <w:rPr>
          <w:szCs w:val="24"/>
        </w:rPr>
        <w:t xml:space="preserve"> Affairs published the new </w:t>
      </w:r>
      <w:r w:rsidR="0025136A" w:rsidRPr="00203170">
        <w:rPr>
          <w:szCs w:val="24"/>
        </w:rPr>
        <w:t>regulations</w:t>
      </w:r>
      <w:r w:rsidRPr="00203170">
        <w:rPr>
          <w:szCs w:val="24"/>
        </w:rPr>
        <w:t xml:space="preserve"> in </w:t>
      </w:r>
      <w:r w:rsidR="0025136A" w:rsidRPr="00203170">
        <w:rPr>
          <w:szCs w:val="24"/>
        </w:rPr>
        <w:t>terms</w:t>
      </w:r>
      <w:r w:rsidRPr="00203170">
        <w:rPr>
          <w:szCs w:val="24"/>
        </w:rPr>
        <w:t xml:space="preserve"> of NEMA for </w:t>
      </w:r>
      <w:r w:rsidR="00DE1F6D" w:rsidRPr="00203170">
        <w:rPr>
          <w:szCs w:val="24"/>
        </w:rPr>
        <w:t>f</w:t>
      </w:r>
      <w:r w:rsidRPr="00203170">
        <w:rPr>
          <w:szCs w:val="24"/>
        </w:rPr>
        <w:t xml:space="preserve">inancial provision to be supplied by </w:t>
      </w:r>
      <w:r w:rsidR="0006327E">
        <w:rPr>
          <w:szCs w:val="24"/>
        </w:rPr>
        <w:t>th</w:t>
      </w:r>
      <w:r w:rsidRPr="00203170">
        <w:rPr>
          <w:szCs w:val="24"/>
        </w:rPr>
        <w:t xml:space="preserve">e holder of a right for mining, prospecting, and other forms of mineral extraction. The regulations give instructions on the </w:t>
      </w:r>
      <w:r w:rsidR="0025136A" w:rsidRPr="00203170">
        <w:rPr>
          <w:szCs w:val="24"/>
        </w:rPr>
        <w:t>determination</w:t>
      </w:r>
      <w:r w:rsidRPr="00203170">
        <w:rPr>
          <w:szCs w:val="24"/>
        </w:rPr>
        <w:t xml:space="preserve"> of </w:t>
      </w:r>
      <w:r w:rsidR="0025136A" w:rsidRPr="00203170">
        <w:rPr>
          <w:szCs w:val="24"/>
        </w:rPr>
        <w:t>financial</w:t>
      </w:r>
      <w:r w:rsidRPr="00203170">
        <w:rPr>
          <w:szCs w:val="24"/>
        </w:rPr>
        <w:t xml:space="preserve"> provi</w:t>
      </w:r>
      <w:r w:rsidR="0025136A" w:rsidRPr="00203170">
        <w:rPr>
          <w:szCs w:val="24"/>
        </w:rPr>
        <w:t>si</w:t>
      </w:r>
      <w:r w:rsidRPr="00203170">
        <w:rPr>
          <w:szCs w:val="24"/>
        </w:rPr>
        <w:t xml:space="preserve">on, methods acceptable for making </w:t>
      </w:r>
      <w:r w:rsidR="0025136A" w:rsidRPr="00203170">
        <w:rPr>
          <w:szCs w:val="24"/>
        </w:rPr>
        <w:t>financial</w:t>
      </w:r>
      <w:r w:rsidRPr="00203170">
        <w:rPr>
          <w:szCs w:val="24"/>
        </w:rPr>
        <w:t xml:space="preserve"> </w:t>
      </w:r>
      <w:r w:rsidR="0025136A" w:rsidRPr="00203170">
        <w:rPr>
          <w:szCs w:val="24"/>
        </w:rPr>
        <w:t>provision</w:t>
      </w:r>
      <w:r w:rsidR="0006327E">
        <w:rPr>
          <w:szCs w:val="24"/>
        </w:rPr>
        <w:t xml:space="preserve"> </w:t>
      </w:r>
      <w:r w:rsidR="0008744D" w:rsidRPr="00203170">
        <w:rPr>
          <w:szCs w:val="24"/>
        </w:rPr>
        <w:t>and</w:t>
      </w:r>
      <w:r w:rsidRPr="00203170">
        <w:rPr>
          <w:szCs w:val="24"/>
        </w:rPr>
        <w:t xml:space="preserve"> provides a new methodology for dete</w:t>
      </w:r>
      <w:r w:rsidR="0025136A" w:rsidRPr="00203170">
        <w:rPr>
          <w:szCs w:val="24"/>
        </w:rPr>
        <w:t>rmining</w:t>
      </w:r>
      <w:r w:rsidRPr="00203170">
        <w:rPr>
          <w:szCs w:val="24"/>
        </w:rPr>
        <w:t xml:space="preserve"> the amount of </w:t>
      </w:r>
      <w:r w:rsidR="0025136A" w:rsidRPr="00203170">
        <w:rPr>
          <w:szCs w:val="24"/>
        </w:rPr>
        <w:t>financial</w:t>
      </w:r>
      <w:r w:rsidRPr="00203170">
        <w:rPr>
          <w:szCs w:val="24"/>
        </w:rPr>
        <w:t xml:space="preserve"> provision for both new and </w:t>
      </w:r>
      <w:r w:rsidR="0025136A" w:rsidRPr="00203170">
        <w:rPr>
          <w:szCs w:val="24"/>
        </w:rPr>
        <w:t>existing</w:t>
      </w:r>
      <w:r w:rsidRPr="00203170">
        <w:rPr>
          <w:szCs w:val="24"/>
        </w:rPr>
        <w:t xml:space="preserve"> </w:t>
      </w:r>
      <w:r w:rsidR="0025136A" w:rsidRPr="00203170">
        <w:rPr>
          <w:szCs w:val="24"/>
        </w:rPr>
        <w:t>mining</w:t>
      </w:r>
      <w:r w:rsidRPr="00203170">
        <w:rPr>
          <w:szCs w:val="24"/>
        </w:rPr>
        <w:t xml:space="preserve"> </w:t>
      </w:r>
      <w:r w:rsidR="00DE1F6D" w:rsidRPr="00203170">
        <w:rPr>
          <w:szCs w:val="24"/>
        </w:rPr>
        <w:t>and</w:t>
      </w:r>
      <w:r w:rsidRPr="00203170">
        <w:rPr>
          <w:szCs w:val="24"/>
        </w:rPr>
        <w:t xml:space="preserve"> prospecting rights </w:t>
      </w:r>
      <w:r w:rsidR="0025136A" w:rsidRPr="00203170">
        <w:rPr>
          <w:szCs w:val="24"/>
        </w:rPr>
        <w:t>applications</w:t>
      </w:r>
      <w:r w:rsidR="00DE1F6D" w:rsidRPr="00203170">
        <w:rPr>
          <w:szCs w:val="24"/>
        </w:rPr>
        <w:t>.</w:t>
      </w:r>
      <w:r w:rsidRPr="00203170">
        <w:rPr>
          <w:szCs w:val="24"/>
        </w:rPr>
        <w:t xml:space="preserve"> </w:t>
      </w:r>
      <w:r w:rsidR="0006327E">
        <w:rPr>
          <w:szCs w:val="24"/>
        </w:rPr>
        <w:t xml:space="preserve">While general guidance on the methodology is provided, specific rates are not given. </w:t>
      </w:r>
    </w:p>
    <w:p w14:paraId="4C4FD17D" w14:textId="3BB44419" w:rsidR="00605D34" w:rsidRPr="00203170" w:rsidRDefault="00605D34" w:rsidP="00AE71A0">
      <w:pPr>
        <w:rPr>
          <w:szCs w:val="24"/>
        </w:rPr>
      </w:pPr>
      <w:r w:rsidRPr="00203170">
        <w:rPr>
          <w:szCs w:val="24"/>
        </w:rPr>
        <w:t xml:space="preserve">The </w:t>
      </w:r>
      <w:r w:rsidR="0025136A" w:rsidRPr="00203170">
        <w:rPr>
          <w:szCs w:val="24"/>
        </w:rPr>
        <w:t>regulations</w:t>
      </w:r>
      <w:r w:rsidRPr="00203170">
        <w:rPr>
          <w:szCs w:val="24"/>
        </w:rPr>
        <w:t xml:space="preserve"> give guidance on the need to make </w:t>
      </w:r>
      <w:r w:rsidR="0025136A" w:rsidRPr="00203170">
        <w:rPr>
          <w:szCs w:val="24"/>
        </w:rPr>
        <w:t>financial</w:t>
      </w:r>
      <w:r w:rsidRPr="00203170">
        <w:rPr>
          <w:szCs w:val="24"/>
        </w:rPr>
        <w:t xml:space="preserve"> </w:t>
      </w:r>
      <w:r w:rsidR="0025136A" w:rsidRPr="00203170">
        <w:rPr>
          <w:szCs w:val="24"/>
        </w:rPr>
        <w:t>provision</w:t>
      </w:r>
      <w:r w:rsidRPr="00203170">
        <w:rPr>
          <w:szCs w:val="24"/>
        </w:rPr>
        <w:t xml:space="preserve"> for all aspects of planned </w:t>
      </w:r>
      <w:r w:rsidR="0025136A" w:rsidRPr="00203170">
        <w:rPr>
          <w:szCs w:val="24"/>
        </w:rPr>
        <w:t>closure</w:t>
      </w:r>
      <w:r w:rsidRPr="00203170">
        <w:rPr>
          <w:szCs w:val="24"/>
        </w:rPr>
        <w:t xml:space="preserve"> of a mine or prospecting operation, </w:t>
      </w:r>
      <w:r w:rsidR="0008744D" w:rsidRPr="00203170">
        <w:rPr>
          <w:szCs w:val="24"/>
        </w:rPr>
        <w:t>and</w:t>
      </w:r>
      <w:r w:rsidRPr="00203170">
        <w:rPr>
          <w:szCs w:val="24"/>
        </w:rPr>
        <w:t xml:space="preserve"> the immediate costs of potential closure and </w:t>
      </w:r>
      <w:r w:rsidR="0025136A" w:rsidRPr="00203170">
        <w:rPr>
          <w:szCs w:val="24"/>
        </w:rPr>
        <w:t>remediation</w:t>
      </w:r>
      <w:r w:rsidRPr="00203170">
        <w:rPr>
          <w:szCs w:val="24"/>
        </w:rPr>
        <w:t xml:space="preserve">. The </w:t>
      </w:r>
      <w:r w:rsidR="0025136A" w:rsidRPr="00203170">
        <w:rPr>
          <w:szCs w:val="24"/>
        </w:rPr>
        <w:t>management</w:t>
      </w:r>
      <w:r w:rsidRPr="00203170">
        <w:rPr>
          <w:szCs w:val="24"/>
        </w:rPr>
        <w:t xml:space="preserve"> of </w:t>
      </w:r>
      <w:r w:rsidR="0025136A" w:rsidRPr="00203170">
        <w:rPr>
          <w:szCs w:val="24"/>
        </w:rPr>
        <w:t>residual</w:t>
      </w:r>
      <w:r w:rsidRPr="00203170">
        <w:rPr>
          <w:szCs w:val="24"/>
        </w:rPr>
        <w:t xml:space="preserve"> impacts must also be provided for, and </w:t>
      </w:r>
      <w:r w:rsidR="0025136A" w:rsidRPr="00203170">
        <w:rPr>
          <w:szCs w:val="24"/>
        </w:rPr>
        <w:t>are linked</w:t>
      </w:r>
      <w:r w:rsidRPr="00203170">
        <w:rPr>
          <w:szCs w:val="24"/>
        </w:rPr>
        <w:t xml:space="preserve"> </w:t>
      </w:r>
      <w:r w:rsidR="0025136A" w:rsidRPr="00203170">
        <w:rPr>
          <w:szCs w:val="24"/>
        </w:rPr>
        <w:t>to</w:t>
      </w:r>
      <w:r w:rsidRPr="00203170">
        <w:rPr>
          <w:szCs w:val="24"/>
        </w:rPr>
        <w:t xml:space="preserve"> the risk of these </w:t>
      </w:r>
      <w:r w:rsidR="00DE1F6D" w:rsidRPr="00203170">
        <w:rPr>
          <w:szCs w:val="24"/>
        </w:rPr>
        <w:t xml:space="preserve">impacts </w:t>
      </w:r>
      <w:r w:rsidRPr="00203170">
        <w:rPr>
          <w:szCs w:val="24"/>
        </w:rPr>
        <w:t xml:space="preserve">occurring. The </w:t>
      </w:r>
      <w:r w:rsidR="0025136A" w:rsidRPr="00203170">
        <w:rPr>
          <w:szCs w:val="24"/>
        </w:rPr>
        <w:t>regulation</w:t>
      </w:r>
      <w:r w:rsidRPr="00203170">
        <w:rPr>
          <w:szCs w:val="24"/>
        </w:rPr>
        <w:t xml:space="preserve"> </w:t>
      </w:r>
      <w:r w:rsidR="0025136A" w:rsidRPr="00203170">
        <w:rPr>
          <w:szCs w:val="24"/>
        </w:rPr>
        <w:t>does</w:t>
      </w:r>
      <w:r w:rsidRPr="00203170">
        <w:rPr>
          <w:szCs w:val="24"/>
        </w:rPr>
        <w:t xml:space="preserve"> not introduce any new mechanisms for pr</w:t>
      </w:r>
      <w:r w:rsidR="0025136A" w:rsidRPr="00203170">
        <w:rPr>
          <w:szCs w:val="24"/>
        </w:rPr>
        <w:t>o</w:t>
      </w:r>
      <w:r w:rsidRPr="00203170">
        <w:rPr>
          <w:szCs w:val="24"/>
        </w:rPr>
        <w:t>viding the fina</w:t>
      </w:r>
      <w:r w:rsidR="0025136A" w:rsidRPr="00203170">
        <w:rPr>
          <w:szCs w:val="24"/>
        </w:rPr>
        <w:t xml:space="preserve">ncial </w:t>
      </w:r>
      <w:r w:rsidRPr="00203170">
        <w:rPr>
          <w:szCs w:val="24"/>
        </w:rPr>
        <w:t xml:space="preserve">provision </w:t>
      </w:r>
      <w:r w:rsidR="00953D47">
        <w:rPr>
          <w:szCs w:val="24"/>
        </w:rPr>
        <w:t xml:space="preserve">from those </w:t>
      </w:r>
      <w:r w:rsidRPr="00203170">
        <w:rPr>
          <w:szCs w:val="24"/>
        </w:rPr>
        <w:t>known before</w:t>
      </w:r>
      <w:r w:rsidR="00DE1F6D" w:rsidRPr="00203170">
        <w:rPr>
          <w:szCs w:val="24"/>
        </w:rPr>
        <w:t>. T</w:t>
      </w:r>
      <w:r w:rsidRPr="00203170">
        <w:rPr>
          <w:szCs w:val="24"/>
        </w:rPr>
        <w:t xml:space="preserve">he </w:t>
      </w:r>
      <w:r w:rsidR="0025136A" w:rsidRPr="00203170">
        <w:rPr>
          <w:szCs w:val="24"/>
        </w:rPr>
        <w:t>cash deposit</w:t>
      </w:r>
      <w:r w:rsidRPr="00203170">
        <w:rPr>
          <w:szCs w:val="24"/>
        </w:rPr>
        <w:t xml:space="preserve">, trust fund and bank </w:t>
      </w:r>
      <w:r w:rsidR="0025136A" w:rsidRPr="00203170">
        <w:rPr>
          <w:szCs w:val="24"/>
        </w:rPr>
        <w:t>guarantee</w:t>
      </w:r>
      <w:r w:rsidRPr="00203170">
        <w:rPr>
          <w:szCs w:val="24"/>
        </w:rPr>
        <w:t xml:space="preserve"> </w:t>
      </w:r>
      <w:r w:rsidR="0025136A" w:rsidRPr="00203170">
        <w:rPr>
          <w:szCs w:val="24"/>
        </w:rPr>
        <w:t>options</w:t>
      </w:r>
      <w:r w:rsidRPr="00203170">
        <w:rPr>
          <w:szCs w:val="24"/>
        </w:rPr>
        <w:t xml:space="preserve"> </w:t>
      </w:r>
      <w:r w:rsidR="00DE1F6D" w:rsidRPr="00203170">
        <w:rPr>
          <w:szCs w:val="24"/>
        </w:rPr>
        <w:t xml:space="preserve">that have all existed since the Minerals Act, </w:t>
      </w:r>
      <w:r w:rsidRPr="00203170">
        <w:rPr>
          <w:szCs w:val="24"/>
        </w:rPr>
        <w:t xml:space="preserve">are still </w:t>
      </w:r>
      <w:r w:rsidR="00DE1F6D" w:rsidRPr="00203170">
        <w:rPr>
          <w:szCs w:val="24"/>
        </w:rPr>
        <w:t xml:space="preserve">the </w:t>
      </w:r>
      <w:r w:rsidRPr="00203170">
        <w:rPr>
          <w:szCs w:val="24"/>
        </w:rPr>
        <w:t xml:space="preserve">only ones recognised in </w:t>
      </w:r>
      <w:r w:rsidR="0025136A" w:rsidRPr="00203170">
        <w:rPr>
          <w:szCs w:val="24"/>
        </w:rPr>
        <w:t>South</w:t>
      </w:r>
      <w:r w:rsidRPr="00203170">
        <w:rPr>
          <w:szCs w:val="24"/>
        </w:rPr>
        <w:t xml:space="preserve"> </w:t>
      </w:r>
      <w:r w:rsidR="0025136A" w:rsidRPr="00203170">
        <w:rPr>
          <w:szCs w:val="24"/>
        </w:rPr>
        <w:t>Africa</w:t>
      </w:r>
      <w:r w:rsidR="00DE1F6D" w:rsidRPr="00203170">
        <w:rPr>
          <w:szCs w:val="24"/>
        </w:rPr>
        <w:t>.</w:t>
      </w:r>
      <w:r w:rsidRPr="00203170">
        <w:rPr>
          <w:szCs w:val="24"/>
        </w:rPr>
        <w:t xml:space="preserve"> </w:t>
      </w:r>
    </w:p>
    <w:p w14:paraId="47F7760E" w14:textId="7EB2D744" w:rsidR="00605D34" w:rsidRPr="00203170" w:rsidRDefault="00605D34" w:rsidP="00AE71A0">
      <w:pPr>
        <w:rPr>
          <w:szCs w:val="24"/>
        </w:rPr>
      </w:pPr>
      <w:r w:rsidRPr="00203170">
        <w:rPr>
          <w:szCs w:val="24"/>
        </w:rPr>
        <w:t>T</w:t>
      </w:r>
      <w:r w:rsidR="00DE1F6D" w:rsidRPr="00203170">
        <w:rPr>
          <w:szCs w:val="24"/>
        </w:rPr>
        <w:t xml:space="preserve">he </w:t>
      </w:r>
      <w:r w:rsidRPr="00203170">
        <w:rPr>
          <w:szCs w:val="24"/>
        </w:rPr>
        <w:t xml:space="preserve">onus is </w:t>
      </w:r>
      <w:r w:rsidR="0006327E">
        <w:rPr>
          <w:szCs w:val="24"/>
        </w:rPr>
        <w:t xml:space="preserve">now </w:t>
      </w:r>
      <w:r w:rsidRPr="00203170">
        <w:rPr>
          <w:szCs w:val="24"/>
        </w:rPr>
        <w:t xml:space="preserve">on </w:t>
      </w:r>
      <w:r w:rsidR="00DE1F6D" w:rsidRPr="00203170">
        <w:rPr>
          <w:szCs w:val="24"/>
        </w:rPr>
        <w:t>t</w:t>
      </w:r>
      <w:r w:rsidRPr="00203170">
        <w:rPr>
          <w:szCs w:val="24"/>
        </w:rPr>
        <w:t xml:space="preserve">he holder </w:t>
      </w:r>
      <w:r w:rsidR="0006327E">
        <w:rPr>
          <w:szCs w:val="24"/>
        </w:rPr>
        <w:t xml:space="preserve">of the mining right </w:t>
      </w:r>
      <w:r w:rsidRPr="00203170">
        <w:rPr>
          <w:szCs w:val="24"/>
        </w:rPr>
        <w:t xml:space="preserve">to determine the total cost </w:t>
      </w:r>
      <w:r w:rsidR="0025136A" w:rsidRPr="00203170">
        <w:rPr>
          <w:szCs w:val="24"/>
        </w:rPr>
        <w:t>liability</w:t>
      </w:r>
      <w:r w:rsidRPr="00203170">
        <w:rPr>
          <w:szCs w:val="24"/>
        </w:rPr>
        <w:t xml:space="preserve"> of </w:t>
      </w:r>
      <w:r w:rsidR="0025136A" w:rsidRPr="00203170">
        <w:rPr>
          <w:szCs w:val="24"/>
        </w:rPr>
        <w:t>closure</w:t>
      </w:r>
      <w:r w:rsidRPr="00203170">
        <w:rPr>
          <w:szCs w:val="24"/>
        </w:rPr>
        <w:t xml:space="preserve"> and remediation and is subject to </w:t>
      </w:r>
      <w:r w:rsidR="0025136A" w:rsidRPr="00203170">
        <w:rPr>
          <w:szCs w:val="24"/>
        </w:rPr>
        <w:t>independent</w:t>
      </w:r>
      <w:r w:rsidRPr="00203170">
        <w:rPr>
          <w:szCs w:val="24"/>
        </w:rPr>
        <w:t xml:space="preserve"> verification. </w:t>
      </w:r>
      <w:r w:rsidR="0025136A" w:rsidRPr="00203170">
        <w:rPr>
          <w:szCs w:val="24"/>
        </w:rPr>
        <w:t>If</w:t>
      </w:r>
      <w:r w:rsidRPr="00203170">
        <w:rPr>
          <w:szCs w:val="24"/>
        </w:rPr>
        <w:t xml:space="preserve"> the </w:t>
      </w:r>
      <w:r w:rsidR="0006327E">
        <w:rPr>
          <w:szCs w:val="24"/>
        </w:rPr>
        <w:t>M</w:t>
      </w:r>
      <w:r w:rsidRPr="00203170">
        <w:rPr>
          <w:szCs w:val="24"/>
        </w:rPr>
        <w:t xml:space="preserve">inister </w:t>
      </w:r>
      <w:r w:rsidR="0025136A" w:rsidRPr="00203170">
        <w:rPr>
          <w:szCs w:val="24"/>
        </w:rPr>
        <w:t>of</w:t>
      </w:r>
      <w:r w:rsidRPr="00203170">
        <w:rPr>
          <w:szCs w:val="24"/>
        </w:rPr>
        <w:t xml:space="preserve"> DM</w:t>
      </w:r>
      <w:r w:rsidR="006B3E8B">
        <w:rPr>
          <w:szCs w:val="24"/>
        </w:rPr>
        <w:t>R</w:t>
      </w:r>
      <w:r w:rsidRPr="00203170">
        <w:rPr>
          <w:szCs w:val="24"/>
        </w:rPr>
        <w:t xml:space="preserve"> is not satisfied</w:t>
      </w:r>
      <w:r w:rsidR="0006327E">
        <w:rPr>
          <w:rStyle w:val="FootnoteReference"/>
          <w:szCs w:val="24"/>
        </w:rPr>
        <w:footnoteReference w:id="4"/>
      </w:r>
      <w:r w:rsidRPr="00203170">
        <w:rPr>
          <w:szCs w:val="24"/>
        </w:rPr>
        <w:t xml:space="preserve"> with</w:t>
      </w:r>
      <w:r w:rsidR="00DE1F6D" w:rsidRPr="00203170">
        <w:rPr>
          <w:szCs w:val="24"/>
        </w:rPr>
        <w:t xml:space="preserve"> th</w:t>
      </w:r>
      <w:r w:rsidRPr="00203170">
        <w:rPr>
          <w:szCs w:val="24"/>
        </w:rPr>
        <w:t xml:space="preserve">e </w:t>
      </w:r>
      <w:r w:rsidR="0025136A" w:rsidRPr="00203170">
        <w:rPr>
          <w:szCs w:val="24"/>
        </w:rPr>
        <w:t>amount</w:t>
      </w:r>
      <w:r w:rsidRPr="00203170">
        <w:rPr>
          <w:szCs w:val="24"/>
        </w:rPr>
        <w:t xml:space="preserve"> </w:t>
      </w:r>
      <w:r w:rsidR="0025136A" w:rsidRPr="00203170">
        <w:rPr>
          <w:szCs w:val="24"/>
        </w:rPr>
        <w:t>provided</w:t>
      </w:r>
      <w:r w:rsidR="0006327E">
        <w:rPr>
          <w:szCs w:val="24"/>
        </w:rPr>
        <w:t>,</w:t>
      </w:r>
      <w:r w:rsidRPr="00203170">
        <w:rPr>
          <w:szCs w:val="24"/>
        </w:rPr>
        <w:t xml:space="preserve"> the holder </w:t>
      </w:r>
      <w:r w:rsidR="0025136A" w:rsidRPr="00203170">
        <w:rPr>
          <w:szCs w:val="24"/>
        </w:rPr>
        <w:t>must</w:t>
      </w:r>
      <w:r w:rsidRPr="00203170">
        <w:rPr>
          <w:szCs w:val="24"/>
        </w:rPr>
        <w:t xml:space="preserve"> pay a second </w:t>
      </w:r>
      <w:r w:rsidR="0025136A" w:rsidRPr="00203170">
        <w:rPr>
          <w:szCs w:val="24"/>
        </w:rPr>
        <w:t xml:space="preserve">independent </w:t>
      </w:r>
      <w:r w:rsidRPr="00203170">
        <w:rPr>
          <w:szCs w:val="24"/>
        </w:rPr>
        <w:t xml:space="preserve">assessor to provide </w:t>
      </w:r>
      <w:r w:rsidR="0025136A" w:rsidRPr="00203170">
        <w:rPr>
          <w:szCs w:val="24"/>
        </w:rPr>
        <w:t>additional</w:t>
      </w:r>
      <w:r w:rsidRPr="00203170">
        <w:rPr>
          <w:szCs w:val="24"/>
        </w:rPr>
        <w:t xml:space="preserve"> input. </w:t>
      </w:r>
      <w:r w:rsidR="0025136A" w:rsidRPr="00203170">
        <w:rPr>
          <w:szCs w:val="24"/>
        </w:rPr>
        <w:t>Failing</w:t>
      </w:r>
      <w:r w:rsidRPr="00203170">
        <w:rPr>
          <w:szCs w:val="24"/>
        </w:rPr>
        <w:t xml:space="preserve"> that, the holder must pay for a third</w:t>
      </w:r>
      <w:r w:rsidR="00DB5704" w:rsidRPr="00203170">
        <w:rPr>
          <w:szCs w:val="24"/>
        </w:rPr>
        <w:t>-</w:t>
      </w:r>
      <w:r w:rsidR="0025136A" w:rsidRPr="00203170">
        <w:rPr>
          <w:szCs w:val="24"/>
        </w:rPr>
        <w:t>party</w:t>
      </w:r>
      <w:r w:rsidRPr="00203170">
        <w:rPr>
          <w:szCs w:val="24"/>
        </w:rPr>
        <w:t xml:space="preserve"> auditor, appointed by the </w:t>
      </w:r>
      <w:r w:rsidR="0025136A" w:rsidRPr="00203170">
        <w:rPr>
          <w:szCs w:val="24"/>
        </w:rPr>
        <w:t>State</w:t>
      </w:r>
      <w:r w:rsidRPr="00203170">
        <w:rPr>
          <w:szCs w:val="24"/>
        </w:rPr>
        <w:t xml:space="preserve">, to </w:t>
      </w:r>
      <w:r w:rsidR="0025136A" w:rsidRPr="00203170">
        <w:rPr>
          <w:szCs w:val="24"/>
        </w:rPr>
        <w:t>confirm</w:t>
      </w:r>
      <w:r w:rsidRPr="00203170">
        <w:rPr>
          <w:szCs w:val="24"/>
        </w:rPr>
        <w:t xml:space="preserve"> th</w:t>
      </w:r>
      <w:r w:rsidR="0025136A" w:rsidRPr="00203170">
        <w:rPr>
          <w:szCs w:val="24"/>
        </w:rPr>
        <w:t>e</w:t>
      </w:r>
      <w:r w:rsidRPr="00203170">
        <w:rPr>
          <w:szCs w:val="24"/>
        </w:rPr>
        <w:t xml:space="preserve"> amount provided has bee</w:t>
      </w:r>
      <w:r w:rsidR="00D269F6" w:rsidRPr="00203170">
        <w:rPr>
          <w:szCs w:val="24"/>
        </w:rPr>
        <w:t>n</w:t>
      </w:r>
      <w:r w:rsidRPr="00203170">
        <w:rPr>
          <w:szCs w:val="24"/>
        </w:rPr>
        <w:t xml:space="preserve"> </w:t>
      </w:r>
      <w:r w:rsidR="0025136A" w:rsidRPr="00203170">
        <w:rPr>
          <w:szCs w:val="24"/>
        </w:rPr>
        <w:t>calculated correctly</w:t>
      </w:r>
      <w:r w:rsidRPr="00203170">
        <w:rPr>
          <w:szCs w:val="24"/>
        </w:rPr>
        <w:t>. The use of CP</w:t>
      </w:r>
      <w:r w:rsidR="0025136A" w:rsidRPr="00203170">
        <w:rPr>
          <w:szCs w:val="24"/>
        </w:rPr>
        <w:t>I</w:t>
      </w:r>
      <w:r w:rsidRPr="00203170">
        <w:rPr>
          <w:szCs w:val="24"/>
        </w:rPr>
        <w:t xml:space="preserve"> to escalate cost for up to three years of aftercare </w:t>
      </w:r>
      <w:r w:rsidR="0006327E">
        <w:rPr>
          <w:szCs w:val="24"/>
        </w:rPr>
        <w:t>post-</w:t>
      </w:r>
      <w:r w:rsidR="0025136A" w:rsidRPr="00203170">
        <w:rPr>
          <w:szCs w:val="24"/>
        </w:rPr>
        <w:t>closure</w:t>
      </w:r>
      <w:r w:rsidRPr="00203170">
        <w:rPr>
          <w:szCs w:val="24"/>
        </w:rPr>
        <w:t xml:space="preserve"> is regulated to escalate the full clo</w:t>
      </w:r>
      <w:r w:rsidR="0025136A" w:rsidRPr="00203170">
        <w:rPr>
          <w:szCs w:val="24"/>
        </w:rPr>
        <w:t>sure</w:t>
      </w:r>
      <w:r w:rsidRPr="00203170">
        <w:rPr>
          <w:szCs w:val="24"/>
        </w:rPr>
        <w:t xml:space="preserve"> cost amount</w:t>
      </w:r>
      <w:r w:rsidR="00DE1F6D" w:rsidRPr="00203170">
        <w:rPr>
          <w:szCs w:val="24"/>
        </w:rPr>
        <w:t xml:space="preserve"> initially calculated</w:t>
      </w:r>
      <w:r w:rsidRPr="00203170">
        <w:rPr>
          <w:szCs w:val="24"/>
        </w:rPr>
        <w:t xml:space="preserve">.  </w:t>
      </w:r>
    </w:p>
    <w:p w14:paraId="35342D7D" w14:textId="4772598D" w:rsidR="00605D34" w:rsidRPr="00203170" w:rsidRDefault="00605D34" w:rsidP="00AE71A0">
      <w:pPr>
        <w:rPr>
          <w:szCs w:val="24"/>
        </w:rPr>
      </w:pPr>
      <w:r w:rsidRPr="00203170">
        <w:rPr>
          <w:szCs w:val="24"/>
        </w:rPr>
        <w:t xml:space="preserve">The </w:t>
      </w:r>
      <w:r w:rsidR="0025136A" w:rsidRPr="00203170">
        <w:rPr>
          <w:szCs w:val="24"/>
        </w:rPr>
        <w:t>principles</w:t>
      </w:r>
      <w:r w:rsidRPr="00203170">
        <w:rPr>
          <w:szCs w:val="24"/>
        </w:rPr>
        <w:t xml:space="preserve"> </w:t>
      </w:r>
      <w:r w:rsidR="0025136A" w:rsidRPr="00203170">
        <w:rPr>
          <w:szCs w:val="24"/>
        </w:rPr>
        <w:t>and</w:t>
      </w:r>
      <w:r w:rsidRPr="00203170">
        <w:rPr>
          <w:szCs w:val="24"/>
        </w:rPr>
        <w:t xml:space="preserve"> method for </w:t>
      </w:r>
      <w:r w:rsidR="0025136A" w:rsidRPr="00203170">
        <w:rPr>
          <w:szCs w:val="24"/>
        </w:rPr>
        <w:t>calculating</w:t>
      </w:r>
      <w:r w:rsidRPr="00203170">
        <w:rPr>
          <w:szCs w:val="24"/>
        </w:rPr>
        <w:t xml:space="preserve"> the amount provided are contained in two </w:t>
      </w:r>
      <w:r w:rsidR="0025136A" w:rsidRPr="00203170">
        <w:rPr>
          <w:szCs w:val="24"/>
        </w:rPr>
        <w:t>appendices</w:t>
      </w:r>
      <w:r w:rsidRPr="00203170">
        <w:rPr>
          <w:szCs w:val="24"/>
        </w:rPr>
        <w:t xml:space="preserve"> to th</w:t>
      </w:r>
      <w:r w:rsidR="00DE1F6D" w:rsidRPr="00203170">
        <w:rPr>
          <w:szCs w:val="24"/>
        </w:rPr>
        <w:t xml:space="preserve">e new </w:t>
      </w:r>
      <w:r w:rsidRPr="00203170">
        <w:rPr>
          <w:szCs w:val="24"/>
        </w:rPr>
        <w:t xml:space="preserve">regulations. These </w:t>
      </w:r>
      <w:r w:rsidR="00DE1F6D" w:rsidRPr="00203170">
        <w:rPr>
          <w:szCs w:val="24"/>
        </w:rPr>
        <w:t xml:space="preserve">principles </w:t>
      </w:r>
      <w:r w:rsidRPr="00203170">
        <w:rPr>
          <w:szCs w:val="24"/>
        </w:rPr>
        <w:t xml:space="preserve">determine that </w:t>
      </w:r>
      <w:r w:rsidR="00DE1F6D" w:rsidRPr="00203170">
        <w:rPr>
          <w:szCs w:val="24"/>
        </w:rPr>
        <w:t xml:space="preserve">the calculations must </w:t>
      </w:r>
      <w:r w:rsidR="0008744D" w:rsidRPr="00203170">
        <w:rPr>
          <w:szCs w:val="24"/>
        </w:rPr>
        <w:lastRenderedPageBreak/>
        <w:t>assume</w:t>
      </w:r>
      <w:r w:rsidR="00DE1F6D" w:rsidRPr="00203170">
        <w:rPr>
          <w:szCs w:val="24"/>
        </w:rPr>
        <w:t xml:space="preserve"> that a</w:t>
      </w:r>
      <w:r w:rsidRPr="00203170">
        <w:rPr>
          <w:szCs w:val="24"/>
        </w:rPr>
        <w:t xml:space="preserve"> third party will be employed to do the </w:t>
      </w:r>
      <w:r w:rsidR="0025136A" w:rsidRPr="00203170">
        <w:rPr>
          <w:szCs w:val="24"/>
        </w:rPr>
        <w:t>rehabilitation</w:t>
      </w:r>
      <w:r w:rsidRPr="00203170">
        <w:rPr>
          <w:szCs w:val="24"/>
        </w:rPr>
        <w:t xml:space="preserve"> work</w:t>
      </w:r>
      <w:r w:rsidR="00DE1F6D" w:rsidRPr="00203170">
        <w:rPr>
          <w:szCs w:val="24"/>
        </w:rPr>
        <w:t>. They also determine that m</w:t>
      </w:r>
      <w:r w:rsidRPr="00203170">
        <w:rPr>
          <w:szCs w:val="24"/>
        </w:rPr>
        <w:t xml:space="preserve">ine </w:t>
      </w:r>
      <w:r w:rsidR="0025136A" w:rsidRPr="00203170">
        <w:rPr>
          <w:szCs w:val="24"/>
        </w:rPr>
        <w:t>infrastructure</w:t>
      </w:r>
      <w:r w:rsidRPr="00203170">
        <w:rPr>
          <w:szCs w:val="24"/>
        </w:rPr>
        <w:t xml:space="preserve"> will have zero asset value</w:t>
      </w:r>
      <w:r w:rsidR="00DE1F6D" w:rsidRPr="00203170">
        <w:rPr>
          <w:szCs w:val="24"/>
        </w:rPr>
        <w:t xml:space="preserve">. No </w:t>
      </w:r>
      <w:r w:rsidR="0025136A" w:rsidRPr="00203170">
        <w:rPr>
          <w:szCs w:val="24"/>
        </w:rPr>
        <w:t>provision</w:t>
      </w:r>
      <w:r w:rsidRPr="00203170">
        <w:rPr>
          <w:szCs w:val="24"/>
        </w:rPr>
        <w:t xml:space="preserve"> </w:t>
      </w:r>
      <w:r w:rsidR="00DE1F6D" w:rsidRPr="00203170">
        <w:rPr>
          <w:szCs w:val="24"/>
        </w:rPr>
        <w:t xml:space="preserve">is made for </w:t>
      </w:r>
      <w:r w:rsidRPr="00203170">
        <w:rPr>
          <w:szCs w:val="24"/>
        </w:rPr>
        <w:t>P</w:t>
      </w:r>
      <w:r w:rsidR="00DE1F6D" w:rsidRPr="00203170">
        <w:rPr>
          <w:szCs w:val="24"/>
        </w:rPr>
        <w:t>reliminary and General (P</w:t>
      </w:r>
      <w:r w:rsidRPr="00203170">
        <w:rPr>
          <w:szCs w:val="24"/>
        </w:rPr>
        <w:t>&amp;G</w:t>
      </w:r>
      <w:r w:rsidR="00DE1F6D" w:rsidRPr="00203170">
        <w:rPr>
          <w:szCs w:val="24"/>
        </w:rPr>
        <w:t xml:space="preserve">) costs, </w:t>
      </w:r>
      <w:r w:rsidRPr="00203170">
        <w:rPr>
          <w:szCs w:val="24"/>
        </w:rPr>
        <w:t xml:space="preserve">as it is already </w:t>
      </w:r>
      <w:r w:rsidR="00E415AB" w:rsidRPr="00203170">
        <w:rPr>
          <w:szCs w:val="24"/>
        </w:rPr>
        <w:t xml:space="preserve">included </w:t>
      </w:r>
      <w:r w:rsidRPr="00203170">
        <w:rPr>
          <w:szCs w:val="24"/>
        </w:rPr>
        <w:t>in the CP</w:t>
      </w:r>
      <w:r w:rsidR="0025136A" w:rsidRPr="00203170">
        <w:rPr>
          <w:szCs w:val="24"/>
        </w:rPr>
        <w:t>I</w:t>
      </w:r>
      <w:r w:rsidRPr="00203170">
        <w:rPr>
          <w:szCs w:val="24"/>
        </w:rPr>
        <w:t xml:space="preserve"> </w:t>
      </w:r>
      <w:r w:rsidR="0025136A" w:rsidRPr="00203170">
        <w:rPr>
          <w:szCs w:val="24"/>
        </w:rPr>
        <w:t>escalation</w:t>
      </w:r>
      <w:r w:rsidRPr="00203170">
        <w:rPr>
          <w:szCs w:val="24"/>
        </w:rPr>
        <w:t>.</w:t>
      </w:r>
    </w:p>
    <w:p w14:paraId="4FBB5625" w14:textId="69940621" w:rsidR="00D464FB" w:rsidRPr="00203170" w:rsidRDefault="00D464FB" w:rsidP="00AE71A0">
      <w:pPr>
        <w:rPr>
          <w:szCs w:val="24"/>
        </w:rPr>
      </w:pPr>
      <w:r w:rsidRPr="00203170">
        <w:rPr>
          <w:szCs w:val="24"/>
        </w:rPr>
        <w:t xml:space="preserve">The entire state mechanism for assessing the quantum of financial provision to be provided by a mine has now departed from the </w:t>
      </w:r>
      <w:r w:rsidR="0006327E">
        <w:rPr>
          <w:szCs w:val="24"/>
        </w:rPr>
        <w:t xml:space="preserve">DME </w:t>
      </w:r>
      <w:r w:rsidR="005040AE" w:rsidRPr="00203170">
        <w:rPr>
          <w:szCs w:val="24"/>
        </w:rPr>
        <w:t xml:space="preserve">guideline and the </w:t>
      </w:r>
      <w:r w:rsidRPr="00203170">
        <w:rPr>
          <w:szCs w:val="24"/>
        </w:rPr>
        <w:t xml:space="preserve">rules-based approach. It </w:t>
      </w:r>
      <w:r w:rsidR="005040AE" w:rsidRPr="00203170">
        <w:rPr>
          <w:szCs w:val="24"/>
        </w:rPr>
        <w:t>might appear then</w:t>
      </w:r>
      <w:r w:rsidR="0006327E">
        <w:rPr>
          <w:szCs w:val="24"/>
        </w:rPr>
        <w:t>,</w:t>
      </w:r>
      <w:r w:rsidR="005040AE" w:rsidRPr="00203170">
        <w:rPr>
          <w:szCs w:val="24"/>
        </w:rPr>
        <w:t xml:space="preserve"> that an in-</w:t>
      </w:r>
      <w:r w:rsidRPr="00203170">
        <w:rPr>
          <w:szCs w:val="24"/>
        </w:rPr>
        <w:t>depth review of the rules</w:t>
      </w:r>
      <w:r w:rsidR="005040AE" w:rsidRPr="00203170">
        <w:rPr>
          <w:szCs w:val="24"/>
        </w:rPr>
        <w:t>-</w:t>
      </w:r>
      <w:r w:rsidRPr="00203170">
        <w:rPr>
          <w:szCs w:val="24"/>
        </w:rPr>
        <w:t>based approach and the old DM</w:t>
      </w:r>
      <w:r w:rsidR="00A67147">
        <w:rPr>
          <w:szCs w:val="24"/>
        </w:rPr>
        <w:t>E</w:t>
      </w:r>
      <w:r w:rsidRPr="00203170">
        <w:rPr>
          <w:szCs w:val="24"/>
        </w:rPr>
        <w:t xml:space="preserve"> guideline mechanism </w:t>
      </w:r>
      <w:r w:rsidR="0006327E">
        <w:rPr>
          <w:szCs w:val="24"/>
        </w:rPr>
        <w:t xml:space="preserve">is </w:t>
      </w:r>
      <w:r w:rsidR="005040AE" w:rsidRPr="00203170">
        <w:rPr>
          <w:szCs w:val="24"/>
        </w:rPr>
        <w:t>redundant</w:t>
      </w:r>
      <w:r w:rsidRPr="00203170">
        <w:rPr>
          <w:szCs w:val="24"/>
        </w:rPr>
        <w:t>. Th</w:t>
      </w:r>
      <w:r w:rsidR="0006327E">
        <w:rPr>
          <w:szCs w:val="24"/>
        </w:rPr>
        <w:t xml:space="preserve">is research report </w:t>
      </w:r>
      <w:r w:rsidRPr="00203170">
        <w:rPr>
          <w:szCs w:val="24"/>
        </w:rPr>
        <w:t>does have a bearing on how much a mining company, having followed the rules-based approach</w:t>
      </w:r>
      <w:r w:rsidR="005040AE" w:rsidRPr="00203170">
        <w:rPr>
          <w:szCs w:val="24"/>
        </w:rPr>
        <w:t xml:space="preserve"> from 2005 to 2016</w:t>
      </w:r>
      <w:r w:rsidRPr="00203170">
        <w:rPr>
          <w:szCs w:val="24"/>
        </w:rPr>
        <w:t>, might be under- or overfunded at the point of alignment with the new financial provision regulation</w:t>
      </w:r>
      <w:r w:rsidR="0006327E">
        <w:rPr>
          <w:szCs w:val="24"/>
        </w:rPr>
        <w:t>s</w:t>
      </w:r>
      <w:r w:rsidRPr="00203170">
        <w:rPr>
          <w:szCs w:val="24"/>
        </w:rPr>
        <w:t xml:space="preserve">, so there might still be some value in this </w:t>
      </w:r>
      <w:r w:rsidR="0006327E">
        <w:rPr>
          <w:szCs w:val="24"/>
        </w:rPr>
        <w:t>comparison</w:t>
      </w:r>
      <w:r w:rsidRPr="00203170">
        <w:rPr>
          <w:szCs w:val="24"/>
        </w:rPr>
        <w:t xml:space="preserve">. </w:t>
      </w:r>
    </w:p>
    <w:p w14:paraId="4FE1FA4A" w14:textId="5A4CDD03" w:rsidR="00DB5704" w:rsidRPr="00203170" w:rsidRDefault="00D464FB" w:rsidP="00AE71A0">
      <w:pPr>
        <w:rPr>
          <w:szCs w:val="24"/>
        </w:rPr>
        <w:sectPr w:rsidR="00DB5704" w:rsidRPr="00203170" w:rsidSect="004321A7">
          <w:pgSz w:w="11906" w:h="16838"/>
          <w:pgMar w:top="1440" w:right="1440" w:bottom="1440" w:left="1440" w:header="709" w:footer="709" w:gutter="0"/>
          <w:cols w:space="708"/>
          <w:docGrid w:linePitch="360"/>
        </w:sectPr>
      </w:pPr>
      <w:r w:rsidRPr="00203170">
        <w:rPr>
          <w:szCs w:val="24"/>
        </w:rPr>
        <w:t xml:space="preserve">In summary, </w:t>
      </w:r>
      <w:r w:rsidR="0008744D" w:rsidRPr="00203170">
        <w:rPr>
          <w:szCs w:val="24"/>
        </w:rPr>
        <w:t>the</w:t>
      </w:r>
      <w:r w:rsidRPr="00203170">
        <w:rPr>
          <w:szCs w:val="24"/>
        </w:rPr>
        <w:t xml:space="preserve"> issue of the correct amount of financial provision for the closure of a mine is an important matter that has received significant academic, operational and regulatory attention </w:t>
      </w:r>
      <w:r w:rsidR="0006327E">
        <w:rPr>
          <w:szCs w:val="24"/>
        </w:rPr>
        <w:t xml:space="preserve">internationally and in South Africa </w:t>
      </w:r>
      <w:r w:rsidRPr="00203170">
        <w:rPr>
          <w:szCs w:val="24"/>
        </w:rPr>
        <w:t>since the publication of the DM</w:t>
      </w:r>
      <w:r w:rsidR="00A67147">
        <w:rPr>
          <w:szCs w:val="24"/>
        </w:rPr>
        <w:t>E</w:t>
      </w:r>
      <w:r w:rsidRPr="00203170">
        <w:rPr>
          <w:szCs w:val="24"/>
        </w:rPr>
        <w:t xml:space="preserve"> guideline. What is not adequately addressed, is the use of real data for mine rehabilitation projects conducted by the </w:t>
      </w:r>
      <w:r w:rsidR="00435913" w:rsidRPr="00203170">
        <w:rPr>
          <w:szCs w:val="24"/>
        </w:rPr>
        <w:t>S</w:t>
      </w:r>
      <w:r w:rsidRPr="00203170">
        <w:rPr>
          <w:szCs w:val="24"/>
        </w:rPr>
        <w:t xml:space="preserve">tate, as it would have to do in the case of default of a currently operating mine and the measurement of that </w:t>
      </w:r>
      <w:r w:rsidR="00435913" w:rsidRPr="00203170">
        <w:rPr>
          <w:szCs w:val="24"/>
        </w:rPr>
        <w:t xml:space="preserve">actual </w:t>
      </w:r>
      <w:r w:rsidRPr="00203170">
        <w:rPr>
          <w:szCs w:val="24"/>
        </w:rPr>
        <w:t xml:space="preserve">data against the </w:t>
      </w:r>
      <w:r w:rsidR="00435913" w:rsidRPr="00203170">
        <w:rPr>
          <w:szCs w:val="24"/>
        </w:rPr>
        <w:t xml:space="preserve">predicted </w:t>
      </w:r>
      <w:r w:rsidRPr="00203170">
        <w:rPr>
          <w:szCs w:val="24"/>
        </w:rPr>
        <w:t xml:space="preserve">guideline values. While the use of the </w:t>
      </w:r>
      <w:r w:rsidR="00435913" w:rsidRPr="00203170">
        <w:rPr>
          <w:szCs w:val="24"/>
        </w:rPr>
        <w:t>DM</w:t>
      </w:r>
      <w:r w:rsidR="00A67147">
        <w:rPr>
          <w:szCs w:val="24"/>
        </w:rPr>
        <w:t>E</w:t>
      </w:r>
      <w:r w:rsidR="00435913" w:rsidRPr="00203170">
        <w:rPr>
          <w:szCs w:val="24"/>
        </w:rPr>
        <w:t xml:space="preserve"> </w:t>
      </w:r>
      <w:r w:rsidRPr="00203170">
        <w:rPr>
          <w:szCs w:val="24"/>
        </w:rPr>
        <w:t xml:space="preserve">guideline has been superseded by the </w:t>
      </w:r>
      <w:r w:rsidR="00435913" w:rsidRPr="00203170">
        <w:rPr>
          <w:szCs w:val="24"/>
        </w:rPr>
        <w:t>regulation</w:t>
      </w:r>
      <w:r w:rsidRPr="00203170">
        <w:rPr>
          <w:szCs w:val="24"/>
        </w:rPr>
        <w:t xml:space="preserve"> issued by </w:t>
      </w:r>
      <w:r w:rsidR="00435913" w:rsidRPr="00203170">
        <w:rPr>
          <w:szCs w:val="24"/>
        </w:rPr>
        <w:t>DEA</w:t>
      </w:r>
      <w:r w:rsidRPr="00203170">
        <w:rPr>
          <w:szCs w:val="24"/>
        </w:rPr>
        <w:t xml:space="preserve"> in 201</w:t>
      </w:r>
      <w:r w:rsidR="00435913" w:rsidRPr="00203170">
        <w:rPr>
          <w:szCs w:val="24"/>
        </w:rPr>
        <w:t>7</w:t>
      </w:r>
      <w:r w:rsidRPr="00203170">
        <w:rPr>
          <w:szCs w:val="24"/>
        </w:rPr>
        <w:t xml:space="preserve">, many mines may be in a position that they have diligently used the </w:t>
      </w:r>
      <w:r w:rsidR="00435913" w:rsidRPr="00203170">
        <w:rPr>
          <w:szCs w:val="24"/>
        </w:rPr>
        <w:t>DM</w:t>
      </w:r>
      <w:r w:rsidR="00A67147">
        <w:rPr>
          <w:szCs w:val="24"/>
        </w:rPr>
        <w:t>E</w:t>
      </w:r>
      <w:r w:rsidR="00435913" w:rsidRPr="00203170">
        <w:rPr>
          <w:szCs w:val="24"/>
        </w:rPr>
        <w:t xml:space="preserve"> </w:t>
      </w:r>
      <w:r w:rsidRPr="00203170">
        <w:rPr>
          <w:szCs w:val="24"/>
        </w:rPr>
        <w:t xml:space="preserve">guideline and may need to determine if they have under- or overprovided for closure. The consensus view of the researchers who have published on this topic in the past, and have used various simulation techniques, is that these operations may be underprovided for by as much as 50%, before the additional effects of the PPPFA requirements and CPG’s are accounted for. </w:t>
      </w:r>
      <w:r w:rsidR="0006327E">
        <w:rPr>
          <w:szCs w:val="24"/>
        </w:rPr>
        <w:t xml:space="preserve">Most recent reports </w:t>
      </w:r>
      <w:r w:rsidRPr="00203170">
        <w:rPr>
          <w:szCs w:val="24"/>
        </w:rPr>
        <w:t xml:space="preserve">by the DPW/CIDB suggest that these factors may </w:t>
      </w:r>
      <w:r w:rsidR="00435913" w:rsidRPr="00203170">
        <w:rPr>
          <w:szCs w:val="24"/>
        </w:rPr>
        <w:t xml:space="preserve">introduce </w:t>
      </w:r>
      <w:r w:rsidRPr="00203170">
        <w:rPr>
          <w:szCs w:val="24"/>
        </w:rPr>
        <w:t xml:space="preserve">even higher rates of change of prices </w:t>
      </w:r>
      <w:r w:rsidR="00435913" w:rsidRPr="00203170">
        <w:rPr>
          <w:szCs w:val="24"/>
        </w:rPr>
        <w:t xml:space="preserve">related </w:t>
      </w:r>
      <w:r w:rsidRPr="00203170">
        <w:rPr>
          <w:szCs w:val="24"/>
        </w:rPr>
        <w:t xml:space="preserve">to </w:t>
      </w:r>
      <w:r w:rsidR="0006327E">
        <w:rPr>
          <w:szCs w:val="24"/>
        </w:rPr>
        <w:t xml:space="preserve">costs </w:t>
      </w:r>
      <w:r w:rsidR="00435913" w:rsidRPr="00203170">
        <w:rPr>
          <w:szCs w:val="24"/>
        </w:rPr>
        <w:t>which</w:t>
      </w:r>
      <w:r w:rsidRPr="00203170">
        <w:rPr>
          <w:szCs w:val="24"/>
        </w:rPr>
        <w:t xml:space="preserve"> are already significantly outdated. </w:t>
      </w:r>
    </w:p>
    <w:p w14:paraId="7411FF4D" w14:textId="7480E992" w:rsidR="00D464FB" w:rsidRPr="002328EF" w:rsidRDefault="00D464FB" w:rsidP="002D6002">
      <w:pPr>
        <w:pStyle w:val="Heading1"/>
      </w:pPr>
      <w:bookmarkStart w:id="53" w:name="_Toc443556939"/>
      <w:bookmarkStart w:id="54" w:name="_Toc519445713"/>
      <w:r w:rsidRPr="002328EF">
        <w:lastRenderedPageBreak/>
        <w:t>Methodology</w:t>
      </w:r>
      <w:bookmarkEnd w:id="53"/>
      <w:bookmarkEnd w:id="54"/>
    </w:p>
    <w:p w14:paraId="108D8BDD" w14:textId="664954AA" w:rsidR="003D4907" w:rsidRPr="003D4907" w:rsidRDefault="003D4907" w:rsidP="00AE71A0">
      <w:r w:rsidRPr="003D4907">
        <w:t xml:space="preserve">This report </w:t>
      </w:r>
      <w:r>
        <w:t xml:space="preserve">presents </w:t>
      </w:r>
      <w:r w:rsidRPr="003D4907">
        <w:t>quantita</w:t>
      </w:r>
      <w:r>
        <w:t>ti</w:t>
      </w:r>
      <w:r w:rsidRPr="003D4907">
        <w:t>ve research based on secondary data. This research report uses se</w:t>
      </w:r>
      <w:r>
        <w:t xml:space="preserve">condary </w:t>
      </w:r>
      <w:r w:rsidRPr="003D4907">
        <w:t>data gathered fr</w:t>
      </w:r>
      <w:r>
        <w:t>o</w:t>
      </w:r>
      <w:r w:rsidRPr="003D4907">
        <w:t>m ten</w:t>
      </w:r>
      <w:r>
        <w:t>d</w:t>
      </w:r>
      <w:r w:rsidRPr="003D4907">
        <w:t>er submission</w:t>
      </w:r>
      <w:r>
        <w:t>s</w:t>
      </w:r>
      <w:r w:rsidRPr="003D4907">
        <w:t xml:space="preserve"> in the period from 2009 to 2016. This data was a</w:t>
      </w:r>
      <w:r>
        <w:t xml:space="preserve">nalysed </w:t>
      </w:r>
      <w:r w:rsidRPr="003D4907">
        <w:t xml:space="preserve">statistically and the actual </w:t>
      </w:r>
      <w:r w:rsidR="00532591">
        <w:t xml:space="preserve">median </w:t>
      </w:r>
      <w:r w:rsidRPr="003D4907">
        <w:t xml:space="preserve">cost </w:t>
      </w:r>
      <w:r w:rsidR="00532591">
        <w:t xml:space="preserve">values </w:t>
      </w:r>
      <w:r w:rsidRPr="003D4907">
        <w:t>so obtained w</w:t>
      </w:r>
      <w:r w:rsidR="00532591">
        <w:t>ere</w:t>
      </w:r>
      <w:r w:rsidRPr="003D4907">
        <w:t xml:space="preserve"> then compared to escalated </w:t>
      </w:r>
      <w:r w:rsidR="00532591">
        <w:t xml:space="preserve">DME </w:t>
      </w:r>
      <w:r w:rsidRPr="003D4907">
        <w:t xml:space="preserve">guideline rates and the rates predicted by the CIDB report escalation figures. The results </w:t>
      </w:r>
      <w:r w:rsidR="00532591">
        <w:t xml:space="preserve">of this comparison </w:t>
      </w:r>
      <w:r w:rsidRPr="003D4907">
        <w:t xml:space="preserve">are presented in a descriptive </w:t>
      </w:r>
      <w:r w:rsidR="00532591">
        <w:t xml:space="preserve">manner for each master rate or component analysed. </w:t>
      </w:r>
      <w:r>
        <w:t xml:space="preserve"> </w:t>
      </w:r>
    </w:p>
    <w:p w14:paraId="09B23643" w14:textId="27F89C1F" w:rsidR="00A320E8" w:rsidRPr="002328EF" w:rsidRDefault="00A320E8" w:rsidP="00063C48">
      <w:pPr>
        <w:pStyle w:val="Heading2"/>
      </w:pPr>
      <w:bookmarkStart w:id="55" w:name="_Toc507233512"/>
      <w:bookmarkStart w:id="56" w:name="_Toc507242324"/>
      <w:bookmarkStart w:id="57" w:name="_Toc507244140"/>
      <w:bookmarkStart w:id="58" w:name="_Toc507250032"/>
      <w:bookmarkStart w:id="59" w:name="_Toc507264681"/>
      <w:bookmarkStart w:id="60" w:name="_Toc507300840"/>
      <w:bookmarkStart w:id="61" w:name="_Toc507301006"/>
      <w:bookmarkStart w:id="62" w:name="_Toc507301266"/>
      <w:bookmarkStart w:id="63" w:name="_Toc507301327"/>
      <w:bookmarkStart w:id="64" w:name="_Toc507317955"/>
      <w:bookmarkStart w:id="65" w:name="_Toc507319004"/>
      <w:bookmarkStart w:id="66" w:name="_Toc507319068"/>
      <w:bookmarkStart w:id="67" w:name="_Toc507233513"/>
      <w:bookmarkStart w:id="68" w:name="_Toc507242325"/>
      <w:bookmarkStart w:id="69" w:name="_Toc507244141"/>
      <w:bookmarkStart w:id="70" w:name="_Toc507250033"/>
      <w:bookmarkStart w:id="71" w:name="_Toc507264682"/>
      <w:bookmarkStart w:id="72" w:name="_Toc507300841"/>
      <w:bookmarkStart w:id="73" w:name="_Toc507301007"/>
      <w:bookmarkStart w:id="74" w:name="_Toc507301267"/>
      <w:bookmarkStart w:id="75" w:name="_Toc507301328"/>
      <w:bookmarkStart w:id="76" w:name="_Toc507317956"/>
      <w:bookmarkStart w:id="77" w:name="_Toc507319005"/>
      <w:bookmarkStart w:id="78" w:name="_Toc507319069"/>
      <w:bookmarkStart w:id="79" w:name="_Toc51944571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2328EF">
        <w:t xml:space="preserve">Background to </w:t>
      </w:r>
      <w:r w:rsidR="008502D9">
        <w:t xml:space="preserve">the </w:t>
      </w:r>
      <w:r w:rsidRPr="002328EF">
        <w:t>methodology</w:t>
      </w:r>
      <w:r w:rsidR="008502D9">
        <w:t xml:space="preserve"> applied in this research report</w:t>
      </w:r>
      <w:bookmarkEnd w:id="79"/>
      <w:r w:rsidRPr="002328EF">
        <w:t xml:space="preserve"> </w:t>
      </w:r>
    </w:p>
    <w:p w14:paraId="7FD957B9" w14:textId="2B1BFEC4" w:rsidR="00414E5B" w:rsidRPr="00414E5B" w:rsidRDefault="00532591" w:rsidP="00AE71A0">
      <w:pPr>
        <w:rPr>
          <w:szCs w:val="24"/>
        </w:rPr>
      </w:pPr>
      <w:r w:rsidRPr="00414E5B">
        <w:rPr>
          <w:szCs w:val="24"/>
        </w:rPr>
        <w:t xml:space="preserve">Chu </w:t>
      </w:r>
      <w:r>
        <w:rPr>
          <w:szCs w:val="24"/>
        </w:rPr>
        <w:t>(</w:t>
      </w:r>
      <w:r w:rsidRPr="00414E5B">
        <w:rPr>
          <w:szCs w:val="24"/>
        </w:rPr>
        <w:t>2017) conducted a research study to determine which nomenclature researchers attach to different methodologies and what terminology is used</w:t>
      </w:r>
      <w:r>
        <w:rPr>
          <w:szCs w:val="24"/>
        </w:rPr>
        <w:t xml:space="preserve">. He also states that </w:t>
      </w:r>
      <w:r w:rsidRPr="00414E5B">
        <w:rPr>
          <w:szCs w:val="24"/>
        </w:rPr>
        <w:t>scholars must choose</w:t>
      </w:r>
      <w:r>
        <w:rPr>
          <w:szCs w:val="24"/>
        </w:rPr>
        <w:t xml:space="preserve"> between qualitative, quantitative and mixed research </w:t>
      </w:r>
      <w:r w:rsidRPr="00414E5B">
        <w:rPr>
          <w:szCs w:val="24"/>
        </w:rPr>
        <w:t>methods</w:t>
      </w:r>
      <w:r>
        <w:rPr>
          <w:szCs w:val="24"/>
        </w:rPr>
        <w:t xml:space="preserve"> </w:t>
      </w:r>
      <w:r w:rsidRPr="00414E5B">
        <w:rPr>
          <w:szCs w:val="24"/>
        </w:rPr>
        <w:t xml:space="preserve">depending on what </w:t>
      </w:r>
      <w:r>
        <w:rPr>
          <w:szCs w:val="24"/>
        </w:rPr>
        <w:t xml:space="preserve">the intended focus of the study is. </w:t>
      </w:r>
      <w:r w:rsidR="00414E5B" w:rsidRPr="00414E5B">
        <w:rPr>
          <w:szCs w:val="24"/>
        </w:rPr>
        <w:t>Most research methods are able to collect both qualitative and quantitative data</w:t>
      </w:r>
      <w:r>
        <w:rPr>
          <w:szCs w:val="24"/>
        </w:rPr>
        <w:t>, d</w:t>
      </w:r>
      <w:r w:rsidR="00414E5B" w:rsidRPr="00414E5B">
        <w:rPr>
          <w:szCs w:val="24"/>
        </w:rPr>
        <w:t xml:space="preserve">espite being oriented to a particular type of data. </w:t>
      </w:r>
    </w:p>
    <w:p w14:paraId="5A4F267C" w14:textId="77777777" w:rsidR="00B8525C" w:rsidRPr="00414E5B" w:rsidRDefault="00B8525C" w:rsidP="00AE71A0">
      <w:pPr>
        <w:rPr>
          <w:szCs w:val="24"/>
        </w:rPr>
      </w:pPr>
      <w:r w:rsidRPr="00414E5B">
        <w:rPr>
          <w:szCs w:val="24"/>
        </w:rPr>
        <w:t xml:space="preserve">Brown &amp; Lindley (1986) </w:t>
      </w:r>
      <w:r>
        <w:rPr>
          <w:szCs w:val="24"/>
        </w:rPr>
        <w:t>state that q</w:t>
      </w:r>
      <w:r w:rsidRPr="00414E5B">
        <w:rPr>
          <w:szCs w:val="24"/>
        </w:rPr>
        <w:t xml:space="preserve">uantitative research is a systematic effort to make a quantitative assessment and usually involves mathematical formulation. </w:t>
      </w:r>
    </w:p>
    <w:p w14:paraId="50074E7D" w14:textId="7E1B841F" w:rsidR="00414E5B" w:rsidRPr="00414E5B" w:rsidRDefault="00414E5B" w:rsidP="00AE71A0">
      <w:pPr>
        <w:rPr>
          <w:szCs w:val="24"/>
        </w:rPr>
      </w:pPr>
      <w:r w:rsidRPr="00414E5B">
        <w:rPr>
          <w:szCs w:val="24"/>
        </w:rPr>
        <w:t xml:space="preserve">Leppink (2017) held that the goal of science is to establish laws and principles that help us explain phenomena in our world in a systematic manner and, in many cases, how we may be able to predict or </w:t>
      </w:r>
      <w:r w:rsidR="00532591">
        <w:rPr>
          <w:szCs w:val="24"/>
        </w:rPr>
        <w:t xml:space="preserve">even </w:t>
      </w:r>
      <w:r w:rsidRPr="00414E5B">
        <w:rPr>
          <w:szCs w:val="24"/>
        </w:rPr>
        <w:t xml:space="preserve">influence these phenomena. </w:t>
      </w:r>
      <w:r w:rsidR="00532591">
        <w:rPr>
          <w:szCs w:val="24"/>
        </w:rPr>
        <w:t>Leppink found that m</w:t>
      </w:r>
      <w:r w:rsidRPr="00414E5B">
        <w:rPr>
          <w:szCs w:val="24"/>
        </w:rPr>
        <w:t>ixed-method research</w:t>
      </w:r>
      <w:r w:rsidR="00532591">
        <w:rPr>
          <w:szCs w:val="24"/>
        </w:rPr>
        <w:t xml:space="preserve"> is</w:t>
      </w:r>
      <w:r w:rsidRPr="00414E5B">
        <w:rPr>
          <w:szCs w:val="24"/>
        </w:rPr>
        <w:t xml:space="preserve"> becoming more popular and combine</w:t>
      </w:r>
      <w:r w:rsidR="00532591">
        <w:rPr>
          <w:szCs w:val="24"/>
        </w:rPr>
        <w:t>s</w:t>
      </w:r>
      <w:r w:rsidRPr="00414E5B">
        <w:rPr>
          <w:szCs w:val="24"/>
        </w:rPr>
        <w:t xml:space="preserve"> the best of both quantitative and qualitative research methods. Qualitative methods can address the </w:t>
      </w:r>
      <w:r w:rsidR="00532591">
        <w:rPr>
          <w:szCs w:val="24"/>
        </w:rPr>
        <w:t>‘</w:t>
      </w:r>
      <w:r w:rsidRPr="00414E5B">
        <w:rPr>
          <w:szCs w:val="24"/>
        </w:rPr>
        <w:t>how</w:t>
      </w:r>
      <w:r w:rsidR="00532591">
        <w:rPr>
          <w:szCs w:val="24"/>
        </w:rPr>
        <w:t>’</w:t>
      </w:r>
      <w:r w:rsidRPr="00414E5B">
        <w:rPr>
          <w:szCs w:val="24"/>
        </w:rPr>
        <w:t xml:space="preserve"> and </w:t>
      </w:r>
      <w:r w:rsidR="00532591">
        <w:rPr>
          <w:szCs w:val="24"/>
        </w:rPr>
        <w:t>‘</w:t>
      </w:r>
      <w:r w:rsidRPr="00414E5B">
        <w:rPr>
          <w:szCs w:val="24"/>
        </w:rPr>
        <w:t>why</w:t>
      </w:r>
      <w:r w:rsidR="00532591">
        <w:rPr>
          <w:szCs w:val="24"/>
        </w:rPr>
        <w:t>’</w:t>
      </w:r>
      <w:r w:rsidRPr="00414E5B">
        <w:rPr>
          <w:szCs w:val="24"/>
        </w:rPr>
        <w:t xml:space="preserve"> aspects of research findings obtained fr</w:t>
      </w:r>
      <w:r w:rsidR="00532591">
        <w:rPr>
          <w:szCs w:val="24"/>
        </w:rPr>
        <w:t>o</w:t>
      </w:r>
      <w:r w:rsidRPr="00414E5B">
        <w:rPr>
          <w:szCs w:val="24"/>
        </w:rPr>
        <w:t xml:space="preserve">m quantitative research that cannot be determined by quantitative methods alone. </w:t>
      </w:r>
    </w:p>
    <w:p w14:paraId="435AFC09" w14:textId="21E482D8" w:rsidR="00414E5B" w:rsidRPr="00414E5B" w:rsidRDefault="00414E5B" w:rsidP="00AE71A0">
      <w:pPr>
        <w:rPr>
          <w:szCs w:val="24"/>
        </w:rPr>
      </w:pPr>
      <w:r w:rsidRPr="00414E5B">
        <w:rPr>
          <w:szCs w:val="24"/>
        </w:rPr>
        <w:t xml:space="preserve">Allwood (2012) </w:t>
      </w:r>
      <w:r w:rsidR="00532591">
        <w:rPr>
          <w:szCs w:val="24"/>
        </w:rPr>
        <w:t>identified the key characteristics of qua</w:t>
      </w:r>
      <w:r w:rsidR="00B8525C">
        <w:rPr>
          <w:szCs w:val="24"/>
        </w:rPr>
        <w:t>nt</w:t>
      </w:r>
      <w:r w:rsidR="00532591">
        <w:rPr>
          <w:szCs w:val="24"/>
        </w:rPr>
        <w:t xml:space="preserve">itative </w:t>
      </w:r>
      <w:r w:rsidRPr="00414E5B">
        <w:rPr>
          <w:szCs w:val="24"/>
        </w:rPr>
        <w:t xml:space="preserve">research methods </w:t>
      </w:r>
      <w:r w:rsidR="00532591">
        <w:rPr>
          <w:szCs w:val="24"/>
        </w:rPr>
        <w:t xml:space="preserve">as (a) being able to </w:t>
      </w:r>
      <w:r w:rsidRPr="00414E5B">
        <w:rPr>
          <w:szCs w:val="24"/>
        </w:rPr>
        <w:t>quanti</w:t>
      </w:r>
      <w:r w:rsidR="00532591">
        <w:rPr>
          <w:szCs w:val="24"/>
        </w:rPr>
        <w:t>f</w:t>
      </w:r>
      <w:r w:rsidRPr="00414E5B">
        <w:rPr>
          <w:szCs w:val="24"/>
        </w:rPr>
        <w:t xml:space="preserve">y the results, </w:t>
      </w:r>
      <w:r w:rsidR="00532591">
        <w:rPr>
          <w:szCs w:val="24"/>
        </w:rPr>
        <w:t xml:space="preserve">(b) </w:t>
      </w:r>
      <w:r w:rsidRPr="00414E5B">
        <w:rPr>
          <w:szCs w:val="24"/>
        </w:rPr>
        <w:t xml:space="preserve">not </w:t>
      </w:r>
      <w:r w:rsidR="00532591">
        <w:rPr>
          <w:szCs w:val="24"/>
        </w:rPr>
        <w:t xml:space="preserve">being </w:t>
      </w:r>
      <w:r w:rsidRPr="00414E5B">
        <w:rPr>
          <w:szCs w:val="24"/>
        </w:rPr>
        <w:t xml:space="preserve">emancipative, </w:t>
      </w:r>
      <w:r w:rsidR="00532591">
        <w:rPr>
          <w:szCs w:val="24"/>
        </w:rPr>
        <w:t xml:space="preserve">(c) </w:t>
      </w:r>
      <w:r w:rsidRPr="00414E5B">
        <w:rPr>
          <w:szCs w:val="24"/>
        </w:rPr>
        <w:t xml:space="preserve">not </w:t>
      </w:r>
      <w:r w:rsidR="00532591">
        <w:rPr>
          <w:szCs w:val="24"/>
        </w:rPr>
        <w:t xml:space="preserve">being </w:t>
      </w:r>
      <w:r w:rsidRPr="00414E5B">
        <w:rPr>
          <w:szCs w:val="24"/>
        </w:rPr>
        <w:t xml:space="preserve">interpretative, </w:t>
      </w:r>
      <w:r w:rsidR="00532591">
        <w:rPr>
          <w:szCs w:val="24"/>
        </w:rPr>
        <w:t xml:space="preserve">(d) not being able to </w:t>
      </w:r>
      <w:r w:rsidRPr="00414E5B">
        <w:rPr>
          <w:szCs w:val="24"/>
        </w:rPr>
        <w:t>use words as data,</w:t>
      </w:r>
      <w:r w:rsidR="00532591">
        <w:rPr>
          <w:szCs w:val="24"/>
        </w:rPr>
        <w:t xml:space="preserve"> (e) not studying the </w:t>
      </w:r>
      <w:r w:rsidRPr="00414E5B">
        <w:rPr>
          <w:szCs w:val="24"/>
        </w:rPr>
        <w:t>meaning</w:t>
      </w:r>
      <w:r w:rsidR="00532591">
        <w:rPr>
          <w:szCs w:val="24"/>
        </w:rPr>
        <w:t xml:space="preserve"> of </w:t>
      </w:r>
      <w:r w:rsidRPr="00414E5B">
        <w:rPr>
          <w:szCs w:val="24"/>
        </w:rPr>
        <w:t>contents</w:t>
      </w:r>
      <w:r w:rsidR="00532591">
        <w:rPr>
          <w:szCs w:val="24"/>
        </w:rPr>
        <w:t xml:space="preserve"> and (f) </w:t>
      </w:r>
      <w:r w:rsidRPr="00414E5B">
        <w:rPr>
          <w:szCs w:val="24"/>
        </w:rPr>
        <w:t>assum</w:t>
      </w:r>
      <w:r w:rsidR="00532591">
        <w:rPr>
          <w:szCs w:val="24"/>
        </w:rPr>
        <w:t>ing</w:t>
      </w:r>
      <w:r w:rsidRPr="00414E5B">
        <w:rPr>
          <w:szCs w:val="24"/>
        </w:rPr>
        <w:t xml:space="preserve"> that there is an independent reality whether it is investigated or not. All</w:t>
      </w:r>
      <w:r w:rsidR="00532591">
        <w:rPr>
          <w:szCs w:val="24"/>
        </w:rPr>
        <w:t xml:space="preserve">wood states that </w:t>
      </w:r>
      <w:r w:rsidRPr="00414E5B">
        <w:rPr>
          <w:szCs w:val="24"/>
        </w:rPr>
        <w:t>research methods are qualitative at the core and are equally objective</w:t>
      </w:r>
      <w:r w:rsidR="000C2EDD">
        <w:rPr>
          <w:szCs w:val="24"/>
        </w:rPr>
        <w:t>. Th</w:t>
      </w:r>
      <w:r w:rsidRPr="00414E5B">
        <w:rPr>
          <w:szCs w:val="24"/>
        </w:rPr>
        <w:t xml:space="preserve">e use of quantitative data does not eliminate the intersubjective element that underlies social research. Research </w:t>
      </w:r>
      <w:r w:rsidRPr="00414E5B">
        <w:rPr>
          <w:szCs w:val="24"/>
        </w:rPr>
        <w:lastRenderedPageBreak/>
        <w:t>results from qualitative methods are applicable only to the sample while quanti</w:t>
      </w:r>
      <w:r w:rsidR="000C2EDD">
        <w:rPr>
          <w:szCs w:val="24"/>
        </w:rPr>
        <w:t>ta</w:t>
      </w:r>
      <w:r w:rsidRPr="00414E5B">
        <w:rPr>
          <w:szCs w:val="24"/>
        </w:rPr>
        <w:t xml:space="preserve">tive data and methods render results that may be generalisable to the entire population. </w:t>
      </w:r>
    </w:p>
    <w:p w14:paraId="1A4229A3" w14:textId="5FF7EDE8" w:rsidR="00414E5B" w:rsidRPr="00414E5B" w:rsidRDefault="00414E5B" w:rsidP="00AE71A0">
      <w:pPr>
        <w:rPr>
          <w:szCs w:val="24"/>
        </w:rPr>
      </w:pPr>
      <w:r w:rsidRPr="00414E5B">
        <w:rPr>
          <w:szCs w:val="24"/>
        </w:rPr>
        <w:t xml:space="preserve">Goertzen (2017) </w:t>
      </w:r>
      <w:r w:rsidR="000C2EDD">
        <w:rPr>
          <w:szCs w:val="24"/>
        </w:rPr>
        <w:t>said of q</w:t>
      </w:r>
      <w:r w:rsidRPr="00414E5B">
        <w:rPr>
          <w:szCs w:val="24"/>
        </w:rPr>
        <w:t xml:space="preserve">uantitative research methods </w:t>
      </w:r>
      <w:r w:rsidR="000C2EDD">
        <w:rPr>
          <w:szCs w:val="24"/>
        </w:rPr>
        <w:t xml:space="preserve">that they </w:t>
      </w:r>
      <w:r w:rsidRPr="00414E5B">
        <w:rPr>
          <w:szCs w:val="24"/>
        </w:rPr>
        <w:t xml:space="preserve">collect and analyse data that is structured and can be represented numerically. </w:t>
      </w:r>
      <w:r w:rsidR="000C2EDD">
        <w:rPr>
          <w:szCs w:val="24"/>
        </w:rPr>
        <w:t>The findings of q</w:t>
      </w:r>
      <w:r w:rsidRPr="00414E5B">
        <w:rPr>
          <w:szCs w:val="24"/>
        </w:rPr>
        <w:t xml:space="preserve">uantitative research can display behaviours and trends but do not provide insight as to </w:t>
      </w:r>
      <w:r w:rsidR="000C2EDD">
        <w:rPr>
          <w:szCs w:val="24"/>
        </w:rPr>
        <w:t>‘</w:t>
      </w:r>
      <w:r w:rsidRPr="00414E5B">
        <w:rPr>
          <w:szCs w:val="24"/>
        </w:rPr>
        <w:t>how</w:t>
      </w:r>
      <w:r w:rsidR="000C2EDD">
        <w:rPr>
          <w:szCs w:val="24"/>
        </w:rPr>
        <w:t>’</w:t>
      </w:r>
      <w:r w:rsidRPr="00414E5B">
        <w:rPr>
          <w:szCs w:val="24"/>
        </w:rPr>
        <w:t xml:space="preserve"> or </w:t>
      </w:r>
      <w:r w:rsidR="000C2EDD">
        <w:rPr>
          <w:szCs w:val="24"/>
        </w:rPr>
        <w:t>‘</w:t>
      </w:r>
      <w:r w:rsidRPr="00414E5B">
        <w:rPr>
          <w:szCs w:val="24"/>
        </w:rPr>
        <w:t>why</w:t>
      </w:r>
      <w:r w:rsidR="000C2EDD">
        <w:rPr>
          <w:szCs w:val="24"/>
        </w:rPr>
        <w:t>’</w:t>
      </w:r>
      <w:r w:rsidRPr="00414E5B">
        <w:rPr>
          <w:szCs w:val="24"/>
        </w:rPr>
        <w:t xml:space="preserve"> the underlying measurements change. The motivation behind the changes in the data, the causal effects cannot be known from quantitate data alone. </w:t>
      </w:r>
      <w:r w:rsidR="000C2EDD">
        <w:rPr>
          <w:szCs w:val="24"/>
        </w:rPr>
        <w:t>The characteristics of q</w:t>
      </w:r>
      <w:r w:rsidRPr="00414E5B">
        <w:rPr>
          <w:szCs w:val="24"/>
        </w:rPr>
        <w:t>uantit</w:t>
      </w:r>
      <w:r w:rsidR="00885F35">
        <w:rPr>
          <w:szCs w:val="24"/>
        </w:rPr>
        <w:t>at</w:t>
      </w:r>
      <w:r w:rsidRPr="00414E5B">
        <w:rPr>
          <w:szCs w:val="24"/>
        </w:rPr>
        <w:t>ive research</w:t>
      </w:r>
      <w:r w:rsidR="000C2EDD">
        <w:rPr>
          <w:szCs w:val="24"/>
        </w:rPr>
        <w:t>, according to these authors, is that i</w:t>
      </w:r>
      <w:r w:rsidR="00953D47">
        <w:rPr>
          <w:szCs w:val="24"/>
        </w:rPr>
        <w:t>t</w:t>
      </w:r>
      <w:r w:rsidR="000C2EDD">
        <w:rPr>
          <w:szCs w:val="24"/>
        </w:rPr>
        <w:t xml:space="preserve"> (a) </w:t>
      </w:r>
      <w:r w:rsidRPr="00414E5B">
        <w:rPr>
          <w:szCs w:val="24"/>
        </w:rPr>
        <w:t xml:space="preserve">usually </w:t>
      </w:r>
      <w:r w:rsidR="000C2EDD">
        <w:rPr>
          <w:szCs w:val="24"/>
        </w:rPr>
        <w:t>d</w:t>
      </w:r>
      <w:r w:rsidRPr="00414E5B">
        <w:rPr>
          <w:szCs w:val="24"/>
        </w:rPr>
        <w:t>eal</w:t>
      </w:r>
      <w:r w:rsidR="000C2EDD">
        <w:rPr>
          <w:szCs w:val="24"/>
        </w:rPr>
        <w:t>s</w:t>
      </w:r>
      <w:r w:rsidRPr="00414E5B">
        <w:rPr>
          <w:szCs w:val="24"/>
        </w:rPr>
        <w:t xml:space="preserve"> with numbers to assess information, </w:t>
      </w:r>
      <w:r w:rsidR="000C2EDD">
        <w:rPr>
          <w:szCs w:val="24"/>
        </w:rPr>
        <w:t xml:space="preserve">(b) </w:t>
      </w:r>
      <w:r w:rsidRPr="00414E5B">
        <w:rPr>
          <w:szCs w:val="24"/>
        </w:rPr>
        <w:t xml:space="preserve">uses data that can be measured or quantified, </w:t>
      </w:r>
      <w:r w:rsidR="000C2EDD">
        <w:rPr>
          <w:szCs w:val="24"/>
        </w:rPr>
        <w:t xml:space="preserve">(c) </w:t>
      </w:r>
      <w:r w:rsidRPr="00414E5B">
        <w:rPr>
          <w:szCs w:val="24"/>
        </w:rPr>
        <w:t>aim</w:t>
      </w:r>
      <w:r w:rsidR="000C2EDD">
        <w:rPr>
          <w:szCs w:val="24"/>
        </w:rPr>
        <w:t>s</w:t>
      </w:r>
      <w:r w:rsidRPr="00414E5B">
        <w:rPr>
          <w:szCs w:val="24"/>
        </w:rPr>
        <w:t xml:space="preserve"> to be objective, </w:t>
      </w:r>
      <w:r w:rsidR="000C2EDD">
        <w:rPr>
          <w:szCs w:val="24"/>
        </w:rPr>
        <w:t xml:space="preserve">and (d) </w:t>
      </w:r>
      <w:r w:rsidRPr="00414E5B">
        <w:rPr>
          <w:szCs w:val="24"/>
        </w:rPr>
        <w:t>employ</w:t>
      </w:r>
      <w:r w:rsidR="000C2EDD">
        <w:rPr>
          <w:szCs w:val="24"/>
        </w:rPr>
        <w:t>s</w:t>
      </w:r>
      <w:r w:rsidRPr="00414E5B">
        <w:rPr>
          <w:szCs w:val="24"/>
        </w:rPr>
        <w:t xml:space="preserve"> statistical analysis. </w:t>
      </w:r>
      <w:r w:rsidR="000C2EDD">
        <w:rPr>
          <w:szCs w:val="24"/>
        </w:rPr>
        <w:t>Quantitative research also a</w:t>
      </w:r>
      <w:r w:rsidRPr="00414E5B">
        <w:rPr>
          <w:szCs w:val="24"/>
        </w:rPr>
        <w:t>llow</w:t>
      </w:r>
      <w:r w:rsidR="000C2EDD">
        <w:rPr>
          <w:szCs w:val="24"/>
        </w:rPr>
        <w:t>s</w:t>
      </w:r>
      <w:r w:rsidRPr="00414E5B">
        <w:rPr>
          <w:szCs w:val="24"/>
        </w:rPr>
        <w:t xml:space="preserve"> results to be summarised</w:t>
      </w:r>
      <w:r w:rsidR="00695B63">
        <w:rPr>
          <w:szCs w:val="24"/>
        </w:rPr>
        <w:t>,</w:t>
      </w:r>
      <w:r w:rsidRPr="00414E5B">
        <w:rPr>
          <w:szCs w:val="24"/>
        </w:rPr>
        <w:t xml:space="preserve"> compared and generalised and </w:t>
      </w:r>
      <w:r w:rsidR="00695B63">
        <w:rPr>
          <w:szCs w:val="24"/>
        </w:rPr>
        <w:t xml:space="preserve">the results </w:t>
      </w:r>
      <w:r w:rsidRPr="00414E5B">
        <w:rPr>
          <w:szCs w:val="24"/>
        </w:rPr>
        <w:t xml:space="preserve">represent complex problems through variables. </w:t>
      </w:r>
      <w:r w:rsidR="00695B63">
        <w:rPr>
          <w:szCs w:val="24"/>
        </w:rPr>
        <w:t xml:space="preserve">The advantages to quantitative research noted by Goertzen are that </w:t>
      </w:r>
      <w:r w:rsidRPr="00414E5B">
        <w:rPr>
          <w:szCs w:val="24"/>
        </w:rPr>
        <w:t xml:space="preserve">findings can be generalised to the specific population but </w:t>
      </w:r>
      <w:r w:rsidR="00695B63">
        <w:rPr>
          <w:szCs w:val="24"/>
        </w:rPr>
        <w:t xml:space="preserve">the </w:t>
      </w:r>
      <w:r w:rsidRPr="00414E5B">
        <w:rPr>
          <w:szCs w:val="24"/>
        </w:rPr>
        <w:t xml:space="preserve">limitations </w:t>
      </w:r>
      <w:r w:rsidR="00695B63">
        <w:rPr>
          <w:szCs w:val="24"/>
        </w:rPr>
        <w:t xml:space="preserve">are that </w:t>
      </w:r>
      <w:r w:rsidRPr="00414E5B">
        <w:rPr>
          <w:szCs w:val="24"/>
        </w:rPr>
        <w:t>the underlying causal relationships to changes reflected in data remain hidden</w:t>
      </w:r>
      <w:r w:rsidR="00695B63">
        <w:rPr>
          <w:szCs w:val="24"/>
        </w:rPr>
        <w:t xml:space="preserve">. Also, </w:t>
      </w:r>
      <w:r w:rsidR="008A615F">
        <w:rPr>
          <w:szCs w:val="24"/>
        </w:rPr>
        <w:t xml:space="preserve">quantitative </w:t>
      </w:r>
      <w:r w:rsidRPr="00414E5B">
        <w:rPr>
          <w:szCs w:val="24"/>
        </w:rPr>
        <w:t xml:space="preserve">studies could be time consuming and require data collection over long periods to render trends and display temporal factors. </w:t>
      </w:r>
    </w:p>
    <w:p w14:paraId="67E69001" w14:textId="5BFE8D42" w:rsidR="00B8525C" w:rsidRPr="00414E5B" w:rsidRDefault="00B8525C" w:rsidP="00AE71A0">
      <w:pPr>
        <w:rPr>
          <w:szCs w:val="24"/>
        </w:rPr>
      </w:pPr>
      <w:r w:rsidRPr="00414E5B">
        <w:rPr>
          <w:szCs w:val="24"/>
        </w:rPr>
        <w:t xml:space="preserve">De Vos (2011) </w:t>
      </w:r>
      <w:r>
        <w:rPr>
          <w:szCs w:val="24"/>
        </w:rPr>
        <w:t>says that qu</w:t>
      </w:r>
      <w:r w:rsidRPr="00414E5B">
        <w:rPr>
          <w:szCs w:val="24"/>
        </w:rPr>
        <w:t>antitative data analysis are the techniques by which researchers convert data t</w:t>
      </w:r>
      <w:r>
        <w:rPr>
          <w:szCs w:val="24"/>
        </w:rPr>
        <w:t>o</w:t>
      </w:r>
      <w:r w:rsidRPr="00414E5B">
        <w:rPr>
          <w:szCs w:val="24"/>
        </w:rPr>
        <w:t xml:space="preserve"> numerical form and subject it to statistical analysis. This analysis allows the researcher to present from the data </w:t>
      </w:r>
      <w:r>
        <w:rPr>
          <w:szCs w:val="24"/>
        </w:rPr>
        <w:t xml:space="preserve">a </w:t>
      </w:r>
      <w:r w:rsidRPr="00414E5B">
        <w:rPr>
          <w:szCs w:val="24"/>
        </w:rPr>
        <w:t>meaningful picture of pattern</w:t>
      </w:r>
      <w:r>
        <w:rPr>
          <w:szCs w:val="24"/>
        </w:rPr>
        <w:t>s</w:t>
      </w:r>
      <w:r w:rsidRPr="00414E5B">
        <w:rPr>
          <w:szCs w:val="24"/>
        </w:rPr>
        <w:t xml:space="preserve"> and relationships. Quantitative methods of analysis fall i</w:t>
      </w:r>
      <w:r>
        <w:rPr>
          <w:szCs w:val="24"/>
        </w:rPr>
        <w:t>n</w:t>
      </w:r>
      <w:r w:rsidRPr="00414E5B">
        <w:rPr>
          <w:szCs w:val="24"/>
        </w:rPr>
        <w:t xml:space="preserve">to four main categories, being </w:t>
      </w:r>
      <w:r>
        <w:rPr>
          <w:szCs w:val="24"/>
        </w:rPr>
        <w:t xml:space="preserve">(a) </w:t>
      </w:r>
      <w:r w:rsidRPr="00414E5B">
        <w:rPr>
          <w:szCs w:val="24"/>
        </w:rPr>
        <w:t xml:space="preserve">descriptive, </w:t>
      </w:r>
      <w:r>
        <w:rPr>
          <w:szCs w:val="24"/>
        </w:rPr>
        <w:t xml:space="preserve">(b) </w:t>
      </w:r>
      <w:r w:rsidRPr="00414E5B">
        <w:rPr>
          <w:szCs w:val="24"/>
        </w:rPr>
        <w:t xml:space="preserve">association, </w:t>
      </w:r>
      <w:r>
        <w:rPr>
          <w:szCs w:val="24"/>
        </w:rPr>
        <w:t xml:space="preserve">(c) </w:t>
      </w:r>
      <w:r w:rsidRPr="00414E5B">
        <w:rPr>
          <w:szCs w:val="24"/>
        </w:rPr>
        <w:t xml:space="preserve">causation and </w:t>
      </w:r>
      <w:r>
        <w:rPr>
          <w:szCs w:val="24"/>
        </w:rPr>
        <w:t xml:space="preserve">(d) </w:t>
      </w:r>
      <w:r w:rsidRPr="00414E5B">
        <w:rPr>
          <w:szCs w:val="24"/>
        </w:rPr>
        <w:t>inference. A</w:t>
      </w:r>
      <w:r>
        <w:rPr>
          <w:szCs w:val="24"/>
        </w:rPr>
        <w:t>s</w:t>
      </w:r>
      <w:r w:rsidRPr="00414E5B">
        <w:rPr>
          <w:szCs w:val="24"/>
        </w:rPr>
        <w:t xml:space="preserve"> the last th</w:t>
      </w:r>
      <w:r>
        <w:rPr>
          <w:szCs w:val="24"/>
        </w:rPr>
        <w:t>re</w:t>
      </w:r>
      <w:r w:rsidRPr="00414E5B">
        <w:rPr>
          <w:szCs w:val="24"/>
        </w:rPr>
        <w:t xml:space="preserve">e categories usually concern themselves with multivariate analysis, </w:t>
      </w:r>
      <w:r>
        <w:rPr>
          <w:szCs w:val="24"/>
        </w:rPr>
        <w:t xml:space="preserve">the </w:t>
      </w:r>
      <w:r w:rsidRPr="00414E5B">
        <w:rPr>
          <w:szCs w:val="24"/>
        </w:rPr>
        <w:t xml:space="preserve">descriptive </w:t>
      </w:r>
      <w:r>
        <w:rPr>
          <w:szCs w:val="24"/>
        </w:rPr>
        <w:t xml:space="preserve">analysis technique will be </w:t>
      </w:r>
      <w:r w:rsidRPr="00414E5B">
        <w:rPr>
          <w:szCs w:val="24"/>
        </w:rPr>
        <w:t>used in th</w:t>
      </w:r>
      <w:r>
        <w:rPr>
          <w:szCs w:val="24"/>
        </w:rPr>
        <w:t>is</w:t>
      </w:r>
      <w:r w:rsidRPr="00414E5B">
        <w:rPr>
          <w:szCs w:val="24"/>
        </w:rPr>
        <w:t xml:space="preserve"> research report. Aims of the descriptive techniques relate to univariate data and focus on only one variable. These focus on describing the patterns in the data according to one or more of frequency, central tendency </w:t>
      </w:r>
      <w:r w:rsidR="00401AD7">
        <w:rPr>
          <w:szCs w:val="24"/>
        </w:rPr>
        <w:t>or</w:t>
      </w:r>
      <w:r w:rsidRPr="00414E5B">
        <w:rPr>
          <w:szCs w:val="24"/>
        </w:rPr>
        <w:t xml:space="preserve"> dispersion. </w:t>
      </w:r>
    </w:p>
    <w:p w14:paraId="77440144" w14:textId="3423110A" w:rsidR="00414E5B" w:rsidRPr="00414E5B" w:rsidRDefault="00414E5B" w:rsidP="00AE71A0">
      <w:pPr>
        <w:rPr>
          <w:szCs w:val="24"/>
        </w:rPr>
      </w:pPr>
      <w:r w:rsidRPr="00414E5B">
        <w:rPr>
          <w:szCs w:val="24"/>
        </w:rPr>
        <w:t xml:space="preserve">Saunders &amp; Thornhill (2012) say </w:t>
      </w:r>
      <w:r w:rsidR="00B8525C">
        <w:rPr>
          <w:szCs w:val="24"/>
        </w:rPr>
        <w:t xml:space="preserve">that using </w:t>
      </w:r>
      <w:r w:rsidRPr="00414E5B">
        <w:rPr>
          <w:szCs w:val="24"/>
        </w:rPr>
        <w:t xml:space="preserve">secondary data </w:t>
      </w:r>
      <w:r w:rsidR="00B8525C">
        <w:rPr>
          <w:szCs w:val="24"/>
        </w:rPr>
        <w:t xml:space="preserve">in research </w:t>
      </w:r>
      <w:r w:rsidRPr="00414E5B">
        <w:rPr>
          <w:szCs w:val="24"/>
        </w:rPr>
        <w:t xml:space="preserve">involves undertaking analysis of data that </w:t>
      </w:r>
      <w:r w:rsidR="00B8525C">
        <w:rPr>
          <w:szCs w:val="24"/>
        </w:rPr>
        <w:t xml:space="preserve">already exists and was </w:t>
      </w:r>
      <w:r w:rsidRPr="00414E5B">
        <w:rPr>
          <w:szCs w:val="24"/>
        </w:rPr>
        <w:t xml:space="preserve">collected for another purpose. Secondary data may include both raw data or published summaries of data. </w:t>
      </w:r>
      <w:r w:rsidR="00B8525C">
        <w:rPr>
          <w:szCs w:val="24"/>
        </w:rPr>
        <w:t>They l</w:t>
      </w:r>
      <w:r w:rsidRPr="00414E5B">
        <w:rPr>
          <w:szCs w:val="24"/>
        </w:rPr>
        <w:t xml:space="preserve">ist the advantages of secondary data </w:t>
      </w:r>
      <w:r w:rsidR="00B8525C">
        <w:rPr>
          <w:szCs w:val="24"/>
        </w:rPr>
        <w:t xml:space="preserve">primarily </w:t>
      </w:r>
      <w:r w:rsidRPr="00414E5B">
        <w:rPr>
          <w:szCs w:val="24"/>
        </w:rPr>
        <w:t xml:space="preserve">as having fewer resource requirements as the data is already collected. </w:t>
      </w:r>
      <w:r w:rsidR="00B8525C">
        <w:rPr>
          <w:szCs w:val="24"/>
        </w:rPr>
        <w:t xml:space="preserve">Using secondary data also </w:t>
      </w:r>
      <w:r w:rsidRPr="00414E5B">
        <w:rPr>
          <w:szCs w:val="24"/>
        </w:rPr>
        <w:t xml:space="preserve">allows access to potentially larger data sets. Using secondary data </w:t>
      </w:r>
      <w:r w:rsidR="00B8525C">
        <w:rPr>
          <w:szCs w:val="24"/>
        </w:rPr>
        <w:t xml:space="preserve">in research </w:t>
      </w:r>
      <w:r w:rsidRPr="00414E5B">
        <w:rPr>
          <w:szCs w:val="24"/>
        </w:rPr>
        <w:t xml:space="preserve">is unobtrusive and </w:t>
      </w:r>
      <w:r w:rsidR="00B8525C">
        <w:rPr>
          <w:szCs w:val="24"/>
        </w:rPr>
        <w:t xml:space="preserve">the researcher </w:t>
      </w:r>
      <w:r w:rsidR="0008744D" w:rsidRPr="00414E5B">
        <w:rPr>
          <w:szCs w:val="24"/>
        </w:rPr>
        <w:t>can</w:t>
      </w:r>
      <w:r w:rsidRPr="00414E5B">
        <w:rPr>
          <w:szCs w:val="24"/>
        </w:rPr>
        <w:t xml:space="preserve"> almost “eavesdrop” and so obtain unadulterated results. </w:t>
      </w:r>
      <w:r w:rsidR="00B8525C">
        <w:rPr>
          <w:szCs w:val="24"/>
        </w:rPr>
        <w:t>S</w:t>
      </w:r>
      <w:r w:rsidRPr="00414E5B">
        <w:rPr>
          <w:szCs w:val="24"/>
        </w:rPr>
        <w:t xml:space="preserve">econdary data can also provide comparative and contextual </w:t>
      </w:r>
      <w:r w:rsidRPr="00414E5B">
        <w:rPr>
          <w:szCs w:val="24"/>
        </w:rPr>
        <w:lastRenderedPageBreak/>
        <w:t xml:space="preserve">analyses and can result in unforeseen discoveries. Secondary data has a permanence as it is usually collected as part of larger programmes and this </w:t>
      </w:r>
      <w:r w:rsidR="00B8525C">
        <w:rPr>
          <w:szCs w:val="24"/>
        </w:rPr>
        <w:t xml:space="preserve">data record </w:t>
      </w:r>
      <w:r w:rsidRPr="00414E5B">
        <w:rPr>
          <w:szCs w:val="24"/>
        </w:rPr>
        <w:t xml:space="preserve">stands for future comparison. </w:t>
      </w:r>
      <w:r w:rsidR="00B8525C">
        <w:rPr>
          <w:szCs w:val="24"/>
        </w:rPr>
        <w:t>The authors advise that the d</w:t>
      </w:r>
      <w:r w:rsidRPr="00414E5B">
        <w:rPr>
          <w:szCs w:val="24"/>
        </w:rPr>
        <w:t xml:space="preserve">isadvantage </w:t>
      </w:r>
      <w:r w:rsidR="00B8525C">
        <w:rPr>
          <w:szCs w:val="24"/>
        </w:rPr>
        <w:t xml:space="preserve">is </w:t>
      </w:r>
      <w:r w:rsidRPr="00414E5B">
        <w:rPr>
          <w:szCs w:val="24"/>
        </w:rPr>
        <w:t xml:space="preserve">that </w:t>
      </w:r>
      <w:r w:rsidR="00B8525C">
        <w:rPr>
          <w:szCs w:val="24"/>
        </w:rPr>
        <w:t xml:space="preserve">secondary </w:t>
      </w:r>
      <w:r w:rsidRPr="00414E5B">
        <w:rPr>
          <w:szCs w:val="24"/>
        </w:rPr>
        <w:t>data may not be collected for</w:t>
      </w:r>
      <w:r w:rsidR="00B8525C">
        <w:rPr>
          <w:szCs w:val="24"/>
        </w:rPr>
        <w:t xml:space="preserve"> the </w:t>
      </w:r>
      <w:r w:rsidRPr="00414E5B">
        <w:rPr>
          <w:szCs w:val="24"/>
        </w:rPr>
        <w:t xml:space="preserve">intended current use, so may only be partially usable or not relevant at all. Access </w:t>
      </w:r>
      <w:r w:rsidR="00B8525C">
        <w:rPr>
          <w:szCs w:val="24"/>
        </w:rPr>
        <w:t xml:space="preserve">to secondary data </w:t>
      </w:r>
      <w:r w:rsidRPr="00414E5B">
        <w:rPr>
          <w:szCs w:val="24"/>
        </w:rPr>
        <w:t>may be difficult or costly</w:t>
      </w:r>
      <w:r w:rsidR="00B8525C">
        <w:rPr>
          <w:szCs w:val="24"/>
        </w:rPr>
        <w:t xml:space="preserve"> and one </w:t>
      </w:r>
      <w:r w:rsidRPr="00414E5B">
        <w:rPr>
          <w:szCs w:val="24"/>
        </w:rPr>
        <w:t xml:space="preserve">has no real control </w:t>
      </w:r>
      <w:r w:rsidR="00B8525C">
        <w:rPr>
          <w:szCs w:val="24"/>
        </w:rPr>
        <w:t xml:space="preserve">over </w:t>
      </w:r>
      <w:r w:rsidRPr="00414E5B">
        <w:rPr>
          <w:szCs w:val="24"/>
        </w:rPr>
        <w:t xml:space="preserve">the quality of secondary data </w:t>
      </w:r>
      <w:r w:rsidR="00B8525C">
        <w:rPr>
          <w:szCs w:val="24"/>
        </w:rPr>
        <w:t xml:space="preserve">as it was </w:t>
      </w:r>
      <w:r w:rsidRPr="00414E5B">
        <w:rPr>
          <w:szCs w:val="24"/>
        </w:rPr>
        <w:t xml:space="preserve">not collected yourself. </w:t>
      </w:r>
      <w:r w:rsidR="00B8525C">
        <w:rPr>
          <w:szCs w:val="24"/>
        </w:rPr>
        <w:t xml:space="preserve">Additionally, the researcher </w:t>
      </w:r>
      <w:r w:rsidRPr="00414E5B">
        <w:rPr>
          <w:szCs w:val="24"/>
        </w:rPr>
        <w:t xml:space="preserve">has no control over the aggregation processes used and inaccuracies </w:t>
      </w:r>
      <w:r w:rsidR="00B8525C">
        <w:rPr>
          <w:szCs w:val="24"/>
        </w:rPr>
        <w:t xml:space="preserve">in data processing </w:t>
      </w:r>
      <w:r w:rsidRPr="00414E5B">
        <w:rPr>
          <w:szCs w:val="24"/>
        </w:rPr>
        <w:t xml:space="preserve">may affect your research outcomes. </w:t>
      </w:r>
    </w:p>
    <w:p w14:paraId="684852B6" w14:textId="6CA80EF1" w:rsidR="00414E5B" w:rsidRDefault="00414E5B" w:rsidP="00AE71A0">
      <w:pPr>
        <w:rPr>
          <w:szCs w:val="24"/>
        </w:rPr>
      </w:pPr>
      <w:r w:rsidRPr="00414E5B">
        <w:rPr>
          <w:szCs w:val="24"/>
        </w:rPr>
        <w:t xml:space="preserve">Welman </w:t>
      </w:r>
      <w:r w:rsidR="00953D47" w:rsidRPr="00953D47">
        <w:rPr>
          <w:i/>
          <w:szCs w:val="24"/>
        </w:rPr>
        <w:t>et al.</w:t>
      </w:r>
      <w:r w:rsidRPr="00414E5B">
        <w:rPr>
          <w:szCs w:val="24"/>
        </w:rPr>
        <w:t xml:space="preserve"> (2005) define</w:t>
      </w:r>
      <w:r w:rsidR="00401AD7">
        <w:rPr>
          <w:szCs w:val="24"/>
        </w:rPr>
        <w:t>d</w:t>
      </w:r>
      <w:r w:rsidRPr="00414E5B">
        <w:rPr>
          <w:szCs w:val="24"/>
        </w:rPr>
        <w:t xml:space="preserve"> several types of non-probability sampling used in quantitative research. The data obtained for this research report does not fit clearly into any one of the categories defined by these authors. </w:t>
      </w:r>
      <w:r w:rsidR="00401AD7">
        <w:rPr>
          <w:szCs w:val="24"/>
        </w:rPr>
        <w:t>Firstly, i</w:t>
      </w:r>
      <w:r w:rsidRPr="00414E5B">
        <w:rPr>
          <w:szCs w:val="24"/>
        </w:rPr>
        <w:t>t is not purely accidental or incidental sampling</w:t>
      </w:r>
      <w:r w:rsidR="00401AD7">
        <w:rPr>
          <w:szCs w:val="24"/>
        </w:rPr>
        <w:t>.</w:t>
      </w:r>
      <w:r w:rsidRPr="00414E5B">
        <w:rPr>
          <w:szCs w:val="24"/>
        </w:rPr>
        <w:t xml:space="preserve"> Although the audience or sample population could be seen as captive, there is a degree of self-selection in the typical profile of the population of bidders who submit tenders. </w:t>
      </w:r>
      <w:r w:rsidR="00401AD7">
        <w:rPr>
          <w:szCs w:val="24"/>
        </w:rPr>
        <w:t xml:space="preserve">In the second place, the sampling supporting the research presented here is </w:t>
      </w:r>
      <w:r w:rsidRPr="00414E5B">
        <w:rPr>
          <w:szCs w:val="24"/>
        </w:rPr>
        <w:t xml:space="preserve">not self-selection sampling, however, as bidders did not know beforehand that their data would be used in this report. The data was collected for another purpose and after the fact of the tender submission and evaluation. </w:t>
      </w:r>
      <w:r w:rsidR="00401AD7">
        <w:rPr>
          <w:szCs w:val="24"/>
        </w:rPr>
        <w:t xml:space="preserve">Thirdly, the sampling method does not fit the strict definition of </w:t>
      </w:r>
      <w:r w:rsidRPr="00414E5B">
        <w:rPr>
          <w:szCs w:val="24"/>
        </w:rPr>
        <w:t xml:space="preserve">quota sampling as no pre-selection of respondents according to a given classification was done. </w:t>
      </w:r>
      <w:r w:rsidR="00401AD7">
        <w:rPr>
          <w:szCs w:val="24"/>
        </w:rPr>
        <w:t xml:space="preserve">The sampling method employed </w:t>
      </w:r>
      <w:r w:rsidRPr="00414E5B">
        <w:rPr>
          <w:szCs w:val="24"/>
        </w:rPr>
        <w:t xml:space="preserve">is probably most closely aligned to purposive sampling, in which the researcher deliberately decided which samples to include. In this case, the exclusion of certain years was not purposive, but the exclusion of years in which sample sizes were too small, does represent a degree of prior selection on the part of the researcher. </w:t>
      </w:r>
      <w:r w:rsidR="00401AD7">
        <w:rPr>
          <w:szCs w:val="24"/>
        </w:rPr>
        <w:t>Some e</w:t>
      </w:r>
      <w:r w:rsidRPr="00414E5B">
        <w:rPr>
          <w:szCs w:val="24"/>
        </w:rPr>
        <w:t>lement</w:t>
      </w:r>
      <w:r w:rsidR="00401AD7">
        <w:rPr>
          <w:szCs w:val="24"/>
        </w:rPr>
        <w:t>s</w:t>
      </w:r>
      <w:r w:rsidRPr="00414E5B">
        <w:rPr>
          <w:szCs w:val="24"/>
        </w:rPr>
        <w:t xml:space="preserve"> of convenience sampling are relevant in the data selected, as the data was readily at hand within the researcher’s organisation. </w:t>
      </w:r>
      <w:r w:rsidR="00401AD7">
        <w:rPr>
          <w:szCs w:val="24"/>
        </w:rPr>
        <w:t>B</w:t>
      </w:r>
      <w:r w:rsidRPr="00414E5B">
        <w:rPr>
          <w:szCs w:val="24"/>
        </w:rPr>
        <w:t xml:space="preserve">ecause there is no planned intervention based on the data obtained, the research design </w:t>
      </w:r>
      <w:r w:rsidR="00401AD7">
        <w:rPr>
          <w:szCs w:val="24"/>
        </w:rPr>
        <w:t>also</w:t>
      </w:r>
      <w:r w:rsidRPr="00414E5B">
        <w:rPr>
          <w:szCs w:val="24"/>
        </w:rPr>
        <w:t xml:space="preserve"> closely simulate</w:t>
      </w:r>
      <w:r w:rsidR="00401AD7">
        <w:rPr>
          <w:szCs w:val="24"/>
        </w:rPr>
        <w:t>s</w:t>
      </w:r>
      <w:r w:rsidRPr="00414E5B">
        <w:rPr>
          <w:szCs w:val="24"/>
        </w:rPr>
        <w:t xml:space="preserve"> the real-life conditions</w:t>
      </w:r>
      <w:r w:rsidR="00401AD7">
        <w:rPr>
          <w:szCs w:val="24"/>
        </w:rPr>
        <w:t xml:space="preserve"> and could therefore be considered a form of field data survey. </w:t>
      </w:r>
      <w:r w:rsidRPr="00414E5B">
        <w:rPr>
          <w:szCs w:val="24"/>
        </w:rPr>
        <w:t xml:space="preserve">  </w:t>
      </w:r>
    </w:p>
    <w:p w14:paraId="07A4A704" w14:textId="7EBA01ED" w:rsidR="00A320E8" w:rsidRDefault="00A320E8" w:rsidP="00063C48">
      <w:pPr>
        <w:pStyle w:val="Heading2"/>
      </w:pPr>
      <w:bookmarkStart w:id="80" w:name="_Toc519445715"/>
      <w:r w:rsidRPr="002328EF">
        <w:t>Methodology applied in this research report</w:t>
      </w:r>
      <w:bookmarkEnd w:id="80"/>
    </w:p>
    <w:p w14:paraId="72F69B40" w14:textId="7BE87377" w:rsidR="00520513" w:rsidRPr="00203170" w:rsidRDefault="009E49F8" w:rsidP="00AE71A0">
      <w:pPr>
        <w:rPr>
          <w:szCs w:val="24"/>
        </w:rPr>
      </w:pPr>
      <w:r w:rsidRPr="00203170">
        <w:rPr>
          <w:szCs w:val="24"/>
        </w:rPr>
        <w:t xml:space="preserve">This </w:t>
      </w:r>
      <w:r w:rsidR="00414E5B">
        <w:rPr>
          <w:szCs w:val="24"/>
        </w:rPr>
        <w:t xml:space="preserve">research report </w:t>
      </w:r>
      <w:r w:rsidR="00520513" w:rsidRPr="00203170">
        <w:rPr>
          <w:szCs w:val="24"/>
        </w:rPr>
        <w:t xml:space="preserve">aims to </w:t>
      </w:r>
      <w:r w:rsidR="00C3551F" w:rsidRPr="00203170">
        <w:rPr>
          <w:szCs w:val="24"/>
        </w:rPr>
        <w:t xml:space="preserve">provide an insight into the </w:t>
      </w:r>
      <w:r w:rsidR="006B03C8" w:rsidRPr="00203170">
        <w:rPr>
          <w:szCs w:val="24"/>
        </w:rPr>
        <w:t xml:space="preserve">accuracy or </w:t>
      </w:r>
      <w:r w:rsidR="00C3551F" w:rsidRPr="00203170">
        <w:rPr>
          <w:szCs w:val="24"/>
        </w:rPr>
        <w:t>usefulness of the original DM</w:t>
      </w:r>
      <w:r w:rsidR="00A67147">
        <w:rPr>
          <w:szCs w:val="24"/>
        </w:rPr>
        <w:t>E</w:t>
      </w:r>
      <w:r w:rsidR="00C3551F" w:rsidRPr="00203170">
        <w:rPr>
          <w:szCs w:val="24"/>
        </w:rPr>
        <w:t xml:space="preserve"> guideline</w:t>
      </w:r>
      <w:r w:rsidR="006B03C8" w:rsidRPr="00203170">
        <w:rPr>
          <w:szCs w:val="24"/>
        </w:rPr>
        <w:t xml:space="preserve"> </w:t>
      </w:r>
      <w:r w:rsidR="00C3551F" w:rsidRPr="00203170">
        <w:rPr>
          <w:szCs w:val="24"/>
        </w:rPr>
        <w:t>by analysing the</w:t>
      </w:r>
      <w:r w:rsidR="006B03C8" w:rsidRPr="00203170">
        <w:rPr>
          <w:szCs w:val="24"/>
        </w:rPr>
        <w:t xml:space="preserve"> difference </w:t>
      </w:r>
      <w:r w:rsidR="00C3551F" w:rsidRPr="00203170">
        <w:rPr>
          <w:szCs w:val="24"/>
        </w:rPr>
        <w:t>between the rates for mine closure indicated by</w:t>
      </w:r>
      <w:r w:rsidR="00410B99" w:rsidRPr="00203170">
        <w:rPr>
          <w:szCs w:val="24"/>
        </w:rPr>
        <w:t xml:space="preserve"> </w:t>
      </w:r>
      <w:r w:rsidR="00C3551F" w:rsidRPr="00203170">
        <w:rPr>
          <w:szCs w:val="24"/>
        </w:rPr>
        <w:t>t</w:t>
      </w:r>
      <w:r w:rsidR="00410B99" w:rsidRPr="00203170">
        <w:rPr>
          <w:szCs w:val="24"/>
        </w:rPr>
        <w:t>he</w:t>
      </w:r>
      <w:r w:rsidR="00C3551F" w:rsidRPr="00203170">
        <w:rPr>
          <w:szCs w:val="24"/>
        </w:rPr>
        <w:t xml:space="preserve"> guideline in comparison with the actual costs of mine </w:t>
      </w:r>
      <w:r w:rsidR="00410B99" w:rsidRPr="00203170">
        <w:rPr>
          <w:szCs w:val="24"/>
        </w:rPr>
        <w:t>rehabilitation</w:t>
      </w:r>
      <w:r w:rsidR="00C3551F" w:rsidRPr="00203170">
        <w:rPr>
          <w:szCs w:val="24"/>
        </w:rPr>
        <w:t xml:space="preserve"> projects funded by </w:t>
      </w:r>
      <w:r w:rsidR="00C3551F" w:rsidRPr="00203170">
        <w:rPr>
          <w:szCs w:val="24"/>
        </w:rPr>
        <w:lastRenderedPageBreak/>
        <w:t xml:space="preserve">the State. In this </w:t>
      </w:r>
      <w:r w:rsidR="0008744D" w:rsidRPr="00203170">
        <w:rPr>
          <w:szCs w:val="24"/>
        </w:rPr>
        <w:t>instance</w:t>
      </w:r>
      <w:r w:rsidR="00C3551F" w:rsidRPr="00203170">
        <w:rPr>
          <w:szCs w:val="24"/>
        </w:rPr>
        <w:t xml:space="preserve">, the source of the data for </w:t>
      </w:r>
      <w:r w:rsidR="006B03C8" w:rsidRPr="00203170">
        <w:rPr>
          <w:szCs w:val="24"/>
        </w:rPr>
        <w:t>S</w:t>
      </w:r>
      <w:r w:rsidR="00C3551F" w:rsidRPr="00203170">
        <w:rPr>
          <w:szCs w:val="24"/>
        </w:rPr>
        <w:t xml:space="preserve">tate-funded </w:t>
      </w:r>
      <w:r w:rsidR="00410B99" w:rsidRPr="00203170">
        <w:rPr>
          <w:szCs w:val="24"/>
        </w:rPr>
        <w:t>rehabilitation</w:t>
      </w:r>
      <w:r w:rsidR="00C3551F" w:rsidRPr="00203170">
        <w:rPr>
          <w:szCs w:val="24"/>
        </w:rPr>
        <w:t xml:space="preserve"> projects is the </w:t>
      </w:r>
      <w:r w:rsidRPr="00203170">
        <w:rPr>
          <w:szCs w:val="24"/>
        </w:rPr>
        <w:t xml:space="preserve">actual cost data for surface mine rehabilitation projects in </w:t>
      </w:r>
      <w:r w:rsidR="00C3551F" w:rsidRPr="00203170">
        <w:rPr>
          <w:szCs w:val="24"/>
        </w:rPr>
        <w:t>South Africa</w:t>
      </w:r>
      <w:r w:rsidR="00520513" w:rsidRPr="00203170">
        <w:rPr>
          <w:szCs w:val="24"/>
        </w:rPr>
        <w:t xml:space="preserve">. </w:t>
      </w:r>
      <w:r w:rsidR="00410B99" w:rsidRPr="00203170">
        <w:rPr>
          <w:szCs w:val="24"/>
        </w:rPr>
        <w:t>These projects</w:t>
      </w:r>
      <w:r w:rsidR="00C3551F" w:rsidRPr="00203170">
        <w:rPr>
          <w:szCs w:val="24"/>
        </w:rPr>
        <w:t xml:space="preserve"> are </w:t>
      </w:r>
      <w:r w:rsidR="006B03C8" w:rsidRPr="00203170">
        <w:rPr>
          <w:szCs w:val="24"/>
        </w:rPr>
        <w:t xml:space="preserve">all </w:t>
      </w:r>
      <w:r w:rsidR="00C3551F" w:rsidRPr="00203170">
        <w:rPr>
          <w:szCs w:val="24"/>
        </w:rPr>
        <w:t xml:space="preserve">asbestos mine </w:t>
      </w:r>
      <w:r w:rsidR="00410B99" w:rsidRPr="00203170">
        <w:rPr>
          <w:szCs w:val="24"/>
        </w:rPr>
        <w:t>rehabilitation</w:t>
      </w:r>
      <w:r w:rsidR="00C3551F" w:rsidRPr="00203170">
        <w:rPr>
          <w:szCs w:val="24"/>
        </w:rPr>
        <w:t xml:space="preserve"> works conducted by Mintek, a State-owned </w:t>
      </w:r>
      <w:r w:rsidR="00410B99" w:rsidRPr="00203170">
        <w:rPr>
          <w:szCs w:val="24"/>
        </w:rPr>
        <w:t>enterprise</w:t>
      </w:r>
      <w:r w:rsidR="00C3551F" w:rsidRPr="00203170">
        <w:rPr>
          <w:szCs w:val="24"/>
        </w:rPr>
        <w:t>, wh</w:t>
      </w:r>
      <w:r w:rsidR="006B03C8" w:rsidRPr="00203170">
        <w:rPr>
          <w:szCs w:val="24"/>
        </w:rPr>
        <w:t>ich</w:t>
      </w:r>
      <w:r w:rsidR="00C3551F" w:rsidRPr="00203170">
        <w:rPr>
          <w:szCs w:val="24"/>
        </w:rPr>
        <w:t xml:space="preserve"> has bee</w:t>
      </w:r>
      <w:r w:rsidR="00202357" w:rsidRPr="00203170">
        <w:rPr>
          <w:szCs w:val="24"/>
        </w:rPr>
        <w:t>n</w:t>
      </w:r>
      <w:r w:rsidR="00C3551F" w:rsidRPr="00203170">
        <w:rPr>
          <w:szCs w:val="24"/>
        </w:rPr>
        <w:t xml:space="preserve"> doing this work as an implementing agen</w:t>
      </w:r>
      <w:r w:rsidR="006B03C8" w:rsidRPr="00203170">
        <w:rPr>
          <w:szCs w:val="24"/>
        </w:rPr>
        <w:t>t</w:t>
      </w:r>
      <w:r w:rsidR="00C3551F" w:rsidRPr="00203170">
        <w:rPr>
          <w:szCs w:val="24"/>
        </w:rPr>
        <w:t xml:space="preserve"> for the DM</w:t>
      </w:r>
      <w:r w:rsidR="00A67147">
        <w:rPr>
          <w:szCs w:val="24"/>
        </w:rPr>
        <w:t>E</w:t>
      </w:r>
      <w:r w:rsidR="00C3551F" w:rsidRPr="00203170">
        <w:rPr>
          <w:szCs w:val="24"/>
        </w:rPr>
        <w:t xml:space="preserve"> since 2009. It follows that </w:t>
      </w:r>
      <w:r w:rsidR="006B03C8" w:rsidRPr="00203170">
        <w:rPr>
          <w:szCs w:val="24"/>
        </w:rPr>
        <w:t xml:space="preserve">the real cost </w:t>
      </w:r>
      <w:r w:rsidR="00C3551F" w:rsidRPr="00203170">
        <w:rPr>
          <w:szCs w:val="24"/>
        </w:rPr>
        <w:t>data is only ava</w:t>
      </w:r>
      <w:r w:rsidR="00202357" w:rsidRPr="00203170">
        <w:rPr>
          <w:szCs w:val="24"/>
        </w:rPr>
        <w:t>ilable</w:t>
      </w:r>
      <w:r w:rsidR="00C3551F" w:rsidRPr="00203170">
        <w:rPr>
          <w:szCs w:val="24"/>
        </w:rPr>
        <w:t xml:space="preserve"> </w:t>
      </w:r>
      <w:r w:rsidR="00202357" w:rsidRPr="00203170">
        <w:rPr>
          <w:szCs w:val="24"/>
        </w:rPr>
        <w:t>from</w:t>
      </w:r>
      <w:r w:rsidR="00C3551F" w:rsidRPr="00203170">
        <w:rPr>
          <w:szCs w:val="24"/>
        </w:rPr>
        <w:t xml:space="preserve"> 2009 as that is the year that</w:t>
      </w:r>
      <w:r w:rsidR="00202357" w:rsidRPr="00203170">
        <w:rPr>
          <w:szCs w:val="24"/>
        </w:rPr>
        <w:t xml:space="preserve"> </w:t>
      </w:r>
      <w:r w:rsidR="00C3551F" w:rsidRPr="00203170">
        <w:rPr>
          <w:szCs w:val="24"/>
        </w:rPr>
        <w:t>t</w:t>
      </w:r>
      <w:r w:rsidR="00202357" w:rsidRPr="00203170">
        <w:rPr>
          <w:szCs w:val="24"/>
        </w:rPr>
        <w:t>h</w:t>
      </w:r>
      <w:r w:rsidR="00C3551F" w:rsidRPr="00203170">
        <w:rPr>
          <w:szCs w:val="24"/>
        </w:rPr>
        <w:t>e</w:t>
      </w:r>
      <w:r w:rsidR="00202357" w:rsidRPr="00203170">
        <w:rPr>
          <w:szCs w:val="24"/>
        </w:rPr>
        <w:t xml:space="preserve"> </w:t>
      </w:r>
      <w:r w:rsidR="00C3551F" w:rsidRPr="00203170">
        <w:rPr>
          <w:szCs w:val="24"/>
        </w:rPr>
        <w:t xml:space="preserve">first </w:t>
      </w:r>
      <w:r w:rsidR="006B03C8" w:rsidRPr="00203170">
        <w:rPr>
          <w:szCs w:val="24"/>
        </w:rPr>
        <w:t>S</w:t>
      </w:r>
      <w:r w:rsidR="00C3551F" w:rsidRPr="00203170">
        <w:rPr>
          <w:szCs w:val="24"/>
        </w:rPr>
        <w:t>tate rehabil</w:t>
      </w:r>
      <w:r w:rsidR="00202357" w:rsidRPr="00203170">
        <w:rPr>
          <w:szCs w:val="24"/>
        </w:rPr>
        <w:t>i</w:t>
      </w:r>
      <w:r w:rsidR="00C3551F" w:rsidRPr="00203170">
        <w:rPr>
          <w:szCs w:val="24"/>
        </w:rPr>
        <w:t>t</w:t>
      </w:r>
      <w:r w:rsidR="00202357" w:rsidRPr="00203170">
        <w:rPr>
          <w:szCs w:val="24"/>
        </w:rPr>
        <w:t>ation</w:t>
      </w:r>
      <w:r w:rsidR="00C3551F" w:rsidRPr="00203170">
        <w:rPr>
          <w:szCs w:val="24"/>
        </w:rPr>
        <w:t xml:space="preserve"> project was conduct</w:t>
      </w:r>
      <w:r w:rsidR="00202357" w:rsidRPr="00203170">
        <w:rPr>
          <w:szCs w:val="24"/>
        </w:rPr>
        <w:t>e</w:t>
      </w:r>
      <w:r w:rsidR="00C3551F" w:rsidRPr="00203170">
        <w:rPr>
          <w:szCs w:val="24"/>
        </w:rPr>
        <w:t xml:space="preserve">d by Mintek. The data set ends in 2016, the last year that the tender data was recorded. </w:t>
      </w:r>
      <w:r w:rsidRPr="00203170">
        <w:rPr>
          <w:szCs w:val="24"/>
        </w:rPr>
        <w:t xml:space="preserve">This </w:t>
      </w:r>
      <w:r w:rsidR="00C3551F" w:rsidRPr="00203170">
        <w:rPr>
          <w:szCs w:val="24"/>
        </w:rPr>
        <w:t xml:space="preserve">comparison uses </w:t>
      </w:r>
      <w:r w:rsidR="00520513" w:rsidRPr="00203170">
        <w:rPr>
          <w:szCs w:val="24"/>
        </w:rPr>
        <w:t>several of the master rates in the DM</w:t>
      </w:r>
      <w:r w:rsidR="00A67147">
        <w:rPr>
          <w:szCs w:val="24"/>
        </w:rPr>
        <w:t>E</w:t>
      </w:r>
      <w:r w:rsidR="00520513" w:rsidRPr="00203170">
        <w:rPr>
          <w:szCs w:val="24"/>
        </w:rPr>
        <w:t xml:space="preserve"> guideline and </w:t>
      </w:r>
      <w:r w:rsidR="00C3551F" w:rsidRPr="00203170">
        <w:rPr>
          <w:szCs w:val="24"/>
        </w:rPr>
        <w:t>compar</w:t>
      </w:r>
      <w:r w:rsidR="006B03C8" w:rsidRPr="00203170">
        <w:rPr>
          <w:szCs w:val="24"/>
        </w:rPr>
        <w:t xml:space="preserve">es </w:t>
      </w:r>
      <w:r w:rsidR="00C3551F" w:rsidRPr="00203170">
        <w:rPr>
          <w:szCs w:val="24"/>
        </w:rPr>
        <w:t xml:space="preserve">the </w:t>
      </w:r>
      <w:r w:rsidR="00520513" w:rsidRPr="00203170">
        <w:rPr>
          <w:szCs w:val="24"/>
        </w:rPr>
        <w:t>predicted</w:t>
      </w:r>
      <w:r w:rsidR="00C3551F" w:rsidRPr="00203170">
        <w:rPr>
          <w:szCs w:val="24"/>
        </w:rPr>
        <w:t xml:space="preserve"> rate</w:t>
      </w:r>
      <w:r w:rsidR="006B03C8" w:rsidRPr="00203170">
        <w:rPr>
          <w:szCs w:val="24"/>
        </w:rPr>
        <w:t>s</w:t>
      </w:r>
      <w:r w:rsidR="00C3551F" w:rsidRPr="00203170">
        <w:rPr>
          <w:szCs w:val="24"/>
        </w:rPr>
        <w:t xml:space="preserve"> </w:t>
      </w:r>
      <w:r w:rsidR="006B03C8" w:rsidRPr="00203170">
        <w:rPr>
          <w:szCs w:val="24"/>
        </w:rPr>
        <w:t>with</w:t>
      </w:r>
      <w:r w:rsidR="00C3551F" w:rsidRPr="00203170">
        <w:rPr>
          <w:szCs w:val="24"/>
        </w:rPr>
        <w:t xml:space="preserve"> the </w:t>
      </w:r>
      <w:r w:rsidR="00520513" w:rsidRPr="00203170">
        <w:rPr>
          <w:szCs w:val="24"/>
        </w:rPr>
        <w:t xml:space="preserve">actual evidence gathered from </w:t>
      </w:r>
      <w:r w:rsidR="006B03C8" w:rsidRPr="00203170">
        <w:rPr>
          <w:szCs w:val="24"/>
        </w:rPr>
        <w:t>S</w:t>
      </w:r>
      <w:r w:rsidR="00520513" w:rsidRPr="00203170">
        <w:rPr>
          <w:szCs w:val="24"/>
        </w:rPr>
        <w:t>tate mine rehabilitation tenders</w:t>
      </w:r>
      <w:r w:rsidR="00C3551F" w:rsidRPr="00203170">
        <w:rPr>
          <w:szCs w:val="24"/>
        </w:rPr>
        <w:t>. T</w:t>
      </w:r>
      <w:r w:rsidR="00202357" w:rsidRPr="00203170">
        <w:rPr>
          <w:szCs w:val="24"/>
        </w:rPr>
        <w:t>hi</w:t>
      </w:r>
      <w:r w:rsidR="00C3551F" w:rsidRPr="00203170">
        <w:rPr>
          <w:szCs w:val="24"/>
        </w:rPr>
        <w:t xml:space="preserve">s </w:t>
      </w:r>
      <w:r w:rsidR="00202357" w:rsidRPr="00203170">
        <w:rPr>
          <w:szCs w:val="24"/>
        </w:rPr>
        <w:t>comparison</w:t>
      </w:r>
      <w:r w:rsidR="00C3551F" w:rsidRPr="00203170">
        <w:rPr>
          <w:szCs w:val="24"/>
        </w:rPr>
        <w:t xml:space="preserve"> </w:t>
      </w:r>
      <w:r w:rsidR="006B03C8" w:rsidRPr="00203170">
        <w:rPr>
          <w:szCs w:val="24"/>
        </w:rPr>
        <w:t xml:space="preserve">should </w:t>
      </w:r>
      <w:r w:rsidR="00C3551F" w:rsidRPr="00203170">
        <w:rPr>
          <w:szCs w:val="24"/>
        </w:rPr>
        <w:t xml:space="preserve">allow one to see if </w:t>
      </w:r>
      <w:r w:rsidRPr="00203170">
        <w:rPr>
          <w:szCs w:val="24"/>
        </w:rPr>
        <w:t>the values in the DM</w:t>
      </w:r>
      <w:r w:rsidR="00A67147">
        <w:rPr>
          <w:szCs w:val="24"/>
        </w:rPr>
        <w:t>E</w:t>
      </w:r>
      <w:r w:rsidRPr="00203170">
        <w:rPr>
          <w:szCs w:val="24"/>
        </w:rPr>
        <w:t>’s financial provision guideline</w:t>
      </w:r>
      <w:r w:rsidR="006B03C8" w:rsidRPr="00203170">
        <w:rPr>
          <w:szCs w:val="24"/>
        </w:rPr>
        <w:t xml:space="preserve"> </w:t>
      </w:r>
      <w:r w:rsidR="00C3551F" w:rsidRPr="00203170">
        <w:rPr>
          <w:szCs w:val="24"/>
        </w:rPr>
        <w:t xml:space="preserve">were </w:t>
      </w:r>
      <w:r w:rsidRPr="00203170">
        <w:rPr>
          <w:szCs w:val="24"/>
        </w:rPr>
        <w:t>an accurate and reasonable reflection of the real cost of mine rehabilitation</w:t>
      </w:r>
      <w:r w:rsidR="00C3551F" w:rsidRPr="00203170">
        <w:rPr>
          <w:szCs w:val="24"/>
        </w:rPr>
        <w:t xml:space="preserve"> costs</w:t>
      </w:r>
      <w:r w:rsidRPr="00203170">
        <w:rPr>
          <w:szCs w:val="24"/>
        </w:rPr>
        <w:t xml:space="preserve">. </w:t>
      </w:r>
    </w:p>
    <w:p w14:paraId="77BC1CC7" w14:textId="5F7683EC" w:rsidR="00C3551F" w:rsidRPr="00203170" w:rsidRDefault="00C3551F" w:rsidP="00AE71A0">
      <w:pPr>
        <w:rPr>
          <w:szCs w:val="24"/>
        </w:rPr>
      </w:pPr>
      <w:r w:rsidRPr="00203170">
        <w:rPr>
          <w:szCs w:val="24"/>
        </w:rPr>
        <w:t>T</w:t>
      </w:r>
      <w:r w:rsidR="00D464FB" w:rsidRPr="00203170">
        <w:rPr>
          <w:szCs w:val="24"/>
        </w:rPr>
        <w:t xml:space="preserve">he approach followed </w:t>
      </w:r>
      <w:r w:rsidRPr="00203170">
        <w:rPr>
          <w:szCs w:val="24"/>
        </w:rPr>
        <w:t xml:space="preserve">can be explained in a number of steps as follows: </w:t>
      </w:r>
    </w:p>
    <w:p w14:paraId="33499FC6" w14:textId="657DD244" w:rsidR="00C3551F" w:rsidRPr="00203170" w:rsidRDefault="00C3551F" w:rsidP="008E68ED">
      <w:pPr>
        <w:ind w:left="720" w:hanging="720"/>
        <w:rPr>
          <w:szCs w:val="24"/>
        </w:rPr>
      </w:pPr>
      <w:r w:rsidRPr="00203170">
        <w:rPr>
          <w:szCs w:val="24"/>
          <w:u w:val="single"/>
        </w:rPr>
        <w:t>Step 1</w:t>
      </w:r>
      <w:r w:rsidRPr="00203170">
        <w:rPr>
          <w:szCs w:val="24"/>
        </w:rPr>
        <w:t>:</w:t>
      </w:r>
      <w:r w:rsidR="007D360C" w:rsidRPr="00203170">
        <w:rPr>
          <w:szCs w:val="24"/>
        </w:rPr>
        <w:tab/>
      </w:r>
      <w:r w:rsidR="006B03C8" w:rsidRPr="00203170">
        <w:rPr>
          <w:szCs w:val="24"/>
        </w:rPr>
        <w:t>T</w:t>
      </w:r>
      <w:r w:rsidRPr="00203170">
        <w:rPr>
          <w:szCs w:val="24"/>
        </w:rPr>
        <w:t xml:space="preserve">he </w:t>
      </w:r>
      <w:r w:rsidR="006B03C8" w:rsidRPr="00203170">
        <w:rPr>
          <w:szCs w:val="24"/>
        </w:rPr>
        <w:t xml:space="preserve">published </w:t>
      </w:r>
      <w:r w:rsidRPr="00203170">
        <w:rPr>
          <w:szCs w:val="24"/>
        </w:rPr>
        <w:t>DM</w:t>
      </w:r>
      <w:r w:rsidR="00A67147">
        <w:rPr>
          <w:szCs w:val="24"/>
        </w:rPr>
        <w:t>E</w:t>
      </w:r>
      <w:r w:rsidRPr="00203170">
        <w:rPr>
          <w:szCs w:val="24"/>
        </w:rPr>
        <w:t xml:space="preserve"> </w:t>
      </w:r>
      <w:r w:rsidR="006B03C8" w:rsidRPr="00203170">
        <w:rPr>
          <w:szCs w:val="24"/>
        </w:rPr>
        <w:t>guideline master rates were</w:t>
      </w:r>
      <w:r w:rsidRPr="00203170">
        <w:rPr>
          <w:szCs w:val="24"/>
        </w:rPr>
        <w:t xml:space="preserve"> increase</w:t>
      </w:r>
      <w:r w:rsidR="006B03C8" w:rsidRPr="00203170">
        <w:rPr>
          <w:szCs w:val="24"/>
        </w:rPr>
        <w:t>d</w:t>
      </w:r>
      <w:r w:rsidRPr="00203170">
        <w:rPr>
          <w:szCs w:val="24"/>
        </w:rPr>
        <w:t xml:space="preserve"> for every year since 2004 (2005 – 2017) with</w:t>
      </w:r>
      <w:r w:rsidR="007D360C" w:rsidRPr="00203170">
        <w:rPr>
          <w:szCs w:val="24"/>
        </w:rPr>
        <w:t xml:space="preserve"> </w:t>
      </w:r>
      <w:r w:rsidRPr="00203170">
        <w:rPr>
          <w:szCs w:val="24"/>
        </w:rPr>
        <w:t>th</w:t>
      </w:r>
      <w:r w:rsidR="007D360C" w:rsidRPr="00203170">
        <w:rPr>
          <w:szCs w:val="24"/>
        </w:rPr>
        <w:t>e</w:t>
      </w:r>
      <w:r w:rsidRPr="00203170">
        <w:rPr>
          <w:szCs w:val="24"/>
        </w:rPr>
        <w:t xml:space="preserve"> actual CPI rates as publi</w:t>
      </w:r>
      <w:r w:rsidR="007D360C" w:rsidRPr="00203170">
        <w:rPr>
          <w:szCs w:val="24"/>
        </w:rPr>
        <w:t>shed</w:t>
      </w:r>
      <w:r w:rsidRPr="00203170">
        <w:rPr>
          <w:szCs w:val="24"/>
        </w:rPr>
        <w:t xml:space="preserve"> by </w:t>
      </w:r>
      <w:r w:rsidR="006B03C8" w:rsidRPr="00203170">
        <w:rPr>
          <w:szCs w:val="24"/>
        </w:rPr>
        <w:t>Stats</w:t>
      </w:r>
      <w:r w:rsidRPr="00203170">
        <w:rPr>
          <w:szCs w:val="24"/>
        </w:rPr>
        <w:t xml:space="preserve"> SA. </w:t>
      </w:r>
      <w:r w:rsidR="007D360C" w:rsidRPr="00203170">
        <w:rPr>
          <w:szCs w:val="24"/>
        </w:rPr>
        <w:t xml:space="preserve">A table was created for </w:t>
      </w:r>
      <w:r w:rsidR="006B03C8" w:rsidRPr="00203170">
        <w:rPr>
          <w:szCs w:val="24"/>
        </w:rPr>
        <w:t xml:space="preserve">each of </w:t>
      </w:r>
      <w:r w:rsidR="007D360C" w:rsidRPr="00203170">
        <w:rPr>
          <w:szCs w:val="24"/>
        </w:rPr>
        <w:t>these master rates and they were used as the basis for the graphs that were generated in MSExcel</w:t>
      </w:r>
      <w:r w:rsidR="007D360C" w:rsidRPr="00203170">
        <w:rPr>
          <w:szCs w:val="24"/>
          <w:vertAlign w:val="superscript"/>
        </w:rPr>
        <w:t>TM</w:t>
      </w:r>
      <w:r w:rsidR="007D360C" w:rsidRPr="00203170">
        <w:rPr>
          <w:szCs w:val="24"/>
        </w:rPr>
        <w:t xml:space="preserve"> </w:t>
      </w:r>
    </w:p>
    <w:p w14:paraId="2A83342A" w14:textId="68C86473" w:rsidR="00C3551F" w:rsidRPr="00203170" w:rsidRDefault="00C3551F" w:rsidP="008E68ED">
      <w:pPr>
        <w:ind w:left="720" w:hanging="720"/>
        <w:rPr>
          <w:szCs w:val="24"/>
        </w:rPr>
      </w:pPr>
      <w:r w:rsidRPr="00203170">
        <w:rPr>
          <w:szCs w:val="24"/>
          <w:u w:val="single"/>
        </w:rPr>
        <w:t>Step 2</w:t>
      </w:r>
      <w:r w:rsidRPr="00203170">
        <w:rPr>
          <w:szCs w:val="24"/>
        </w:rPr>
        <w:t>:</w:t>
      </w:r>
      <w:r w:rsidR="007D360C" w:rsidRPr="00203170">
        <w:rPr>
          <w:szCs w:val="24"/>
        </w:rPr>
        <w:tab/>
      </w:r>
      <w:r w:rsidRPr="00203170">
        <w:rPr>
          <w:szCs w:val="24"/>
        </w:rPr>
        <w:t>Additional to the da</w:t>
      </w:r>
      <w:r w:rsidR="00783118" w:rsidRPr="00203170">
        <w:rPr>
          <w:szCs w:val="24"/>
        </w:rPr>
        <w:t xml:space="preserve">ta points and basic graphs </w:t>
      </w:r>
      <w:r w:rsidR="007D360C" w:rsidRPr="00203170">
        <w:rPr>
          <w:szCs w:val="24"/>
        </w:rPr>
        <w:t xml:space="preserve">obtained in Step 1, </w:t>
      </w:r>
      <w:r w:rsidRPr="00203170">
        <w:rPr>
          <w:szCs w:val="24"/>
        </w:rPr>
        <w:t>data</w:t>
      </w:r>
      <w:r w:rsidR="007D360C" w:rsidRPr="00203170">
        <w:rPr>
          <w:szCs w:val="24"/>
        </w:rPr>
        <w:t xml:space="preserve"> </w:t>
      </w:r>
      <w:r w:rsidRPr="00203170">
        <w:rPr>
          <w:szCs w:val="24"/>
        </w:rPr>
        <w:t xml:space="preserve">obtained </w:t>
      </w:r>
      <w:r w:rsidR="007D360C" w:rsidRPr="00203170">
        <w:rPr>
          <w:szCs w:val="24"/>
        </w:rPr>
        <w:t xml:space="preserve">from </w:t>
      </w:r>
      <w:r w:rsidRPr="00203170">
        <w:rPr>
          <w:szCs w:val="24"/>
        </w:rPr>
        <w:t>the predicted increase as found by the CIDB’s research for state funded construction projects</w:t>
      </w:r>
      <w:r w:rsidR="007D360C" w:rsidRPr="00203170">
        <w:rPr>
          <w:szCs w:val="24"/>
        </w:rPr>
        <w:t xml:space="preserve"> was added to the DM</w:t>
      </w:r>
      <w:r w:rsidR="00A67147">
        <w:rPr>
          <w:szCs w:val="24"/>
        </w:rPr>
        <w:t>E</w:t>
      </w:r>
      <w:r w:rsidR="007D360C" w:rsidRPr="00203170">
        <w:rPr>
          <w:szCs w:val="24"/>
        </w:rPr>
        <w:t xml:space="preserve"> guideline rates data and plotted as an additional line overlaid on the DM</w:t>
      </w:r>
      <w:r w:rsidR="00A67147">
        <w:rPr>
          <w:szCs w:val="24"/>
        </w:rPr>
        <w:t>E</w:t>
      </w:r>
      <w:r w:rsidR="007D360C" w:rsidRPr="00203170">
        <w:rPr>
          <w:szCs w:val="24"/>
        </w:rPr>
        <w:t xml:space="preserve"> guideline rate in the graphs generated in MSExcel</w:t>
      </w:r>
      <w:r w:rsidR="007D360C" w:rsidRPr="00203170">
        <w:rPr>
          <w:szCs w:val="24"/>
          <w:vertAlign w:val="superscript"/>
        </w:rPr>
        <w:t>TM</w:t>
      </w:r>
      <w:r w:rsidRPr="00203170">
        <w:rPr>
          <w:szCs w:val="24"/>
        </w:rPr>
        <w:t xml:space="preserve">. </w:t>
      </w:r>
      <w:r w:rsidR="00783118" w:rsidRPr="00203170">
        <w:rPr>
          <w:szCs w:val="24"/>
        </w:rPr>
        <w:t>The rate of increase predicted by the CIBD report was taken as a 2% per annum premium over the CPI for PPPFA compliance plus an additional 2% per annum for CPG’s. The predicted CIDB rate in the graphs is therefore a linear 4% per annum premium over the DM</w:t>
      </w:r>
      <w:r w:rsidR="00A67147">
        <w:rPr>
          <w:szCs w:val="24"/>
        </w:rPr>
        <w:t>E</w:t>
      </w:r>
      <w:r w:rsidR="00783118" w:rsidRPr="00203170">
        <w:rPr>
          <w:szCs w:val="24"/>
        </w:rPr>
        <w:t xml:space="preserve"> guideline value escalated by CPI over the period from 2006, when the CIDB report data started, to 2017.</w:t>
      </w:r>
    </w:p>
    <w:p w14:paraId="288100AF" w14:textId="496ABA14" w:rsidR="000A4A74" w:rsidRPr="00203170" w:rsidRDefault="00C3551F" w:rsidP="008E68ED">
      <w:pPr>
        <w:ind w:left="720" w:hanging="720"/>
        <w:rPr>
          <w:szCs w:val="24"/>
        </w:rPr>
      </w:pPr>
      <w:r w:rsidRPr="00203170">
        <w:rPr>
          <w:szCs w:val="24"/>
          <w:u w:val="single"/>
        </w:rPr>
        <w:t>Step 3</w:t>
      </w:r>
      <w:r w:rsidRPr="00203170">
        <w:rPr>
          <w:szCs w:val="24"/>
        </w:rPr>
        <w:t>:</w:t>
      </w:r>
      <w:r w:rsidR="007D360C" w:rsidRPr="00203170">
        <w:rPr>
          <w:szCs w:val="24"/>
        </w:rPr>
        <w:t xml:space="preserve">  T</w:t>
      </w:r>
      <w:r w:rsidRPr="00203170">
        <w:rPr>
          <w:szCs w:val="24"/>
        </w:rPr>
        <w:t xml:space="preserve">he actual tender values </w:t>
      </w:r>
      <w:r w:rsidR="007D360C" w:rsidRPr="00203170">
        <w:rPr>
          <w:szCs w:val="24"/>
        </w:rPr>
        <w:t xml:space="preserve">were tabulated </w:t>
      </w:r>
      <w:r w:rsidRPr="00203170">
        <w:rPr>
          <w:szCs w:val="24"/>
        </w:rPr>
        <w:t>and plot</w:t>
      </w:r>
      <w:r w:rsidR="007D360C" w:rsidRPr="00203170">
        <w:rPr>
          <w:szCs w:val="24"/>
        </w:rPr>
        <w:t>ted in the same graph</w:t>
      </w:r>
      <w:r w:rsidR="00783118" w:rsidRPr="00203170">
        <w:rPr>
          <w:szCs w:val="24"/>
        </w:rPr>
        <w:t>s</w:t>
      </w:r>
      <w:r w:rsidR="007D360C" w:rsidRPr="00203170">
        <w:rPr>
          <w:szCs w:val="24"/>
        </w:rPr>
        <w:t xml:space="preserve"> created in Steps 1 and 2 above for</w:t>
      </w:r>
      <w:r w:rsidRPr="00203170">
        <w:rPr>
          <w:szCs w:val="24"/>
        </w:rPr>
        <w:t xml:space="preserve"> the years for which there is data.</w:t>
      </w:r>
      <w:r w:rsidR="007D360C" w:rsidRPr="00203170">
        <w:rPr>
          <w:szCs w:val="24"/>
        </w:rPr>
        <w:t xml:space="preserve"> These tender values were calculated as the median value for each entry of all bids submitted for </w:t>
      </w:r>
      <w:r w:rsidR="00783118" w:rsidRPr="00203170">
        <w:rPr>
          <w:szCs w:val="24"/>
        </w:rPr>
        <w:t xml:space="preserve">a </w:t>
      </w:r>
      <w:r w:rsidR="0008744D" w:rsidRPr="00203170">
        <w:rPr>
          <w:szCs w:val="24"/>
        </w:rPr>
        <w:t>line</w:t>
      </w:r>
      <w:r w:rsidR="007D360C" w:rsidRPr="00203170">
        <w:rPr>
          <w:szCs w:val="24"/>
        </w:rPr>
        <w:t xml:space="preserve"> item </w:t>
      </w:r>
      <w:r w:rsidR="00783118" w:rsidRPr="00203170">
        <w:rPr>
          <w:szCs w:val="24"/>
        </w:rPr>
        <w:t xml:space="preserve">in the </w:t>
      </w:r>
      <w:r w:rsidR="00F508A8">
        <w:rPr>
          <w:szCs w:val="24"/>
        </w:rPr>
        <w:t>Bill of Quantities (</w:t>
      </w:r>
      <w:r w:rsidR="00783118" w:rsidRPr="00203170">
        <w:rPr>
          <w:szCs w:val="24"/>
        </w:rPr>
        <w:t>BOQ</w:t>
      </w:r>
      <w:r w:rsidR="00F508A8">
        <w:rPr>
          <w:szCs w:val="24"/>
        </w:rPr>
        <w:t xml:space="preserve">) </w:t>
      </w:r>
      <w:r w:rsidR="007D360C" w:rsidRPr="00203170">
        <w:rPr>
          <w:szCs w:val="24"/>
        </w:rPr>
        <w:t xml:space="preserve">for any </w:t>
      </w:r>
      <w:r w:rsidR="0008744D" w:rsidRPr="00203170">
        <w:rPr>
          <w:szCs w:val="24"/>
        </w:rPr>
        <w:t>year</w:t>
      </w:r>
      <w:r w:rsidR="007D360C" w:rsidRPr="00203170">
        <w:rPr>
          <w:szCs w:val="24"/>
        </w:rPr>
        <w:t xml:space="preserve">, notwithstanding the type of project, landscape or location that the project was situated on. </w:t>
      </w:r>
      <w:r w:rsidRPr="00203170">
        <w:rPr>
          <w:szCs w:val="24"/>
        </w:rPr>
        <w:t>I</w:t>
      </w:r>
      <w:r w:rsidR="007D360C" w:rsidRPr="00203170">
        <w:rPr>
          <w:szCs w:val="24"/>
        </w:rPr>
        <w:t xml:space="preserve">n </w:t>
      </w:r>
      <w:r w:rsidRPr="00203170">
        <w:rPr>
          <w:szCs w:val="24"/>
        </w:rPr>
        <w:t xml:space="preserve">cases where it was not possible to match all the Master rate components to the tender specification, the </w:t>
      </w:r>
      <w:r w:rsidRPr="00203170">
        <w:rPr>
          <w:szCs w:val="24"/>
        </w:rPr>
        <w:lastRenderedPageBreak/>
        <w:t>most relevant component factors that w</w:t>
      </w:r>
      <w:r w:rsidR="007D360C" w:rsidRPr="00203170">
        <w:rPr>
          <w:szCs w:val="24"/>
        </w:rPr>
        <w:t>ere</w:t>
      </w:r>
      <w:r w:rsidRPr="00203170">
        <w:rPr>
          <w:szCs w:val="24"/>
        </w:rPr>
        <w:t xml:space="preserve"> originally used to calculate the master rate in each closure element, from Appendix C.3 (2.6.4) of the </w:t>
      </w:r>
      <w:r w:rsidR="00783118" w:rsidRPr="00203170">
        <w:rPr>
          <w:szCs w:val="24"/>
        </w:rPr>
        <w:t>DM</w:t>
      </w:r>
      <w:r w:rsidR="00A67147">
        <w:rPr>
          <w:szCs w:val="24"/>
        </w:rPr>
        <w:t>E</w:t>
      </w:r>
      <w:r w:rsidR="00783118" w:rsidRPr="00203170">
        <w:rPr>
          <w:szCs w:val="24"/>
        </w:rPr>
        <w:t xml:space="preserve"> </w:t>
      </w:r>
      <w:r w:rsidRPr="00203170">
        <w:rPr>
          <w:szCs w:val="24"/>
        </w:rPr>
        <w:t xml:space="preserve">guideline were used. </w:t>
      </w:r>
      <w:r w:rsidR="007D360C" w:rsidRPr="00203170">
        <w:rPr>
          <w:szCs w:val="24"/>
        </w:rPr>
        <w:t xml:space="preserve">This generated several graphs in instances where the master rate only published one overall master rate – an example being the master rate (R/ha) for waste deposit rehabilitation </w:t>
      </w:r>
      <w:r w:rsidR="00783118" w:rsidRPr="00203170">
        <w:rPr>
          <w:szCs w:val="24"/>
        </w:rPr>
        <w:t xml:space="preserve">(Master rate 8C) </w:t>
      </w:r>
      <w:r w:rsidR="007D360C" w:rsidRPr="00203170">
        <w:rPr>
          <w:szCs w:val="24"/>
        </w:rPr>
        <w:t>which contains several sub-components. Thus, instead of only one graph for waste dep</w:t>
      </w:r>
      <w:r w:rsidR="00202357" w:rsidRPr="00203170">
        <w:rPr>
          <w:szCs w:val="24"/>
        </w:rPr>
        <w:t xml:space="preserve">osit </w:t>
      </w:r>
      <w:r w:rsidR="007D360C" w:rsidRPr="00203170">
        <w:rPr>
          <w:szCs w:val="24"/>
        </w:rPr>
        <w:t>rehabilitation (</w:t>
      </w:r>
      <w:r w:rsidR="00783118" w:rsidRPr="00203170">
        <w:rPr>
          <w:szCs w:val="24"/>
        </w:rPr>
        <w:t>M</w:t>
      </w:r>
      <w:r w:rsidR="007D360C" w:rsidRPr="00203170">
        <w:rPr>
          <w:szCs w:val="24"/>
        </w:rPr>
        <w:t xml:space="preserve">aster rate 8C) there is one graph for each component rate used to compile that master rate, as this more closely </w:t>
      </w:r>
      <w:r w:rsidR="00AE6CBE">
        <w:rPr>
          <w:szCs w:val="24"/>
        </w:rPr>
        <w:t>aligns with t</w:t>
      </w:r>
      <w:r w:rsidR="007D360C" w:rsidRPr="00203170">
        <w:rPr>
          <w:szCs w:val="24"/>
        </w:rPr>
        <w:t xml:space="preserve">he values available from the actual tenders. The </w:t>
      </w:r>
      <w:r w:rsidR="00AE6CBE">
        <w:rPr>
          <w:szCs w:val="24"/>
        </w:rPr>
        <w:t xml:space="preserve">master </w:t>
      </w:r>
      <w:r w:rsidR="00783118" w:rsidRPr="00203170">
        <w:rPr>
          <w:szCs w:val="24"/>
        </w:rPr>
        <w:t xml:space="preserve">rate </w:t>
      </w:r>
      <w:r w:rsidR="007D360C" w:rsidRPr="00203170">
        <w:rPr>
          <w:szCs w:val="24"/>
        </w:rPr>
        <w:t xml:space="preserve">for this example (waste dump </w:t>
      </w:r>
      <w:r w:rsidR="00202357" w:rsidRPr="00203170">
        <w:rPr>
          <w:szCs w:val="24"/>
        </w:rPr>
        <w:t>rehabilitation</w:t>
      </w:r>
      <w:r w:rsidR="00783118" w:rsidRPr="00203170">
        <w:rPr>
          <w:szCs w:val="24"/>
        </w:rPr>
        <w:t xml:space="preserve">) </w:t>
      </w:r>
      <w:r w:rsidR="007D360C" w:rsidRPr="00203170">
        <w:rPr>
          <w:szCs w:val="24"/>
        </w:rPr>
        <w:t xml:space="preserve">has </w:t>
      </w:r>
      <w:r w:rsidR="00783118" w:rsidRPr="00203170">
        <w:rPr>
          <w:szCs w:val="24"/>
        </w:rPr>
        <w:t xml:space="preserve">been broken down into </w:t>
      </w:r>
      <w:r w:rsidR="007D360C" w:rsidRPr="00203170">
        <w:rPr>
          <w:szCs w:val="24"/>
        </w:rPr>
        <w:t xml:space="preserve">several graphs, one for </w:t>
      </w:r>
      <w:r w:rsidR="00AE6CBE">
        <w:rPr>
          <w:szCs w:val="24"/>
        </w:rPr>
        <w:t xml:space="preserve">each component rate, including </w:t>
      </w:r>
      <w:r w:rsidR="007D360C" w:rsidRPr="00203170">
        <w:rPr>
          <w:szCs w:val="24"/>
        </w:rPr>
        <w:t xml:space="preserve">shaping of the dump, </w:t>
      </w:r>
      <w:r w:rsidR="00202357" w:rsidRPr="00203170">
        <w:rPr>
          <w:szCs w:val="24"/>
        </w:rPr>
        <w:t>covering</w:t>
      </w:r>
      <w:r w:rsidR="000A4A74" w:rsidRPr="00203170">
        <w:rPr>
          <w:szCs w:val="24"/>
        </w:rPr>
        <w:t xml:space="preserve"> of the dump, topsoiling, etc. In </w:t>
      </w:r>
      <w:r w:rsidR="00783118" w:rsidRPr="00203170">
        <w:rPr>
          <w:szCs w:val="24"/>
        </w:rPr>
        <w:t xml:space="preserve">some </w:t>
      </w:r>
      <w:r w:rsidR="000A4A74" w:rsidRPr="00203170">
        <w:rPr>
          <w:szCs w:val="24"/>
        </w:rPr>
        <w:t>cases</w:t>
      </w:r>
      <w:r w:rsidR="00D0211C">
        <w:rPr>
          <w:szCs w:val="24"/>
        </w:rPr>
        <w:t>,</w:t>
      </w:r>
      <w:r w:rsidR="000A4A74" w:rsidRPr="00203170">
        <w:rPr>
          <w:szCs w:val="24"/>
        </w:rPr>
        <w:t xml:space="preserve"> it was not possible to compare rates directly, so the underlying cost </w:t>
      </w:r>
      <w:r w:rsidR="00202357" w:rsidRPr="00203170">
        <w:rPr>
          <w:szCs w:val="24"/>
        </w:rPr>
        <w:t>components</w:t>
      </w:r>
      <w:r w:rsidR="000A4A74" w:rsidRPr="00203170">
        <w:rPr>
          <w:szCs w:val="24"/>
        </w:rPr>
        <w:t xml:space="preserve"> of each master rate w</w:t>
      </w:r>
      <w:r w:rsidR="00783118" w:rsidRPr="00203170">
        <w:rPr>
          <w:szCs w:val="24"/>
        </w:rPr>
        <w:t>ere</w:t>
      </w:r>
      <w:r w:rsidR="000A4A74" w:rsidRPr="00203170">
        <w:rPr>
          <w:szCs w:val="24"/>
        </w:rPr>
        <w:t xml:space="preserve"> </w:t>
      </w:r>
      <w:r w:rsidR="00202357" w:rsidRPr="00203170">
        <w:rPr>
          <w:szCs w:val="24"/>
        </w:rPr>
        <w:t>used to</w:t>
      </w:r>
      <w:r w:rsidR="000A4A74" w:rsidRPr="00203170">
        <w:rPr>
          <w:szCs w:val="24"/>
        </w:rPr>
        <w:t xml:space="preserve"> </w:t>
      </w:r>
      <w:r w:rsidR="00202357" w:rsidRPr="00203170">
        <w:rPr>
          <w:szCs w:val="24"/>
        </w:rPr>
        <w:t>compare</w:t>
      </w:r>
      <w:r w:rsidR="000A4A74" w:rsidRPr="00203170">
        <w:rPr>
          <w:szCs w:val="24"/>
        </w:rPr>
        <w:t xml:space="preserve"> and analyse </w:t>
      </w:r>
      <w:r w:rsidR="00202357" w:rsidRPr="00203170">
        <w:rPr>
          <w:szCs w:val="24"/>
        </w:rPr>
        <w:t>the</w:t>
      </w:r>
      <w:r w:rsidR="000A4A74" w:rsidRPr="00203170">
        <w:rPr>
          <w:szCs w:val="24"/>
        </w:rPr>
        <w:t xml:space="preserve"> </w:t>
      </w:r>
      <w:r w:rsidR="00202357" w:rsidRPr="00203170">
        <w:rPr>
          <w:szCs w:val="24"/>
        </w:rPr>
        <w:t>trend</w:t>
      </w:r>
      <w:r w:rsidR="00783118" w:rsidRPr="00203170">
        <w:rPr>
          <w:szCs w:val="24"/>
        </w:rPr>
        <w:t>s.</w:t>
      </w:r>
      <w:r w:rsidR="000A4A74" w:rsidRPr="00203170">
        <w:rPr>
          <w:szCs w:val="24"/>
        </w:rPr>
        <w:t xml:space="preserve"> If </w:t>
      </w:r>
      <w:r w:rsidR="00202357" w:rsidRPr="00203170">
        <w:rPr>
          <w:szCs w:val="24"/>
        </w:rPr>
        <w:t>these</w:t>
      </w:r>
      <w:r w:rsidR="000A4A74" w:rsidRPr="00203170">
        <w:rPr>
          <w:szCs w:val="24"/>
        </w:rPr>
        <w:t xml:space="preserve"> underlying costs changed, it is a reasonable assumption </w:t>
      </w:r>
      <w:r w:rsidR="00202357" w:rsidRPr="00203170">
        <w:rPr>
          <w:szCs w:val="24"/>
        </w:rPr>
        <w:t>that</w:t>
      </w:r>
      <w:r w:rsidR="000A4A74" w:rsidRPr="00203170">
        <w:rPr>
          <w:szCs w:val="24"/>
        </w:rPr>
        <w:t xml:space="preserve"> </w:t>
      </w:r>
      <w:r w:rsidR="00202357" w:rsidRPr="00203170">
        <w:rPr>
          <w:szCs w:val="24"/>
        </w:rPr>
        <w:t>the</w:t>
      </w:r>
      <w:r w:rsidR="000A4A74" w:rsidRPr="00203170">
        <w:rPr>
          <w:szCs w:val="24"/>
        </w:rPr>
        <w:t xml:space="preserve"> </w:t>
      </w:r>
      <w:r w:rsidR="00202357" w:rsidRPr="00203170">
        <w:rPr>
          <w:szCs w:val="24"/>
        </w:rPr>
        <w:t>master</w:t>
      </w:r>
      <w:r w:rsidR="000A4A74" w:rsidRPr="00203170">
        <w:rPr>
          <w:szCs w:val="24"/>
        </w:rPr>
        <w:t xml:space="preserve"> rate would also change concomitantly. </w:t>
      </w:r>
    </w:p>
    <w:p w14:paraId="67A611A3" w14:textId="0098EB68" w:rsidR="007D360C" w:rsidRPr="00203170" w:rsidRDefault="00C3551F" w:rsidP="008E68ED">
      <w:pPr>
        <w:ind w:left="720" w:hanging="720"/>
        <w:rPr>
          <w:szCs w:val="24"/>
        </w:rPr>
      </w:pPr>
      <w:r w:rsidRPr="00203170">
        <w:rPr>
          <w:szCs w:val="24"/>
          <w:u w:val="single"/>
        </w:rPr>
        <w:t>Step 4</w:t>
      </w:r>
      <w:r w:rsidRPr="00203170">
        <w:rPr>
          <w:szCs w:val="24"/>
        </w:rPr>
        <w:t>:</w:t>
      </w:r>
      <w:r w:rsidRPr="00203170">
        <w:rPr>
          <w:szCs w:val="24"/>
        </w:rPr>
        <w:tab/>
      </w:r>
      <w:r w:rsidR="000A4A74" w:rsidRPr="00203170">
        <w:rPr>
          <w:szCs w:val="24"/>
        </w:rPr>
        <w:t xml:space="preserve">The graphs </w:t>
      </w:r>
      <w:r w:rsidRPr="00203170">
        <w:rPr>
          <w:szCs w:val="24"/>
        </w:rPr>
        <w:t xml:space="preserve">of the </w:t>
      </w:r>
      <w:r w:rsidR="000A4A74" w:rsidRPr="00203170">
        <w:rPr>
          <w:szCs w:val="24"/>
        </w:rPr>
        <w:t>guideline master</w:t>
      </w:r>
      <w:r w:rsidRPr="00203170">
        <w:rPr>
          <w:szCs w:val="24"/>
        </w:rPr>
        <w:t xml:space="preserve"> rates, increased by real CPI and the predicted rates of change using the CIDB rate</w:t>
      </w:r>
      <w:r w:rsidR="00987BAA" w:rsidRPr="00203170">
        <w:rPr>
          <w:szCs w:val="24"/>
        </w:rPr>
        <w:t>s</w:t>
      </w:r>
      <w:r w:rsidRPr="00203170">
        <w:rPr>
          <w:szCs w:val="24"/>
        </w:rPr>
        <w:t xml:space="preserve"> of escalation as well as the data from the tenders over the same period</w:t>
      </w:r>
      <w:r w:rsidR="000A4A74" w:rsidRPr="00203170">
        <w:rPr>
          <w:szCs w:val="24"/>
        </w:rPr>
        <w:t xml:space="preserve"> were then all combined in one graph for each master rate or subcomponent of a master rate</w:t>
      </w:r>
      <w:r w:rsidRPr="00203170">
        <w:rPr>
          <w:szCs w:val="24"/>
        </w:rPr>
        <w:t xml:space="preserve">. Note here that tender data was only available for the years 2009 – 2016, with a gap for the year 2013 when no tender data was reported. </w:t>
      </w:r>
      <w:r w:rsidR="000A4A74" w:rsidRPr="00203170">
        <w:rPr>
          <w:szCs w:val="24"/>
        </w:rPr>
        <w:t xml:space="preserve">Additionally, the type of </w:t>
      </w:r>
      <w:r w:rsidR="00202357" w:rsidRPr="00203170">
        <w:rPr>
          <w:szCs w:val="24"/>
        </w:rPr>
        <w:t>rehabilitation</w:t>
      </w:r>
      <w:r w:rsidR="000A4A74" w:rsidRPr="00203170">
        <w:rPr>
          <w:szCs w:val="24"/>
        </w:rPr>
        <w:t xml:space="preserve"> </w:t>
      </w:r>
      <w:r w:rsidR="00202357" w:rsidRPr="00203170">
        <w:rPr>
          <w:szCs w:val="24"/>
        </w:rPr>
        <w:t>projects</w:t>
      </w:r>
      <w:r w:rsidR="000A4A74" w:rsidRPr="00203170">
        <w:rPr>
          <w:szCs w:val="24"/>
        </w:rPr>
        <w:t xml:space="preserve"> for which data could be obtained, do not contain </w:t>
      </w:r>
      <w:r w:rsidR="0008744D" w:rsidRPr="00203170">
        <w:rPr>
          <w:szCs w:val="24"/>
        </w:rPr>
        <w:t>all</w:t>
      </w:r>
      <w:r w:rsidR="000A4A74" w:rsidRPr="00203170">
        <w:rPr>
          <w:szCs w:val="24"/>
        </w:rPr>
        <w:t xml:space="preserve"> the rehabilitation </w:t>
      </w:r>
      <w:r w:rsidR="00202357" w:rsidRPr="00203170">
        <w:rPr>
          <w:szCs w:val="24"/>
        </w:rPr>
        <w:t>components</w:t>
      </w:r>
      <w:r w:rsidR="000A4A74" w:rsidRPr="00203170">
        <w:rPr>
          <w:szCs w:val="24"/>
        </w:rPr>
        <w:t xml:space="preserve"> for which master rates were published, so the overall data sample only addresses surface mine rehabilitation. </w:t>
      </w:r>
      <w:r w:rsidR="00987BAA" w:rsidRPr="00203170">
        <w:rPr>
          <w:szCs w:val="24"/>
        </w:rPr>
        <w:t>(see Table 4)</w:t>
      </w:r>
    </w:p>
    <w:p w14:paraId="66FC67AF" w14:textId="086604A9" w:rsidR="00C3551F" w:rsidRPr="00203170" w:rsidRDefault="00C3551F" w:rsidP="008E68ED">
      <w:pPr>
        <w:ind w:left="720" w:hanging="720"/>
        <w:rPr>
          <w:szCs w:val="24"/>
        </w:rPr>
      </w:pPr>
      <w:r w:rsidRPr="00203170">
        <w:rPr>
          <w:szCs w:val="24"/>
          <w:u w:val="single"/>
        </w:rPr>
        <w:t>Step 5:</w:t>
      </w:r>
      <w:r w:rsidRPr="00203170">
        <w:rPr>
          <w:szCs w:val="24"/>
        </w:rPr>
        <w:tab/>
        <w:t>Using the graphs created in the step above, analyses and conclusions</w:t>
      </w:r>
      <w:r w:rsidR="007D360C" w:rsidRPr="00203170">
        <w:rPr>
          <w:szCs w:val="24"/>
        </w:rPr>
        <w:t xml:space="preserve"> </w:t>
      </w:r>
      <w:r w:rsidR="00987BAA" w:rsidRPr="00203170">
        <w:rPr>
          <w:szCs w:val="24"/>
        </w:rPr>
        <w:t xml:space="preserve">were derived </w:t>
      </w:r>
      <w:r w:rsidRPr="00203170">
        <w:rPr>
          <w:szCs w:val="24"/>
        </w:rPr>
        <w:t xml:space="preserve">from observations in the data. </w:t>
      </w:r>
      <w:r w:rsidR="00987BAA" w:rsidRPr="00203170">
        <w:rPr>
          <w:szCs w:val="24"/>
        </w:rPr>
        <w:t>Figure 3</w:t>
      </w:r>
      <w:r w:rsidR="008E68ED">
        <w:rPr>
          <w:szCs w:val="24"/>
        </w:rPr>
        <w:t>.1</w:t>
      </w:r>
      <w:r w:rsidR="00987BAA" w:rsidRPr="00203170">
        <w:rPr>
          <w:szCs w:val="24"/>
        </w:rPr>
        <w:t xml:space="preserve"> below provides a graphic illustration of the process followed in this report. </w:t>
      </w:r>
    </w:p>
    <w:p w14:paraId="6CD941DE" w14:textId="77777777" w:rsidR="00741B55" w:rsidRDefault="00D464FB" w:rsidP="00AE71A0">
      <w:r w:rsidRPr="00203170">
        <w:rPr>
          <w:noProof/>
          <w:szCs w:val="24"/>
          <w:lang w:eastAsia="en-ZA"/>
        </w:rPr>
        <w:lastRenderedPageBreak/>
        <w:drawing>
          <wp:inline distT="0" distB="0" distL="0" distR="0" wp14:anchorId="748BE91B" wp14:editId="2AA6A266">
            <wp:extent cx="5718810" cy="2368550"/>
            <wp:effectExtent l="0" t="0" r="15240" b="127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AF593B2" w14:textId="72196865" w:rsidR="00D464FB" w:rsidRDefault="008E68ED" w:rsidP="00322083">
      <w:pPr>
        <w:pStyle w:val="Caption"/>
      </w:pPr>
      <w:bookmarkStart w:id="81" w:name="_Toc507336566"/>
      <w:bookmarkStart w:id="82" w:name="_Toc507336679"/>
      <w:bookmarkStart w:id="83" w:name="_Toc517372931"/>
      <w:bookmarkStart w:id="84" w:name="_Toc517373086"/>
      <w:bookmarkStart w:id="85" w:name="_Toc519445857"/>
      <w:bookmarkStart w:id="86" w:name="_Toc519445894"/>
      <w:r>
        <w:t xml:space="preserve">Figure 3.1: </w:t>
      </w:r>
      <w:r w:rsidR="00741B55" w:rsidRPr="00741B55">
        <w:t>Illustrated methodology followed in this study</w:t>
      </w:r>
      <w:bookmarkEnd w:id="81"/>
      <w:bookmarkEnd w:id="82"/>
      <w:bookmarkEnd w:id="83"/>
      <w:bookmarkEnd w:id="84"/>
      <w:bookmarkEnd w:id="85"/>
      <w:bookmarkEnd w:id="86"/>
    </w:p>
    <w:p w14:paraId="40CF7116" w14:textId="77777777" w:rsidR="008E68ED" w:rsidRPr="008E68ED" w:rsidRDefault="008E68ED" w:rsidP="008E68ED"/>
    <w:bookmarkEnd w:id="35"/>
    <w:p w14:paraId="1A782E8F" w14:textId="2679DD2B" w:rsidR="00B4470B" w:rsidRDefault="00987BAA" w:rsidP="00AE71A0">
      <w:pPr>
        <w:rPr>
          <w:szCs w:val="24"/>
        </w:rPr>
      </w:pPr>
      <w:r w:rsidRPr="00203170">
        <w:rPr>
          <w:szCs w:val="24"/>
        </w:rPr>
        <w:t>The k</w:t>
      </w:r>
      <w:r w:rsidR="00BB65FC" w:rsidRPr="00203170">
        <w:rPr>
          <w:szCs w:val="24"/>
        </w:rPr>
        <w:t xml:space="preserve">ey objectives of the research report </w:t>
      </w:r>
      <w:r w:rsidRPr="00203170">
        <w:rPr>
          <w:szCs w:val="24"/>
        </w:rPr>
        <w:t>w</w:t>
      </w:r>
      <w:r w:rsidR="0065608B">
        <w:rPr>
          <w:szCs w:val="24"/>
        </w:rPr>
        <w:t>ere</w:t>
      </w:r>
      <w:r w:rsidRPr="00203170">
        <w:rPr>
          <w:szCs w:val="24"/>
        </w:rPr>
        <w:t xml:space="preserve"> </w:t>
      </w:r>
      <w:r w:rsidR="0065608B">
        <w:rPr>
          <w:szCs w:val="24"/>
        </w:rPr>
        <w:t xml:space="preserve">attained </w:t>
      </w:r>
      <w:r w:rsidRPr="00203170">
        <w:rPr>
          <w:szCs w:val="24"/>
        </w:rPr>
        <w:t xml:space="preserve">through </w:t>
      </w:r>
      <w:r w:rsidR="00443D2B" w:rsidRPr="00203170">
        <w:rPr>
          <w:szCs w:val="24"/>
        </w:rPr>
        <w:t>t</w:t>
      </w:r>
      <w:r w:rsidRPr="00203170">
        <w:rPr>
          <w:szCs w:val="24"/>
        </w:rPr>
        <w:t>abulating</w:t>
      </w:r>
      <w:r w:rsidR="00E81B75" w:rsidRPr="00203170">
        <w:rPr>
          <w:szCs w:val="24"/>
        </w:rPr>
        <w:t xml:space="preserve"> </w:t>
      </w:r>
      <w:r w:rsidR="00443D2B" w:rsidRPr="00203170">
        <w:rPr>
          <w:szCs w:val="24"/>
        </w:rPr>
        <w:t>and analys</w:t>
      </w:r>
      <w:r w:rsidRPr="00203170">
        <w:rPr>
          <w:szCs w:val="24"/>
        </w:rPr>
        <w:t xml:space="preserve">ing </w:t>
      </w:r>
      <w:r w:rsidR="00443D2B" w:rsidRPr="00203170">
        <w:rPr>
          <w:szCs w:val="24"/>
        </w:rPr>
        <w:t xml:space="preserve">historical actual </w:t>
      </w:r>
      <w:r w:rsidR="00583B31" w:rsidRPr="00203170">
        <w:rPr>
          <w:szCs w:val="24"/>
        </w:rPr>
        <w:t xml:space="preserve">mine rehabilitation values, obtained from project </w:t>
      </w:r>
      <w:r w:rsidR="00443D2B" w:rsidRPr="00203170">
        <w:rPr>
          <w:szCs w:val="24"/>
        </w:rPr>
        <w:t>tender data</w:t>
      </w:r>
      <w:r w:rsidRPr="00203170">
        <w:rPr>
          <w:szCs w:val="24"/>
        </w:rPr>
        <w:t xml:space="preserve">. This allowed a comparison of </w:t>
      </w:r>
      <w:r w:rsidR="00443D2B" w:rsidRPr="00203170">
        <w:rPr>
          <w:szCs w:val="24"/>
        </w:rPr>
        <w:t>the historical actual tender data values per mine rehabilitation item to the rates tables published in the DM</w:t>
      </w:r>
      <w:r w:rsidR="00A67147">
        <w:rPr>
          <w:szCs w:val="24"/>
        </w:rPr>
        <w:t>E</w:t>
      </w:r>
      <w:r w:rsidR="00443D2B" w:rsidRPr="00203170">
        <w:rPr>
          <w:szCs w:val="24"/>
        </w:rPr>
        <w:t xml:space="preserve"> guideline.</w:t>
      </w:r>
      <w:r w:rsidR="00E81B75" w:rsidRPr="00203170">
        <w:rPr>
          <w:szCs w:val="24"/>
        </w:rPr>
        <w:t xml:space="preserve"> This methodology allowed analysis and c</w:t>
      </w:r>
      <w:r w:rsidR="00443D2B" w:rsidRPr="00203170">
        <w:rPr>
          <w:szCs w:val="24"/>
        </w:rPr>
        <w:t>onclusions on the probable current and future costs for surface mine rehabilitation and the applicability of published rates to actual costs.</w:t>
      </w:r>
      <w:bookmarkStart w:id="87" w:name="_Toc443556937"/>
      <w:r w:rsidR="004A70AE" w:rsidRPr="00203170">
        <w:rPr>
          <w:szCs w:val="24"/>
        </w:rPr>
        <w:t xml:space="preserve"> </w:t>
      </w:r>
      <w:r w:rsidR="00E81B75" w:rsidRPr="00203170">
        <w:rPr>
          <w:szCs w:val="24"/>
        </w:rPr>
        <w:t xml:space="preserve">In the process, the report provides evidence to determine if the </w:t>
      </w:r>
      <w:bookmarkEnd w:id="87"/>
      <w:r w:rsidR="004A70AE" w:rsidRPr="00203170">
        <w:rPr>
          <w:szCs w:val="24"/>
        </w:rPr>
        <w:t>guideline values published by the DM</w:t>
      </w:r>
      <w:r w:rsidR="00A67147">
        <w:rPr>
          <w:szCs w:val="24"/>
        </w:rPr>
        <w:t>E</w:t>
      </w:r>
      <w:r w:rsidR="004A70AE" w:rsidRPr="00203170">
        <w:rPr>
          <w:szCs w:val="24"/>
        </w:rPr>
        <w:t xml:space="preserve"> in 2004 </w:t>
      </w:r>
      <w:r w:rsidR="00E81B75" w:rsidRPr="00203170">
        <w:rPr>
          <w:szCs w:val="24"/>
        </w:rPr>
        <w:t xml:space="preserve">are </w:t>
      </w:r>
      <w:r w:rsidR="004A70AE" w:rsidRPr="00203170">
        <w:rPr>
          <w:szCs w:val="24"/>
        </w:rPr>
        <w:t>an accurate reflection of actual rehabilitation costs</w:t>
      </w:r>
      <w:r w:rsidR="00E81B75" w:rsidRPr="00203170">
        <w:rPr>
          <w:szCs w:val="24"/>
        </w:rPr>
        <w:t xml:space="preserve"> </w:t>
      </w:r>
      <w:r w:rsidR="004A70AE" w:rsidRPr="00203170">
        <w:rPr>
          <w:szCs w:val="24"/>
        </w:rPr>
        <w:t>when compared to actual tender data</w:t>
      </w:r>
      <w:r w:rsidR="00E81B75" w:rsidRPr="00203170">
        <w:rPr>
          <w:szCs w:val="24"/>
        </w:rPr>
        <w:t>.</w:t>
      </w:r>
      <w:r w:rsidR="00815171" w:rsidRPr="00203170">
        <w:rPr>
          <w:szCs w:val="24"/>
        </w:rPr>
        <w:t xml:space="preserve"> </w:t>
      </w:r>
    </w:p>
    <w:p w14:paraId="066824B0" w14:textId="13C87EBB" w:rsidR="0022300C" w:rsidRPr="002328EF" w:rsidRDefault="0022300C" w:rsidP="00063C48">
      <w:pPr>
        <w:pStyle w:val="Heading2"/>
      </w:pPr>
      <w:bookmarkStart w:id="88" w:name="_Toc519445716"/>
      <w:r w:rsidRPr="002328EF">
        <w:t>Source of the data used in this research report</w:t>
      </w:r>
      <w:bookmarkEnd w:id="88"/>
    </w:p>
    <w:p w14:paraId="645428FC" w14:textId="780B4076" w:rsidR="0022300C" w:rsidRDefault="0022300C" w:rsidP="00AE71A0">
      <w:pPr>
        <w:rPr>
          <w:szCs w:val="24"/>
        </w:rPr>
      </w:pPr>
      <w:r w:rsidRPr="00203170">
        <w:rPr>
          <w:szCs w:val="24"/>
        </w:rPr>
        <w:t>The Council for Mineral Technology (Mintek) is a State-owned enterprise reporting to the Department of Mineral Resources. Since 2009, it has been acting as implementing agent for the DM</w:t>
      </w:r>
      <w:r>
        <w:rPr>
          <w:szCs w:val="24"/>
        </w:rPr>
        <w:t>E</w:t>
      </w:r>
      <w:r w:rsidRPr="00203170">
        <w:rPr>
          <w:szCs w:val="24"/>
        </w:rPr>
        <w:t xml:space="preserve"> on </w:t>
      </w:r>
      <w:r w:rsidR="00953D47">
        <w:rPr>
          <w:szCs w:val="24"/>
        </w:rPr>
        <w:t>a</w:t>
      </w:r>
      <w:r w:rsidRPr="00203170">
        <w:rPr>
          <w:szCs w:val="24"/>
        </w:rPr>
        <w:t xml:space="preserve"> State-funded programme </w:t>
      </w:r>
      <w:r w:rsidR="00953D47">
        <w:rPr>
          <w:szCs w:val="24"/>
        </w:rPr>
        <w:t xml:space="preserve">to </w:t>
      </w:r>
      <w:r w:rsidRPr="00203170">
        <w:rPr>
          <w:szCs w:val="24"/>
        </w:rPr>
        <w:t>rehabilitat</w:t>
      </w:r>
      <w:r w:rsidR="00953D47">
        <w:rPr>
          <w:szCs w:val="24"/>
        </w:rPr>
        <w:t>e</w:t>
      </w:r>
      <w:r w:rsidRPr="00203170">
        <w:rPr>
          <w:szCs w:val="24"/>
        </w:rPr>
        <w:t xml:space="preserve"> abandoned asbestos mines around the country. As implementing agent, Mintek is responsible, amongst a host of other tasks related to the overall management of the asbestos rehabilitation programme, for the procurement of designed projects from third party contractors. As a </w:t>
      </w:r>
      <w:r>
        <w:rPr>
          <w:szCs w:val="24"/>
        </w:rPr>
        <w:t xml:space="preserve">fundamental </w:t>
      </w:r>
      <w:r w:rsidRPr="00203170">
        <w:rPr>
          <w:szCs w:val="24"/>
        </w:rPr>
        <w:t>input to this research</w:t>
      </w:r>
      <w:r>
        <w:rPr>
          <w:szCs w:val="24"/>
        </w:rPr>
        <w:t xml:space="preserve"> report</w:t>
      </w:r>
      <w:r w:rsidRPr="00203170">
        <w:rPr>
          <w:szCs w:val="24"/>
        </w:rPr>
        <w:t>, the actual values returned by bidders for tenders advertised by Mintek</w:t>
      </w:r>
      <w:r>
        <w:rPr>
          <w:rStyle w:val="FootnoteReference"/>
          <w:szCs w:val="24"/>
        </w:rPr>
        <w:footnoteReference w:id="5"/>
      </w:r>
      <w:r>
        <w:rPr>
          <w:szCs w:val="24"/>
        </w:rPr>
        <w:t xml:space="preserve"> </w:t>
      </w:r>
      <w:r w:rsidRPr="00203170">
        <w:rPr>
          <w:szCs w:val="24"/>
        </w:rPr>
        <w:t xml:space="preserve">in the period from 2009 – 2016 was collected and entered into spreadsheets. </w:t>
      </w:r>
      <w:r>
        <w:rPr>
          <w:szCs w:val="24"/>
        </w:rPr>
        <w:t xml:space="preserve">The names of the projects </w:t>
      </w:r>
      <w:r>
        <w:rPr>
          <w:szCs w:val="24"/>
        </w:rPr>
        <w:lastRenderedPageBreak/>
        <w:t xml:space="preserve">and the names of bidders have been removed in the final data tables. This information is not considered essential to the analysis as median values across all projects and from all bidders in any given year were calculated for comparison to the master rates.  </w:t>
      </w:r>
      <w:r w:rsidRPr="00203170">
        <w:rPr>
          <w:szCs w:val="24"/>
        </w:rPr>
        <w:t xml:space="preserve">The tenders are legally required to be entered by hand onto paper, so electronic data was not available and the actual tendered values from each individual bid had to be entered by hand into spreadsheets that record each line item of the BOQ. The tables of the values entered followed exactly the specified Bill of Quantities that was required for the scope of works of each project. It follows that no two tenders are exactly the same and the direct year-to-year comparison of all cost elements was therefore not possible. </w:t>
      </w:r>
    </w:p>
    <w:p w14:paraId="15A8E2E4" w14:textId="0F426D78" w:rsidR="00E73495" w:rsidRPr="002328EF" w:rsidRDefault="00F048C4" w:rsidP="00063C48">
      <w:pPr>
        <w:pStyle w:val="Heading2"/>
      </w:pPr>
      <w:bookmarkStart w:id="89" w:name="_Toc519445717"/>
      <w:r w:rsidRPr="002328EF">
        <w:t xml:space="preserve">Population and sample sizes </w:t>
      </w:r>
      <w:r w:rsidRPr="00F048C4">
        <w:t>of the</w:t>
      </w:r>
      <w:r>
        <w:t xml:space="preserve"> </w:t>
      </w:r>
      <w:r w:rsidR="00E73495" w:rsidRPr="002328EF">
        <w:rPr>
          <w:rStyle w:val="Heading2Char"/>
          <w:b/>
        </w:rPr>
        <w:t>cost data obtained from tenders for mine rehabilitation projects</w:t>
      </w:r>
      <w:bookmarkEnd w:id="89"/>
      <w:r w:rsidR="00E73495" w:rsidRPr="002328EF">
        <w:rPr>
          <w:rStyle w:val="Heading2Char"/>
          <w:b/>
        </w:rPr>
        <w:t xml:space="preserve"> </w:t>
      </w:r>
    </w:p>
    <w:p w14:paraId="0B14FB74" w14:textId="77777777" w:rsidR="00E73495" w:rsidRPr="00203170" w:rsidRDefault="00E73495" w:rsidP="00AE71A0">
      <w:pPr>
        <w:rPr>
          <w:szCs w:val="24"/>
        </w:rPr>
      </w:pPr>
      <w:r w:rsidRPr="00203170">
        <w:rPr>
          <w:szCs w:val="24"/>
        </w:rPr>
        <w:t xml:space="preserve">The data collected for this study can be understood as both population (n) and sample (s) values. The population value (n) reflects the number of projects for which detailed price data was captured. This value is recorded as </w:t>
      </w:r>
      <w:r w:rsidRPr="00203170">
        <w:rPr>
          <w:i/>
          <w:szCs w:val="24"/>
        </w:rPr>
        <w:t>n</w:t>
      </w:r>
      <w:r w:rsidRPr="00203170">
        <w:rPr>
          <w:szCs w:val="24"/>
        </w:rPr>
        <w:t xml:space="preserve"> and, after discounting projects with too few response data entries, the population size is 50% of the total number of projects advertised in the period from 2009 to 2016. </w:t>
      </w:r>
    </w:p>
    <w:p w14:paraId="35101ACF" w14:textId="4E1EAAE2" w:rsidR="00741B55" w:rsidRPr="00741B55" w:rsidRDefault="00A54376" w:rsidP="00A54376">
      <w:pPr>
        <w:pStyle w:val="Caption"/>
      </w:pPr>
      <w:bookmarkStart w:id="90" w:name="_Toc517372895"/>
      <w:bookmarkStart w:id="91" w:name="_Toc517372932"/>
      <w:bookmarkStart w:id="92" w:name="_Toc519445858"/>
      <w:bookmarkStart w:id="93" w:name="_Toc519445895"/>
      <w:bookmarkStart w:id="94" w:name="_Hlk507336917"/>
      <w:r>
        <w:t xml:space="preserve">Table 3.1: </w:t>
      </w:r>
      <w:r w:rsidR="00741B55" w:rsidRPr="00741B55">
        <w:t>Number of tenders advertised and actual BOQ data captured per year (n) for the period 2009 - 2016</w:t>
      </w:r>
      <w:bookmarkEnd w:id="90"/>
      <w:bookmarkEnd w:id="91"/>
      <w:bookmarkEnd w:id="92"/>
      <w:bookmarkEnd w:id="93"/>
    </w:p>
    <w:tbl>
      <w:tblPr>
        <w:tblStyle w:val="TableGrid"/>
        <w:tblW w:w="0" w:type="auto"/>
        <w:tblLook w:val="04A0" w:firstRow="1" w:lastRow="0" w:firstColumn="1" w:lastColumn="0" w:noHBand="0" w:noVBand="1"/>
      </w:tblPr>
      <w:tblGrid>
        <w:gridCol w:w="2122"/>
        <w:gridCol w:w="708"/>
        <w:gridCol w:w="709"/>
        <w:gridCol w:w="709"/>
        <w:gridCol w:w="709"/>
        <w:gridCol w:w="703"/>
        <w:gridCol w:w="850"/>
        <w:gridCol w:w="725"/>
        <w:gridCol w:w="740"/>
        <w:gridCol w:w="960"/>
      </w:tblGrid>
      <w:tr w:rsidR="00E73495" w:rsidRPr="00203170" w14:paraId="4EC9C3BF" w14:textId="77777777" w:rsidTr="00E65C2A">
        <w:trPr>
          <w:trHeight w:val="288"/>
          <w:tblHeader/>
        </w:trPr>
        <w:tc>
          <w:tcPr>
            <w:tcW w:w="2122" w:type="dxa"/>
            <w:noWrap/>
            <w:hideMark/>
          </w:tcPr>
          <w:bookmarkEnd w:id="94"/>
          <w:p w14:paraId="645C7786" w14:textId="77777777" w:rsidR="00E73495" w:rsidRPr="00203170" w:rsidRDefault="00E73495" w:rsidP="00E65C2A">
            <w:pPr>
              <w:spacing w:line="240" w:lineRule="auto"/>
              <w:rPr>
                <w:b/>
                <w:bCs/>
                <w:szCs w:val="24"/>
              </w:rPr>
            </w:pPr>
            <w:r w:rsidRPr="00203170">
              <w:rPr>
                <w:b/>
                <w:bCs/>
                <w:szCs w:val="24"/>
              </w:rPr>
              <w:t>Year</w:t>
            </w:r>
          </w:p>
        </w:tc>
        <w:tc>
          <w:tcPr>
            <w:tcW w:w="708" w:type="dxa"/>
            <w:noWrap/>
            <w:hideMark/>
          </w:tcPr>
          <w:p w14:paraId="4A622DA4" w14:textId="77777777" w:rsidR="00E73495" w:rsidRPr="00203170" w:rsidRDefault="00E73495" w:rsidP="00E65C2A">
            <w:pPr>
              <w:spacing w:line="240" w:lineRule="auto"/>
              <w:rPr>
                <w:b/>
                <w:bCs/>
                <w:szCs w:val="24"/>
              </w:rPr>
            </w:pPr>
            <w:r w:rsidRPr="00203170">
              <w:rPr>
                <w:b/>
                <w:bCs/>
                <w:szCs w:val="24"/>
              </w:rPr>
              <w:t>2009</w:t>
            </w:r>
          </w:p>
        </w:tc>
        <w:tc>
          <w:tcPr>
            <w:tcW w:w="709" w:type="dxa"/>
            <w:noWrap/>
            <w:hideMark/>
          </w:tcPr>
          <w:p w14:paraId="337DBDE0" w14:textId="77777777" w:rsidR="00E73495" w:rsidRPr="00203170" w:rsidRDefault="00E73495" w:rsidP="00E65C2A">
            <w:pPr>
              <w:spacing w:line="240" w:lineRule="auto"/>
              <w:rPr>
                <w:b/>
                <w:bCs/>
                <w:szCs w:val="24"/>
              </w:rPr>
            </w:pPr>
            <w:r w:rsidRPr="00203170">
              <w:rPr>
                <w:b/>
                <w:bCs/>
                <w:szCs w:val="24"/>
              </w:rPr>
              <w:t>2010</w:t>
            </w:r>
          </w:p>
        </w:tc>
        <w:tc>
          <w:tcPr>
            <w:tcW w:w="709" w:type="dxa"/>
            <w:noWrap/>
            <w:hideMark/>
          </w:tcPr>
          <w:p w14:paraId="79EA1748" w14:textId="77777777" w:rsidR="00E73495" w:rsidRPr="00203170" w:rsidRDefault="00E73495" w:rsidP="00E65C2A">
            <w:pPr>
              <w:spacing w:line="240" w:lineRule="auto"/>
              <w:rPr>
                <w:b/>
                <w:bCs/>
                <w:szCs w:val="24"/>
              </w:rPr>
            </w:pPr>
            <w:r w:rsidRPr="00203170">
              <w:rPr>
                <w:b/>
                <w:bCs/>
                <w:szCs w:val="24"/>
              </w:rPr>
              <w:t>2011</w:t>
            </w:r>
          </w:p>
        </w:tc>
        <w:tc>
          <w:tcPr>
            <w:tcW w:w="709" w:type="dxa"/>
            <w:noWrap/>
            <w:hideMark/>
          </w:tcPr>
          <w:p w14:paraId="248C2E5A" w14:textId="77777777" w:rsidR="00E73495" w:rsidRPr="00203170" w:rsidRDefault="00E73495" w:rsidP="00E65C2A">
            <w:pPr>
              <w:spacing w:line="240" w:lineRule="auto"/>
              <w:rPr>
                <w:b/>
                <w:bCs/>
                <w:szCs w:val="24"/>
              </w:rPr>
            </w:pPr>
            <w:r w:rsidRPr="00203170">
              <w:rPr>
                <w:b/>
                <w:bCs/>
                <w:szCs w:val="24"/>
              </w:rPr>
              <w:t>2012</w:t>
            </w:r>
          </w:p>
        </w:tc>
        <w:tc>
          <w:tcPr>
            <w:tcW w:w="703" w:type="dxa"/>
            <w:noWrap/>
            <w:hideMark/>
          </w:tcPr>
          <w:p w14:paraId="30DAFCA7" w14:textId="77777777" w:rsidR="00E73495" w:rsidRPr="00203170" w:rsidRDefault="00E73495" w:rsidP="00E65C2A">
            <w:pPr>
              <w:spacing w:line="240" w:lineRule="auto"/>
              <w:rPr>
                <w:b/>
                <w:bCs/>
                <w:szCs w:val="24"/>
              </w:rPr>
            </w:pPr>
            <w:r w:rsidRPr="00203170">
              <w:rPr>
                <w:b/>
                <w:bCs/>
                <w:szCs w:val="24"/>
              </w:rPr>
              <w:t>2013</w:t>
            </w:r>
          </w:p>
        </w:tc>
        <w:tc>
          <w:tcPr>
            <w:tcW w:w="850" w:type="dxa"/>
            <w:noWrap/>
            <w:hideMark/>
          </w:tcPr>
          <w:p w14:paraId="5C1B50DB" w14:textId="77777777" w:rsidR="00E73495" w:rsidRPr="00203170" w:rsidRDefault="00E73495" w:rsidP="00E65C2A">
            <w:pPr>
              <w:spacing w:line="240" w:lineRule="auto"/>
              <w:rPr>
                <w:b/>
                <w:bCs/>
                <w:szCs w:val="24"/>
              </w:rPr>
            </w:pPr>
            <w:r w:rsidRPr="00203170">
              <w:rPr>
                <w:b/>
                <w:bCs/>
                <w:szCs w:val="24"/>
              </w:rPr>
              <w:t>2014</w:t>
            </w:r>
          </w:p>
        </w:tc>
        <w:tc>
          <w:tcPr>
            <w:tcW w:w="725" w:type="dxa"/>
            <w:noWrap/>
            <w:hideMark/>
          </w:tcPr>
          <w:p w14:paraId="1EF9D89F" w14:textId="77777777" w:rsidR="00E73495" w:rsidRPr="00203170" w:rsidRDefault="00E73495" w:rsidP="00E65C2A">
            <w:pPr>
              <w:spacing w:line="240" w:lineRule="auto"/>
              <w:rPr>
                <w:b/>
                <w:bCs/>
                <w:szCs w:val="24"/>
              </w:rPr>
            </w:pPr>
            <w:r w:rsidRPr="00203170">
              <w:rPr>
                <w:b/>
                <w:bCs/>
                <w:szCs w:val="24"/>
              </w:rPr>
              <w:t>2015</w:t>
            </w:r>
          </w:p>
        </w:tc>
        <w:tc>
          <w:tcPr>
            <w:tcW w:w="740" w:type="dxa"/>
            <w:noWrap/>
            <w:hideMark/>
          </w:tcPr>
          <w:p w14:paraId="71F81749" w14:textId="77777777" w:rsidR="00E73495" w:rsidRPr="00203170" w:rsidRDefault="00E73495" w:rsidP="00E65C2A">
            <w:pPr>
              <w:spacing w:line="240" w:lineRule="auto"/>
              <w:rPr>
                <w:b/>
                <w:bCs/>
                <w:szCs w:val="24"/>
              </w:rPr>
            </w:pPr>
            <w:r w:rsidRPr="00203170">
              <w:rPr>
                <w:b/>
                <w:bCs/>
                <w:szCs w:val="24"/>
              </w:rPr>
              <w:t>2016</w:t>
            </w:r>
          </w:p>
        </w:tc>
        <w:tc>
          <w:tcPr>
            <w:tcW w:w="960" w:type="dxa"/>
            <w:noWrap/>
            <w:hideMark/>
          </w:tcPr>
          <w:p w14:paraId="55A24F51" w14:textId="77777777" w:rsidR="00E73495" w:rsidRPr="00203170" w:rsidRDefault="00E73495" w:rsidP="00E65C2A">
            <w:pPr>
              <w:spacing w:line="240" w:lineRule="auto"/>
              <w:rPr>
                <w:b/>
                <w:bCs/>
                <w:szCs w:val="24"/>
              </w:rPr>
            </w:pPr>
            <w:r w:rsidRPr="00203170">
              <w:rPr>
                <w:b/>
                <w:bCs/>
                <w:szCs w:val="24"/>
              </w:rPr>
              <w:t>TOTAL</w:t>
            </w:r>
          </w:p>
        </w:tc>
      </w:tr>
      <w:tr w:rsidR="00E73495" w:rsidRPr="00203170" w14:paraId="2016F8F1" w14:textId="77777777" w:rsidTr="0091430F">
        <w:trPr>
          <w:trHeight w:val="549"/>
        </w:trPr>
        <w:tc>
          <w:tcPr>
            <w:tcW w:w="2122" w:type="dxa"/>
            <w:hideMark/>
          </w:tcPr>
          <w:p w14:paraId="2D6750C0" w14:textId="77777777" w:rsidR="00E73495" w:rsidRPr="00203170" w:rsidRDefault="00E73495" w:rsidP="00E65C2A">
            <w:pPr>
              <w:spacing w:line="240" w:lineRule="auto"/>
              <w:rPr>
                <w:b/>
                <w:bCs/>
                <w:szCs w:val="24"/>
              </w:rPr>
            </w:pPr>
            <w:r w:rsidRPr="00203170">
              <w:rPr>
                <w:b/>
                <w:bCs/>
                <w:szCs w:val="24"/>
              </w:rPr>
              <w:t>Number of tenders advertised</w:t>
            </w:r>
          </w:p>
        </w:tc>
        <w:tc>
          <w:tcPr>
            <w:tcW w:w="708" w:type="dxa"/>
            <w:noWrap/>
            <w:vAlign w:val="center"/>
            <w:hideMark/>
          </w:tcPr>
          <w:p w14:paraId="6F91B1D6" w14:textId="77777777" w:rsidR="00E73495" w:rsidRPr="00203170" w:rsidRDefault="00E73495" w:rsidP="00915B20">
            <w:pPr>
              <w:spacing w:line="240" w:lineRule="auto"/>
              <w:jc w:val="center"/>
              <w:rPr>
                <w:szCs w:val="24"/>
              </w:rPr>
            </w:pPr>
            <w:r w:rsidRPr="00203170">
              <w:rPr>
                <w:szCs w:val="24"/>
              </w:rPr>
              <w:t>3</w:t>
            </w:r>
          </w:p>
        </w:tc>
        <w:tc>
          <w:tcPr>
            <w:tcW w:w="709" w:type="dxa"/>
            <w:noWrap/>
            <w:vAlign w:val="center"/>
            <w:hideMark/>
          </w:tcPr>
          <w:p w14:paraId="436041A6" w14:textId="77777777" w:rsidR="00E73495" w:rsidRPr="00203170" w:rsidRDefault="00E73495" w:rsidP="00915B20">
            <w:pPr>
              <w:spacing w:line="240" w:lineRule="auto"/>
              <w:jc w:val="center"/>
              <w:rPr>
                <w:szCs w:val="24"/>
              </w:rPr>
            </w:pPr>
            <w:r w:rsidRPr="00203170">
              <w:rPr>
                <w:szCs w:val="24"/>
              </w:rPr>
              <w:t>2</w:t>
            </w:r>
          </w:p>
        </w:tc>
        <w:tc>
          <w:tcPr>
            <w:tcW w:w="709" w:type="dxa"/>
            <w:noWrap/>
            <w:vAlign w:val="center"/>
            <w:hideMark/>
          </w:tcPr>
          <w:p w14:paraId="5EC34E27" w14:textId="77777777" w:rsidR="00E73495" w:rsidRPr="00203170" w:rsidRDefault="00E73495" w:rsidP="00915B20">
            <w:pPr>
              <w:spacing w:line="240" w:lineRule="auto"/>
              <w:jc w:val="center"/>
              <w:rPr>
                <w:szCs w:val="24"/>
              </w:rPr>
            </w:pPr>
            <w:r w:rsidRPr="00203170">
              <w:rPr>
                <w:szCs w:val="24"/>
              </w:rPr>
              <w:t>1</w:t>
            </w:r>
          </w:p>
        </w:tc>
        <w:tc>
          <w:tcPr>
            <w:tcW w:w="709" w:type="dxa"/>
            <w:noWrap/>
            <w:vAlign w:val="center"/>
            <w:hideMark/>
          </w:tcPr>
          <w:p w14:paraId="059A07A3" w14:textId="77777777" w:rsidR="00E73495" w:rsidRPr="00203170" w:rsidRDefault="00E73495" w:rsidP="00915B20">
            <w:pPr>
              <w:spacing w:line="240" w:lineRule="auto"/>
              <w:jc w:val="center"/>
              <w:rPr>
                <w:szCs w:val="24"/>
              </w:rPr>
            </w:pPr>
            <w:r w:rsidRPr="00203170">
              <w:rPr>
                <w:szCs w:val="24"/>
              </w:rPr>
              <w:t>9</w:t>
            </w:r>
          </w:p>
        </w:tc>
        <w:tc>
          <w:tcPr>
            <w:tcW w:w="703" w:type="dxa"/>
            <w:noWrap/>
            <w:vAlign w:val="center"/>
            <w:hideMark/>
          </w:tcPr>
          <w:p w14:paraId="0123A70D" w14:textId="77777777" w:rsidR="00E73495" w:rsidRPr="00203170" w:rsidRDefault="00E73495" w:rsidP="00915B20">
            <w:pPr>
              <w:spacing w:line="240" w:lineRule="auto"/>
              <w:jc w:val="center"/>
              <w:rPr>
                <w:szCs w:val="24"/>
              </w:rPr>
            </w:pPr>
            <w:r w:rsidRPr="00203170">
              <w:rPr>
                <w:szCs w:val="24"/>
              </w:rPr>
              <w:t>3</w:t>
            </w:r>
          </w:p>
        </w:tc>
        <w:tc>
          <w:tcPr>
            <w:tcW w:w="850" w:type="dxa"/>
            <w:noWrap/>
            <w:vAlign w:val="center"/>
            <w:hideMark/>
          </w:tcPr>
          <w:p w14:paraId="4FCC3EFD" w14:textId="77777777" w:rsidR="00E73495" w:rsidRPr="00203170" w:rsidRDefault="00E73495" w:rsidP="00915B20">
            <w:pPr>
              <w:spacing w:line="240" w:lineRule="auto"/>
              <w:jc w:val="center"/>
              <w:rPr>
                <w:szCs w:val="24"/>
              </w:rPr>
            </w:pPr>
            <w:r w:rsidRPr="00203170">
              <w:rPr>
                <w:szCs w:val="24"/>
              </w:rPr>
              <w:t>6</w:t>
            </w:r>
          </w:p>
        </w:tc>
        <w:tc>
          <w:tcPr>
            <w:tcW w:w="725" w:type="dxa"/>
            <w:noWrap/>
            <w:vAlign w:val="center"/>
            <w:hideMark/>
          </w:tcPr>
          <w:p w14:paraId="699962A0" w14:textId="77777777" w:rsidR="00E73495" w:rsidRPr="00203170" w:rsidRDefault="00E73495" w:rsidP="00915B20">
            <w:pPr>
              <w:spacing w:line="240" w:lineRule="auto"/>
              <w:jc w:val="center"/>
              <w:rPr>
                <w:szCs w:val="24"/>
              </w:rPr>
            </w:pPr>
            <w:r w:rsidRPr="00203170">
              <w:rPr>
                <w:szCs w:val="24"/>
              </w:rPr>
              <w:t>6</w:t>
            </w:r>
          </w:p>
        </w:tc>
        <w:tc>
          <w:tcPr>
            <w:tcW w:w="740" w:type="dxa"/>
            <w:noWrap/>
            <w:vAlign w:val="center"/>
            <w:hideMark/>
          </w:tcPr>
          <w:p w14:paraId="3C697CF3" w14:textId="77777777" w:rsidR="00E73495" w:rsidRPr="00203170" w:rsidRDefault="00E73495" w:rsidP="00915B20">
            <w:pPr>
              <w:spacing w:line="240" w:lineRule="auto"/>
              <w:jc w:val="center"/>
              <w:rPr>
                <w:szCs w:val="24"/>
              </w:rPr>
            </w:pPr>
            <w:r w:rsidRPr="00203170">
              <w:rPr>
                <w:szCs w:val="24"/>
              </w:rPr>
              <w:t>4</w:t>
            </w:r>
          </w:p>
        </w:tc>
        <w:tc>
          <w:tcPr>
            <w:tcW w:w="960" w:type="dxa"/>
            <w:noWrap/>
            <w:vAlign w:val="center"/>
            <w:hideMark/>
          </w:tcPr>
          <w:p w14:paraId="35EB548A" w14:textId="77777777" w:rsidR="00E73495" w:rsidRPr="00203170" w:rsidRDefault="00E73495" w:rsidP="00915B20">
            <w:pPr>
              <w:spacing w:line="240" w:lineRule="auto"/>
              <w:jc w:val="center"/>
              <w:rPr>
                <w:b/>
                <w:bCs/>
                <w:szCs w:val="24"/>
              </w:rPr>
            </w:pPr>
            <w:r w:rsidRPr="00203170">
              <w:rPr>
                <w:b/>
                <w:bCs/>
                <w:szCs w:val="24"/>
              </w:rPr>
              <w:t>34</w:t>
            </w:r>
          </w:p>
        </w:tc>
      </w:tr>
      <w:tr w:rsidR="00E73495" w:rsidRPr="00203170" w14:paraId="66D11CE5" w14:textId="77777777" w:rsidTr="0091430F">
        <w:trPr>
          <w:trHeight w:val="970"/>
        </w:trPr>
        <w:tc>
          <w:tcPr>
            <w:tcW w:w="2122" w:type="dxa"/>
            <w:hideMark/>
          </w:tcPr>
          <w:p w14:paraId="2C5901FB" w14:textId="77777777" w:rsidR="00E73495" w:rsidRPr="00203170" w:rsidRDefault="00E73495" w:rsidP="00E65C2A">
            <w:pPr>
              <w:spacing w:line="240" w:lineRule="auto"/>
              <w:rPr>
                <w:b/>
                <w:bCs/>
                <w:szCs w:val="24"/>
              </w:rPr>
            </w:pPr>
            <w:r w:rsidRPr="00203170">
              <w:rPr>
                <w:b/>
                <w:bCs/>
                <w:szCs w:val="24"/>
              </w:rPr>
              <w:t>Number of tenders for which cost data is recorded</w:t>
            </w:r>
          </w:p>
        </w:tc>
        <w:tc>
          <w:tcPr>
            <w:tcW w:w="708" w:type="dxa"/>
            <w:noWrap/>
            <w:vAlign w:val="center"/>
            <w:hideMark/>
          </w:tcPr>
          <w:p w14:paraId="6DADB826" w14:textId="77777777" w:rsidR="00E73495" w:rsidRPr="00203170" w:rsidRDefault="00E73495" w:rsidP="00915B20">
            <w:pPr>
              <w:spacing w:line="240" w:lineRule="auto"/>
              <w:jc w:val="center"/>
              <w:rPr>
                <w:szCs w:val="24"/>
              </w:rPr>
            </w:pPr>
            <w:r w:rsidRPr="00203170">
              <w:rPr>
                <w:szCs w:val="24"/>
              </w:rPr>
              <w:t>3</w:t>
            </w:r>
          </w:p>
        </w:tc>
        <w:tc>
          <w:tcPr>
            <w:tcW w:w="709" w:type="dxa"/>
            <w:noWrap/>
            <w:vAlign w:val="center"/>
            <w:hideMark/>
          </w:tcPr>
          <w:p w14:paraId="3C7E6BF6" w14:textId="77777777" w:rsidR="00E73495" w:rsidRPr="00203170" w:rsidRDefault="00E73495" w:rsidP="00915B20">
            <w:pPr>
              <w:spacing w:line="240" w:lineRule="auto"/>
              <w:jc w:val="center"/>
              <w:rPr>
                <w:szCs w:val="24"/>
              </w:rPr>
            </w:pPr>
            <w:r w:rsidRPr="00203170">
              <w:rPr>
                <w:szCs w:val="24"/>
              </w:rPr>
              <w:t>1</w:t>
            </w:r>
          </w:p>
        </w:tc>
        <w:tc>
          <w:tcPr>
            <w:tcW w:w="709" w:type="dxa"/>
            <w:noWrap/>
            <w:vAlign w:val="center"/>
            <w:hideMark/>
          </w:tcPr>
          <w:p w14:paraId="59009468" w14:textId="77777777" w:rsidR="00E73495" w:rsidRPr="00203170" w:rsidRDefault="00E73495" w:rsidP="00915B20">
            <w:pPr>
              <w:spacing w:line="240" w:lineRule="auto"/>
              <w:jc w:val="center"/>
              <w:rPr>
                <w:szCs w:val="24"/>
              </w:rPr>
            </w:pPr>
            <w:r w:rsidRPr="00203170">
              <w:rPr>
                <w:szCs w:val="24"/>
              </w:rPr>
              <w:t>1</w:t>
            </w:r>
          </w:p>
        </w:tc>
        <w:tc>
          <w:tcPr>
            <w:tcW w:w="709" w:type="dxa"/>
            <w:noWrap/>
            <w:vAlign w:val="center"/>
            <w:hideMark/>
          </w:tcPr>
          <w:p w14:paraId="064A4409" w14:textId="77777777" w:rsidR="00E73495" w:rsidRPr="00203170" w:rsidRDefault="00E73495" w:rsidP="00915B20">
            <w:pPr>
              <w:spacing w:line="240" w:lineRule="auto"/>
              <w:jc w:val="center"/>
              <w:rPr>
                <w:szCs w:val="24"/>
              </w:rPr>
            </w:pPr>
            <w:r w:rsidRPr="00203170">
              <w:rPr>
                <w:szCs w:val="24"/>
              </w:rPr>
              <w:t>1</w:t>
            </w:r>
          </w:p>
        </w:tc>
        <w:tc>
          <w:tcPr>
            <w:tcW w:w="703" w:type="dxa"/>
            <w:noWrap/>
            <w:vAlign w:val="center"/>
            <w:hideMark/>
          </w:tcPr>
          <w:p w14:paraId="6A20B01C" w14:textId="77777777" w:rsidR="00E73495" w:rsidRPr="00203170" w:rsidRDefault="00E73495" w:rsidP="00915B20">
            <w:pPr>
              <w:spacing w:line="240" w:lineRule="auto"/>
              <w:jc w:val="center"/>
              <w:rPr>
                <w:szCs w:val="24"/>
              </w:rPr>
            </w:pPr>
            <w:r w:rsidRPr="00203170">
              <w:rPr>
                <w:szCs w:val="24"/>
              </w:rPr>
              <w:t>0</w:t>
            </w:r>
          </w:p>
        </w:tc>
        <w:tc>
          <w:tcPr>
            <w:tcW w:w="850" w:type="dxa"/>
            <w:noWrap/>
            <w:vAlign w:val="center"/>
            <w:hideMark/>
          </w:tcPr>
          <w:p w14:paraId="03110DC6" w14:textId="77777777" w:rsidR="00E73495" w:rsidRPr="00203170" w:rsidRDefault="00E73495" w:rsidP="00915B20">
            <w:pPr>
              <w:spacing w:line="240" w:lineRule="auto"/>
              <w:jc w:val="center"/>
              <w:rPr>
                <w:szCs w:val="24"/>
              </w:rPr>
            </w:pPr>
            <w:r w:rsidRPr="00203170">
              <w:rPr>
                <w:szCs w:val="24"/>
              </w:rPr>
              <w:t>5</w:t>
            </w:r>
          </w:p>
        </w:tc>
        <w:tc>
          <w:tcPr>
            <w:tcW w:w="725" w:type="dxa"/>
            <w:noWrap/>
            <w:vAlign w:val="center"/>
            <w:hideMark/>
          </w:tcPr>
          <w:p w14:paraId="404A121D" w14:textId="77777777" w:rsidR="00E73495" w:rsidRPr="00203170" w:rsidRDefault="00E73495" w:rsidP="00915B20">
            <w:pPr>
              <w:spacing w:line="240" w:lineRule="auto"/>
              <w:jc w:val="center"/>
              <w:rPr>
                <w:szCs w:val="24"/>
              </w:rPr>
            </w:pPr>
            <w:r w:rsidRPr="00203170">
              <w:rPr>
                <w:szCs w:val="24"/>
              </w:rPr>
              <w:t>3(5)*</w:t>
            </w:r>
          </w:p>
        </w:tc>
        <w:tc>
          <w:tcPr>
            <w:tcW w:w="740" w:type="dxa"/>
            <w:noWrap/>
            <w:vAlign w:val="center"/>
            <w:hideMark/>
          </w:tcPr>
          <w:p w14:paraId="74A5AA51" w14:textId="77777777" w:rsidR="00E73495" w:rsidRPr="00203170" w:rsidRDefault="00E73495" w:rsidP="00915B20">
            <w:pPr>
              <w:spacing w:line="240" w:lineRule="auto"/>
              <w:jc w:val="center"/>
              <w:rPr>
                <w:szCs w:val="24"/>
              </w:rPr>
            </w:pPr>
            <w:r w:rsidRPr="00203170">
              <w:rPr>
                <w:szCs w:val="24"/>
              </w:rPr>
              <w:t>3</w:t>
            </w:r>
          </w:p>
        </w:tc>
        <w:tc>
          <w:tcPr>
            <w:tcW w:w="960" w:type="dxa"/>
            <w:noWrap/>
            <w:vAlign w:val="center"/>
            <w:hideMark/>
          </w:tcPr>
          <w:p w14:paraId="1283D6B8" w14:textId="77777777" w:rsidR="00E73495" w:rsidRPr="00203170" w:rsidRDefault="00E73495" w:rsidP="00915B20">
            <w:pPr>
              <w:spacing w:line="240" w:lineRule="auto"/>
              <w:jc w:val="center"/>
              <w:rPr>
                <w:b/>
                <w:bCs/>
                <w:szCs w:val="24"/>
              </w:rPr>
            </w:pPr>
            <w:r w:rsidRPr="00203170">
              <w:rPr>
                <w:b/>
                <w:bCs/>
                <w:szCs w:val="24"/>
              </w:rPr>
              <w:t>17</w:t>
            </w:r>
          </w:p>
        </w:tc>
      </w:tr>
    </w:tbl>
    <w:p w14:paraId="7F4E650A" w14:textId="77777777" w:rsidR="00E73495" w:rsidRPr="0091430F" w:rsidRDefault="00E73495" w:rsidP="00322083">
      <w:pPr>
        <w:pStyle w:val="Caption"/>
        <w:rPr>
          <w:rStyle w:val="Emphasis"/>
          <w:b w:val="0"/>
        </w:rPr>
      </w:pPr>
      <w:bookmarkStart w:id="95" w:name="_Toc507336161"/>
      <w:bookmarkStart w:id="96" w:name="_Toc507336567"/>
      <w:bookmarkStart w:id="97" w:name="_Toc507336680"/>
      <w:bookmarkStart w:id="98" w:name="_Toc517372896"/>
      <w:bookmarkStart w:id="99" w:name="_Toc517372933"/>
      <w:bookmarkStart w:id="100" w:name="_Toc517373088"/>
      <w:bookmarkStart w:id="101" w:name="_Toc519445821"/>
      <w:bookmarkStart w:id="102" w:name="_Toc519445859"/>
      <w:bookmarkStart w:id="103" w:name="_Toc519445896"/>
      <w:r w:rsidRPr="0091430F">
        <w:rPr>
          <w:rStyle w:val="Emphasis"/>
          <w:b w:val="0"/>
        </w:rPr>
        <w:t>*</w:t>
      </w:r>
      <w:r w:rsidRPr="00D7687F">
        <w:rPr>
          <w:b w:val="0"/>
          <w:i/>
        </w:rPr>
        <w:t>In 2015, the data for 5 returned tenders were captured, but the data sets were too small (only one qualifying respondent in two cases) so that data is excluded from this study.</w:t>
      </w:r>
      <w:bookmarkEnd w:id="95"/>
      <w:bookmarkEnd w:id="96"/>
      <w:bookmarkEnd w:id="97"/>
      <w:bookmarkEnd w:id="98"/>
      <w:bookmarkEnd w:id="99"/>
      <w:bookmarkEnd w:id="100"/>
      <w:bookmarkEnd w:id="101"/>
      <w:bookmarkEnd w:id="102"/>
      <w:bookmarkEnd w:id="103"/>
    </w:p>
    <w:p w14:paraId="7D872764" w14:textId="77777777" w:rsidR="00E73495" w:rsidRPr="00203170" w:rsidRDefault="00E73495" w:rsidP="00AE71A0">
      <w:pPr>
        <w:rPr>
          <w:szCs w:val="24"/>
        </w:rPr>
      </w:pPr>
      <w:r w:rsidRPr="00203170">
        <w:rPr>
          <w:szCs w:val="24"/>
        </w:rPr>
        <w:t>Over the period from 2009 – 2016, the data for 17 projects out of a possible 34 were usable to include in this study. The population (</w:t>
      </w:r>
      <w:r w:rsidRPr="00203170">
        <w:rPr>
          <w:i/>
          <w:szCs w:val="24"/>
        </w:rPr>
        <w:t>n</w:t>
      </w:r>
      <w:r w:rsidRPr="00203170">
        <w:rPr>
          <w:szCs w:val="24"/>
        </w:rPr>
        <w:t>) for the entire data set is therefore 17.</w:t>
      </w:r>
      <w:r>
        <w:rPr>
          <w:szCs w:val="24"/>
        </w:rPr>
        <w:t xml:space="preserve"> No suitable data was collected in 2013 and this year presents a gap in the entire data set. </w:t>
      </w:r>
    </w:p>
    <w:p w14:paraId="44FF23C9" w14:textId="77777777" w:rsidR="00E73495" w:rsidRPr="00203170" w:rsidRDefault="00E73495" w:rsidP="00AE71A0">
      <w:pPr>
        <w:rPr>
          <w:szCs w:val="24"/>
        </w:rPr>
      </w:pPr>
      <w:r w:rsidRPr="00203170">
        <w:rPr>
          <w:szCs w:val="24"/>
        </w:rPr>
        <w:t>The sample value (</w:t>
      </w:r>
      <w:r w:rsidRPr="00203170">
        <w:rPr>
          <w:i/>
          <w:szCs w:val="24"/>
        </w:rPr>
        <w:t>s</w:t>
      </w:r>
      <w:r w:rsidRPr="00203170">
        <w:rPr>
          <w:szCs w:val="24"/>
        </w:rPr>
        <w:t xml:space="preserve">) is the number of actual tendered BOQ’s submitted per individual project and from which the data was obtained. This </w:t>
      </w:r>
      <w:r w:rsidRPr="00203170">
        <w:rPr>
          <w:i/>
          <w:szCs w:val="24"/>
        </w:rPr>
        <w:t>s</w:t>
      </w:r>
      <w:r w:rsidRPr="00203170">
        <w:rPr>
          <w:szCs w:val="24"/>
        </w:rPr>
        <w:t xml:space="preserve">-value reflects the depth of data used to arrive at median prices per line item in the final comparison tables. </w:t>
      </w:r>
    </w:p>
    <w:p w14:paraId="0B0CA49F" w14:textId="7B0F6E3A" w:rsidR="00E73495" w:rsidRPr="00203170" w:rsidRDefault="00E73495" w:rsidP="00AE71A0">
      <w:pPr>
        <w:rPr>
          <w:szCs w:val="24"/>
        </w:rPr>
      </w:pPr>
      <w:r w:rsidRPr="00203170">
        <w:rPr>
          <w:szCs w:val="24"/>
        </w:rPr>
        <w:lastRenderedPageBreak/>
        <w:t xml:space="preserve">The preparation and advertisement of tenders is a very involved process and the design that precedes a tender varies widely depending on the complexity of the work at hand. In addition to this, funding delays and other factors play a role in the consistency with which tenders are awarded. Table </w:t>
      </w:r>
      <w:r>
        <w:rPr>
          <w:szCs w:val="24"/>
        </w:rPr>
        <w:t>3.</w:t>
      </w:r>
      <w:r w:rsidRPr="00203170">
        <w:rPr>
          <w:szCs w:val="24"/>
        </w:rPr>
        <w:t xml:space="preserve">2 below reflects the projects for which cost data was obtained. The year reflected is the year in which the particular tender closed and the data was </w:t>
      </w:r>
      <w:r>
        <w:rPr>
          <w:szCs w:val="24"/>
        </w:rPr>
        <w:t>recorded</w:t>
      </w:r>
      <w:r w:rsidRPr="00203170">
        <w:rPr>
          <w:szCs w:val="24"/>
        </w:rPr>
        <w:t xml:space="preserve">. </w:t>
      </w:r>
    </w:p>
    <w:p w14:paraId="2141402C" w14:textId="53DC7FDF" w:rsidR="00741B55" w:rsidRPr="00741B55" w:rsidRDefault="0091430F" w:rsidP="00322083">
      <w:pPr>
        <w:pStyle w:val="Caption"/>
      </w:pPr>
      <w:bookmarkStart w:id="104" w:name="_Toc507336162"/>
      <w:bookmarkStart w:id="105" w:name="_Toc507336568"/>
      <w:bookmarkStart w:id="106" w:name="_Toc517372897"/>
      <w:bookmarkStart w:id="107" w:name="_Toc517372934"/>
      <w:bookmarkStart w:id="108" w:name="_Toc519445860"/>
      <w:bookmarkStart w:id="109" w:name="_Toc519445897"/>
      <w:r>
        <w:t xml:space="preserve">Table 3.2: </w:t>
      </w:r>
      <w:r w:rsidR="00741B55" w:rsidRPr="00741B55">
        <w:t>Projects per year of tender closure and number of respondents (s) for each tender used in the data for this r</w:t>
      </w:r>
      <w:bookmarkEnd w:id="104"/>
      <w:bookmarkEnd w:id="105"/>
      <w:r w:rsidR="001E063D">
        <w:t>esearch report</w:t>
      </w:r>
      <w:bookmarkEnd w:id="106"/>
      <w:bookmarkEnd w:id="107"/>
      <w:bookmarkEnd w:id="108"/>
      <w:bookmarkEnd w:id="109"/>
    </w:p>
    <w:tbl>
      <w:tblPr>
        <w:tblStyle w:val="TableGrid"/>
        <w:tblW w:w="0" w:type="auto"/>
        <w:jc w:val="center"/>
        <w:tblLook w:val="04A0" w:firstRow="1" w:lastRow="0" w:firstColumn="1" w:lastColumn="0" w:noHBand="0" w:noVBand="1"/>
      </w:tblPr>
      <w:tblGrid>
        <w:gridCol w:w="2694"/>
        <w:gridCol w:w="1984"/>
        <w:gridCol w:w="3822"/>
      </w:tblGrid>
      <w:tr w:rsidR="00E73495" w:rsidRPr="00203170" w14:paraId="4F23899A" w14:textId="77777777" w:rsidTr="009A5A5D">
        <w:trPr>
          <w:trHeight w:val="288"/>
          <w:tblHeader/>
          <w:jc w:val="center"/>
        </w:trPr>
        <w:tc>
          <w:tcPr>
            <w:tcW w:w="2694" w:type="dxa"/>
            <w:noWrap/>
          </w:tcPr>
          <w:p w14:paraId="44820102" w14:textId="77777777" w:rsidR="00E73495" w:rsidRPr="009A5A5D" w:rsidRDefault="00E73495" w:rsidP="009A5A5D">
            <w:pPr>
              <w:spacing w:line="240" w:lineRule="auto"/>
              <w:jc w:val="left"/>
              <w:rPr>
                <w:b/>
              </w:rPr>
            </w:pPr>
            <w:r w:rsidRPr="009A5A5D">
              <w:rPr>
                <w:b/>
              </w:rPr>
              <w:t>Year that tender closed (data input)</w:t>
            </w:r>
          </w:p>
        </w:tc>
        <w:tc>
          <w:tcPr>
            <w:tcW w:w="1984" w:type="dxa"/>
            <w:noWrap/>
          </w:tcPr>
          <w:p w14:paraId="4A6D8C8F" w14:textId="77777777" w:rsidR="00E73495" w:rsidRPr="009A5A5D" w:rsidRDefault="00E73495" w:rsidP="009A5A5D">
            <w:pPr>
              <w:spacing w:line="240" w:lineRule="auto"/>
              <w:jc w:val="left"/>
              <w:rPr>
                <w:b/>
              </w:rPr>
            </w:pPr>
            <w:r w:rsidRPr="009A5A5D">
              <w:rPr>
                <w:b/>
              </w:rPr>
              <w:t>Project name</w:t>
            </w:r>
          </w:p>
        </w:tc>
        <w:tc>
          <w:tcPr>
            <w:tcW w:w="3822" w:type="dxa"/>
            <w:noWrap/>
          </w:tcPr>
          <w:p w14:paraId="67B613D4" w14:textId="77777777" w:rsidR="00E73495" w:rsidRPr="009A5A5D" w:rsidRDefault="00E73495" w:rsidP="009A5A5D">
            <w:pPr>
              <w:spacing w:line="240" w:lineRule="auto"/>
              <w:jc w:val="left"/>
              <w:rPr>
                <w:b/>
              </w:rPr>
            </w:pPr>
            <w:r w:rsidRPr="009A5A5D">
              <w:rPr>
                <w:b/>
              </w:rPr>
              <w:t>Number of respondents: Sample (s) of data set per project</w:t>
            </w:r>
          </w:p>
        </w:tc>
      </w:tr>
      <w:tr w:rsidR="00E73495" w:rsidRPr="00203170" w14:paraId="0379C3F2" w14:textId="77777777" w:rsidTr="009A5A5D">
        <w:trPr>
          <w:trHeight w:val="288"/>
          <w:jc w:val="center"/>
        </w:trPr>
        <w:tc>
          <w:tcPr>
            <w:tcW w:w="2694" w:type="dxa"/>
            <w:vMerge w:val="restart"/>
            <w:noWrap/>
            <w:vAlign w:val="center"/>
            <w:hideMark/>
          </w:tcPr>
          <w:p w14:paraId="2162ADC4" w14:textId="77777777" w:rsidR="00E73495" w:rsidRPr="00203170" w:rsidRDefault="00E73495" w:rsidP="00AE71A0">
            <w:pPr>
              <w:rPr>
                <w:szCs w:val="24"/>
              </w:rPr>
            </w:pPr>
            <w:r w:rsidRPr="00203170">
              <w:rPr>
                <w:szCs w:val="24"/>
              </w:rPr>
              <w:t>2009</w:t>
            </w:r>
          </w:p>
        </w:tc>
        <w:tc>
          <w:tcPr>
            <w:tcW w:w="1984" w:type="dxa"/>
            <w:noWrap/>
            <w:hideMark/>
          </w:tcPr>
          <w:p w14:paraId="61B1035B" w14:textId="77777777" w:rsidR="00E73495" w:rsidRPr="00203170" w:rsidRDefault="00E73495" w:rsidP="00AE71A0">
            <w:pPr>
              <w:rPr>
                <w:szCs w:val="24"/>
              </w:rPr>
            </w:pPr>
            <w:r w:rsidRPr="00203170">
              <w:rPr>
                <w:szCs w:val="24"/>
              </w:rPr>
              <w:t>Project A</w:t>
            </w:r>
          </w:p>
        </w:tc>
        <w:tc>
          <w:tcPr>
            <w:tcW w:w="3822" w:type="dxa"/>
            <w:noWrap/>
            <w:hideMark/>
          </w:tcPr>
          <w:p w14:paraId="5EDA9B04" w14:textId="77777777" w:rsidR="00E73495" w:rsidRPr="00203170" w:rsidRDefault="00E73495" w:rsidP="00915B20">
            <w:pPr>
              <w:jc w:val="center"/>
              <w:rPr>
                <w:szCs w:val="24"/>
              </w:rPr>
            </w:pPr>
            <w:r w:rsidRPr="00203170">
              <w:rPr>
                <w:szCs w:val="24"/>
              </w:rPr>
              <w:t>7</w:t>
            </w:r>
          </w:p>
        </w:tc>
      </w:tr>
      <w:tr w:rsidR="00E73495" w:rsidRPr="00203170" w14:paraId="7C9D7CEA" w14:textId="77777777" w:rsidTr="009A5A5D">
        <w:trPr>
          <w:trHeight w:val="255"/>
          <w:jc w:val="center"/>
        </w:trPr>
        <w:tc>
          <w:tcPr>
            <w:tcW w:w="2694" w:type="dxa"/>
            <w:vMerge/>
            <w:noWrap/>
            <w:vAlign w:val="center"/>
            <w:hideMark/>
          </w:tcPr>
          <w:p w14:paraId="715EC612" w14:textId="77777777" w:rsidR="00E73495" w:rsidRPr="00203170" w:rsidRDefault="00E73495" w:rsidP="00AE71A0">
            <w:pPr>
              <w:rPr>
                <w:szCs w:val="24"/>
              </w:rPr>
            </w:pPr>
          </w:p>
        </w:tc>
        <w:tc>
          <w:tcPr>
            <w:tcW w:w="1984" w:type="dxa"/>
            <w:noWrap/>
            <w:hideMark/>
          </w:tcPr>
          <w:p w14:paraId="5BE1925B" w14:textId="77777777" w:rsidR="00E73495" w:rsidRPr="00203170" w:rsidRDefault="00E73495" w:rsidP="00AE71A0">
            <w:pPr>
              <w:rPr>
                <w:szCs w:val="24"/>
              </w:rPr>
            </w:pPr>
            <w:r w:rsidRPr="00203170">
              <w:rPr>
                <w:szCs w:val="24"/>
              </w:rPr>
              <w:t>Project B</w:t>
            </w:r>
          </w:p>
        </w:tc>
        <w:tc>
          <w:tcPr>
            <w:tcW w:w="3822" w:type="dxa"/>
            <w:noWrap/>
            <w:hideMark/>
          </w:tcPr>
          <w:p w14:paraId="77B88399" w14:textId="77777777" w:rsidR="00E73495" w:rsidRPr="00203170" w:rsidRDefault="00E73495" w:rsidP="00915B20">
            <w:pPr>
              <w:jc w:val="center"/>
              <w:rPr>
                <w:szCs w:val="24"/>
              </w:rPr>
            </w:pPr>
            <w:r w:rsidRPr="00203170">
              <w:rPr>
                <w:szCs w:val="24"/>
              </w:rPr>
              <w:t>30</w:t>
            </w:r>
          </w:p>
        </w:tc>
      </w:tr>
      <w:tr w:rsidR="00E73495" w:rsidRPr="00203170" w14:paraId="4FE14A59" w14:textId="77777777" w:rsidTr="009A5A5D">
        <w:trPr>
          <w:trHeight w:val="454"/>
          <w:jc w:val="center"/>
        </w:trPr>
        <w:tc>
          <w:tcPr>
            <w:tcW w:w="2694" w:type="dxa"/>
            <w:vMerge/>
            <w:noWrap/>
            <w:vAlign w:val="center"/>
            <w:hideMark/>
          </w:tcPr>
          <w:p w14:paraId="40CE126C" w14:textId="77777777" w:rsidR="00E73495" w:rsidRPr="00203170" w:rsidRDefault="00E73495" w:rsidP="00AE71A0">
            <w:pPr>
              <w:rPr>
                <w:szCs w:val="24"/>
              </w:rPr>
            </w:pPr>
          </w:p>
        </w:tc>
        <w:tc>
          <w:tcPr>
            <w:tcW w:w="1984" w:type="dxa"/>
            <w:noWrap/>
            <w:hideMark/>
          </w:tcPr>
          <w:p w14:paraId="3CA584FD" w14:textId="77777777" w:rsidR="00E73495" w:rsidRPr="00203170" w:rsidRDefault="00E73495" w:rsidP="00AE71A0">
            <w:pPr>
              <w:rPr>
                <w:szCs w:val="24"/>
              </w:rPr>
            </w:pPr>
            <w:r w:rsidRPr="00203170">
              <w:rPr>
                <w:szCs w:val="24"/>
              </w:rPr>
              <w:t>Project C</w:t>
            </w:r>
          </w:p>
        </w:tc>
        <w:tc>
          <w:tcPr>
            <w:tcW w:w="3822" w:type="dxa"/>
            <w:noWrap/>
            <w:hideMark/>
          </w:tcPr>
          <w:p w14:paraId="34EBA9E3" w14:textId="77777777" w:rsidR="00E73495" w:rsidRPr="00203170" w:rsidRDefault="00E73495" w:rsidP="00915B20">
            <w:pPr>
              <w:jc w:val="center"/>
              <w:rPr>
                <w:szCs w:val="24"/>
              </w:rPr>
            </w:pPr>
            <w:r w:rsidRPr="00203170">
              <w:rPr>
                <w:szCs w:val="24"/>
              </w:rPr>
              <w:t>14</w:t>
            </w:r>
          </w:p>
        </w:tc>
      </w:tr>
      <w:tr w:rsidR="00E73495" w:rsidRPr="00203170" w14:paraId="491FB810" w14:textId="77777777" w:rsidTr="009A5A5D">
        <w:trPr>
          <w:trHeight w:val="288"/>
          <w:jc w:val="center"/>
        </w:trPr>
        <w:tc>
          <w:tcPr>
            <w:tcW w:w="2694" w:type="dxa"/>
            <w:noWrap/>
            <w:vAlign w:val="center"/>
            <w:hideMark/>
          </w:tcPr>
          <w:p w14:paraId="10EE0CDB" w14:textId="77777777" w:rsidR="00E73495" w:rsidRPr="00203170" w:rsidRDefault="00E73495" w:rsidP="00AE71A0">
            <w:pPr>
              <w:rPr>
                <w:szCs w:val="24"/>
              </w:rPr>
            </w:pPr>
            <w:r w:rsidRPr="00203170">
              <w:rPr>
                <w:szCs w:val="24"/>
              </w:rPr>
              <w:t>2010</w:t>
            </w:r>
          </w:p>
        </w:tc>
        <w:tc>
          <w:tcPr>
            <w:tcW w:w="1984" w:type="dxa"/>
            <w:noWrap/>
            <w:hideMark/>
          </w:tcPr>
          <w:p w14:paraId="176FDCD7" w14:textId="77777777" w:rsidR="00E73495" w:rsidRPr="00203170" w:rsidRDefault="00E73495" w:rsidP="00AE71A0">
            <w:pPr>
              <w:rPr>
                <w:szCs w:val="24"/>
              </w:rPr>
            </w:pPr>
            <w:r w:rsidRPr="00203170">
              <w:rPr>
                <w:szCs w:val="24"/>
              </w:rPr>
              <w:t>Project D</w:t>
            </w:r>
          </w:p>
        </w:tc>
        <w:tc>
          <w:tcPr>
            <w:tcW w:w="3822" w:type="dxa"/>
            <w:noWrap/>
            <w:hideMark/>
          </w:tcPr>
          <w:p w14:paraId="3977EF2F" w14:textId="77777777" w:rsidR="00E73495" w:rsidRPr="00203170" w:rsidRDefault="00E73495" w:rsidP="00915B20">
            <w:pPr>
              <w:jc w:val="center"/>
              <w:rPr>
                <w:szCs w:val="24"/>
              </w:rPr>
            </w:pPr>
            <w:r w:rsidRPr="00203170">
              <w:rPr>
                <w:szCs w:val="24"/>
              </w:rPr>
              <w:t>15</w:t>
            </w:r>
          </w:p>
        </w:tc>
      </w:tr>
      <w:tr w:rsidR="00E73495" w:rsidRPr="00203170" w14:paraId="05BA497B" w14:textId="77777777" w:rsidTr="009A5A5D">
        <w:trPr>
          <w:trHeight w:val="252"/>
          <w:jc w:val="center"/>
        </w:trPr>
        <w:tc>
          <w:tcPr>
            <w:tcW w:w="2694" w:type="dxa"/>
            <w:noWrap/>
            <w:vAlign w:val="center"/>
            <w:hideMark/>
          </w:tcPr>
          <w:p w14:paraId="60E51D6B" w14:textId="77777777" w:rsidR="00E73495" w:rsidRPr="00203170" w:rsidRDefault="00E73495" w:rsidP="00AE71A0">
            <w:pPr>
              <w:rPr>
                <w:szCs w:val="24"/>
              </w:rPr>
            </w:pPr>
            <w:r w:rsidRPr="00203170">
              <w:rPr>
                <w:szCs w:val="24"/>
              </w:rPr>
              <w:t>2011</w:t>
            </w:r>
          </w:p>
        </w:tc>
        <w:tc>
          <w:tcPr>
            <w:tcW w:w="1984" w:type="dxa"/>
            <w:noWrap/>
            <w:hideMark/>
          </w:tcPr>
          <w:p w14:paraId="50A68962" w14:textId="77777777" w:rsidR="00E73495" w:rsidRPr="00203170" w:rsidRDefault="00E73495" w:rsidP="00AE71A0">
            <w:pPr>
              <w:rPr>
                <w:szCs w:val="24"/>
              </w:rPr>
            </w:pPr>
            <w:r w:rsidRPr="00203170">
              <w:rPr>
                <w:szCs w:val="24"/>
              </w:rPr>
              <w:t>Project E</w:t>
            </w:r>
          </w:p>
        </w:tc>
        <w:tc>
          <w:tcPr>
            <w:tcW w:w="3822" w:type="dxa"/>
            <w:noWrap/>
            <w:hideMark/>
          </w:tcPr>
          <w:p w14:paraId="1FF14394" w14:textId="77777777" w:rsidR="00E73495" w:rsidRPr="00203170" w:rsidRDefault="00E73495" w:rsidP="00915B20">
            <w:pPr>
              <w:jc w:val="center"/>
              <w:rPr>
                <w:szCs w:val="24"/>
              </w:rPr>
            </w:pPr>
            <w:r w:rsidRPr="00203170">
              <w:rPr>
                <w:szCs w:val="24"/>
              </w:rPr>
              <w:t>12</w:t>
            </w:r>
          </w:p>
        </w:tc>
      </w:tr>
      <w:tr w:rsidR="00E73495" w:rsidRPr="00203170" w14:paraId="253EAA30" w14:textId="77777777" w:rsidTr="009A5A5D">
        <w:trPr>
          <w:trHeight w:val="288"/>
          <w:jc w:val="center"/>
        </w:trPr>
        <w:tc>
          <w:tcPr>
            <w:tcW w:w="2694" w:type="dxa"/>
            <w:noWrap/>
            <w:vAlign w:val="center"/>
            <w:hideMark/>
          </w:tcPr>
          <w:p w14:paraId="56A19673" w14:textId="77777777" w:rsidR="00E73495" w:rsidRPr="00203170" w:rsidRDefault="00E73495" w:rsidP="00AE71A0">
            <w:pPr>
              <w:rPr>
                <w:szCs w:val="24"/>
              </w:rPr>
            </w:pPr>
            <w:r w:rsidRPr="00203170">
              <w:rPr>
                <w:szCs w:val="24"/>
              </w:rPr>
              <w:t>2012</w:t>
            </w:r>
          </w:p>
        </w:tc>
        <w:tc>
          <w:tcPr>
            <w:tcW w:w="1984" w:type="dxa"/>
            <w:noWrap/>
            <w:hideMark/>
          </w:tcPr>
          <w:p w14:paraId="10159E69" w14:textId="77777777" w:rsidR="00E73495" w:rsidRPr="00203170" w:rsidRDefault="00E73495" w:rsidP="00AE71A0">
            <w:pPr>
              <w:rPr>
                <w:szCs w:val="24"/>
              </w:rPr>
            </w:pPr>
            <w:r w:rsidRPr="00203170">
              <w:rPr>
                <w:szCs w:val="24"/>
              </w:rPr>
              <w:t>Project F</w:t>
            </w:r>
          </w:p>
        </w:tc>
        <w:tc>
          <w:tcPr>
            <w:tcW w:w="3822" w:type="dxa"/>
            <w:noWrap/>
            <w:hideMark/>
          </w:tcPr>
          <w:p w14:paraId="286AD373" w14:textId="77777777" w:rsidR="00E73495" w:rsidRPr="00203170" w:rsidRDefault="00E73495" w:rsidP="00915B20">
            <w:pPr>
              <w:jc w:val="center"/>
              <w:rPr>
                <w:szCs w:val="24"/>
              </w:rPr>
            </w:pPr>
            <w:r w:rsidRPr="00203170">
              <w:rPr>
                <w:szCs w:val="24"/>
              </w:rPr>
              <w:t>10</w:t>
            </w:r>
          </w:p>
        </w:tc>
      </w:tr>
      <w:tr w:rsidR="00E73495" w:rsidRPr="00203170" w14:paraId="1AA3C8CA" w14:textId="77777777" w:rsidTr="009A5A5D">
        <w:trPr>
          <w:trHeight w:val="288"/>
          <w:jc w:val="center"/>
        </w:trPr>
        <w:tc>
          <w:tcPr>
            <w:tcW w:w="2694" w:type="dxa"/>
            <w:noWrap/>
            <w:vAlign w:val="center"/>
          </w:tcPr>
          <w:p w14:paraId="7013AAE2" w14:textId="77777777" w:rsidR="00E73495" w:rsidRPr="00203170" w:rsidRDefault="00E73495" w:rsidP="00AE71A0">
            <w:pPr>
              <w:rPr>
                <w:i/>
                <w:szCs w:val="24"/>
              </w:rPr>
            </w:pPr>
            <w:r w:rsidRPr="00203170">
              <w:rPr>
                <w:i/>
                <w:szCs w:val="24"/>
              </w:rPr>
              <w:t>2013</w:t>
            </w:r>
          </w:p>
        </w:tc>
        <w:tc>
          <w:tcPr>
            <w:tcW w:w="1984" w:type="dxa"/>
            <w:noWrap/>
          </w:tcPr>
          <w:p w14:paraId="3D8F89D3" w14:textId="77777777" w:rsidR="00E73495" w:rsidRPr="00203170" w:rsidRDefault="00E73495" w:rsidP="00AE71A0">
            <w:pPr>
              <w:rPr>
                <w:i/>
                <w:szCs w:val="24"/>
              </w:rPr>
            </w:pPr>
            <w:r w:rsidRPr="00203170">
              <w:rPr>
                <w:i/>
                <w:szCs w:val="24"/>
              </w:rPr>
              <w:t>No tender data</w:t>
            </w:r>
          </w:p>
        </w:tc>
        <w:tc>
          <w:tcPr>
            <w:tcW w:w="3822" w:type="dxa"/>
            <w:noWrap/>
          </w:tcPr>
          <w:p w14:paraId="46A748E1" w14:textId="77777777" w:rsidR="00E73495" w:rsidRPr="00203170" w:rsidRDefault="00E73495" w:rsidP="00915B20">
            <w:pPr>
              <w:jc w:val="center"/>
              <w:rPr>
                <w:i/>
                <w:szCs w:val="24"/>
              </w:rPr>
            </w:pPr>
            <w:r w:rsidRPr="00203170">
              <w:rPr>
                <w:i/>
                <w:szCs w:val="24"/>
              </w:rPr>
              <w:t>No tender data</w:t>
            </w:r>
          </w:p>
        </w:tc>
      </w:tr>
      <w:tr w:rsidR="00E73495" w:rsidRPr="00203170" w14:paraId="5DB42481" w14:textId="77777777" w:rsidTr="009A5A5D">
        <w:trPr>
          <w:trHeight w:val="288"/>
          <w:jc w:val="center"/>
        </w:trPr>
        <w:tc>
          <w:tcPr>
            <w:tcW w:w="2694" w:type="dxa"/>
            <w:vMerge w:val="restart"/>
            <w:noWrap/>
            <w:vAlign w:val="center"/>
            <w:hideMark/>
          </w:tcPr>
          <w:p w14:paraId="185ABA30" w14:textId="77777777" w:rsidR="00E73495" w:rsidRPr="00203170" w:rsidRDefault="00E73495" w:rsidP="00AE71A0">
            <w:pPr>
              <w:rPr>
                <w:szCs w:val="24"/>
              </w:rPr>
            </w:pPr>
            <w:r w:rsidRPr="00203170">
              <w:rPr>
                <w:szCs w:val="24"/>
              </w:rPr>
              <w:t>2014</w:t>
            </w:r>
          </w:p>
        </w:tc>
        <w:tc>
          <w:tcPr>
            <w:tcW w:w="1984" w:type="dxa"/>
            <w:noWrap/>
            <w:hideMark/>
          </w:tcPr>
          <w:p w14:paraId="6BA57DE1" w14:textId="77777777" w:rsidR="00E73495" w:rsidRPr="00203170" w:rsidRDefault="00E73495" w:rsidP="00AE71A0">
            <w:pPr>
              <w:rPr>
                <w:szCs w:val="24"/>
              </w:rPr>
            </w:pPr>
            <w:r w:rsidRPr="00203170">
              <w:rPr>
                <w:szCs w:val="24"/>
              </w:rPr>
              <w:t>Project G</w:t>
            </w:r>
          </w:p>
        </w:tc>
        <w:tc>
          <w:tcPr>
            <w:tcW w:w="3822" w:type="dxa"/>
            <w:noWrap/>
            <w:hideMark/>
          </w:tcPr>
          <w:p w14:paraId="46DB14A7" w14:textId="77777777" w:rsidR="00E73495" w:rsidRPr="00203170" w:rsidRDefault="00E73495" w:rsidP="00915B20">
            <w:pPr>
              <w:jc w:val="center"/>
              <w:rPr>
                <w:szCs w:val="24"/>
              </w:rPr>
            </w:pPr>
            <w:r w:rsidRPr="00203170">
              <w:rPr>
                <w:szCs w:val="24"/>
              </w:rPr>
              <w:t>7</w:t>
            </w:r>
          </w:p>
        </w:tc>
      </w:tr>
      <w:tr w:rsidR="00E73495" w:rsidRPr="00203170" w14:paraId="1C566AD5" w14:textId="77777777" w:rsidTr="009A5A5D">
        <w:trPr>
          <w:trHeight w:val="288"/>
          <w:jc w:val="center"/>
        </w:trPr>
        <w:tc>
          <w:tcPr>
            <w:tcW w:w="2694" w:type="dxa"/>
            <w:vMerge/>
            <w:noWrap/>
            <w:vAlign w:val="center"/>
            <w:hideMark/>
          </w:tcPr>
          <w:p w14:paraId="62E960E6" w14:textId="77777777" w:rsidR="00E73495" w:rsidRPr="00203170" w:rsidRDefault="00E73495" w:rsidP="00AE71A0">
            <w:pPr>
              <w:rPr>
                <w:szCs w:val="24"/>
              </w:rPr>
            </w:pPr>
          </w:p>
        </w:tc>
        <w:tc>
          <w:tcPr>
            <w:tcW w:w="1984" w:type="dxa"/>
            <w:noWrap/>
            <w:hideMark/>
          </w:tcPr>
          <w:p w14:paraId="2E3730F2" w14:textId="77777777" w:rsidR="00E73495" w:rsidRPr="00203170" w:rsidRDefault="00E73495" w:rsidP="00AE71A0">
            <w:pPr>
              <w:rPr>
                <w:szCs w:val="24"/>
              </w:rPr>
            </w:pPr>
            <w:r w:rsidRPr="00203170">
              <w:rPr>
                <w:szCs w:val="24"/>
              </w:rPr>
              <w:t>Project H</w:t>
            </w:r>
          </w:p>
        </w:tc>
        <w:tc>
          <w:tcPr>
            <w:tcW w:w="3822" w:type="dxa"/>
            <w:noWrap/>
            <w:hideMark/>
          </w:tcPr>
          <w:p w14:paraId="165D8224" w14:textId="77777777" w:rsidR="00E73495" w:rsidRPr="00203170" w:rsidRDefault="00E73495" w:rsidP="00915B20">
            <w:pPr>
              <w:jc w:val="center"/>
              <w:rPr>
                <w:szCs w:val="24"/>
              </w:rPr>
            </w:pPr>
            <w:r w:rsidRPr="00203170">
              <w:rPr>
                <w:szCs w:val="24"/>
              </w:rPr>
              <w:t>5</w:t>
            </w:r>
          </w:p>
        </w:tc>
      </w:tr>
      <w:tr w:rsidR="00E73495" w:rsidRPr="00203170" w14:paraId="4A556A2F" w14:textId="77777777" w:rsidTr="009A5A5D">
        <w:trPr>
          <w:trHeight w:val="288"/>
          <w:jc w:val="center"/>
        </w:trPr>
        <w:tc>
          <w:tcPr>
            <w:tcW w:w="2694" w:type="dxa"/>
            <w:vMerge/>
            <w:noWrap/>
            <w:vAlign w:val="center"/>
            <w:hideMark/>
          </w:tcPr>
          <w:p w14:paraId="3A4D395B" w14:textId="77777777" w:rsidR="00E73495" w:rsidRPr="00203170" w:rsidRDefault="00E73495" w:rsidP="00AE71A0">
            <w:pPr>
              <w:rPr>
                <w:szCs w:val="24"/>
              </w:rPr>
            </w:pPr>
          </w:p>
        </w:tc>
        <w:tc>
          <w:tcPr>
            <w:tcW w:w="1984" w:type="dxa"/>
            <w:noWrap/>
            <w:hideMark/>
          </w:tcPr>
          <w:p w14:paraId="3F9E38F1" w14:textId="77777777" w:rsidR="00E73495" w:rsidRPr="00203170" w:rsidRDefault="00E73495" w:rsidP="00AE71A0">
            <w:pPr>
              <w:rPr>
                <w:szCs w:val="24"/>
              </w:rPr>
            </w:pPr>
            <w:r w:rsidRPr="00203170">
              <w:rPr>
                <w:szCs w:val="24"/>
              </w:rPr>
              <w:t>Project I</w:t>
            </w:r>
          </w:p>
        </w:tc>
        <w:tc>
          <w:tcPr>
            <w:tcW w:w="3822" w:type="dxa"/>
            <w:noWrap/>
            <w:hideMark/>
          </w:tcPr>
          <w:p w14:paraId="33FB4A12" w14:textId="77777777" w:rsidR="00E73495" w:rsidRPr="00203170" w:rsidRDefault="00E73495" w:rsidP="00915B20">
            <w:pPr>
              <w:jc w:val="center"/>
              <w:rPr>
                <w:szCs w:val="24"/>
              </w:rPr>
            </w:pPr>
            <w:r w:rsidRPr="00203170">
              <w:rPr>
                <w:szCs w:val="24"/>
              </w:rPr>
              <w:t>4</w:t>
            </w:r>
          </w:p>
        </w:tc>
      </w:tr>
      <w:tr w:rsidR="00E73495" w:rsidRPr="00203170" w14:paraId="50ED563A" w14:textId="77777777" w:rsidTr="009A5A5D">
        <w:trPr>
          <w:trHeight w:val="288"/>
          <w:jc w:val="center"/>
        </w:trPr>
        <w:tc>
          <w:tcPr>
            <w:tcW w:w="2694" w:type="dxa"/>
            <w:vMerge/>
            <w:noWrap/>
            <w:vAlign w:val="center"/>
            <w:hideMark/>
          </w:tcPr>
          <w:p w14:paraId="49D75827" w14:textId="77777777" w:rsidR="00E73495" w:rsidRPr="00203170" w:rsidRDefault="00E73495" w:rsidP="00AE71A0">
            <w:pPr>
              <w:rPr>
                <w:szCs w:val="24"/>
              </w:rPr>
            </w:pPr>
          </w:p>
        </w:tc>
        <w:tc>
          <w:tcPr>
            <w:tcW w:w="1984" w:type="dxa"/>
            <w:noWrap/>
            <w:hideMark/>
          </w:tcPr>
          <w:p w14:paraId="655DAA28" w14:textId="77777777" w:rsidR="00E73495" w:rsidRPr="00203170" w:rsidRDefault="00E73495" w:rsidP="00AE71A0">
            <w:pPr>
              <w:rPr>
                <w:szCs w:val="24"/>
              </w:rPr>
            </w:pPr>
            <w:r w:rsidRPr="00203170">
              <w:rPr>
                <w:szCs w:val="24"/>
              </w:rPr>
              <w:t xml:space="preserve">Project J </w:t>
            </w:r>
          </w:p>
        </w:tc>
        <w:tc>
          <w:tcPr>
            <w:tcW w:w="3822" w:type="dxa"/>
            <w:noWrap/>
            <w:hideMark/>
          </w:tcPr>
          <w:p w14:paraId="5555A024" w14:textId="77777777" w:rsidR="00E73495" w:rsidRPr="00203170" w:rsidRDefault="00E73495" w:rsidP="00915B20">
            <w:pPr>
              <w:jc w:val="center"/>
              <w:rPr>
                <w:szCs w:val="24"/>
              </w:rPr>
            </w:pPr>
            <w:r w:rsidRPr="00203170">
              <w:rPr>
                <w:szCs w:val="24"/>
              </w:rPr>
              <w:t>8</w:t>
            </w:r>
          </w:p>
        </w:tc>
      </w:tr>
      <w:tr w:rsidR="00E73495" w:rsidRPr="00203170" w14:paraId="0D4DC2C1" w14:textId="77777777" w:rsidTr="009A5A5D">
        <w:trPr>
          <w:trHeight w:val="288"/>
          <w:jc w:val="center"/>
        </w:trPr>
        <w:tc>
          <w:tcPr>
            <w:tcW w:w="2694" w:type="dxa"/>
            <w:vMerge/>
            <w:noWrap/>
            <w:vAlign w:val="center"/>
            <w:hideMark/>
          </w:tcPr>
          <w:p w14:paraId="3C11BE0C" w14:textId="77777777" w:rsidR="00E73495" w:rsidRPr="00203170" w:rsidRDefault="00E73495" w:rsidP="00AE71A0">
            <w:pPr>
              <w:rPr>
                <w:szCs w:val="24"/>
              </w:rPr>
            </w:pPr>
          </w:p>
        </w:tc>
        <w:tc>
          <w:tcPr>
            <w:tcW w:w="1984" w:type="dxa"/>
            <w:noWrap/>
            <w:hideMark/>
          </w:tcPr>
          <w:p w14:paraId="0FB49712" w14:textId="77777777" w:rsidR="00E73495" w:rsidRPr="00203170" w:rsidRDefault="00E73495" w:rsidP="00AE71A0">
            <w:pPr>
              <w:rPr>
                <w:szCs w:val="24"/>
              </w:rPr>
            </w:pPr>
            <w:r w:rsidRPr="00203170">
              <w:rPr>
                <w:szCs w:val="24"/>
              </w:rPr>
              <w:t>Project K</w:t>
            </w:r>
          </w:p>
        </w:tc>
        <w:tc>
          <w:tcPr>
            <w:tcW w:w="3822" w:type="dxa"/>
            <w:noWrap/>
            <w:hideMark/>
          </w:tcPr>
          <w:p w14:paraId="1E1456AC" w14:textId="77777777" w:rsidR="00E73495" w:rsidRPr="00203170" w:rsidRDefault="00E73495" w:rsidP="00915B20">
            <w:pPr>
              <w:jc w:val="center"/>
              <w:rPr>
                <w:szCs w:val="24"/>
              </w:rPr>
            </w:pPr>
            <w:r w:rsidRPr="00203170">
              <w:rPr>
                <w:szCs w:val="24"/>
              </w:rPr>
              <w:t>7</w:t>
            </w:r>
          </w:p>
        </w:tc>
      </w:tr>
      <w:tr w:rsidR="00E73495" w:rsidRPr="00203170" w14:paraId="06077D8B" w14:textId="77777777" w:rsidTr="009A5A5D">
        <w:trPr>
          <w:trHeight w:val="288"/>
          <w:jc w:val="center"/>
        </w:trPr>
        <w:tc>
          <w:tcPr>
            <w:tcW w:w="2694" w:type="dxa"/>
            <w:vMerge w:val="restart"/>
            <w:noWrap/>
            <w:vAlign w:val="center"/>
            <w:hideMark/>
          </w:tcPr>
          <w:p w14:paraId="7B35176A" w14:textId="77777777" w:rsidR="00E73495" w:rsidRPr="00203170" w:rsidRDefault="00E73495" w:rsidP="00AE71A0">
            <w:pPr>
              <w:rPr>
                <w:szCs w:val="24"/>
              </w:rPr>
            </w:pPr>
            <w:r w:rsidRPr="00203170">
              <w:rPr>
                <w:szCs w:val="24"/>
              </w:rPr>
              <w:t>2015</w:t>
            </w:r>
          </w:p>
        </w:tc>
        <w:tc>
          <w:tcPr>
            <w:tcW w:w="1984" w:type="dxa"/>
            <w:noWrap/>
            <w:hideMark/>
          </w:tcPr>
          <w:p w14:paraId="3ED02B47" w14:textId="77777777" w:rsidR="00E73495" w:rsidRPr="00203170" w:rsidRDefault="00E73495" w:rsidP="00AE71A0">
            <w:pPr>
              <w:rPr>
                <w:szCs w:val="24"/>
              </w:rPr>
            </w:pPr>
            <w:r w:rsidRPr="00203170">
              <w:rPr>
                <w:szCs w:val="24"/>
              </w:rPr>
              <w:t>Project L</w:t>
            </w:r>
          </w:p>
        </w:tc>
        <w:tc>
          <w:tcPr>
            <w:tcW w:w="3822" w:type="dxa"/>
            <w:noWrap/>
            <w:hideMark/>
          </w:tcPr>
          <w:p w14:paraId="531920AD" w14:textId="77777777" w:rsidR="00E73495" w:rsidRPr="00203170" w:rsidRDefault="00E73495" w:rsidP="00915B20">
            <w:pPr>
              <w:jc w:val="center"/>
              <w:rPr>
                <w:szCs w:val="24"/>
              </w:rPr>
            </w:pPr>
            <w:r w:rsidRPr="00203170">
              <w:rPr>
                <w:szCs w:val="24"/>
              </w:rPr>
              <w:t>6</w:t>
            </w:r>
          </w:p>
        </w:tc>
      </w:tr>
      <w:tr w:rsidR="00E73495" w:rsidRPr="00203170" w14:paraId="1A508C02" w14:textId="77777777" w:rsidTr="009A5A5D">
        <w:trPr>
          <w:trHeight w:val="288"/>
          <w:jc w:val="center"/>
        </w:trPr>
        <w:tc>
          <w:tcPr>
            <w:tcW w:w="2694" w:type="dxa"/>
            <w:vMerge/>
            <w:noWrap/>
            <w:vAlign w:val="center"/>
            <w:hideMark/>
          </w:tcPr>
          <w:p w14:paraId="6867F82A" w14:textId="77777777" w:rsidR="00E73495" w:rsidRPr="00203170" w:rsidRDefault="00E73495" w:rsidP="00AE71A0">
            <w:pPr>
              <w:rPr>
                <w:szCs w:val="24"/>
              </w:rPr>
            </w:pPr>
          </w:p>
        </w:tc>
        <w:tc>
          <w:tcPr>
            <w:tcW w:w="1984" w:type="dxa"/>
            <w:noWrap/>
            <w:hideMark/>
          </w:tcPr>
          <w:p w14:paraId="77A845B6" w14:textId="77777777" w:rsidR="00E73495" w:rsidRPr="00203170" w:rsidRDefault="00E73495" w:rsidP="00AE71A0">
            <w:pPr>
              <w:rPr>
                <w:szCs w:val="24"/>
              </w:rPr>
            </w:pPr>
            <w:r w:rsidRPr="00203170">
              <w:rPr>
                <w:szCs w:val="24"/>
              </w:rPr>
              <w:t>Project M</w:t>
            </w:r>
          </w:p>
        </w:tc>
        <w:tc>
          <w:tcPr>
            <w:tcW w:w="3822" w:type="dxa"/>
            <w:noWrap/>
            <w:hideMark/>
          </w:tcPr>
          <w:p w14:paraId="0D874AE3" w14:textId="77777777" w:rsidR="00E73495" w:rsidRPr="00203170" w:rsidRDefault="00E73495" w:rsidP="00915B20">
            <w:pPr>
              <w:jc w:val="center"/>
              <w:rPr>
                <w:szCs w:val="24"/>
              </w:rPr>
            </w:pPr>
            <w:r w:rsidRPr="00203170">
              <w:rPr>
                <w:szCs w:val="24"/>
              </w:rPr>
              <w:t>10</w:t>
            </w:r>
          </w:p>
        </w:tc>
      </w:tr>
      <w:tr w:rsidR="00E73495" w:rsidRPr="00203170" w14:paraId="07D578F9" w14:textId="77777777" w:rsidTr="009A5A5D">
        <w:trPr>
          <w:trHeight w:val="288"/>
          <w:jc w:val="center"/>
        </w:trPr>
        <w:tc>
          <w:tcPr>
            <w:tcW w:w="2694" w:type="dxa"/>
            <w:vMerge/>
            <w:noWrap/>
            <w:vAlign w:val="center"/>
            <w:hideMark/>
          </w:tcPr>
          <w:p w14:paraId="1F17DC48" w14:textId="77777777" w:rsidR="00E73495" w:rsidRPr="00203170" w:rsidRDefault="00E73495" w:rsidP="00AE71A0">
            <w:pPr>
              <w:rPr>
                <w:szCs w:val="24"/>
              </w:rPr>
            </w:pPr>
          </w:p>
        </w:tc>
        <w:tc>
          <w:tcPr>
            <w:tcW w:w="1984" w:type="dxa"/>
            <w:noWrap/>
            <w:hideMark/>
          </w:tcPr>
          <w:p w14:paraId="716A686E" w14:textId="77777777" w:rsidR="00E73495" w:rsidRPr="00203170" w:rsidRDefault="00E73495" w:rsidP="00AE71A0">
            <w:pPr>
              <w:rPr>
                <w:szCs w:val="24"/>
              </w:rPr>
            </w:pPr>
            <w:r w:rsidRPr="00203170">
              <w:rPr>
                <w:szCs w:val="24"/>
              </w:rPr>
              <w:t xml:space="preserve">Project N </w:t>
            </w:r>
          </w:p>
        </w:tc>
        <w:tc>
          <w:tcPr>
            <w:tcW w:w="3822" w:type="dxa"/>
            <w:noWrap/>
            <w:hideMark/>
          </w:tcPr>
          <w:p w14:paraId="1A353F98" w14:textId="77777777" w:rsidR="00E73495" w:rsidRPr="00203170" w:rsidRDefault="00E73495" w:rsidP="00915B20">
            <w:pPr>
              <w:jc w:val="center"/>
              <w:rPr>
                <w:szCs w:val="24"/>
              </w:rPr>
            </w:pPr>
            <w:r w:rsidRPr="00203170">
              <w:rPr>
                <w:szCs w:val="24"/>
              </w:rPr>
              <w:t>3</w:t>
            </w:r>
          </w:p>
        </w:tc>
      </w:tr>
      <w:tr w:rsidR="00E73495" w:rsidRPr="00203170" w14:paraId="0A2AA556" w14:textId="77777777" w:rsidTr="009A5A5D">
        <w:trPr>
          <w:trHeight w:val="267"/>
          <w:jc w:val="center"/>
        </w:trPr>
        <w:tc>
          <w:tcPr>
            <w:tcW w:w="2694" w:type="dxa"/>
            <w:vMerge w:val="restart"/>
            <w:noWrap/>
            <w:vAlign w:val="center"/>
            <w:hideMark/>
          </w:tcPr>
          <w:p w14:paraId="238E9843" w14:textId="77777777" w:rsidR="00E73495" w:rsidRPr="00203170" w:rsidRDefault="00E73495" w:rsidP="00AE71A0">
            <w:pPr>
              <w:rPr>
                <w:szCs w:val="24"/>
              </w:rPr>
            </w:pPr>
            <w:r w:rsidRPr="00203170">
              <w:rPr>
                <w:szCs w:val="24"/>
              </w:rPr>
              <w:t>2016</w:t>
            </w:r>
          </w:p>
        </w:tc>
        <w:tc>
          <w:tcPr>
            <w:tcW w:w="1984" w:type="dxa"/>
            <w:noWrap/>
            <w:hideMark/>
          </w:tcPr>
          <w:p w14:paraId="307417D6" w14:textId="77777777" w:rsidR="00E73495" w:rsidRPr="00203170" w:rsidRDefault="00E73495" w:rsidP="00AE71A0">
            <w:pPr>
              <w:rPr>
                <w:szCs w:val="24"/>
              </w:rPr>
            </w:pPr>
            <w:r w:rsidRPr="00203170">
              <w:rPr>
                <w:szCs w:val="24"/>
              </w:rPr>
              <w:t xml:space="preserve">Project O </w:t>
            </w:r>
          </w:p>
        </w:tc>
        <w:tc>
          <w:tcPr>
            <w:tcW w:w="3822" w:type="dxa"/>
            <w:noWrap/>
            <w:hideMark/>
          </w:tcPr>
          <w:p w14:paraId="70C329E2" w14:textId="77777777" w:rsidR="00E73495" w:rsidRPr="00203170" w:rsidRDefault="00E73495" w:rsidP="00915B20">
            <w:pPr>
              <w:jc w:val="center"/>
              <w:rPr>
                <w:szCs w:val="24"/>
              </w:rPr>
            </w:pPr>
            <w:r w:rsidRPr="00203170">
              <w:rPr>
                <w:szCs w:val="24"/>
              </w:rPr>
              <w:t>17</w:t>
            </w:r>
          </w:p>
        </w:tc>
      </w:tr>
      <w:tr w:rsidR="00E73495" w:rsidRPr="00203170" w14:paraId="2A8DEFFC" w14:textId="77777777" w:rsidTr="009A5A5D">
        <w:trPr>
          <w:trHeight w:val="271"/>
          <w:jc w:val="center"/>
        </w:trPr>
        <w:tc>
          <w:tcPr>
            <w:tcW w:w="2694" w:type="dxa"/>
            <w:vMerge/>
            <w:noWrap/>
            <w:hideMark/>
          </w:tcPr>
          <w:p w14:paraId="21158CD1" w14:textId="77777777" w:rsidR="00E73495" w:rsidRPr="00203170" w:rsidRDefault="00E73495" w:rsidP="00AE71A0">
            <w:pPr>
              <w:rPr>
                <w:szCs w:val="24"/>
              </w:rPr>
            </w:pPr>
          </w:p>
        </w:tc>
        <w:tc>
          <w:tcPr>
            <w:tcW w:w="1984" w:type="dxa"/>
            <w:noWrap/>
            <w:hideMark/>
          </w:tcPr>
          <w:p w14:paraId="52C7E6B8" w14:textId="77777777" w:rsidR="00E73495" w:rsidRPr="00203170" w:rsidRDefault="00E73495" w:rsidP="00AE71A0">
            <w:pPr>
              <w:rPr>
                <w:szCs w:val="24"/>
              </w:rPr>
            </w:pPr>
            <w:r w:rsidRPr="00203170">
              <w:rPr>
                <w:szCs w:val="24"/>
              </w:rPr>
              <w:t xml:space="preserve">Project P </w:t>
            </w:r>
          </w:p>
        </w:tc>
        <w:tc>
          <w:tcPr>
            <w:tcW w:w="3822" w:type="dxa"/>
            <w:noWrap/>
            <w:hideMark/>
          </w:tcPr>
          <w:p w14:paraId="59EB14E8" w14:textId="77777777" w:rsidR="00E73495" w:rsidRPr="00203170" w:rsidRDefault="00E73495" w:rsidP="00915B20">
            <w:pPr>
              <w:jc w:val="center"/>
              <w:rPr>
                <w:szCs w:val="24"/>
              </w:rPr>
            </w:pPr>
            <w:r w:rsidRPr="00203170">
              <w:rPr>
                <w:szCs w:val="24"/>
              </w:rPr>
              <w:t>16</w:t>
            </w:r>
          </w:p>
        </w:tc>
      </w:tr>
      <w:tr w:rsidR="00E73495" w:rsidRPr="00203170" w14:paraId="79C00645" w14:textId="77777777" w:rsidTr="009A5A5D">
        <w:trPr>
          <w:trHeight w:val="275"/>
          <w:jc w:val="center"/>
        </w:trPr>
        <w:tc>
          <w:tcPr>
            <w:tcW w:w="2694" w:type="dxa"/>
            <w:vMerge/>
            <w:noWrap/>
            <w:hideMark/>
          </w:tcPr>
          <w:p w14:paraId="223C5903" w14:textId="77777777" w:rsidR="00E73495" w:rsidRPr="00203170" w:rsidRDefault="00E73495" w:rsidP="00AE71A0">
            <w:pPr>
              <w:rPr>
                <w:szCs w:val="24"/>
              </w:rPr>
            </w:pPr>
          </w:p>
        </w:tc>
        <w:tc>
          <w:tcPr>
            <w:tcW w:w="1984" w:type="dxa"/>
            <w:noWrap/>
            <w:hideMark/>
          </w:tcPr>
          <w:p w14:paraId="002F7FFE" w14:textId="77777777" w:rsidR="00E73495" w:rsidRPr="00203170" w:rsidRDefault="00E73495" w:rsidP="00AE71A0">
            <w:pPr>
              <w:rPr>
                <w:szCs w:val="24"/>
              </w:rPr>
            </w:pPr>
            <w:r w:rsidRPr="00203170">
              <w:rPr>
                <w:szCs w:val="24"/>
              </w:rPr>
              <w:t>Project Q</w:t>
            </w:r>
          </w:p>
        </w:tc>
        <w:tc>
          <w:tcPr>
            <w:tcW w:w="3822" w:type="dxa"/>
            <w:noWrap/>
            <w:hideMark/>
          </w:tcPr>
          <w:p w14:paraId="394DD3B8" w14:textId="77777777" w:rsidR="00E73495" w:rsidRPr="00203170" w:rsidRDefault="00E73495" w:rsidP="00915B20">
            <w:pPr>
              <w:jc w:val="center"/>
              <w:rPr>
                <w:szCs w:val="24"/>
              </w:rPr>
            </w:pPr>
            <w:r w:rsidRPr="00203170">
              <w:rPr>
                <w:szCs w:val="24"/>
              </w:rPr>
              <w:t>12</w:t>
            </w:r>
          </w:p>
        </w:tc>
      </w:tr>
    </w:tbl>
    <w:p w14:paraId="56BD77C8" w14:textId="77777777" w:rsidR="00E73495" w:rsidRPr="00203170" w:rsidRDefault="00E73495" w:rsidP="00AE71A0">
      <w:pPr>
        <w:rPr>
          <w:szCs w:val="24"/>
        </w:rPr>
      </w:pPr>
    </w:p>
    <w:p w14:paraId="42FE8B1A" w14:textId="4AEC0937" w:rsidR="00E73495" w:rsidRPr="002328EF" w:rsidRDefault="00E73495" w:rsidP="00063C48">
      <w:pPr>
        <w:pStyle w:val="Heading2"/>
        <w:rPr>
          <w:rStyle w:val="Heading2Char"/>
          <w:b/>
        </w:rPr>
      </w:pPr>
      <w:bookmarkStart w:id="110" w:name="_Toc519445718"/>
      <w:r w:rsidRPr="002328EF">
        <w:rPr>
          <w:rStyle w:val="Heading2Char"/>
          <w:b/>
        </w:rPr>
        <w:t>The application of statistical methods to the data recorded</w:t>
      </w:r>
      <w:bookmarkEnd w:id="110"/>
    </w:p>
    <w:p w14:paraId="3A2B4FE5" w14:textId="31927771" w:rsidR="00E73495" w:rsidRDefault="00E73495" w:rsidP="00AE71A0">
      <w:pPr>
        <w:rPr>
          <w:szCs w:val="24"/>
        </w:rPr>
      </w:pPr>
      <w:r w:rsidRPr="00203170">
        <w:rPr>
          <w:szCs w:val="24"/>
        </w:rPr>
        <w:t xml:space="preserve">Each tender contains a detailed bill of quantities (“BOQ”) </w:t>
      </w:r>
      <w:r>
        <w:rPr>
          <w:szCs w:val="24"/>
        </w:rPr>
        <w:t xml:space="preserve">which </w:t>
      </w:r>
      <w:r w:rsidRPr="00203170">
        <w:rPr>
          <w:szCs w:val="24"/>
        </w:rPr>
        <w:t>is essentially a list of the cost items that bidders must submit for financial comparison and evaluation of their bids. The BOQ represents the engineer’s estimation of what will be required to do the work. The data gathered from the individual respondents for each tender was entered into a spreadsheet program and statistical formulae were then applied to obtain the median value for each line item in the Bill of Quantities of the collected tenders submitted. This data was then tabulated per similar line item per year for all years that data is available and plotted in graphs to see if the prices compare with the predicted DM</w:t>
      </w:r>
      <w:r>
        <w:rPr>
          <w:szCs w:val="24"/>
        </w:rPr>
        <w:t>E</w:t>
      </w:r>
      <w:r w:rsidRPr="00203170">
        <w:rPr>
          <w:szCs w:val="24"/>
        </w:rPr>
        <w:t xml:space="preserve"> and CIDB rates.  </w:t>
      </w:r>
    </w:p>
    <w:p w14:paraId="5AFCEA30" w14:textId="62B4EE78" w:rsidR="00CE45DA" w:rsidRDefault="00CE45DA" w:rsidP="00AE71A0">
      <w:pPr>
        <w:rPr>
          <w:szCs w:val="24"/>
        </w:rPr>
      </w:pPr>
      <w:r>
        <w:rPr>
          <w:szCs w:val="24"/>
        </w:rPr>
        <w:t>Figure 3.2 Illustrates the process of obtaining the data per line item from each tender received per year. The number of tenders advertised and returned per year differ (see Table 3.</w:t>
      </w:r>
      <w:r w:rsidR="007D1C09">
        <w:rPr>
          <w:szCs w:val="24"/>
        </w:rPr>
        <w:t>1</w:t>
      </w:r>
      <w:r>
        <w:rPr>
          <w:szCs w:val="24"/>
        </w:rPr>
        <w:t>) and the number of bids received per tender in each year, also differ (Table 3.2) It follows that the sample size that comprise the base data on which each line item’s median value is based, differ</w:t>
      </w:r>
      <w:r w:rsidR="00953D47">
        <w:rPr>
          <w:szCs w:val="24"/>
        </w:rPr>
        <w:t>s</w:t>
      </w:r>
      <w:r>
        <w:rPr>
          <w:szCs w:val="24"/>
        </w:rPr>
        <w:t xml:space="preserve"> amongst the various years and master rates. </w:t>
      </w:r>
    </w:p>
    <w:p w14:paraId="11AE7602" w14:textId="30A21CC1" w:rsidR="00CE45DA" w:rsidRDefault="00CE45DA" w:rsidP="00AE71A0">
      <w:pPr>
        <w:rPr>
          <w:szCs w:val="24"/>
        </w:rPr>
      </w:pPr>
      <w:r>
        <w:rPr>
          <w:szCs w:val="24"/>
        </w:rPr>
        <w:t>The formula for calculating the median is</w:t>
      </w:r>
      <w:r w:rsidR="007D1C09" w:rsidRPr="007D1C09">
        <w:t xml:space="preserve"> </w:t>
      </w:r>
      <w:r w:rsidR="007D1C09" w:rsidRPr="007D1C09">
        <w:rPr>
          <w:szCs w:val="24"/>
        </w:rPr>
        <w:t>{(n + 1) ÷ 2}</w:t>
      </w:r>
      <w:r w:rsidR="007D1C09" w:rsidRPr="007D1C09">
        <w:rPr>
          <w:szCs w:val="24"/>
          <w:vertAlign w:val="superscript"/>
        </w:rPr>
        <w:t>th</w:t>
      </w:r>
      <w:r w:rsidR="007D1C09">
        <w:rPr>
          <w:szCs w:val="24"/>
          <w:vertAlign w:val="superscript"/>
        </w:rPr>
        <w:t xml:space="preserve"> </w:t>
      </w:r>
      <w:r w:rsidR="007D1C09" w:rsidRPr="007D1C09">
        <w:rPr>
          <w:szCs w:val="24"/>
        </w:rPr>
        <w:t xml:space="preserve">and </w:t>
      </w:r>
      <w:r w:rsidR="007D1C09">
        <w:rPr>
          <w:szCs w:val="24"/>
        </w:rPr>
        <w:t xml:space="preserve">can be </w:t>
      </w:r>
      <w:r w:rsidR="007D1C09" w:rsidRPr="007D1C09">
        <w:rPr>
          <w:szCs w:val="24"/>
        </w:rPr>
        <w:t>c</w:t>
      </w:r>
      <w:r w:rsidR="007D1C09">
        <w:rPr>
          <w:szCs w:val="24"/>
        </w:rPr>
        <w:t>a</w:t>
      </w:r>
      <w:r w:rsidR="007D1C09" w:rsidRPr="007D1C09">
        <w:rPr>
          <w:szCs w:val="24"/>
        </w:rPr>
        <w:t>l</w:t>
      </w:r>
      <w:r w:rsidR="007D1C09">
        <w:rPr>
          <w:szCs w:val="24"/>
        </w:rPr>
        <w:t>cul</w:t>
      </w:r>
      <w:r w:rsidR="007D1C09" w:rsidRPr="007D1C09">
        <w:rPr>
          <w:szCs w:val="24"/>
        </w:rPr>
        <w:t>ated automatically</w:t>
      </w:r>
      <w:r w:rsidR="007D1C09">
        <w:rPr>
          <w:szCs w:val="24"/>
          <w:vertAlign w:val="superscript"/>
        </w:rPr>
        <w:t xml:space="preserve"> </w:t>
      </w:r>
      <w:r w:rsidR="007D1C09">
        <w:rPr>
          <w:szCs w:val="24"/>
        </w:rPr>
        <w:t>in MSExcel</w:t>
      </w:r>
      <w:r w:rsidR="00953D47" w:rsidRPr="00953D47">
        <w:rPr>
          <w:szCs w:val="24"/>
          <w:vertAlign w:val="superscript"/>
        </w:rPr>
        <w:t>TM</w:t>
      </w:r>
      <w:r w:rsidR="007D1C09">
        <w:rPr>
          <w:szCs w:val="24"/>
        </w:rPr>
        <w:t xml:space="preserve"> by arranging the BOQ’s so that each applicable line item aligns with all others before applying the built-in software formula. </w:t>
      </w:r>
    </w:p>
    <w:p w14:paraId="57B636C8" w14:textId="622CF0FA" w:rsidR="00CE45DA" w:rsidRPr="00203170" w:rsidRDefault="00CE45DA" w:rsidP="00AE71A0">
      <w:pPr>
        <w:rPr>
          <w:szCs w:val="24"/>
        </w:rPr>
      </w:pPr>
      <w:r>
        <w:rPr>
          <w:szCs w:val="24"/>
        </w:rPr>
        <w:t xml:space="preserve">Median values were selected as they are considered more representative of probable tendered values per year than averages. </w:t>
      </w:r>
      <w:r w:rsidR="007D1C09">
        <w:rPr>
          <w:szCs w:val="24"/>
        </w:rPr>
        <w:t>The use of average values could include an element of skewing if prices for a particular item were very high in some year or on some project for an unknown reason. W</w:t>
      </w:r>
      <w:r>
        <w:rPr>
          <w:szCs w:val="24"/>
        </w:rPr>
        <w:t xml:space="preserve">ith a median calculated across as many as 45 values (year 2016) there is a reasonable degree of confidence in the medians. </w:t>
      </w:r>
      <w:r w:rsidR="007D1C09">
        <w:rPr>
          <w:szCs w:val="24"/>
        </w:rPr>
        <w:t xml:space="preserve">The year 2012 rendered the least number of samples to calculate a median from, with only 10 values. The year 2016 delivered the best sample size of 45 BOQ’s from which to calculate the median. </w:t>
      </w:r>
    </w:p>
    <w:p w14:paraId="09611A03" w14:textId="77777777" w:rsidR="00741B55" w:rsidRDefault="005C1746" w:rsidP="00AE71A0">
      <w:r w:rsidRPr="005C1746">
        <w:rPr>
          <w:noProof/>
          <w:szCs w:val="24"/>
          <w:lang w:eastAsia="en-ZA"/>
        </w:rPr>
        <w:lastRenderedPageBreak/>
        <w:drawing>
          <wp:inline distT="0" distB="0" distL="0" distR="0" wp14:anchorId="28799D3B" wp14:editId="3624DE2F">
            <wp:extent cx="5731510" cy="2963334"/>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963334"/>
                    </a:xfrm>
                    <a:prstGeom prst="rect">
                      <a:avLst/>
                    </a:prstGeom>
                    <a:noFill/>
                    <a:ln>
                      <a:noFill/>
                    </a:ln>
                  </pic:spPr>
                </pic:pic>
              </a:graphicData>
            </a:graphic>
          </wp:inline>
        </w:drawing>
      </w:r>
    </w:p>
    <w:p w14:paraId="5B5AA222" w14:textId="5576D8F1" w:rsidR="005C1746" w:rsidRPr="009A5A5D" w:rsidRDefault="009A5A5D" w:rsidP="00322083">
      <w:pPr>
        <w:pStyle w:val="Caption"/>
        <w:rPr>
          <w:rStyle w:val="FigureChar"/>
          <w:b/>
        </w:rPr>
      </w:pPr>
      <w:bookmarkStart w:id="111" w:name="_Toc507336569"/>
      <w:bookmarkStart w:id="112" w:name="_Toc507336682"/>
      <w:bookmarkStart w:id="113" w:name="_Toc517372935"/>
      <w:bookmarkStart w:id="114" w:name="_Toc517373090"/>
      <w:bookmarkStart w:id="115" w:name="_Toc519445861"/>
      <w:bookmarkStart w:id="116" w:name="_Toc519445898"/>
      <w:r>
        <w:t xml:space="preserve">Figure 3.2: </w:t>
      </w:r>
      <w:r w:rsidR="00741B55" w:rsidRPr="009A5A5D">
        <w:rPr>
          <w:rStyle w:val="FigureChar"/>
          <w:b/>
        </w:rPr>
        <w:t>Illustrated method of deriving the median values from BOQ’s for different projects in a year used in this research report</w:t>
      </w:r>
      <w:bookmarkEnd w:id="111"/>
      <w:bookmarkEnd w:id="112"/>
      <w:bookmarkEnd w:id="113"/>
      <w:bookmarkEnd w:id="114"/>
      <w:bookmarkEnd w:id="115"/>
      <w:bookmarkEnd w:id="116"/>
    </w:p>
    <w:p w14:paraId="05166063" w14:textId="70ECE282" w:rsidR="00CE45DA" w:rsidRDefault="00CE45DA" w:rsidP="00AE71A0">
      <w:pPr>
        <w:rPr>
          <w:szCs w:val="24"/>
        </w:rPr>
      </w:pPr>
      <w:r w:rsidRPr="00203170">
        <w:rPr>
          <w:szCs w:val="24"/>
        </w:rPr>
        <w:t>It must be noted that, because not all projects are the same, the projects do not all contain similar elements in their design and BOQ’s. A project in a given year may have gabions, for example</w:t>
      </w:r>
      <w:r>
        <w:rPr>
          <w:szCs w:val="24"/>
        </w:rPr>
        <w:t xml:space="preserve">. The </w:t>
      </w:r>
      <w:r w:rsidRPr="00203170">
        <w:rPr>
          <w:szCs w:val="24"/>
        </w:rPr>
        <w:t>next project,</w:t>
      </w:r>
      <w:r>
        <w:rPr>
          <w:szCs w:val="24"/>
        </w:rPr>
        <w:t xml:space="preserve"> in</w:t>
      </w:r>
      <w:r w:rsidRPr="00203170">
        <w:rPr>
          <w:szCs w:val="24"/>
        </w:rPr>
        <w:t xml:space="preserve"> the following year, may not have gabions work at all so, although there is data for the next project, there is no comparable </w:t>
      </w:r>
      <w:r>
        <w:rPr>
          <w:szCs w:val="24"/>
        </w:rPr>
        <w:t xml:space="preserve">entry </w:t>
      </w:r>
      <w:r w:rsidRPr="00203170">
        <w:rPr>
          <w:szCs w:val="24"/>
        </w:rPr>
        <w:t>for that design element and the dat</w:t>
      </w:r>
      <w:r w:rsidR="00953D47">
        <w:rPr>
          <w:szCs w:val="24"/>
        </w:rPr>
        <w:t>um</w:t>
      </w:r>
      <w:r w:rsidRPr="00203170">
        <w:rPr>
          <w:szCs w:val="24"/>
        </w:rPr>
        <w:t xml:space="preserve"> for that following year on that item in the BOQ cannot be recorded. </w:t>
      </w:r>
    </w:p>
    <w:p w14:paraId="4F3C604B" w14:textId="0F099279" w:rsidR="00A320E8" w:rsidRPr="002328EF" w:rsidRDefault="00A320E8" w:rsidP="00063C48">
      <w:pPr>
        <w:pStyle w:val="Heading2"/>
      </w:pPr>
      <w:bookmarkStart w:id="117" w:name="_Toc519445719"/>
      <w:r w:rsidRPr="002328EF">
        <w:t xml:space="preserve">Notes on the operation of the </w:t>
      </w:r>
      <w:r w:rsidR="008502D9">
        <w:t xml:space="preserve">2004 </w:t>
      </w:r>
      <w:r w:rsidRPr="002328EF">
        <w:t>DME guideline to determine financial provisions</w:t>
      </w:r>
      <w:bookmarkEnd w:id="117"/>
    </w:p>
    <w:p w14:paraId="1EFDBFF7" w14:textId="57E26804" w:rsidR="008502D9" w:rsidRDefault="00C20147" w:rsidP="00AE71A0">
      <w:r w:rsidRPr="006403E6">
        <w:t xml:space="preserve">The DME guideline contained </w:t>
      </w:r>
      <w:r>
        <w:t xml:space="preserve">a </w:t>
      </w:r>
      <w:r w:rsidRPr="006403E6">
        <w:t xml:space="preserve">usage guide in </w:t>
      </w:r>
      <w:r w:rsidRPr="00C20147">
        <w:t>S</w:t>
      </w:r>
      <w:r>
        <w:t xml:space="preserve">ection </w:t>
      </w:r>
      <w:r w:rsidRPr="00C20147">
        <w:t>B</w:t>
      </w:r>
      <w:r>
        <w:t xml:space="preserve">: </w:t>
      </w:r>
      <w:r w:rsidRPr="00C20147">
        <w:t>W</w:t>
      </w:r>
      <w:r>
        <w:t xml:space="preserve">orking </w:t>
      </w:r>
      <w:r w:rsidRPr="00C20147">
        <w:t>M</w:t>
      </w:r>
      <w:r>
        <w:t>anual for the assessment of the quantum</w:t>
      </w:r>
      <w:r w:rsidRPr="006403E6">
        <w:t>.</w:t>
      </w:r>
      <w:r>
        <w:t xml:space="preserve"> </w:t>
      </w:r>
      <w:r w:rsidR="008502D9">
        <w:t>The interpretation of the methodology and its comparison to the DME guideline master rates assumes some knowledge of or access to the original DME guideline on Financial provision</w:t>
      </w:r>
      <w:r w:rsidR="00E73495">
        <w:t xml:space="preserve"> on the part of the reader. The key focus of this research report is the </w:t>
      </w:r>
      <w:r>
        <w:t xml:space="preserve">rules-based approach for assessing the quantum of financial provision and its comparison with market rates. </w:t>
      </w:r>
      <w:r w:rsidR="00E73495">
        <w:t>T</w:t>
      </w:r>
      <w:r w:rsidR="007D1C09">
        <w:t>o</w:t>
      </w:r>
      <w:r w:rsidR="00E73495">
        <w:t xml:space="preserve"> fully interpret this and the following section, the entire gu</w:t>
      </w:r>
      <w:r w:rsidR="007D1C09">
        <w:t>i</w:t>
      </w:r>
      <w:r w:rsidR="00E73495">
        <w:t>d</w:t>
      </w:r>
      <w:r w:rsidR="007D1C09">
        <w:t>e</w:t>
      </w:r>
      <w:r w:rsidR="00E73495">
        <w:t xml:space="preserve">line, with its appendices, are </w:t>
      </w:r>
      <w:r w:rsidR="007D1C09">
        <w:t>i</w:t>
      </w:r>
      <w:r w:rsidR="00E73495">
        <w:t>deally re</w:t>
      </w:r>
      <w:r w:rsidR="007D1C09">
        <w:t>q</w:t>
      </w:r>
      <w:r w:rsidR="00E73495">
        <w:t xml:space="preserve">uired. </w:t>
      </w:r>
    </w:p>
    <w:p w14:paraId="5028A0EA" w14:textId="08181D69" w:rsidR="00C20147" w:rsidRDefault="006403E6" w:rsidP="00AE71A0">
      <w:r w:rsidRPr="006403E6">
        <w:t xml:space="preserve">The DME guideline provided three possible methods to determine the amount of financial provision. </w:t>
      </w:r>
      <w:r w:rsidR="00C20147">
        <w:t xml:space="preserve">The selection amongst these possible methods was discussed in Section B of the financial provision guideline and was essentially based on the amount of information available (See </w:t>
      </w:r>
      <w:r w:rsidR="00C20147" w:rsidRPr="009A5A5D">
        <w:t>Figure</w:t>
      </w:r>
      <w:r w:rsidR="009A5A5D">
        <w:t xml:space="preserve"> 3.3</w:t>
      </w:r>
      <w:r w:rsidR="00C20147" w:rsidRPr="009A5A5D">
        <w:t xml:space="preserve"> below</w:t>
      </w:r>
      <w:r w:rsidR="00C20147">
        <w:t xml:space="preserve">) </w:t>
      </w:r>
    </w:p>
    <w:p w14:paraId="2054E7C7" w14:textId="77777777" w:rsidR="00C20147" w:rsidRDefault="00C20147" w:rsidP="009A5A5D">
      <w:pPr>
        <w:ind w:left="284"/>
      </w:pPr>
      <w:r w:rsidRPr="00C20147">
        <w:rPr>
          <w:noProof/>
          <w:lang w:eastAsia="en-ZA"/>
        </w:rPr>
        <w:lastRenderedPageBreak/>
        <w:drawing>
          <wp:inline distT="0" distB="0" distL="0" distR="0" wp14:anchorId="6EE07CE2" wp14:editId="5AB85A88">
            <wp:extent cx="4847492" cy="6148705"/>
            <wp:effectExtent l="19050" t="19050" r="10795" b="2349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49796" cy="6151628"/>
                    </a:xfrm>
                    <a:prstGeom prst="rect">
                      <a:avLst/>
                    </a:prstGeom>
                    <a:noFill/>
                    <a:ln>
                      <a:solidFill>
                        <a:schemeClr val="tx1"/>
                      </a:solidFill>
                    </a:ln>
                  </pic:spPr>
                </pic:pic>
              </a:graphicData>
            </a:graphic>
          </wp:inline>
        </w:drawing>
      </w:r>
    </w:p>
    <w:p w14:paraId="0DF494E0" w14:textId="0A894315" w:rsidR="009A5A5D" w:rsidRDefault="009A5A5D" w:rsidP="00322083">
      <w:pPr>
        <w:pStyle w:val="Figure"/>
        <w:ind w:hanging="993"/>
      </w:pPr>
      <w:r>
        <w:t xml:space="preserve">Figure 3.3: </w:t>
      </w:r>
      <w:r w:rsidRPr="00C20147">
        <w:t>Extract from DME guideline – three methods for calculating financial provision explained</w:t>
      </w:r>
      <w:r>
        <w:t xml:space="preserve"> </w:t>
      </w:r>
    </w:p>
    <w:p w14:paraId="7B0000E8" w14:textId="77777777" w:rsidR="009A5A5D" w:rsidRPr="00C20147" w:rsidRDefault="009A5A5D" w:rsidP="00322083">
      <w:pPr>
        <w:pStyle w:val="Figure"/>
      </w:pPr>
      <w:r>
        <w:t xml:space="preserve">(Source: DME Guideline, 2004) </w:t>
      </w:r>
    </w:p>
    <w:p w14:paraId="071DF624" w14:textId="71B66197" w:rsidR="009A5A5D" w:rsidRDefault="009A5A5D" w:rsidP="00322083">
      <w:pPr>
        <w:pStyle w:val="Caption"/>
      </w:pPr>
    </w:p>
    <w:p w14:paraId="469F37E5" w14:textId="05147B5B" w:rsidR="006403E6" w:rsidRPr="006403E6" w:rsidRDefault="006403E6" w:rsidP="00AE71A0">
      <w:r w:rsidRPr="006403E6">
        <w:t>The first method was to just accept the determination of the cost done by a third party professional</w:t>
      </w:r>
      <w:r w:rsidR="00C20147">
        <w:t xml:space="preserve"> in cases where extensive information was available</w:t>
      </w:r>
      <w:r w:rsidRPr="006403E6">
        <w:t>. The second o</w:t>
      </w:r>
      <w:r w:rsidR="00C20147">
        <w:t>p</w:t>
      </w:r>
      <w:r w:rsidRPr="006403E6">
        <w:t xml:space="preserve">tion, </w:t>
      </w:r>
      <w:r w:rsidR="00C20147">
        <w:t>with limited information availability,</w:t>
      </w:r>
      <w:r w:rsidRPr="006403E6">
        <w:t xml:space="preserve"> was the rules</w:t>
      </w:r>
      <w:r w:rsidR="00953D47">
        <w:t>-</w:t>
      </w:r>
      <w:r w:rsidRPr="006403E6">
        <w:t>based approach, wherein several key element</w:t>
      </w:r>
      <w:r w:rsidR="00C20147">
        <w:t>s</w:t>
      </w:r>
      <w:r w:rsidRPr="006403E6">
        <w:t xml:space="preserve"> of the typical mine </w:t>
      </w:r>
      <w:r w:rsidR="00953D47">
        <w:t>is</w:t>
      </w:r>
      <w:r w:rsidRPr="006403E6">
        <w:t xml:space="preserve"> broken down into component parts, measured from mine plans by surface area </w:t>
      </w:r>
      <w:r w:rsidR="00C20147">
        <w:t>o</w:t>
      </w:r>
      <w:r w:rsidRPr="006403E6">
        <w:t>r volume and the master rates then applied to obtain a probable closure cost. This is the method that is the focus of the current research report. The last option</w:t>
      </w:r>
      <w:r w:rsidR="00C20147">
        <w:t xml:space="preserve"> that could </w:t>
      </w:r>
      <w:r w:rsidR="00C20147">
        <w:lastRenderedPageBreak/>
        <w:t xml:space="preserve">be applied with only limited information about the mine concerned, </w:t>
      </w:r>
      <w:r w:rsidRPr="006403E6">
        <w:t>was only supposed to be used for small min</w:t>
      </w:r>
      <w:r w:rsidR="008502D9">
        <w:t>e</w:t>
      </w:r>
      <w:r w:rsidRPr="006403E6">
        <w:t xml:space="preserve">s and prospecting operations, wherein a flat rate was charged per surface area of the mine right. This intention was that this method was reserved for instances where too little information was available </w:t>
      </w:r>
      <w:r w:rsidR="00953D47">
        <w:t xml:space="preserve">to apply any other method </w:t>
      </w:r>
      <w:r w:rsidRPr="006403E6">
        <w:t xml:space="preserve">and it was probably never used in practice. </w:t>
      </w:r>
    </w:p>
    <w:p w14:paraId="7DD45A55" w14:textId="0ABA4047" w:rsidR="00C20147" w:rsidRDefault="00C20147" w:rsidP="00AE71A0">
      <w:pPr>
        <w:rPr>
          <w:szCs w:val="24"/>
        </w:rPr>
      </w:pPr>
      <w:r>
        <w:rPr>
          <w:szCs w:val="24"/>
        </w:rPr>
        <w:t xml:space="preserve">In this research report, the Master rates prescribed for the Rules-based approach are analysed. It is therefore necessary to describe the process followed for the rules-based approach for open-cast asbestos mines which are the example used in this research report.  </w:t>
      </w:r>
      <w:r w:rsidRPr="009A5A5D">
        <w:rPr>
          <w:szCs w:val="24"/>
        </w:rPr>
        <w:t>Table</w:t>
      </w:r>
      <w:r w:rsidR="009A5A5D">
        <w:rPr>
          <w:szCs w:val="24"/>
        </w:rPr>
        <w:t xml:space="preserve"> 3.3</w:t>
      </w:r>
      <w:r>
        <w:rPr>
          <w:szCs w:val="24"/>
        </w:rPr>
        <w:t xml:space="preserve"> below provides a step-by-step guide to using the guideline for the example at hand: </w:t>
      </w:r>
    </w:p>
    <w:p w14:paraId="4314E683" w14:textId="64CE0EDA" w:rsidR="000E10D2" w:rsidRPr="000E10D2" w:rsidRDefault="009A5A5D" w:rsidP="00322083">
      <w:pPr>
        <w:pStyle w:val="Caption"/>
      </w:pPr>
      <w:bookmarkStart w:id="118" w:name="_Toc507320091"/>
      <w:bookmarkStart w:id="119" w:name="_Toc507336164"/>
      <w:bookmarkStart w:id="120" w:name="_Toc507336570"/>
      <w:bookmarkStart w:id="121" w:name="_Toc517372899"/>
      <w:bookmarkStart w:id="122" w:name="_Toc517372936"/>
      <w:bookmarkStart w:id="123" w:name="_Toc519445862"/>
      <w:bookmarkStart w:id="124" w:name="_Toc519445899"/>
      <w:r>
        <w:t xml:space="preserve">Table 3.3: </w:t>
      </w:r>
      <w:r w:rsidR="000E10D2" w:rsidRPr="000E10D2">
        <w:t>Step-by-step use of the DME guideline</w:t>
      </w:r>
      <w:bookmarkEnd w:id="118"/>
      <w:bookmarkEnd w:id="119"/>
      <w:bookmarkEnd w:id="120"/>
      <w:bookmarkEnd w:id="121"/>
      <w:bookmarkEnd w:id="122"/>
      <w:bookmarkEnd w:id="123"/>
      <w:bookmarkEnd w:id="124"/>
    </w:p>
    <w:tbl>
      <w:tblPr>
        <w:tblStyle w:val="TableGrid"/>
        <w:tblW w:w="0" w:type="auto"/>
        <w:tblLook w:val="04A0" w:firstRow="1" w:lastRow="0" w:firstColumn="1" w:lastColumn="0" w:noHBand="0" w:noVBand="1"/>
      </w:tblPr>
      <w:tblGrid>
        <w:gridCol w:w="2830"/>
        <w:gridCol w:w="2410"/>
        <w:gridCol w:w="3776"/>
      </w:tblGrid>
      <w:tr w:rsidR="00C20147" w14:paraId="7AB35F19" w14:textId="77777777" w:rsidTr="00953D47">
        <w:trPr>
          <w:tblHeader/>
        </w:trPr>
        <w:tc>
          <w:tcPr>
            <w:tcW w:w="2830" w:type="dxa"/>
            <w:vAlign w:val="center"/>
          </w:tcPr>
          <w:p w14:paraId="4B32E6C1" w14:textId="2A7A316E" w:rsidR="00C20147" w:rsidRPr="00C20147" w:rsidRDefault="00C20147" w:rsidP="00953D47">
            <w:pPr>
              <w:jc w:val="center"/>
              <w:rPr>
                <w:b/>
                <w:szCs w:val="24"/>
              </w:rPr>
            </w:pPr>
            <w:r w:rsidRPr="00C20147">
              <w:rPr>
                <w:b/>
                <w:szCs w:val="24"/>
              </w:rPr>
              <w:t>Guideline step</w:t>
            </w:r>
          </w:p>
        </w:tc>
        <w:tc>
          <w:tcPr>
            <w:tcW w:w="2410" w:type="dxa"/>
            <w:vAlign w:val="center"/>
          </w:tcPr>
          <w:p w14:paraId="7ACB518D" w14:textId="73B950D6" w:rsidR="00C20147" w:rsidRPr="00C20147" w:rsidRDefault="00C20147" w:rsidP="00953D47">
            <w:pPr>
              <w:jc w:val="center"/>
              <w:rPr>
                <w:b/>
                <w:szCs w:val="24"/>
              </w:rPr>
            </w:pPr>
            <w:r w:rsidRPr="00C20147">
              <w:rPr>
                <w:b/>
                <w:szCs w:val="24"/>
              </w:rPr>
              <w:t>Reference</w:t>
            </w:r>
          </w:p>
        </w:tc>
        <w:tc>
          <w:tcPr>
            <w:tcW w:w="3776" w:type="dxa"/>
            <w:vAlign w:val="center"/>
          </w:tcPr>
          <w:p w14:paraId="65048D73" w14:textId="42213238" w:rsidR="00C20147" w:rsidRPr="00C20147" w:rsidRDefault="00C20147" w:rsidP="00953D47">
            <w:pPr>
              <w:jc w:val="center"/>
              <w:rPr>
                <w:b/>
                <w:szCs w:val="24"/>
              </w:rPr>
            </w:pPr>
            <w:r w:rsidRPr="00C20147">
              <w:rPr>
                <w:b/>
                <w:szCs w:val="24"/>
              </w:rPr>
              <w:t>Result</w:t>
            </w:r>
          </w:p>
        </w:tc>
      </w:tr>
      <w:tr w:rsidR="00C20147" w14:paraId="72DEF8A6" w14:textId="77777777" w:rsidTr="00063C48">
        <w:tc>
          <w:tcPr>
            <w:tcW w:w="2830" w:type="dxa"/>
            <w:vAlign w:val="center"/>
          </w:tcPr>
          <w:p w14:paraId="4E54389E" w14:textId="772F206C" w:rsidR="00C20147" w:rsidRDefault="003D7E55" w:rsidP="00063C48">
            <w:pPr>
              <w:spacing w:line="240" w:lineRule="auto"/>
              <w:rPr>
                <w:szCs w:val="24"/>
              </w:rPr>
            </w:pPr>
            <w:r>
              <w:rPr>
                <w:szCs w:val="24"/>
              </w:rPr>
              <w:t xml:space="preserve">Step 1 </w:t>
            </w:r>
            <w:r w:rsidR="00727871">
              <w:rPr>
                <w:szCs w:val="24"/>
              </w:rPr>
              <w:t>–</w:t>
            </w:r>
            <w:r>
              <w:rPr>
                <w:szCs w:val="24"/>
              </w:rPr>
              <w:t xml:space="preserve"> </w:t>
            </w:r>
            <w:r w:rsidR="00727871">
              <w:rPr>
                <w:szCs w:val="24"/>
              </w:rPr>
              <w:t>Determine mineral mined/ processed and saleable by</w:t>
            </w:r>
            <w:r w:rsidR="000E10D2">
              <w:rPr>
                <w:szCs w:val="24"/>
              </w:rPr>
              <w:t>-</w:t>
            </w:r>
            <w:r w:rsidR="00727871">
              <w:rPr>
                <w:szCs w:val="24"/>
              </w:rPr>
              <w:t>products</w:t>
            </w:r>
          </w:p>
        </w:tc>
        <w:tc>
          <w:tcPr>
            <w:tcW w:w="2410" w:type="dxa"/>
            <w:vAlign w:val="center"/>
          </w:tcPr>
          <w:p w14:paraId="100CED07" w14:textId="6F9F2CF8" w:rsidR="00C20147" w:rsidRDefault="001F55FA" w:rsidP="00063C48">
            <w:pPr>
              <w:spacing w:line="240" w:lineRule="auto"/>
              <w:rPr>
                <w:szCs w:val="24"/>
              </w:rPr>
            </w:pPr>
            <w:r>
              <w:rPr>
                <w:szCs w:val="24"/>
              </w:rPr>
              <w:t xml:space="preserve">Guideline </w:t>
            </w:r>
            <w:r w:rsidR="002D6843">
              <w:rPr>
                <w:szCs w:val="24"/>
              </w:rPr>
              <w:t xml:space="preserve">Section B, </w:t>
            </w:r>
            <w:r>
              <w:rPr>
                <w:szCs w:val="24"/>
              </w:rPr>
              <w:t>Table B.12, Page 17</w:t>
            </w:r>
          </w:p>
        </w:tc>
        <w:tc>
          <w:tcPr>
            <w:tcW w:w="3776" w:type="dxa"/>
            <w:vAlign w:val="center"/>
          </w:tcPr>
          <w:p w14:paraId="5AEDE109" w14:textId="20FFE356" w:rsidR="00C20147" w:rsidRDefault="001F55FA" w:rsidP="00063C48">
            <w:pPr>
              <w:spacing w:line="240" w:lineRule="auto"/>
              <w:rPr>
                <w:szCs w:val="24"/>
              </w:rPr>
            </w:pPr>
            <w:r>
              <w:rPr>
                <w:szCs w:val="24"/>
              </w:rPr>
              <w:t>Asbestos mines are listed</w:t>
            </w:r>
          </w:p>
        </w:tc>
      </w:tr>
      <w:tr w:rsidR="00C20147" w14:paraId="4014617E" w14:textId="77777777" w:rsidTr="00063C48">
        <w:tc>
          <w:tcPr>
            <w:tcW w:w="2830" w:type="dxa"/>
            <w:vAlign w:val="center"/>
          </w:tcPr>
          <w:p w14:paraId="6EF5E519" w14:textId="2C2EEF67" w:rsidR="00C20147" w:rsidRDefault="003D7E55" w:rsidP="00063C48">
            <w:pPr>
              <w:spacing w:line="240" w:lineRule="auto"/>
              <w:rPr>
                <w:szCs w:val="24"/>
              </w:rPr>
            </w:pPr>
            <w:r>
              <w:rPr>
                <w:szCs w:val="24"/>
              </w:rPr>
              <w:t xml:space="preserve">Step 2 </w:t>
            </w:r>
            <w:r w:rsidR="00727871">
              <w:rPr>
                <w:szCs w:val="24"/>
              </w:rPr>
              <w:t>–</w:t>
            </w:r>
            <w:r>
              <w:rPr>
                <w:szCs w:val="24"/>
              </w:rPr>
              <w:t xml:space="preserve"> </w:t>
            </w:r>
            <w:r w:rsidR="00727871">
              <w:rPr>
                <w:szCs w:val="24"/>
              </w:rPr>
              <w:t>Determine Risk Class</w:t>
            </w:r>
            <w:r w:rsidR="000E10D2">
              <w:rPr>
                <w:rStyle w:val="FootnoteReference"/>
                <w:szCs w:val="24"/>
              </w:rPr>
              <w:footnoteReference w:id="6"/>
            </w:r>
          </w:p>
        </w:tc>
        <w:tc>
          <w:tcPr>
            <w:tcW w:w="2410" w:type="dxa"/>
            <w:vAlign w:val="center"/>
          </w:tcPr>
          <w:p w14:paraId="6A62E664" w14:textId="0BCAC058" w:rsidR="00C20147" w:rsidRDefault="001F55FA" w:rsidP="00063C48">
            <w:pPr>
              <w:spacing w:line="240" w:lineRule="auto"/>
              <w:rPr>
                <w:szCs w:val="24"/>
              </w:rPr>
            </w:pPr>
            <w:r w:rsidRPr="001F55FA">
              <w:rPr>
                <w:szCs w:val="24"/>
              </w:rPr>
              <w:t xml:space="preserve">Guideline </w:t>
            </w:r>
            <w:r w:rsidR="002D6843" w:rsidRPr="001F55FA">
              <w:rPr>
                <w:szCs w:val="24"/>
              </w:rPr>
              <w:t>Section B</w:t>
            </w:r>
            <w:r w:rsidR="002D6843">
              <w:rPr>
                <w:szCs w:val="24"/>
              </w:rPr>
              <w:t>,</w:t>
            </w:r>
            <w:r w:rsidR="002D6843" w:rsidRPr="001F55FA">
              <w:rPr>
                <w:szCs w:val="24"/>
              </w:rPr>
              <w:t xml:space="preserve"> </w:t>
            </w:r>
            <w:r w:rsidRPr="001F55FA">
              <w:rPr>
                <w:szCs w:val="24"/>
              </w:rPr>
              <w:t>Table B.12, Page 17</w:t>
            </w:r>
          </w:p>
        </w:tc>
        <w:tc>
          <w:tcPr>
            <w:tcW w:w="3776" w:type="dxa"/>
            <w:vAlign w:val="center"/>
          </w:tcPr>
          <w:p w14:paraId="6F2D8356" w14:textId="4B076E65" w:rsidR="00C20147" w:rsidRDefault="001F55FA" w:rsidP="00063C48">
            <w:pPr>
              <w:spacing w:line="240" w:lineRule="auto"/>
              <w:rPr>
                <w:szCs w:val="24"/>
              </w:rPr>
            </w:pPr>
            <w:r>
              <w:rPr>
                <w:szCs w:val="24"/>
              </w:rPr>
              <w:t xml:space="preserve">Asbestos mine, mine waste, plant  and plant waste are all classified as </w:t>
            </w:r>
            <w:r w:rsidRPr="001F55FA">
              <w:rPr>
                <w:b/>
                <w:szCs w:val="24"/>
              </w:rPr>
              <w:t xml:space="preserve">Risk Class A </w:t>
            </w:r>
          </w:p>
        </w:tc>
      </w:tr>
      <w:tr w:rsidR="00C20147" w14:paraId="4CF09E4C" w14:textId="77777777" w:rsidTr="00063C48">
        <w:tc>
          <w:tcPr>
            <w:tcW w:w="2830" w:type="dxa"/>
            <w:vAlign w:val="center"/>
          </w:tcPr>
          <w:p w14:paraId="68ED044D" w14:textId="72073FD1" w:rsidR="00C20147" w:rsidRDefault="003D7E55" w:rsidP="00063C48">
            <w:pPr>
              <w:spacing w:line="240" w:lineRule="auto"/>
              <w:rPr>
                <w:szCs w:val="24"/>
              </w:rPr>
            </w:pPr>
            <w:r>
              <w:rPr>
                <w:szCs w:val="24"/>
              </w:rPr>
              <w:t xml:space="preserve">Step 3 </w:t>
            </w:r>
            <w:r w:rsidR="00727871">
              <w:rPr>
                <w:szCs w:val="24"/>
              </w:rPr>
              <w:t>–</w:t>
            </w:r>
            <w:r>
              <w:rPr>
                <w:szCs w:val="24"/>
              </w:rPr>
              <w:t xml:space="preserve"> </w:t>
            </w:r>
            <w:r w:rsidR="00727871">
              <w:rPr>
                <w:szCs w:val="24"/>
              </w:rPr>
              <w:t>Determine area sensitivity</w:t>
            </w:r>
          </w:p>
        </w:tc>
        <w:tc>
          <w:tcPr>
            <w:tcW w:w="2410" w:type="dxa"/>
            <w:vAlign w:val="center"/>
          </w:tcPr>
          <w:p w14:paraId="67CADC88" w14:textId="61EC3F3A" w:rsidR="00C20147" w:rsidRDefault="001F55FA" w:rsidP="00063C48">
            <w:pPr>
              <w:spacing w:line="240" w:lineRule="auto"/>
              <w:rPr>
                <w:szCs w:val="24"/>
              </w:rPr>
            </w:pPr>
            <w:r w:rsidRPr="001F55FA">
              <w:rPr>
                <w:szCs w:val="24"/>
              </w:rPr>
              <w:t>Guideline Section B</w:t>
            </w:r>
            <w:r>
              <w:rPr>
                <w:szCs w:val="24"/>
              </w:rPr>
              <w:t>,</w:t>
            </w:r>
            <w:r w:rsidRPr="001F55FA">
              <w:rPr>
                <w:szCs w:val="24"/>
              </w:rPr>
              <w:t xml:space="preserve"> Table B.</w:t>
            </w:r>
            <w:r>
              <w:rPr>
                <w:szCs w:val="24"/>
              </w:rPr>
              <w:t>3</w:t>
            </w:r>
            <w:r w:rsidRPr="001F55FA">
              <w:rPr>
                <w:szCs w:val="24"/>
              </w:rPr>
              <w:t>, Page 7</w:t>
            </w:r>
          </w:p>
        </w:tc>
        <w:tc>
          <w:tcPr>
            <w:tcW w:w="3776" w:type="dxa"/>
            <w:vAlign w:val="center"/>
          </w:tcPr>
          <w:p w14:paraId="6C7B3016" w14:textId="5C5BC4E8" w:rsidR="00C20147" w:rsidRDefault="002D6843" w:rsidP="00063C48">
            <w:pPr>
              <w:spacing w:line="240" w:lineRule="auto"/>
              <w:rPr>
                <w:szCs w:val="24"/>
              </w:rPr>
            </w:pPr>
            <w:r>
              <w:rPr>
                <w:szCs w:val="24"/>
              </w:rPr>
              <w:t xml:space="preserve">By virtue of the selection of sites prioritised for rehabilitation, most asbestos mines are classified mostly as lying in </w:t>
            </w:r>
            <w:r w:rsidR="0034009E" w:rsidRPr="0034009E">
              <w:rPr>
                <w:b/>
                <w:szCs w:val="24"/>
              </w:rPr>
              <w:t xml:space="preserve">highly </w:t>
            </w:r>
            <w:r w:rsidRPr="002D6843">
              <w:rPr>
                <w:b/>
                <w:szCs w:val="24"/>
              </w:rPr>
              <w:t>sensitive</w:t>
            </w:r>
            <w:r>
              <w:rPr>
                <w:szCs w:val="24"/>
              </w:rPr>
              <w:t xml:space="preserve"> areas based on mostly social considerations</w:t>
            </w:r>
          </w:p>
        </w:tc>
      </w:tr>
      <w:tr w:rsidR="00C20147" w14:paraId="4726655D" w14:textId="77777777" w:rsidTr="00063C48">
        <w:tc>
          <w:tcPr>
            <w:tcW w:w="2830" w:type="dxa"/>
            <w:vAlign w:val="center"/>
          </w:tcPr>
          <w:p w14:paraId="45F5AF70" w14:textId="6165C6F3" w:rsidR="00C20147" w:rsidRDefault="003D7E55" w:rsidP="00063C48">
            <w:pPr>
              <w:spacing w:line="240" w:lineRule="auto"/>
              <w:rPr>
                <w:szCs w:val="24"/>
              </w:rPr>
            </w:pPr>
            <w:r>
              <w:rPr>
                <w:szCs w:val="24"/>
              </w:rPr>
              <w:t xml:space="preserve">Step 4.1 </w:t>
            </w:r>
            <w:r w:rsidR="00727871">
              <w:rPr>
                <w:szCs w:val="24"/>
              </w:rPr>
              <w:t>–</w:t>
            </w:r>
            <w:r>
              <w:rPr>
                <w:szCs w:val="24"/>
              </w:rPr>
              <w:t xml:space="preserve"> </w:t>
            </w:r>
            <w:r w:rsidR="00727871">
              <w:rPr>
                <w:szCs w:val="24"/>
              </w:rPr>
              <w:t>Determine level of information</w:t>
            </w:r>
          </w:p>
        </w:tc>
        <w:tc>
          <w:tcPr>
            <w:tcW w:w="2410" w:type="dxa"/>
            <w:vAlign w:val="center"/>
          </w:tcPr>
          <w:p w14:paraId="7D582FC1" w14:textId="6C39AA8A" w:rsidR="00C20147" w:rsidRDefault="002D6843" w:rsidP="00063C48">
            <w:pPr>
              <w:spacing w:line="240" w:lineRule="auto"/>
              <w:rPr>
                <w:szCs w:val="24"/>
              </w:rPr>
            </w:pPr>
            <w:r w:rsidRPr="002D6843">
              <w:rPr>
                <w:szCs w:val="24"/>
              </w:rPr>
              <w:t xml:space="preserve">Guideline Section B, </w:t>
            </w:r>
            <w:r>
              <w:rPr>
                <w:szCs w:val="24"/>
              </w:rPr>
              <w:t>Paragraph 4.4.1</w:t>
            </w:r>
            <w:r w:rsidRPr="002D6843">
              <w:rPr>
                <w:szCs w:val="24"/>
              </w:rPr>
              <w:t xml:space="preserve">, Page </w:t>
            </w:r>
            <w:r>
              <w:rPr>
                <w:szCs w:val="24"/>
              </w:rPr>
              <w:t>8</w:t>
            </w:r>
          </w:p>
        </w:tc>
        <w:tc>
          <w:tcPr>
            <w:tcW w:w="3776" w:type="dxa"/>
            <w:vAlign w:val="center"/>
          </w:tcPr>
          <w:p w14:paraId="3B2CF7AC" w14:textId="2378F325" w:rsidR="00C20147" w:rsidRDefault="002D6843" w:rsidP="00063C48">
            <w:pPr>
              <w:spacing w:line="240" w:lineRule="auto"/>
              <w:rPr>
                <w:szCs w:val="24"/>
              </w:rPr>
            </w:pPr>
            <w:r>
              <w:rPr>
                <w:szCs w:val="24"/>
              </w:rPr>
              <w:t xml:space="preserve">For abandoned mines, no EMP and no closure plan exists. No expert closure costing, either. Information is therefore limited. The guideline prescribes using the “rules-based” approach. </w:t>
            </w:r>
          </w:p>
        </w:tc>
      </w:tr>
      <w:tr w:rsidR="00C20147" w14:paraId="7973FE0D" w14:textId="77777777" w:rsidTr="00063C48">
        <w:tc>
          <w:tcPr>
            <w:tcW w:w="2830" w:type="dxa"/>
            <w:vAlign w:val="center"/>
          </w:tcPr>
          <w:p w14:paraId="270B7F7F" w14:textId="7DF5034E" w:rsidR="00C20147" w:rsidRDefault="003D7E55" w:rsidP="00063C48">
            <w:pPr>
              <w:spacing w:line="240" w:lineRule="auto"/>
              <w:rPr>
                <w:szCs w:val="24"/>
              </w:rPr>
            </w:pPr>
            <w:r>
              <w:rPr>
                <w:szCs w:val="24"/>
              </w:rPr>
              <w:t xml:space="preserve">Step 4.2 </w:t>
            </w:r>
            <w:r w:rsidR="00727871">
              <w:rPr>
                <w:szCs w:val="24"/>
              </w:rPr>
              <w:t>–</w:t>
            </w:r>
            <w:r>
              <w:rPr>
                <w:szCs w:val="24"/>
              </w:rPr>
              <w:t xml:space="preserve"> </w:t>
            </w:r>
            <w:r w:rsidR="00727871">
              <w:rPr>
                <w:szCs w:val="24"/>
              </w:rPr>
              <w:t>Determine closure components</w:t>
            </w:r>
          </w:p>
        </w:tc>
        <w:tc>
          <w:tcPr>
            <w:tcW w:w="2410" w:type="dxa"/>
            <w:vAlign w:val="center"/>
          </w:tcPr>
          <w:p w14:paraId="7F26F563" w14:textId="3F9916BA" w:rsidR="00C20147" w:rsidRDefault="002D6843" w:rsidP="00063C48">
            <w:pPr>
              <w:spacing w:line="240" w:lineRule="auto"/>
              <w:rPr>
                <w:szCs w:val="24"/>
              </w:rPr>
            </w:pPr>
            <w:r w:rsidRPr="002D6843">
              <w:rPr>
                <w:szCs w:val="24"/>
              </w:rPr>
              <w:t xml:space="preserve">Guideline Section B, </w:t>
            </w:r>
            <w:r>
              <w:rPr>
                <w:szCs w:val="24"/>
              </w:rPr>
              <w:t>Table B.4</w:t>
            </w:r>
            <w:r w:rsidRPr="002D6843">
              <w:rPr>
                <w:szCs w:val="24"/>
              </w:rPr>
              <w:t xml:space="preserve">,  Page </w:t>
            </w:r>
            <w:r>
              <w:rPr>
                <w:szCs w:val="24"/>
              </w:rPr>
              <w:t>9</w:t>
            </w:r>
          </w:p>
        </w:tc>
        <w:tc>
          <w:tcPr>
            <w:tcW w:w="3776" w:type="dxa"/>
            <w:vAlign w:val="center"/>
          </w:tcPr>
          <w:p w14:paraId="14A0D765" w14:textId="14426303" w:rsidR="00C20147" w:rsidRDefault="002D6843" w:rsidP="00063C48">
            <w:pPr>
              <w:spacing w:line="240" w:lineRule="auto"/>
              <w:rPr>
                <w:szCs w:val="24"/>
              </w:rPr>
            </w:pPr>
            <w:r>
              <w:rPr>
                <w:szCs w:val="24"/>
              </w:rPr>
              <w:t xml:space="preserve">Common closure components have already been selected for opencast asbestos mines – see </w:t>
            </w:r>
            <w:r w:rsidRPr="00953D47">
              <w:rPr>
                <w:szCs w:val="24"/>
              </w:rPr>
              <w:t>Table</w:t>
            </w:r>
            <w:r>
              <w:rPr>
                <w:szCs w:val="24"/>
              </w:rPr>
              <w:t xml:space="preserve"> </w:t>
            </w:r>
            <w:r w:rsidR="00154A39">
              <w:rPr>
                <w:szCs w:val="24"/>
              </w:rPr>
              <w:t xml:space="preserve">4.2 in Section 4 of this report. </w:t>
            </w:r>
          </w:p>
        </w:tc>
      </w:tr>
      <w:tr w:rsidR="00C20147" w14:paraId="0184E6ED" w14:textId="77777777" w:rsidTr="00063C48">
        <w:tc>
          <w:tcPr>
            <w:tcW w:w="2830" w:type="dxa"/>
            <w:vAlign w:val="center"/>
          </w:tcPr>
          <w:p w14:paraId="71E63A0C" w14:textId="4F0EC03C" w:rsidR="00C20147" w:rsidRDefault="003D7E55" w:rsidP="00063C48">
            <w:pPr>
              <w:spacing w:line="240" w:lineRule="auto"/>
              <w:rPr>
                <w:szCs w:val="24"/>
              </w:rPr>
            </w:pPr>
            <w:r>
              <w:rPr>
                <w:szCs w:val="24"/>
              </w:rPr>
              <w:lastRenderedPageBreak/>
              <w:t xml:space="preserve">Step 4.3 </w:t>
            </w:r>
            <w:r w:rsidR="00727871">
              <w:rPr>
                <w:szCs w:val="24"/>
              </w:rPr>
              <w:t>–</w:t>
            </w:r>
            <w:r>
              <w:rPr>
                <w:szCs w:val="24"/>
              </w:rPr>
              <w:t xml:space="preserve"> </w:t>
            </w:r>
            <w:r w:rsidR="00727871">
              <w:rPr>
                <w:szCs w:val="24"/>
              </w:rPr>
              <w:t>Determine unit rates for each closure component</w:t>
            </w:r>
          </w:p>
        </w:tc>
        <w:tc>
          <w:tcPr>
            <w:tcW w:w="2410" w:type="dxa"/>
            <w:vAlign w:val="center"/>
          </w:tcPr>
          <w:p w14:paraId="284DCBFB" w14:textId="0356F5F7" w:rsidR="00C20147" w:rsidRDefault="00154A39" w:rsidP="00063C48">
            <w:pPr>
              <w:spacing w:line="240" w:lineRule="auto"/>
              <w:rPr>
                <w:szCs w:val="24"/>
              </w:rPr>
            </w:pPr>
            <w:r w:rsidRPr="00154A39">
              <w:rPr>
                <w:szCs w:val="24"/>
              </w:rPr>
              <w:t>Guideline Section B, Table B.</w:t>
            </w:r>
            <w:r>
              <w:rPr>
                <w:szCs w:val="24"/>
              </w:rPr>
              <w:t>5</w:t>
            </w:r>
            <w:r w:rsidRPr="00154A39">
              <w:rPr>
                <w:szCs w:val="24"/>
              </w:rPr>
              <w:t xml:space="preserve">, Page </w:t>
            </w:r>
            <w:r>
              <w:rPr>
                <w:szCs w:val="24"/>
              </w:rPr>
              <w:t>10</w:t>
            </w:r>
          </w:p>
        </w:tc>
        <w:tc>
          <w:tcPr>
            <w:tcW w:w="3776" w:type="dxa"/>
            <w:vAlign w:val="center"/>
          </w:tcPr>
          <w:p w14:paraId="4B972C22" w14:textId="7C8D3A8A" w:rsidR="00C20147" w:rsidRDefault="00154A39" w:rsidP="00063C48">
            <w:pPr>
              <w:spacing w:line="240" w:lineRule="auto"/>
              <w:rPr>
                <w:szCs w:val="24"/>
              </w:rPr>
            </w:pPr>
            <w:r>
              <w:rPr>
                <w:szCs w:val="24"/>
              </w:rPr>
              <w:t>These are the Master Rates</w:t>
            </w:r>
            <w:r w:rsidR="00DC20D9">
              <w:rPr>
                <w:rStyle w:val="FootnoteReference"/>
                <w:szCs w:val="24"/>
              </w:rPr>
              <w:footnoteReference w:id="7"/>
            </w:r>
            <w:r>
              <w:rPr>
                <w:szCs w:val="24"/>
              </w:rPr>
              <w:t xml:space="preserve"> for each identified cost component with values as originally published in 2004. (Refer to ANNEXURE A in this report for updated values)</w:t>
            </w:r>
          </w:p>
        </w:tc>
      </w:tr>
      <w:tr w:rsidR="00C20147" w14:paraId="4F16AD1F" w14:textId="77777777" w:rsidTr="00063C48">
        <w:tc>
          <w:tcPr>
            <w:tcW w:w="2830" w:type="dxa"/>
            <w:vAlign w:val="center"/>
          </w:tcPr>
          <w:p w14:paraId="629BCC04" w14:textId="08D920EE" w:rsidR="00C20147" w:rsidRDefault="003D7E55" w:rsidP="00063C48">
            <w:pPr>
              <w:spacing w:line="240" w:lineRule="auto"/>
              <w:rPr>
                <w:szCs w:val="24"/>
              </w:rPr>
            </w:pPr>
            <w:r>
              <w:rPr>
                <w:szCs w:val="24"/>
              </w:rPr>
              <w:t xml:space="preserve">Step 4.4 </w:t>
            </w:r>
            <w:r w:rsidR="00727871">
              <w:rPr>
                <w:szCs w:val="24"/>
              </w:rPr>
              <w:t>–</w:t>
            </w:r>
            <w:r>
              <w:rPr>
                <w:szCs w:val="24"/>
              </w:rPr>
              <w:t xml:space="preserve"> </w:t>
            </w:r>
            <w:r w:rsidR="00727871">
              <w:rPr>
                <w:szCs w:val="24"/>
              </w:rPr>
              <w:t>Determine and apply weighting factors</w:t>
            </w:r>
          </w:p>
        </w:tc>
        <w:tc>
          <w:tcPr>
            <w:tcW w:w="2410" w:type="dxa"/>
            <w:vAlign w:val="center"/>
          </w:tcPr>
          <w:p w14:paraId="0DEE9EF5" w14:textId="4ED25A90" w:rsidR="00C20147" w:rsidRDefault="000E10D2" w:rsidP="00063C48">
            <w:pPr>
              <w:spacing w:line="240" w:lineRule="auto"/>
              <w:rPr>
                <w:szCs w:val="24"/>
              </w:rPr>
            </w:pPr>
            <w:r w:rsidRPr="000E10D2">
              <w:rPr>
                <w:szCs w:val="24"/>
              </w:rPr>
              <w:t>Guideline Section B, Table</w:t>
            </w:r>
            <w:r>
              <w:rPr>
                <w:szCs w:val="24"/>
              </w:rPr>
              <w:t>s</w:t>
            </w:r>
            <w:r w:rsidRPr="000E10D2">
              <w:rPr>
                <w:szCs w:val="24"/>
              </w:rPr>
              <w:t xml:space="preserve"> B.</w:t>
            </w:r>
            <w:r>
              <w:rPr>
                <w:szCs w:val="24"/>
              </w:rPr>
              <w:t xml:space="preserve">6 </w:t>
            </w:r>
            <w:r w:rsidR="0034009E">
              <w:rPr>
                <w:szCs w:val="24"/>
              </w:rPr>
              <w:t>&amp;</w:t>
            </w:r>
            <w:r>
              <w:rPr>
                <w:szCs w:val="24"/>
              </w:rPr>
              <w:t xml:space="preserve"> B.7</w:t>
            </w:r>
            <w:r w:rsidRPr="000E10D2">
              <w:rPr>
                <w:szCs w:val="24"/>
              </w:rPr>
              <w:t>, Page 1</w:t>
            </w:r>
            <w:r>
              <w:rPr>
                <w:szCs w:val="24"/>
              </w:rPr>
              <w:t>2</w:t>
            </w:r>
          </w:p>
        </w:tc>
        <w:tc>
          <w:tcPr>
            <w:tcW w:w="3776" w:type="dxa"/>
            <w:vAlign w:val="center"/>
          </w:tcPr>
          <w:p w14:paraId="5BDA6B14" w14:textId="78AAF931" w:rsidR="00C20147" w:rsidRDefault="000E10D2" w:rsidP="00063C48">
            <w:pPr>
              <w:spacing w:line="240" w:lineRule="auto"/>
              <w:rPr>
                <w:szCs w:val="24"/>
              </w:rPr>
            </w:pPr>
            <w:r>
              <w:rPr>
                <w:szCs w:val="24"/>
              </w:rPr>
              <w:t>The Master Rates are adapted by Weighting Table B.6 to account for terrain access difficulties</w:t>
            </w:r>
            <w:r w:rsidR="0034009E">
              <w:rPr>
                <w:rStyle w:val="FootnoteReference"/>
                <w:szCs w:val="24"/>
              </w:rPr>
              <w:footnoteReference w:id="8"/>
            </w:r>
            <w:r>
              <w:rPr>
                <w:szCs w:val="24"/>
              </w:rPr>
              <w:t xml:space="preserve">. </w:t>
            </w:r>
            <w:r w:rsidR="008A7C9C">
              <w:rPr>
                <w:szCs w:val="24"/>
              </w:rPr>
              <w:t>This is applied to all master rates applicable to the mine/ project in question.</w:t>
            </w:r>
          </w:p>
          <w:p w14:paraId="1654D25B" w14:textId="564DECB5" w:rsidR="000E10D2" w:rsidRDefault="000E10D2" w:rsidP="00063C48">
            <w:pPr>
              <w:spacing w:line="240" w:lineRule="auto"/>
              <w:rPr>
                <w:szCs w:val="24"/>
              </w:rPr>
            </w:pPr>
            <w:r>
              <w:rPr>
                <w:szCs w:val="24"/>
              </w:rPr>
              <w:t xml:space="preserve">Table B.7 is only applicable to the Preliminary and General costs. </w:t>
            </w:r>
          </w:p>
        </w:tc>
      </w:tr>
      <w:tr w:rsidR="00C20147" w14:paraId="5391D389" w14:textId="77777777" w:rsidTr="00063C48">
        <w:tc>
          <w:tcPr>
            <w:tcW w:w="2830" w:type="dxa"/>
            <w:vAlign w:val="center"/>
          </w:tcPr>
          <w:p w14:paraId="33FC63B7" w14:textId="30196A08" w:rsidR="00C20147" w:rsidRDefault="00727871" w:rsidP="00063C48">
            <w:pPr>
              <w:spacing w:line="240" w:lineRule="auto"/>
              <w:rPr>
                <w:szCs w:val="24"/>
              </w:rPr>
            </w:pPr>
            <w:r>
              <w:rPr>
                <w:szCs w:val="24"/>
              </w:rPr>
              <w:t>Step 4.5 – Determine areas of disturbance</w:t>
            </w:r>
          </w:p>
        </w:tc>
        <w:tc>
          <w:tcPr>
            <w:tcW w:w="2410" w:type="dxa"/>
            <w:vAlign w:val="center"/>
          </w:tcPr>
          <w:p w14:paraId="748A3B12" w14:textId="7AB1CB2A" w:rsidR="00C20147" w:rsidRDefault="000E10D2" w:rsidP="00063C48">
            <w:pPr>
              <w:spacing w:line="240" w:lineRule="auto"/>
              <w:rPr>
                <w:szCs w:val="24"/>
              </w:rPr>
            </w:pPr>
            <w:r w:rsidRPr="000E10D2">
              <w:rPr>
                <w:szCs w:val="24"/>
              </w:rPr>
              <w:t xml:space="preserve">Guideline Section B, </w:t>
            </w:r>
            <w:r>
              <w:rPr>
                <w:szCs w:val="24"/>
              </w:rPr>
              <w:t>Step 4.5</w:t>
            </w:r>
            <w:r w:rsidRPr="000E10D2">
              <w:rPr>
                <w:szCs w:val="24"/>
              </w:rPr>
              <w:t>,  Page 1</w:t>
            </w:r>
            <w:r>
              <w:rPr>
                <w:szCs w:val="24"/>
              </w:rPr>
              <w:t>2</w:t>
            </w:r>
          </w:p>
        </w:tc>
        <w:tc>
          <w:tcPr>
            <w:tcW w:w="3776" w:type="dxa"/>
            <w:vAlign w:val="center"/>
          </w:tcPr>
          <w:p w14:paraId="76090856" w14:textId="1FFD648A" w:rsidR="00C20147" w:rsidRDefault="000E10D2" w:rsidP="00063C48">
            <w:pPr>
              <w:spacing w:line="240" w:lineRule="auto"/>
              <w:rPr>
                <w:szCs w:val="24"/>
              </w:rPr>
            </w:pPr>
            <w:r w:rsidRPr="000E10D2">
              <w:rPr>
                <w:szCs w:val="24"/>
              </w:rPr>
              <w:t>This is done on a site-specific basis for the asbestos mines closure projects in the project scoping report phase, but is not relevant for this research report.</w:t>
            </w:r>
          </w:p>
        </w:tc>
      </w:tr>
      <w:tr w:rsidR="00C20147" w14:paraId="299D70D3" w14:textId="77777777" w:rsidTr="00063C48">
        <w:tc>
          <w:tcPr>
            <w:tcW w:w="2830" w:type="dxa"/>
            <w:vAlign w:val="center"/>
          </w:tcPr>
          <w:p w14:paraId="1C6D1832" w14:textId="61536B25" w:rsidR="00C20147" w:rsidRDefault="00727871" w:rsidP="00063C48">
            <w:pPr>
              <w:spacing w:line="240" w:lineRule="auto"/>
              <w:rPr>
                <w:szCs w:val="24"/>
              </w:rPr>
            </w:pPr>
            <w:r>
              <w:rPr>
                <w:szCs w:val="24"/>
              </w:rPr>
              <w:t xml:space="preserve">Step 4.6 – Identify site-specific closure costs form specialist studies </w:t>
            </w:r>
          </w:p>
        </w:tc>
        <w:tc>
          <w:tcPr>
            <w:tcW w:w="2410" w:type="dxa"/>
            <w:vAlign w:val="center"/>
          </w:tcPr>
          <w:p w14:paraId="2045FF72" w14:textId="5980AD9F" w:rsidR="00C20147" w:rsidRDefault="000E10D2" w:rsidP="00063C48">
            <w:pPr>
              <w:spacing w:line="240" w:lineRule="auto"/>
              <w:rPr>
                <w:szCs w:val="24"/>
              </w:rPr>
            </w:pPr>
            <w:r w:rsidRPr="000E10D2">
              <w:rPr>
                <w:szCs w:val="24"/>
              </w:rPr>
              <w:t>Guideline Section B, Table B.</w:t>
            </w:r>
            <w:r>
              <w:rPr>
                <w:szCs w:val="24"/>
              </w:rPr>
              <w:t>8</w:t>
            </w:r>
            <w:r w:rsidRPr="000E10D2">
              <w:rPr>
                <w:szCs w:val="24"/>
              </w:rPr>
              <w:t>,  Page 1</w:t>
            </w:r>
            <w:r>
              <w:rPr>
                <w:szCs w:val="24"/>
              </w:rPr>
              <w:t>3</w:t>
            </w:r>
          </w:p>
        </w:tc>
        <w:tc>
          <w:tcPr>
            <w:tcW w:w="3776" w:type="dxa"/>
            <w:vAlign w:val="center"/>
          </w:tcPr>
          <w:p w14:paraId="3865849E" w14:textId="51E74EF8" w:rsidR="00C20147" w:rsidRDefault="000E10D2" w:rsidP="00063C48">
            <w:pPr>
              <w:spacing w:line="240" w:lineRule="auto"/>
              <w:rPr>
                <w:szCs w:val="24"/>
              </w:rPr>
            </w:pPr>
            <w:r>
              <w:rPr>
                <w:szCs w:val="24"/>
              </w:rPr>
              <w:t>This is done on a site-specific basis for the asbestos mines closure projects in the project scoping report phase, but is not relevant for this research report.</w:t>
            </w:r>
          </w:p>
        </w:tc>
      </w:tr>
      <w:tr w:rsidR="00C20147" w14:paraId="1B468636" w14:textId="77777777" w:rsidTr="00063C48">
        <w:tc>
          <w:tcPr>
            <w:tcW w:w="2830" w:type="dxa"/>
            <w:vAlign w:val="center"/>
          </w:tcPr>
          <w:p w14:paraId="17FE16D0" w14:textId="57F3CB22" w:rsidR="00C20147" w:rsidRDefault="00727871" w:rsidP="00063C48">
            <w:pPr>
              <w:spacing w:line="240" w:lineRule="auto"/>
              <w:rPr>
                <w:szCs w:val="24"/>
              </w:rPr>
            </w:pPr>
            <w:r>
              <w:rPr>
                <w:szCs w:val="24"/>
              </w:rPr>
              <w:t xml:space="preserve">Step 4.7 – Calculate closure costs </w:t>
            </w:r>
          </w:p>
        </w:tc>
        <w:tc>
          <w:tcPr>
            <w:tcW w:w="2410" w:type="dxa"/>
            <w:vAlign w:val="center"/>
          </w:tcPr>
          <w:p w14:paraId="09BDD9F8" w14:textId="2F2DB962" w:rsidR="00C20147" w:rsidRDefault="000E10D2" w:rsidP="00063C48">
            <w:pPr>
              <w:spacing w:line="240" w:lineRule="auto"/>
              <w:rPr>
                <w:szCs w:val="24"/>
              </w:rPr>
            </w:pPr>
            <w:r w:rsidRPr="000E10D2">
              <w:rPr>
                <w:szCs w:val="24"/>
              </w:rPr>
              <w:t>Guideline Section B, Table B.</w:t>
            </w:r>
            <w:r>
              <w:rPr>
                <w:szCs w:val="24"/>
              </w:rPr>
              <w:t>9</w:t>
            </w:r>
            <w:r w:rsidRPr="000E10D2">
              <w:rPr>
                <w:szCs w:val="24"/>
              </w:rPr>
              <w:t>,  Page 1</w:t>
            </w:r>
            <w:r>
              <w:rPr>
                <w:szCs w:val="24"/>
              </w:rPr>
              <w:t>4</w:t>
            </w:r>
          </w:p>
        </w:tc>
        <w:tc>
          <w:tcPr>
            <w:tcW w:w="3776" w:type="dxa"/>
            <w:vAlign w:val="center"/>
          </w:tcPr>
          <w:p w14:paraId="535FBF9B" w14:textId="4D9F5799" w:rsidR="00C20147" w:rsidRDefault="000E10D2" w:rsidP="00063C48">
            <w:pPr>
              <w:spacing w:line="240" w:lineRule="auto"/>
              <w:rPr>
                <w:szCs w:val="24"/>
              </w:rPr>
            </w:pPr>
            <w:r>
              <w:rPr>
                <w:szCs w:val="24"/>
              </w:rPr>
              <w:t xml:space="preserve">Intended to be site-specific as applied in the guideline - </w:t>
            </w:r>
            <w:r w:rsidRPr="000E10D2">
              <w:rPr>
                <w:szCs w:val="24"/>
              </w:rPr>
              <w:t>not relevant for this research report.</w:t>
            </w:r>
          </w:p>
        </w:tc>
      </w:tr>
    </w:tbl>
    <w:p w14:paraId="0BA16D9E" w14:textId="77777777" w:rsidR="0034009E" w:rsidRDefault="0034009E" w:rsidP="00AE71A0">
      <w:pPr>
        <w:rPr>
          <w:szCs w:val="24"/>
        </w:rPr>
      </w:pPr>
    </w:p>
    <w:p w14:paraId="233AA86C" w14:textId="7CEC2DAE" w:rsidR="00E73495" w:rsidRDefault="00E73495" w:rsidP="00AE71A0">
      <w:pPr>
        <w:rPr>
          <w:szCs w:val="24"/>
        </w:rPr>
      </w:pPr>
      <w:r w:rsidRPr="00203170">
        <w:rPr>
          <w:szCs w:val="24"/>
        </w:rPr>
        <w:t>The results of the methodology described here are presented in Chapter 4: Results.</w:t>
      </w:r>
    </w:p>
    <w:p w14:paraId="1DABAA3C" w14:textId="653026C7" w:rsidR="00A320E8" w:rsidRPr="006403E6" w:rsidRDefault="00A320E8" w:rsidP="00AE71A0">
      <w:pPr>
        <w:sectPr w:rsidR="00A320E8" w:rsidRPr="006403E6" w:rsidSect="004321A7">
          <w:pgSz w:w="11906" w:h="16838"/>
          <w:pgMar w:top="1440" w:right="1440" w:bottom="1440" w:left="1440" w:header="709" w:footer="709" w:gutter="0"/>
          <w:cols w:space="708"/>
          <w:docGrid w:linePitch="360"/>
        </w:sectPr>
      </w:pPr>
    </w:p>
    <w:p w14:paraId="5AC707E2" w14:textId="279BAB69" w:rsidR="00855DF2" w:rsidRPr="002328EF" w:rsidRDefault="00D464FB" w:rsidP="002D6002">
      <w:pPr>
        <w:pStyle w:val="Heading1"/>
      </w:pPr>
      <w:bookmarkStart w:id="125" w:name="_Toc519445720"/>
      <w:r w:rsidRPr="002328EF">
        <w:lastRenderedPageBreak/>
        <w:t>Results</w:t>
      </w:r>
      <w:bookmarkEnd w:id="125"/>
      <w:r w:rsidRPr="002328EF">
        <w:t xml:space="preserve"> </w:t>
      </w:r>
    </w:p>
    <w:p w14:paraId="0093A5B7" w14:textId="12F3790B" w:rsidR="00016B30" w:rsidRPr="002328EF" w:rsidRDefault="00E73495" w:rsidP="00063C48">
      <w:pPr>
        <w:pStyle w:val="Heading2"/>
      </w:pPr>
      <w:bookmarkStart w:id="126" w:name="_Toc519445721"/>
      <w:r>
        <w:rPr>
          <w:rStyle w:val="Heading2Char"/>
          <w:b/>
        </w:rPr>
        <w:t>U</w:t>
      </w:r>
      <w:r w:rsidR="00016B30" w:rsidRPr="002328EF">
        <w:rPr>
          <w:rStyle w:val="Heading2Char"/>
          <w:b/>
        </w:rPr>
        <w:t xml:space="preserve">pdate </w:t>
      </w:r>
      <w:r w:rsidR="0070662E" w:rsidRPr="002328EF">
        <w:rPr>
          <w:rStyle w:val="Heading2Char"/>
          <w:b/>
        </w:rPr>
        <w:t xml:space="preserve">of the </w:t>
      </w:r>
      <w:r w:rsidR="00016B30" w:rsidRPr="002328EF">
        <w:rPr>
          <w:rStyle w:val="Heading2Char"/>
          <w:b/>
        </w:rPr>
        <w:t>2004 DM</w:t>
      </w:r>
      <w:r w:rsidR="007C04B5" w:rsidRPr="002328EF">
        <w:rPr>
          <w:rStyle w:val="Heading2Char"/>
          <w:b/>
        </w:rPr>
        <w:t>E</w:t>
      </w:r>
      <w:r w:rsidR="00016B30" w:rsidRPr="002328EF">
        <w:rPr>
          <w:rStyle w:val="Heading2Char"/>
          <w:b/>
        </w:rPr>
        <w:t xml:space="preserve"> guideline rates to present values using published </w:t>
      </w:r>
      <w:r w:rsidR="00063C48">
        <w:rPr>
          <w:rStyle w:val="Heading2Char"/>
          <w:b/>
        </w:rPr>
        <w:br/>
      </w:r>
      <w:r w:rsidR="00016B30" w:rsidRPr="002328EF">
        <w:rPr>
          <w:rStyle w:val="Heading2Char"/>
          <w:b/>
        </w:rPr>
        <w:t>CPI values</w:t>
      </w:r>
      <w:bookmarkEnd w:id="126"/>
      <w:r w:rsidR="00016B30" w:rsidRPr="002328EF">
        <w:t xml:space="preserve">  </w:t>
      </w:r>
    </w:p>
    <w:p w14:paraId="0EE2DBD5" w14:textId="325ECF39" w:rsidR="00016B30" w:rsidRPr="00203170" w:rsidRDefault="00E04716" w:rsidP="00AE71A0">
      <w:pPr>
        <w:rPr>
          <w:szCs w:val="24"/>
        </w:rPr>
      </w:pPr>
      <w:r w:rsidRPr="00203170">
        <w:rPr>
          <w:szCs w:val="24"/>
        </w:rPr>
        <w:t>When the DM</w:t>
      </w:r>
      <w:r w:rsidR="007C04B5">
        <w:rPr>
          <w:szCs w:val="24"/>
        </w:rPr>
        <w:t>E</w:t>
      </w:r>
      <w:r w:rsidRPr="00203170">
        <w:rPr>
          <w:szCs w:val="24"/>
        </w:rPr>
        <w:t xml:space="preserve"> financial provision guideline was published in 2004, it contained the express instruction that the master rates should be updated by CPI</w:t>
      </w:r>
      <w:r w:rsidR="00953D47">
        <w:rPr>
          <w:szCs w:val="24"/>
        </w:rPr>
        <w:t>X</w:t>
      </w:r>
      <w:r w:rsidR="00953D47">
        <w:rPr>
          <w:rStyle w:val="FootnoteReference"/>
          <w:szCs w:val="24"/>
        </w:rPr>
        <w:footnoteReference w:id="9"/>
      </w:r>
      <w:r w:rsidRPr="00203170">
        <w:rPr>
          <w:szCs w:val="24"/>
        </w:rPr>
        <w:t xml:space="preserve"> each successive year. </w:t>
      </w:r>
      <w:r w:rsidR="00016B30" w:rsidRPr="00203170">
        <w:rPr>
          <w:szCs w:val="24"/>
        </w:rPr>
        <w:t xml:space="preserve">In </w:t>
      </w:r>
      <w:r w:rsidRPr="00203170">
        <w:rPr>
          <w:szCs w:val="24"/>
        </w:rPr>
        <w:t xml:space="preserve">order to use the correct current master rates for comparison at present values in this </w:t>
      </w:r>
      <w:r w:rsidR="009C1091">
        <w:rPr>
          <w:szCs w:val="24"/>
        </w:rPr>
        <w:t>research report</w:t>
      </w:r>
      <w:r w:rsidRPr="00203170">
        <w:rPr>
          <w:szCs w:val="24"/>
        </w:rPr>
        <w:t xml:space="preserve">, </w:t>
      </w:r>
      <w:r w:rsidR="00016B30" w:rsidRPr="00203170">
        <w:rPr>
          <w:szCs w:val="24"/>
        </w:rPr>
        <w:t>the rates table published by the DM</w:t>
      </w:r>
      <w:r w:rsidR="007C04B5">
        <w:rPr>
          <w:szCs w:val="24"/>
        </w:rPr>
        <w:t>E</w:t>
      </w:r>
      <w:r w:rsidR="00016B30" w:rsidRPr="00203170">
        <w:rPr>
          <w:szCs w:val="24"/>
        </w:rPr>
        <w:t xml:space="preserve"> in their 2004 guideline was updated to the current values for each item using the published annual CPI figures for South Africa. </w:t>
      </w:r>
      <w:r w:rsidR="001811F9" w:rsidRPr="00203170">
        <w:rPr>
          <w:szCs w:val="24"/>
        </w:rPr>
        <w:t xml:space="preserve">As Hewitson and other authors have noted, the update of the master rates was </w:t>
      </w:r>
      <w:r w:rsidR="00016B30" w:rsidRPr="00203170">
        <w:rPr>
          <w:szCs w:val="24"/>
        </w:rPr>
        <w:t xml:space="preserve">often not applied in practice, resulting </w:t>
      </w:r>
      <w:r w:rsidR="00F97223" w:rsidRPr="00203170">
        <w:rPr>
          <w:szCs w:val="24"/>
        </w:rPr>
        <w:t xml:space="preserve">in </w:t>
      </w:r>
      <w:r w:rsidR="00016B30" w:rsidRPr="00203170">
        <w:rPr>
          <w:szCs w:val="24"/>
        </w:rPr>
        <w:t xml:space="preserve">the guideline values quickly falling far behind industry rates in those cases. </w:t>
      </w:r>
    </w:p>
    <w:p w14:paraId="3018265D" w14:textId="431817B9" w:rsidR="00016B30" w:rsidRPr="00203170" w:rsidRDefault="00016B30" w:rsidP="00AE71A0">
      <w:pPr>
        <w:rPr>
          <w:szCs w:val="24"/>
        </w:rPr>
      </w:pPr>
      <w:r w:rsidRPr="00203170">
        <w:rPr>
          <w:szCs w:val="24"/>
        </w:rPr>
        <w:t xml:space="preserve">The annual average CPI rates as published by Statistics South Africa were used to escalate the master rates published in the guideline in 2004 to 2017. Using this method, the annual average values obtained for South Africa’s CPI is tabulated below: </w:t>
      </w:r>
    </w:p>
    <w:p w14:paraId="7C47A4A1" w14:textId="77777777" w:rsidR="00741B55" w:rsidRDefault="00016B30" w:rsidP="00AE71A0">
      <w:r w:rsidRPr="00203170">
        <w:rPr>
          <w:noProof/>
          <w:szCs w:val="24"/>
          <w:lang w:eastAsia="en-ZA"/>
        </w:rPr>
        <w:drawing>
          <wp:inline distT="0" distB="0" distL="0" distR="0" wp14:anchorId="66085DEC" wp14:editId="6A082057">
            <wp:extent cx="5731510" cy="2849880"/>
            <wp:effectExtent l="0" t="0" r="2540" b="762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50E0361-1C5B-408A-A68F-B385ED59F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C8EDFC1" w14:textId="3AE51548" w:rsidR="00016B30" w:rsidRPr="00741B55" w:rsidRDefault="00063C48" w:rsidP="00322083">
      <w:pPr>
        <w:pStyle w:val="Caption"/>
        <w:rPr>
          <w:szCs w:val="24"/>
        </w:rPr>
      </w:pPr>
      <w:bookmarkStart w:id="127" w:name="_Toc507336571"/>
      <w:bookmarkStart w:id="128" w:name="_Toc507336684"/>
      <w:bookmarkStart w:id="129" w:name="_Toc517372937"/>
      <w:bookmarkStart w:id="130" w:name="_Toc517373092"/>
      <w:bookmarkStart w:id="131" w:name="_Toc519445863"/>
      <w:bookmarkStart w:id="132" w:name="_Toc519445900"/>
      <w:r>
        <w:t xml:space="preserve">Figure 4.1: </w:t>
      </w:r>
      <w:r w:rsidR="00741B55" w:rsidRPr="00741B55">
        <w:t>South Africa’s annual average CPI; 2005 – 2017 (Source data: StatsSA; 2017)</w:t>
      </w:r>
      <w:bookmarkEnd w:id="127"/>
      <w:bookmarkEnd w:id="128"/>
      <w:bookmarkEnd w:id="129"/>
      <w:bookmarkEnd w:id="130"/>
      <w:bookmarkEnd w:id="131"/>
      <w:bookmarkEnd w:id="132"/>
    </w:p>
    <w:p w14:paraId="702AE499" w14:textId="77777777" w:rsidR="00016B30" w:rsidRPr="00203170" w:rsidRDefault="00016B30" w:rsidP="00AE71A0">
      <w:pPr>
        <w:rPr>
          <w:szCs w:val="24"/>
        </w:rPr>
      </w:pPr>
      <w:r w:rsidRPr="00203170">
        <w:rPr>
          <w:szCs w:val="24"/>
        </w:rPr>
        <w:lastRenderedPageBreak/>
        <w:t>Statistics South Africa re-valued the CPI in February 2009, introducing various methodological and other changes, including reweighting with the introduction of new expenditure weights, the introduction of the Classification of Individual Consumption by Purpose (COICOP) and rebasing values so that 2008=100. This process and outcomes are fully explained in Statistics South Africa’s explanatory booklet entitled: “</w:t>
      </w:r>
      <w:r w:rsidRPr="00203170">
        <w:rPr>
          <w:i/>
          <w:szCs w:val="24"/>
        </w:rPr>
        <w:t>Transition to the 2009 CPI</w:t>
      </w:r>
      <w:r w:rsidRPr="00203170">
        <w:rPr>
          <w:szCs w:val="24"/>
        </w:rPr>
        <w:t>” dated 1 July 2008.</w:t>
      </w:r>
    </w:p>
    <w:p w14:paraId="3890BA98" w14:textId="622FDE64" w:rsidR="00016B30" w:rsidRPr="00203170" w:rsidRDefault="00016B30" w:rsidP="00AE71A0">
      <w:pPr>
        <w:rPr>
          <w:szCs w:val="24"/>
        </w:rPr>
      </w:pPr>
      <w:r w:rsidRPr="00203170">
        <w:rPr>
          <w:szCs w:val="24"/>
        </w:rPr>
        <w:t>Applying these updated CPI values to the originally published Master Rates table from 2004, we get the following values</w:t>
      </w:r>
      <w:r w:rsidR="00063C48">
        <w:rPr>
          <w:szCs w:val="24"/>
        </w:rPr>
        <w:t xml:space="preserve"> </w:t>
      </w:r>
      <w:r w:rsidR="00063C48" w:rsidRPr="00203170">
        <w:rPr>
          <w:szCs w:val="24"/>
        </w:rPr>
        <w:t xml:space="preserve">(Table </w:t>
      </w:r>
      <w:r w:rsidR="00063C48">
        <w:rPr>
          <w:szCs w:val="24"/>
        </w:rPr>
        <w:t>4.1</w:t>
      </w:r>
      <w:r w:rsidR="00063C48" w:rsidRPr="00203170">
        <w:rPr>
          <w:szCs w:val="24"/>
        </w:rPr>
        <w:t>)</w:t>
      </w:r>
      <w:r w:rsidRPr="00203170">
        <w:rPr>
          <w:szCs w:val="24"/>
        </w:rPr>
        <w:t xml:space="preserve">: </w:t>
      </w:r>
    </w:p>
    <w:p w14:paraId="2EB5686C" w14:textId="601214F2" w:rsidR="00063C48" w:rsidRDefault="00063C48" w:rsidP="00322083">
      <w:pPr>
        <w:pStyle w:val="Table"/>
      </w:pPr>
      <w:r>
        <w:t xml:space="preserve">Table 4.1: </w:t>
      </w:r>
      <w:r w:rsidRPr="0091793E">
        <w:t>Master rates published by DME in 2004 updated by published CPI values to 2017</w:t>
      </w:r>
    </w:p>
    <w:tbl>
      <w:tblPr>
        <w:tblStyle w:val="TableGrid"/>
        <w:tblW w:w="0" w:type="auto"/>
        <w:tblLayout w:type="fixed"/>
        <w:tblLook w:val="04A0" w:firstRow="1" w:lastRow="0" w:firstColumn="1" w:lastColumn="0" w:noHBand="0" w:noVBand="1"/>
      </w:tblPr>
      <w:tblGrid>
        <w:gridCol w:w="1413"/>
        <w:gridCol w:w="3544"/>
        <w:gridCol w:w="708"/>
        <w:gridCol w:w="1560"/>
        <w:gridCol w:w="1791"/>
      </w:tblGrid>
      <w:tr w:rsidR="00016B30" w:rsidRPr="00203170" w14:paraId="497478F4" w14:textId="77777777" w:rsidTr="00263FC8">
        <w:trPr>
          <w:trHeight w:val="357"/>
          <w:tblHeader/>
        </w:trPr>
        <w:tc>
          <w:tcPr>
            <w:tcW w:w="1413" w:type="dxa"/>
            <w:vAlign w:val="center"/>
            <w:hideMark/>
          </w:tcPr>
          <w:p w14:paraId="23531A2F" w14:textId="77777777" w:rsidR="00016B30" w:rsidRPr="00203170" w:rsidRDefault="00016B30" w:rsidP="00CE5D59">
            <w:pPr>
              <w:spacing w:line="240" w:lineRule="auto"/>
              <w:jc w:val="center"/>
              <w:rPr>
                <w:b/>
                <w:bCs/>
                <w:szCs w:val="24"/>
              </w:rPr>
            </w:pPr>
            <w:bookmarkStart w:id="133" w:name="_Hlk499799904"/>
            <w:r w:rsidRPr="00203170">
              <w:rPr>
                <w:b/>
                <w:bCs/>
                <w:szCs w:val="24"/>
              </w:rPr>
              <w:t>Rate Component S1.2</w:t>
            </w:r>
          </w:p>
        </w:tc>
        <w:tc>
          <w:tcPr>
            <w:tcW w:w="3544" w:type="dxa"/>
            <w:vAlign w:val="center"/>
            <w:hideMark/>
          </w:tcPr>
          <w:p w14:paraId="4620430F" w14:textId="77777777" w:rsidR="00016B30" w:rsidRPr="00203170" w:rsidRDefault="00016B30" w:rsidP="00CE5D59">
            <w:pPr>
              <w:spacing w:line="240" w:lineRule="auto"/>
              <w:jc w:val="center"/>
              <w:rPr>
                <w:b/>
                <w:bCs/>
                <w:szCs w:val="24"/>
              </w:rPr>
            </w:pPr>
            <w:r w:rsidRPr="00203170">
              <w:rPr>
                <w:b/>
                <w:bCs/>
                <w:szCs w:val="24"/>
              </w:rPr>
              <w:t>Description</w:t>
            </w:r>
          </w:p>
        </w:tc>
        <w:tc>
          <w:tcPr>
            <w:tcW w:w="708" w:type="dxa"/>
            <w:vAlign w:val="center"/>
            <w:hideMark/>
          </w:tcPr>
          <w:p w14:paraId="5EB962F3" w14:textId="77777777" w:rsidR="00016B30" w:rsidRPr="00203170" w:rsidRDefault="00016B30" w:rsidP="00CE5D59">
            <w:pPr>
              <w:spacing w:line="240" w:lineRule="auto"/>
              <w:jc w:val="center"/>
              <w:rPr>
                <w:b/>
                <w:bCs/>
                <w:szCs w:val="24"/>
              </w:rPr>
            </w:pPr>
            <w:r w:rsidRPr="00203170">
              <w:rPr>
                <w:b/>
                <w:bCs/>
                <w:szCs w:val="24"/>
              </w:rPr>
              <w:t>Unit</w:t>
            </w:r>
          </w:p>
        </w:tc>
        <w:tc>
          <w:tcPr>
            <w:tcW w:w="1560" w:type="dxa"/>
            <w:vAlign w:val="center"/>
            <w:hideMark/>
          </w:tcPr>
          <w:p w14:paraId="0915EF94" w14:textId="77777777" w:rsidR="00016B30" w:rsidRPr="00203170" w:rsidRDefault="00016B30" w:rsidP="00CE5D59">
            <w:pPr>
              <w:spacing w:line="240" w:lineRule="auto"/>
              <w:jc w:val="center"/>
              <w:rPr>
                <w:b/>
                <w:bCs/>
                <w:szCs w:val="24"/>
              </w:rPr>
            </w:pPr>
            <w:r w:rsidRPr="00203170">
              <w:rPr>
                <w:b/>
                <w:bCs/>
                <w:szCs w:val="24"/>
              </w:rPr>
              <w:t>Published rates 2004</w:t>
            </w:r>
          </w:p>
        </w:tc>
        <w:tc>
          <w:tcPr>
            <w:tcW w:w="1791" w:type="dxa"/>
            <w:vAlign w:val="center"/>
          </w:tcPr>
          <w:p w14:paraId="2994B870" w14:textId="77777777" w:rsidR="00016B30" w:rsidRPr="00203170" w:rsidRDefault="00016B30" w:rsidP="00CE5D59">
            <w:pPr>
              <w:spacing w:line="240" w:lineRule="auto"/>
              <w:jc w:val="center"/>
              <w:rPr>
                <w:b/>
                <w:bCs/>
                <w:szCs w:val="24"/>
              </w:rPr>
            </w:pPr>
            <w:r w:rsidRPr="00203170">
              <w:rPr>
                <w:b/>
                <w:bCs/>
                <w:szCs w:val="24"/>
              </w:rPr>
              <w:t>CPI Adjusted values in 2017</w:t>
            </w:r>
          </w:p>
        </w:tc>
      </w:tr>
      <w:tr w:rsidR="00016B30" w:rsidRPr="00203170" w14:paraId="22A2647C" w14:textId="77777777" w:rsidTr="00EA321A">
        <w:trPr>
          <w:trHeight w:val="187"/>
        </w:trPr>
        <w:tc>
          <w:tcPr>
            <w:tcW w:w="1413" w:type="dxa"/>
            <w:noWrap/>
            <w:vAlign w:val="center"/>
            <w:hideMark/>
          </w:tcPr>
          <w:p w14:paraId="1451016F" w14:textId="77777777" w:rsidR="00016B30" w:rsidRPr="0091793E" w:rsidRDefault="00016B30" w:rsidP="00AE71A0">
            <w:pPr>
              <w:rPr>
                <w:szCs w:val="24"/>
              </w:rPr>
            </w:pPr>
            <w:r w:rsidRPr="0091793E">
              <w:rPr>
                <w:szCs w:val="24"/>
              </w:rPr>
              <w:t>1</w:t>
            </w:r>
          </w:p>
        </w:tc>
        <w:tc>
          <w:tcPr>
            <w:tcW w:w="3544" w:type="dxa"/>
            <w:vAlign w:val="center"/>
            <w:hideMark/>
          </w:tcPr>
          <w:p w14:paraId="02B0BC2C" w14:textId="77777777" w:rsidR="00016B30" w:rsidRPr="0091793E" w:rsidRDefault="00016B30" w:rsidP="00AE71A0">
            <w:pPr>
              <w:rPr>
                <w:szCs w:val="24"/>
              </w:rPr>
            </w:pPr>
            <w:r w:rsidRPr="0091793E">
              <w:rPr>
                <w:szCs w:val="24"/>
              </w:rPr>
              <w:t>Dismantling of processing plant</w:t>
            </w:r>
          </w:p>
        </w:tc>
        <w:tc>
          <w:tcPr>
            <w:tcW w:w="708" w:type="dxa"/>
            <w:noWrap/>
            <w:vAlign w:val="center"/>
            <w:hideMark/>
          </w:tcPr>
          <w:p w14:paraId="512F83FA" w14:textId="77777777" w:rsidR="00016B30" w:rsidRPr="0091793E" w:rsidRDefault="00016B30" w:rsidP="00AE71A0">
            <w:pPr>
              <w:rPr>
                <w:szCs w:val="24"/>
              </w:rPr>
            </w:pPr>
            <w:r w:rsidRPr="0091793E">
              <w:rPr>
                <w:szCs w:val="24"/>
              </w:rPr>
              <w:t>m</w:t>
            </w:r>
            <w:r w:rsidRPr="0091793E">
              <w:rPr>
                <w:szCs w:val="24"/>
                <w:vertAlign w:val="superscript"/>
              </w:rPr>
              <w:t>3</w:t>
            </w:r>
          </w:p>
        </w:tc>
        <w:tc>
          <w:tcPr>
            <w:tcW w:w="1560" w:type="dxa"/>
            <w:tcBorders>
              <w:top w:val="single" w:sz="4" w:space="0" w:color="auto"/>
            </w:tcBorders>
            <w:noWrap/>
            <w:vAlign w:val="center"/>
            <w:hideMark/>
          </w:tcPr>
          <w:p w14:paraId="26E6FD2B" w14:textId="77777777" w:rsidR="00016B30" w:rsidRPr="0091793E" w:rsidRDefault="00016B30" w:rsidP="00AE71A0">
            <w:pPr>
              <w:rPr>
                <w:szCs w:val="24"/>
              </w:rPr>
            </w:pPr>
            <w:r w:rsidRPr="0091793E">
              <w:rPr>
                <w:szCs w:val="24"/>
              </w:rPr>
              <w:t xml:space="preserve"> R             6.82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68B21F5" w14:textId="77777777" w:rsidR="00016B30" w:rsidRPr="0091793E" w:rsidRDefault="00016B30" w:rsidP="00AE71A0">
            <w:pPr>
              <w:rPr>
                <w:szCs w:val="24"/>
              </w:rPr>
            </w:pPr>
            <w:r w:rsidRPr="0091793E">
              <w:rPr>
                <w:rFonts w:ascii="Calibri" w:hAnsi="Calibri"/>
                <w:color w:val="000000"/>
                <w:szCs w:val="24"/>
              </w:rPr>
              <w:t xml:space="preserve"> R               13.22 </w:t>
            </w:r>
          </w:p>
        </w:tc>
      </w:tr>
      <w:tr w:rsidR="00016B30" w:rsidRPr="00203170" w14:paraId="0D6EECF4" w14:textId="77777777" w:rsidTr="00EA321A">
        <w:trPr>
          <w:trHeight w:val="101"/>
        </w:trPr>
        <w:tc>
          <w:tcPr>
            <w:tcW w:w="1413" w:type="dxa"/>
            <w:noWrap/>
            <w:vAlign w:val="center"/>
            <w:hideMark/>
          </w:tcPr>
          <w:p w14:paraId="4AF5B087" w14:textId="77777777" w:rsidR="00016B30" w:rsidRPr="0091793E" w:rsidRDefault="00016B30" w:rsidP="00AE71A0">
            <w:pPr>
              <w:rPr>
                <w:szCs w:val="24"/>
              </w:rPr>
            </w:pPr>
            <w:r w:rsidRPr="0091793E">
              <w:rPr>
                <w:szCs w:val="24"/>
              </w:rPr>
              <w:t>2A</w:t>
            </w:r>
          </w:p>
        </w:tc>
        <w:tc>
          <w:tcPr>
            <w:tcW w:w="3544" w:type="dxa"/>
            <w:vAlign w:val="center"/>
            <w:hideMark/>
          </w:tcPr>
          <w:p w14:paraId="4E820FD2" w14:textId="77777777" w:rsidR="00016B30" w:rsidRPr="0091793E" w:rsidRDefault="00016B30" w:rsidP="00AE71A0">
            <w:pPr>
              <w:rPr>
                <w:szCs w:val="24"/>
              </w:rPr>
            </w:pPr>
            <w:r w:rsidRPr="0091793E">
              <w:rPr>
                <w:szCs w:val="24"/>
              </w:rPr>
              <w:t>Demolition of steel buildings &amp; structures</w:t>
            </w:r>
          </w:p>
        </w:tc>
        <w:tc>
          <w:tcPr>
            <w:tcW w:w="708" w:type="dxa"/>
            <w:noWrap/>
            <w:vAlign w:val="center"/>
            <w:hideMark/>
          </w:tcPr>
          <w:p w14:paraId="6EA5D0E4" w14:textId="77777777" w:rsidR="00016B30" w:rsidRPr="0091793E" w:rsidRDefault="00016B30" w:rsidP="00AE71A0">
            <w:pPr>
              <w:rPr>
                <w:szCs w:val="24"/>
              </w:rPr>
            </w:pPr>
            <w:r w:rsidRPr="0091793E">
              <w:rPr>
                <w:szCs w:val="24"/>
              </w:rPr>
              <w:t>m</w:t>
            </w:r>
            <w:r w:rsidRPr="0091793E">
              <w:rPr>
                <w:szCs w:val="24"/>
                <w:vertAlign w:val="superscript"/>
              </w:rPr>
              <w:t>2</w:t>
            </w:r>
          </w:p>
        </w:tc>
        <w:tc>
          <w:tcPr>
            <w:tcW w:w="1560" w:type="dxa"/>
            <w:tcBorders>
              <w:top w:val="single" w:sz="4" w:space="0" w:color="auto"/>
            </w:tcBorders>
            <w:noWrap/>
            <w:vAlign w:val="center"/>
            <w:hideMark/>
          </w:tcPr>
          <w:p w14:paraId="6A4BA05B" w14:textId="77777777" w:rsidR="00016B30" w:rsidRPr="0091793E" w:rsidRDefault="00016B30" w:rsidP="00AE71A0">
            <w:pPr>
              <w:rPr>
                <w:szCs w:val="24"/>
              </w:rPr>
            </w:pPr>
            <w:r w:rsidRPr="0091793E">
              <w:rPr>
                <w:szCs w:val="24"/>
              </w:rPr>
              <w:t xml:space="preserve"> R           95.00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7253A1B1" w14:textId="23E885D4" w:rsidR="00016B30" w:rsidRPr="0091793E" w:rsidRDefault="00016B30" w:rsidP="00AE71A0">
            <w:pPr>
              <w:rPr>
                <w:szCs w:val="24"/>
              </w:rPr>
            </w:pPr>
            <w:r w:rsidRPr="0091793E">
              <w:rPr>
                <w:rFonts w:ascii="Calibri" w:hAnsi="Calibri"/>
                <w:color w:val="000000"/>
                <w:szCs w:val="24"/>
              </w:rPr>
              <w:t xml:space="preserve">R             184.21 </w:t>
            </w:r>
          </w:p>
        </w:tc>
      </w:tr>
      <w:tr w:rsidR="00016B30" w:rsidRPr="00203170" w14:paraId="2C876792" w14:textId="77777777" w:rsidTr="00EA321A">
        <w:trPr>
          <w:trHeight w:val="161"/>
        </w:trPr>
        <w:tc>
          <w:tcPr>
            <w:tcW w:w="1413" w:type="dxa"/>
            <w:noWrap/>
            <w:vAlign w:val="center"/>
            <w:hideMark/>
          </w:tcPr>
          <w:p w14:paraId="7385049C" w14:textId="77777777" w:rsidR="00016B30" w:rsidRPr="0091793E" w:rsidRDefault="00016B30" w:rsidP="00AE71A0">
            <w:pPr>
              <w:rPr>
                <w:szCs w:val="24"/>
              </w:rPr>
            </w:pPr>
            <w:r w:rsidRPr="0091793E">
              <w:rPr>
                <w:szCs w:val="24"/>
              </w:rPr>
              <w:t>2B</w:t>
            </w:r>
          </w:p>
        </w:tc>
        <w:tc>
          <w:tcPr>
            <w:tcW w:w="3544" w:type="dxa"/>
            <w:vAlign w:val="center"/>
            <w:hideMark/>
          </w:tcPr>
          <w:p w14:paraId="510EC8CF" w14:textId="77777777" w:rsidR="00016B30" w:rsidRPr="0091793E" w:rsidRDefault="00016B30" w:rsidP="00AE71A0">
            <w:pPr>
              <w:rPr>
                <w:szCs w:val="24"/>
              </w:rPr>
            </w:pPr>
            <w:r w:rsidRPr="0091793E">
              <w:rPr>
                <w:szCs w:val="24"/>
              </w:rPr>
              <w:t>Demolition of reinforced concrete structures</w:t>
            </w:r>
          </w:p>
        </w:tc>
        <w:tc>
          <w:tcPr>
            <w:tcW w:w="708" w:type="dxa"/>
            <w:noWrap/>
            <w:vAlign w:val="center"/>
            <w:hideMark/>
          </w:tcPr>
          <w:p w14:paraId="3F3A9C05" w14:textId="77777777" w:rsidR="00016B30" w:rsidRPr="0091793E" w:rsidRDefault="00016B30" w:rsidP="00AE71A0">
            <w:pPr>
              <w:rPr>
                <w:szCs w:val="24"/>
              </w:rPr>
            </w:pPr>
            <w:r w:rsidRPr="0091793E">
              <w:rPr>
                <w:szCs w:val="24"/>
              </w:rPr>
              <w:t>m</w:t>
            </w:r>
            <w:r w:rsidRPr="0091793E">
              <w:rPr>
                <w:szCs w:val="24"/>
                <w:vertAlign w:val="superscript"/>
              </w:rPr>
              <w:t>2</w:t>
            </w:r>
          </w:p>
        </w:tc>
        <w:tc>
          <w:tcPr>
            <w:tcW w:w="1560" w:type="dxa"/>
            <w:tcBorders>
              <w:top w:val="single" w:sz="4" w:space="0" w:color="auto"/>
            </w:tcBorders>
            <w:noWrap/>
            <w:vAlign w:val="center"/>
            <w:hideMark/>
          </w:tcPr>
          <w:p w14:paraId="46803818" w14:textId="77777777" w:rsidR="00016B30" w:rsidRPr="0091793E" w:rsidRDefault="00016B30" w:rsidP="00AE71A0">
            <w:pPr>
              <w:rPr>
                <w:szCs w:val="24"/>
              </w:rPr>
            </w:pPr>
            <w:r w:rsidRPr="0091793E">
              <w:rPr>
                <w:szCs w:val="24"/>
              </w:rPr>
              <w:t xml:space="preserve"> R         140.00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FF4C71D" w14:textId="77777777" w:rsidR="00016B30" w:rsidRPr="0091793E" w:rsidRDefault="00016B30" w:rsidP="00AE71A0">
            <w:pPr>
              <w:rPr>
                <w:szCs w:val="24"/>
              </w:rPr>
            </w:pPr>
            <w:r w:rsidRPr="0091793E">
              <w:rPr>
                <w:rFonts w:ascii="Calibri" w:hAnsi="Calibri"/>
                <w:color w:val="000000"/>
                <w:szCs w:val="24"/>
              </w:rPr>
              <w:t xml:space="preserve"> R             271.47 </w:t>
            </w:r>
          </w:p>
        </w:tc>
      </w:tr>
      <w:tr w:rsidR="00016B30" w:rsidRPr="00203170" w14:paraId="5535D9AC" w14:textId="77777777" w:rsidTr="00EA321A">
        <w:trPr>
          <w:trHeight w:val="207"/>
        </w:trPr>
        <w:tc>
          <w:tcPr>
            <w:tcW w:w="1413" w:type="dxa"/>
            <w:noWrap/>
            <w:vAlign w:val="center"/>
            <w:hideMark/>
          </w:tcPr>
          <w:p w14:paraId="619D232E" w14:textId="77777777" w:rsidR="00016B30" w:rsidRPr="0091793E" w:rsidRDefault="00016B30" w:rsidP="00AE71A0">
            <w:pPr>
              <w:rPr>
                <w:szCs w:val="24"/>
              </w:rPr>
            </w:pPr>
            <w:r w:rsidRPr="0091793E">
              <w:rPr>
                <w:szCs w:val="24"/>
              </w:rPr>
              <w:t>3</w:t>
            </w:r>
          </w:p>
        </w:tc>
        <w:tc>
          <w:tcPr>
            <w:tcW w:w="3544" w:type="dxa"/>
            <w:vAlign w:val="center"/>
            <w:hideMark/>
          </w:tcPr>
          <w:p w14:paraId="645B7F10" w14:textId="77777777" w:rsidR="00016B30" w:rsidRPr="0091793E" w:rsidRDefault="00016B30" w:rsidP="00AE71A0">
            <w:pPr>
              <w:rPr>
                <w:szCs w:val="24"/>
              </w:rPr>
            </w:pPr>
            <w:r w:rsidRPr="0091793E">
              <w:rPr>
                <w:szCs w:val="24"/>
              </w:rPr>
              <w:t>Rehabilitation of access roads</w:t>
            </w:r>
          </w:p>
        </w:tc>
        <w:tc>
          <w:tcPr>
            <w:tcW w:w="708" w:type="dxa"/>
            <w:noWrap/>
            <w:vAlign w:val="center"/>
            <w:hideMark/>
          </w:tcPr>
          <w:p w14:paraId="25268379" w14:textId="77777777" w:rsidR="00016B30" w:rsidRPr="0091793E" w:rsidRDefault="00016B30" w:rsidP="00AE71A0">
            <w:pPr>
              <w:rPr>
                <w:szCs w:val="24"/>
              </w:rPr>
            </w:pPr>
            <w:r w:rsidRPr="0091793E">
              <w:rPr>
                <w:szCs w:val="24"/>
              </w:rPr>
              <w:t>m</w:t>
            </w:r>
            <w:r w:rsidRPr="0091793E">
              <w:rPr>
                <w:szCs w:val="24"/>
                <w:vertAlign w:val="superscript"/>
              </w:rPr>
              <w:t>2</w:t>
            </w:r>
          </w:p>
        </w:tc>
        <w:tc>
          <w:tcPr>
            <w:tcW w:w="1560" w:type="dxa"/>
            <w:tcBorders>
              <w:top w:val="single" w:sz="4" w:space="0" w:color="auto"/>
            </w:tcBorders>
            <w:noWrap/>
            <w:vAlign w:val="center"/>
            <w:hideMark/>
          </w:tcPr>
          <w:p w14:paraId="518E79B2" w14:textId="77777777" w:rsidR="00016B30" w:rsidRPr="0091793E" w:rsidRDefault="00016B30" w:rsidP="00AE71A0">
            <w:pPr>
              <w:rPr>
                <w:szCs w:val="24"/>
              </w:rPr>
            </w:pPr>
            <w:r w:rsidRPr="0091793E">
              <w:rPr>
                <w:szCs w:val="24"/>
              </w:rPr>
              <w:t xml:space="preserve"> R           17.00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1DF791B" w14:textId="77777777" w:rsidR="00016B30" w:rsidRPr="0091793E" w:rsidRDefault="00016B30" w:rsidP="00AE71A0">
            <w:pPr>
              <w:rPr>
                <w:szCs w:val="24"/>
              </w:rPr>
            </w:pPr>
            <w:r w:rsidRPr="0091793E">
              <w:rPr>
                <w:rFonts w:ascii="Calibri" w:hAnsi="Calibri"/>
                <w:color w:val="000000"/>
                <w:szCs w:val="24"/>
              </w:rPr>
              <w:t xml:space="preserve"> R               32.96 </w:t>
            </w:r>
          </w:p>
        </w:tc>
      </w:tr>
      <w:tr w:rsidR="00016B30" w:rsidRPr="00203170" w14:paraId="5FEC8072" w14:textId="77777777" w:rsidTr="00EA321A">
        <w:trPr>
          <w:trHeight w:val="267"/>
        </w:trPr>
        <w:tc>
          <w:tcPr>
            <w:tcW w:w="1413" w:type="dxa"/>
            <w:noWrap/>
            <w:vAlign w:val="center"/>
            <w:hideMark/>
          </w:tcPr>
          <w:p w14:paraId="0DEC85A9" w14:textId="77777777" w:rsidR="00016B30" w:rsidRPr="0091793E" w:rsidRDefault="00016B30" w:rsidP="00AE71A0">
            <w:pPr>
              <w:rPr>
                <w:szCs w:val="24"/>
              </w:rPr>
            </w:pPr>
            <w:r w:rsidRPr="0091793E">
              <w:rPr>
                <w:szCs w:val="24"/>
              </w:rPr>
              <w:t>4A</w:t>
            </w:r>
          </w:p>
        </w:tc>
        <w:tc>
          <w:tcPr>
            <w:tcW w:w="3544" w:type="dxa"/>
            <w:vAlign w:val="center"/>
            <w:hideMark/>
          </w:tcPr>
          <w:p w14:paraId="45D066A2" w14:textId="77777777" w:rsidR="00016B30" w:rsidRPr="0091793E" w:rsidRDefault="00016B30" w:rsidP="00AE71A0">
            <w:pPr>
              <w:rPr>
                <w:szCs w:val="24"/>
              </w:rPr>
            </w:pPr>
            <w:r w:rsidRPr="0091793E">
              <w:rPr>
                <w:szCs w:val="24"/>
              </w:rPr>
              <w:t>Demolition and rehabilitation of electrified railway lines</w:t>
            </w:r>
          </w:p>
        </w:tc>
        <w:tc>
          <w:tcPr>
            <w:tcW w:w="708" w:type="dxa"/>
            <w:noWrap/>
            <w:vAlign w:val="center"/>
            <w:hideMark/>
          </w:tcPr>
          <w:p w14:paraId="66FE1E34" w14:textId="77777777" w:rsidR="00016B30" w:rsidRPr="0091793E" w:rsidRDefault="00016B30" w:rsidP="00AE71A0">
            <w:pPr>
              <w:rPr>
                <w:szCs w:val="24"/>
              </w:rPr>
            </w:pPr>
            <w:r w:rsidRPr="0091793E">
              <w:rPr>
                <w:szCs w:val="24"/>
              </w:rPr>
              <w:t>m</w:t>
            </w:r>
          </w:p>
        </w:tc>
        <w:tc>
          <w:tcPr>
            <w:tcW w:w="1560" w:type="dxa"/>
            <w:tcBorders>
              <w:top w:val="single" w:sz="4" w:space="0" w:color="auto"/>
            </w:tcBorders>
            <w:noWrap/>
            <w:vAlign w:val="center"/>
            <w:hideMark/>
          </w:tcPr>
          <w:p w14:paraId="3DD9AA6D" w14:textId="44B0EB24" w:rsidR="00016B30" w:rsidRPr="0091793E" w:rsidRDefault="00016B30" w:rsidP="00AE71A0">
            <w:pPr>
              <w:rPr>
                <w:szCs w:val="24"/>
              </w:rPr>
            </w:pPr>
            <w:r w:rsidRPr="0091793E">
              <w:rPr>
                <w:szCs w:val="24"/>
              </w:rPr>
              <w:t xml:space="preserve"> R         165.00</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26BE2E6" w14:textId="41ED1A46" w:rsidR="00016B30" w:rsidRPr="0091793E" w:rsidRDefault="00016B30" w:rsidP="00AE71A0">
            <w:pPr>
              <w:rPr>
                <w:szCs w:val="24"/>
              </w:rPr>
            </w:pPr>
            <w:r w:rsidRPr="0091793E">
              <w:rPr>
                <w:rFonts w:ascii="Calibri" w:hAnsi="Calibri"/>
                <w:color w:val="000000"/>
                <w:szCs w:val="24"/>
              </w:rPr>
              <w:t>R             319.95</w:t>
            </w:r>
          </w:p>
        </w:tc>
      </w:tr>
      <w:tr w:rsidR="00016B30" w:rsidRPr="00203170" w14:paraId="026B8097" w14:textId="77777777" w:rsidTr="00EA321A">
        <w:trPr>
          <w:trHeight w:val="183"/>
        </w:trPr>
        <w:tc>
          <w:tcPr>
            <w:tcW w:w="1413" w:type="dxa"/>
            <w:noWrap/>
            <w:vAlign w:val="center"/>
            <w:hideMark/>
          </w:tcPr>
          <w:p w14:paraId="0F088F07" w14:textId="77777777" w:rsidR="00016B30" w:rsidRPr="0091793E" w:rsidRDefault="00016B30" w:rsidP="00AE71A0">
            <w:pPr>
              <w:rPr>
                <w:szCs w:val="24"/>
              </w:rPr>
            </w:pPr>
            <w:r w:rsidRPr="0091793E">
              <w:rPr>
                <w:szCs w:val="24"/>
              </w:rPr>
              <w:t>4B</w:t>
            </w:r>
          </w:p>
        </w:tc>
        <w:tc>
          <w:tcPr>
            <w:tcW w:w="3544" w:type="dxa"/>
            <w:vAlign w:val="center"/>
            <w:hideMark/>
          </w:tcPr>
          <w:p w14:paraId="5663AB73" w14:textId="77777777" w:rsidR="00016B30" w:rsidRPr="0091793E" w:rsidRDefault="00016B30" w:rsidP="00AE71A0">
            <w:pPr>
              <w:rPr>
                <w:szCs w:val="24"/>
              </w:rPr>
            </w:pPr>
            <w:r w:rsidRPr="0091793E">
              <w:rPr>
                <w:szCs w:val="24"/>
              </w:rPr>
              <w:t>Demolition and rehabilitation of non-electrified railway lines</w:t>
            </w:r>
          </w:p>
        </w:tc>
        <w:tc>
          <w:tcPr>
            <w:tcW w:w="708" w:type="dxa"/>
            <w:noWrap/>
            <w:vAlign w:val="center"/>
            <w:hideMark/>
          </w:tcPr>
          <w:p w14:paraId="48B5458D" w14:textId="77777777" w:rsidR="00016B30" w:rsidRPr="0091793E" w:rsidRDefault="00016B30" w:rsidP="00AE71A0">
            <w:pPr>
              <w:rPr>
                <w:szCs w:val="24"/>
              </w:rPr>
            </w:pPr>
            <w:r w:rsidRPr="0091793E">
              <w:rPr>
                <w:szCs w:val="24"/>
              </w:rPr>
              <w:t>m</w:t>
            </w:r>
          </w:p>
        </w:tc>
        <w:tc>
          <w:tcPr>
            <w:tcW w:w="1560" w:type="dxa"/>
            <w:tcBorders>
              <w:top w:val="single" w:sz="4" w:space="0" w:color="auto"/>
            </w:tcBorders>
            <w:noWrap/>
            <w:vAlign w:val="center"/>
            <w:hideMark/>
          </w:tcPr>
          <w:p w14:paraId="6D3A05D7" w14:textId="77777777" w:rsidR="00016B30" w:rsidRPr="0091793E" w:rsidRDefault="00016B30" w:rsidP="00AE71A0">
            <w:pPr>
              <w:rPr>
                <w:szCs w:val="24"/>
              </w:rPr>
            </w:pPr>
            <w:r w:rsidRPr="0091793E">
              <w:rPr>
                <w:szCs w:val="24"/>
              </w:rPr>
              <w:t xml:space="preserve"> R           90.00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5FEFE37" w14:textId="77777777" w:rsidR="00016B30" w:rsidRPr="0091793E" w:rsidRDefault="00016B30" w:rsidP="00AE71A0">
            <w:pPr>
              <w:rPr>
                <w:szCs w:val="24"/>
              </w:rPr>
            </w:pPr>
            <w:r w:rsidRPr="0091793E">
              <w:rPr>
                <w:rFonts w:ascii="Calibri" w:hAnsi="Calibri"/>
                <w:color w:val="000000"/>
                <w:szCs w:val="24"/>
              </w:rPr>
              <w:t xml:space="preserve"> R             174.52 </w:t>
            </w:r>
          </w:p>
        </w:tc>
      </w:tr>
      <w:tr w:rsidR="00016B30" w:rsidRPr="00203170" w14:paraId="330AB190" w14:textId="77777777" w:rsidTr="00EA321A">
        <w:trPr>
          <w:trHeight w:val="249"/>
        </w:trPr>
        <w:tc>
          <w:tcPr>
            <w:tcW w:w="1413" w:type="dxa"/>
            <w:noWrap/>
            <w:vAlign w:val="center"/>
            <w:hideMark/>
          </w:tcPr>
          <w:p w14:paraId="7130D6F3" w14:textId="77777777" w:rsidR="00016B30" w:rsidRPr="0091793E" w:rsidRDefault="00016B30" w:rsidP="00AE71A0">
            <w:pPr>
              <w:rPr>
                <w:szCs w:val="24"/>
              </w:rPr>
            </w:pPr>
            <w:r w:rsidRPr="0091793E">
              <w:rPr>
                <w:szCs w:val="24"/>
              </w:rPr>
              <w:t>5</w:t>
            </w:r>
          </w:p>
        </w:tc>
        <w:tc>
          <w:tcPr>
            <w:tcW w:w="3544" w:type="dxa"/>
            <w:vAlign w:val="center"/>
            <w:hideMark/>
          </w:tcPr>
          <w:p w14:paraId="79B32E06" w14:textId="77777777" w:rsidR="00016B30" w:rsidRPr="0091793E" w:rsidRDefault="00016B30" w:rsidP="00AE71A0">
            <w:pPr>
              <w:rPr>
                <w:szCs w:val="24"/>
              </w:rPr>
            </w:pPr>
            <w:r w:rsidRPr="0091793E">
              <w:rPr>
                <w:szCs w:val="24"/>
              </w:rPr>
              <w:t>Demolition of housing and facilities</w:t>
            </w:r>
          </w:p>
        </w:tc>
        <w:tc>
          <w:tcPr>
            <w:tcW w:w="708" w:type="dxa"/>
            <w:noWrap/>
            <w:vAlign w:val="center"/>
            <w:hideMark/>
          </w:tcPr>
          <w:p w14:paraId="69F995C9" w14:textId="77777777" w:rsidR="00016B30" w:rsidRPr="0091793E" w:rsidRDefault="00016B30" w:rsidP="00AE71A0">
            <w:pPr>
              <w:rPr>
                <w:szCs w:val="24"/>
              </w:rPr>
            </w:pPr>
            <w:r w:rsidRPr="0091793E">
              <w:rPr>
                <w:szCs w:val="24"/>
              </w:rPr>
              <w:t>m</w:t>
            </w:r>
            <w:r w:rsidRPr="0091793E">
              <w:rPr>
                <w:szCs w:val="24"/>
                <w:vertAlign w:val="superscript"/>
              </w:rPr>
              <w:t>2</w:t>
            </w:r>
          </w:p>
        </w:tc>
        <w:tc>
          <w:tcPr>
            <w:tcW w:w="1560" w:type="dxa"/>
            <w:tcBorders>
              <w:top w:val="single" w:sz="4" w:space="0" w:color="auto"/>
            </w:tcBorders>
            <w:noWrap/>
            <w:vAlign w:val="center"/>
            <w:hideMark/>
          </w:tcPr>
          <w:p w14:paraId="26F438BB" w14:textId="77777777" w:rsidR="00016B30" w:rsidRPr="0091793E" w:rsidRDefault="00016B30" w:rsidP="00AE71A0">
            <w:pPr>
              <w:rPr>
                <w:szCs w:val="24"/>
              </w:rPr>
            </w:pPr>
            <w:r w:rsidRPr="0091793E">
              <w:rPr>
                <w:szCs w:val="24"/>
              </w:rPr>
              <w:t xml:space="preserve"> R         190.00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2312951" w14:textId="77777777" w:rsidR="00016B30" w:rsidRPr="0091793E" w:rsidRDefault="00016B30" w:rsidP="00AE71A0">
            <w:pPr>
              <w:rPr>
                <w:szCs w:val="24"/>
              </w:rPr>
            </w:pPr>
            <w:r w:rsidRPr="0091793E">
              <w:rPr>
                <w:rFonts w:ascii="Calibri" w:hAnsi="Calibri"/>
                <w:color w:val="000000"/>
                <w:szCs w:val="24"/>
              </w:rPr>
              <w:t xml:space="preserve"> R             368.43 </w:t>
            </w:r>
          </w:p>
        </w:tc>
      </w:tr>
      <w:tr w:rsidR="00016B30" w:rsidRPr="00203170" w14:paraId="2D40C2C6" w14:textId="77777777" w:rsidTr="00EA321A">
        <w:trPr>
          <w:trHeight w:val="267"/>
        </w:trPr>
        <w:tc>
          <w:tcPr>
            <w:tcW w:w="1413" w:type="dxa"/>
            <w:noWrap/>
            <w:vAlign w:val="center"/>
            <w:hideMark/>
          </w:tcPr>
          <w:p w14:paraId="3C4AB071" w14:textId="77777777" w:rsidR="00016B30" w:rsidRPr="0091793E" w:rsidRDefault="00016B30" w:rsidP="00AE71A0">
            <w:pPr>
              <w:rPr>
                <w:szCs w:val="24"/>
              </w:rPr>
            </w:pPr>
            <w:r w:rsidRPr="0091793E">
              <w:rPr>
                <w:szCs w:val="24"/>
              </w:rPr>
              <w:t>6</w:t>
            </w:r>
          </w:p>
        </w:tc>
        <w:tc>
          <w:tcPr>
            <w:tcW w:w="3544" w:type="dxa"/>
            <w:vAlign w:val="center"/>
            <w:hideMark/>
          </w:tcPr>
          <w:p w14:paraId="185FA257" w14:textId="77777777" w:rsidR="00016B30" w:rsidRPr="0091793E" w:rsidRDefault="00016B30" w:rsidP="00AE71A0">
            <w:pPr>
              <w:rPr>
                <w:szCs w:val="24"/>
              </w:rPr>
            </w:pPr>
            <w:r w:rsidRPr="0091793E">
              <w:rPr>
                <w:szCs w:val="24"/>
              </w:rPr>
              <w:t>Opencast rehabilitation including final voids and ramps</w:t>
            </w:r>
          </w:p>
        </w:tc>
        <w:tc>
          <w:tcPr>
            <w:tcW w:w="708" w:type="dxa"/>
            <w:noWrap/>
            <w:vAlign w:val="center"/>
            <w:hideMark/>
          </w:tcPr>
          <w:p w14:paraId="27E39B6E"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61CE8ACC" w14:textId="77777777" w:rsidR="00016B30" w:rsidRPr="0091793E" w:rsidRDefault="00016B30" w:rsidP="00AE71A0">
            <w:pPr>
              <w:rPr>
                <w:szCs w:val="24"/>
              </w:rPr>
            </w:pPr>
            <w:r w:rsidRPr="0091793E">
              <w:rPr>
                <w:szCs w:val="24"/>
              </w:rPr>
              <w:t xml:space="preserve"> R   99 600.00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4BAFAB05" w14:textId="77777777" w:rsidR="00016B30" w:rsidRPr="0091793E" w:rsidRDefault="00016B30" w:rsidP="00AE71A0">
            <w:pPr>
              <w:rPr>
                <w:szCs w:val="24"/>
              </w:rPr>
            </w:pPr>
            <w:r w:rsidRPr="0091793E">
              <w:rPr>
                <w:rFonts w:ascii="Calibri" w:hAnsi="Calibri"/>
                <w:color w:val="000000"/>
                <w:szCs w:val="24"/>
              </w:rPr>
              <w:t xml:space="preserve"> R     193 132.27 </w:t>
            </w:r>
          </w:p>
        </w:tc>
      </w:tr>
      <w:tr w:rsidR="00016B30" w:rsidRPr="00203170" w14:paraId="6466E580" w14:textId="77777777" w:rsidTr="00EA321A">
        <w:trPr>
          <w:trHeight w:val="129"/>
        </w:trPr>
        <w:tc>
          <w:tcPr>
            <w:tcW w:w="1413" w:type="dxa"/>
            <w:noWrap/>
            <w:vAlign w:val="center"/>
            <w:hideMark/>
          </w:tcPr>
          <w:p w14:paraId="287CE53F" w14:textId="77777777" w:rsidR="00016B30" w:rsidRPr="0091793E" w:rsidRDefault="00016B30" w:rsidP="00AE71A0">
            <w:pPr>
              <w:rPr>
                <w:szCs w:val="24"/>
              </w:rPr>
            </w:pPr>
            <w:r w:rsidRPr="0091793E">
              <w:rPr>
                <w:szCs w:val="24"/>
              </w:rPr>
              <w:t>7</w:t>
            </w:r>
          </w:p>
        </w:tc>
        <w:tc>
          <w:tcPr>
            <w:tcW w:w="3544" w:type="dxa"/>
            <w:vAlign w:val="center"/>
            <w:hideMark/>
          </w:tcPr>
          <w:p w14:paraId="5A736805" w14:textId="77777777" w:rsidR="00016B30" w:rsidRPr="0091793E" w:rsidRDefault="00016B30" w:rsidP="00AE71A0">
            <w:pPr>
              <w:rPr>
                <w:szCs w:val="24"/>
              </w:rPr>
            </w:pPr>
            <w:r w:rsidRPr="0091793E">
              <w:rPr>
                <w:szCs w:val="24"/>
              </w:rPr>
              <w:t>Sealing of shafts, adits and inclines</w:t>
            </w:r>
          </w:p>
        </w:tc>
        <w:tc>
          <w:tcPr>
            <w:tcW w:w="708" w:type="dxa"/>
            <w:noWrap/>
            <w:vAlign w:val="center"/>
            <w:hideMark/>
          </w:tcPr>
          <w:p w14:paraId="186A6242" w14:textId="77777777" w:rsidR="00016B30" w:rsidRPr="0091793E" w:rsidRDefault="00016B30" w:rsidP="00AE71A0">
            <w:pPr>
              <w:rPr>
                <w:szCs w:val="24"/>
              </w:rPr>
            </w:pPr>
            <w:r w:rsidRPr="0091793E">
              <w:rPr>
                <w:szCs w:val="24"/>
              </w:rPr>
              <w:t>m</w:t>
            </w:r>
            <w:r w:rsidRPr="0091793E">
              <w:rPr>
                <w:szCs w:val="24"/>
                <w:vertAlign w:val="superscript"/>
              </w:rPr>
              <w:t>3</w:t>
            </w:r>
          </w:p>
        </w:tc>
        <w:tc>
          <w:tcPr>
            <w:tcW w:w="1560" w:type="dxa"/>
            <w:tcBorders>
              <w:top w:val="single" w:sz="4" w:space="0" w:color="auto"/>
            </w:tcBorders>
            <w:noWrap/>
            <w:vAlign w:val="center"/>
            <w:hideMark/>
          </w:tcPr>
          <w:p w14:paraId="44483AAB" w14:textId="77777777" w:rsidR="00016B30" w:rsidRPr="0091793E" w:rsidRDefault="00016B30" w:rsidP="00AE71A0">
            <w:pPr>
              <w:rPr>
                <w:szCs w:val="24"/>
              </w:rPr>
            </w:pPr>
            <w:r w:rsidRPr="0091793E">
              <w:rPr>
                <w:szCs w:val="24"/>
              </w:rPr>
              <w:t xml:space="preserve"> R           51.00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21FF90E8" w14:textId="77777777" w:rsidR="00016B30" w:rsidRPr="0091793E" w:rsidRDefault="00016B30" w:rsidP="00AE71A0">
            <w:pPr>
              <w:rPr>
                <w:szCs w:val="24"/>
              </w:rPr>
            </w:pPr>
            <w:r w:rsidRPr="0091793E">
              <w:rPr>
                <w:rFonts w:ascii="Calibri" w:hAnsi="Calibri"/>
                <w:color w:val="000000"/>
                <w:szCs w:val="24"/>
              </w:rPr>
              <w:t xml:space="preserve"> R               98.89 </w:t>
            </w:r>
          </w:p>
        </w:tc>
      </w:tr>
      <w:tr w:rsidR="00016B30" w:rsidRPr="00203170" w14:paraId="3B222783" w14:textId="77777777" w:rsidTr="00EA321A">
        <w:trPr>
          <w:trHeight w:val="189"/>
        </w:trPr>
        <w:tc>
          <w:tcPr>
            <w:tcW w:w="1413" w:type="dxa"/>
            <w:noWrap/>
            <w:vAlign w:val="center"/>
            <w:hideMark/>
          </w:tcPr>
          <w:p w14:paraId="5A7F5BCE" w14:textId="77777777" w:rsidR="00016B30" w:rsidRPr="0091793E" w:rsidRDefault="00016B30" w:rsidP="00AE71A0">
            <w:pPr>
              <w:rPr>
                <w:szCs w:val="24"/>
              </w:rPr>
            </w:pPr>
            <w:r w:rsidRPr="0091793E">
              <w:rPr>
                <w:szCs w:val="24"/>
              </w:rPr>
              <w:t>8A</w:t>
            </w:r>
          </w:p>
        </w:tc>
        <w:tc>
          <w:tcPr>
            <w:tcW w:w="3544" w:type="dxa"/>
            <w:vAlign w:val="center"/>
            <w:hideMark/>
          </w:tcPr>
          <w:p w14:paraId="62F1D4C9" w14:textId="77777777" w:rsidR="00016B30" w:rsidRPr="0091793E" w:rsidRDefault="00016B30" w:rsidP="00AE71A0">
            <w:pPr>
              <w:rPr>
                <w:szCs w:val="24"/>
              </w:rPr>
            </w:pPr>
            <w:r w:rsidRPr="0091793E">
              <w:rPr>
                <w:szCs w:val="24"/>
              </w:rPr>
              <w:t>Rehabilitation of overburden and spoils</w:t>
            </w:r>
          </w:p>
        </w:tc>
        <w:tc>
          <w:tcPr>
            <w:tcW w:w="708" w:type="dxa"/>
            <w:noWrap/>
            <w:vAlign w:val="center"/>
            <w:hideMark/>
          </w:tcPr>
          <w:p w14:paraId="727D12E2"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434A6F92" w14:textId="77777777" w:rsidR="00016B30" w:rsidRPr="0091793E" w:rsidRDefault="00016B30" w:rsidP="00AE71A0">
            <w:pPr>
              <w:rPr>
                <w:szCs w:val="24"/>
              </w:rPr>
            </w:pPr>
            <w:r w:rsidRPr="0091793E">
              <w:rPr>
                <w:szCs w:val="24"/>
              </w:rPr>
              <w:t xml:space="preserve"> R   66 400.00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19A71D77" w14:textId="77777777" w:rsidR="00016B30" w:rsidRPr="0091793E" w:rsidRDefault="00016B30" w:rsidP="00AE71A0">
            <w:pPr>
              <w:rPr>
                <w:szCs w:val="24"/>
              </w:rPr>
            </w:pPr>
            <w:r w:rsidRPr="0091793E">
              <w:rPr>
                <w:rFonts w:ascii="Calibri" w:hAnsi="Calibri"/>
                <w:color w:val="000000"/>
                <w:szCs w:val="24"/>
              </w:rPr>
              <w:t xml:space="preserve"> R     128 754.84 </w:t>
            </w:r>
          </w:p>
        </w:tc>
      </w:tr>
      <w:tr w:rsidR="00016B30" w:rsidRPr="00203170" w14:paraId="782EFF9B" w14:textId="77777777" w:rsidTr="00EA321A">
        <w:trPr>
          <w:trHeight w:val="236"/>
        </w:trPr>
        <w:tc>
          <w:tcPr>
            <w:tcW w:w="1413" w:type="dxa"/>
            <w:noWrap/>
            <w:vAlign w:val="center"/>
            <w:hideMark/>
          </w:tcPr>
          <w:p w14:paraId="285298CB" w14:textId="77777777" w:rsidR="00016B30" w:rsidRPr="0091793E" w:rsidRDefault="00016B30" w:rsidP="00AE71A0">
            <w:pPr>
              <w:rPr>
                <w:szCs w:val="24"/>
              </w:rPr>
            </w:pPr>
            <w:r w:rsidRPr="0091793E">
              <w:rPr>
                <w:szCs w:val="24"/>
              </w:rPr>
              <w:lastRenderedPageBreak/>
              <w:t>8B</w:t>
            </w:r>
          </w:p>
        </w:tc>
        <w:tc>
          <w:tcPr>
            <w:tcW w:w="3544" w:type="dxa"/>
            <w:vAlign w:val="center"/>
            <w:hideMark/>
          </w:tcPr>
          <w:p w14:paraId="03BC732D" w14:textId="77777777" w:rsidR="00016B30" w:rsidRPr="0091793E" w:rsidRDefault="00016B30" w:rsidP="00AE71A0">
            <w:pPr>
              <w:rPr>
                <w:szCs w:val="24"/>
              </w:rPr>
            </w:pPr>
            <w:r w:rsidRPr="0091793E">
              <w:rPr>
                <w:szCs w:val="24"/>
              </w:rPr>
              <w:t>Processing waste deposits and evaporation ponds (salt)</w:t>
            </w:r>
          </w:p>
        </w:tc>
        <w:tc>
          <w:tcPr>
            <w:tcW w:w="708" w:type="dxa"/>
            <w:noWrap/>
            <w:vAlign w:val="center"/>
            <w:hideMark/>
          </w:tcPr>
          <w:p w14:paraId="6F9B2723"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2E3966D9" w14:textId="77777777" w:rsidR="00016B30" w:rsidRPr="0091793E" w:rsidRDefault="00016B30" w:rsidP="00AE71A0">
            <w:pPr>
              <w:rPr>
                <w:szCs w:val="24"/>
              </w:rPr>
            </w:pPr>
            <w:r w:rsidRPr="0091793E">
              <w:rPr>
                <w:szCs w:val="24"/>
              </w:rPr>
              <w:t xml:space="preserve"> R   82 700.00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B2B537E" w14:textId="77777777" w:rsidR="00016B30" w:rsidRPr="0091793E" w:rsidRDefault="00016B30" w:rsidP="00AE71A0">
            <w:pPr>
              <w:rPr>
                <w:szCs w:val="24"/>
              </w:rPr>
            </w:pPr>
            <w:r w:rsidRPr="0091793E">
              <w:rPr>
                <w:rFonts w:ascii="Calibri" w:hAnsi="Calibri"/>
                <w:color w:val="000000"/>
                <w:szCs w:val="24"/>
              </w:rPr>
              <w:t xml:space="preserve"> R     160 361.83 </w:t>
            </w:r>
          </w:p>
        </w:tc>
      </w:tr>
      <w:tr w:rsidR="00016B30" w:rsidRPr="00203170" w14:paraId="7FE39288" w14:textId="77777777" w:rsidTr="00EA321A">
        <w:trPr>
          <w:trHeight w:val="423"/>
        </w:trPr>
        <w:tc>
          <w:tcPr>
            <w:tcW w:w="1413" w:type="dxa"/>
            <w:noWrap/>
            <w:vAlign w:val="center"/>
            <w:hideMark/>
          </w:tcPr>
          <w:p w14:paraId="3E10E0CF" w14:textId="77777777" w:rsidR="00016B30" w:rsidRPr="0091793E" w:rsidRDefault="00016B30" w:rsidP="00AE71A0">
            <w:pPr>
              <w:rPr>
                <w:szCs w:val="24"/>
              </w:rPr>
            </w:pPr>
            <w:r w:rsidRPr="0091793E">
              <w:rPr>
                <w:szCs w:val="24"/>
              </w:rPr>
              <w:t>8C</w:t>
            </w:r>
          </w:p>
        </w:tc>
        <w:tc>
          <w:tcPr>
            <w:tcW w:w="3544" w:type="dxa"/>
            <w:vAlign w:val="center"/>
            <w:hideMark/>
          </w:tcPr>
          <w:p w14:paraId="288D36A6" w14:textId="77777777" w:rsidR="00016B30" w:rsidRPr="0091793E" w:rsidRDefault="00016B30" w:rsidP="00AE71A0">
            <w:pPr>
              <w:rPr>
                <w:szCs w:val="24"/>
              </w:rPr>
            </w:pPr>
            <w:r w:rsidRPr="0091793E">
              <w:rPr>
                <w:szCs w:val="24"/>
              </w:rPr>
              <w:t>Processing waste deposits and evaporation ponds (acid, metal)</w:t>
            </w:r>
          </w:p>
        </w:tc>
        <w:tc>
          <w:tcPr>
            <w:tcW w:w="708" w:type="dxa"/>
            <w:noWrap/>
            <w:vAlign w:val="center"/>
            <w:hideMark/>
          </w:tcPr>
          <w:p w14:paraId="4C7642CA"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6FED19F8" w14:textId="77777777" w:rsidR="00016B30" w:rsidRPr="0091793E" w:rsidRDefault="00016B30" w:rsidP="00AE71A0">
            <w:pPr>
              <w:rPr>
                <w:szCs w:val="24"/>
              </w:rPr>
            </w:pPr>
            <w:r w:rsidRPr="0091793E">
              <w:rPr>
                <w:szCs w:val="24"/>
              </w:rPr>
              <w:t xml:space="preserve"> R 240 200.00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760A3015" w14:textId="77777777" w:rsidR="00016B30" w:rsidRPr="0091793E" w:rsidRDefault="00016B30" w:rsidP="00AE71A0">
            <w:pPr>
              <w:rPr>
                <w:szCs w:val="24"/>
              </w:rPr>
            </w:pPr>
            <w:r w:rsidRPr="0091793E">
              <w:rPr>
                <w:rFonts w:ascii="Calibri" w:hAnsi="Calibri"/>
                <w:color w:val="000000"/>
                <w:szCs w:val="24"/>
              </w:rPr>
              <w:t xml:space="preserve"> R     465 766.77 </w:t>
            </w:r>
          </w:p>
        </w:tc>
      </w:tr>
      <w:tr w:rsidR="00016B30" w:rsidRPr="00203170" w14:paraId="4DEBAD65" w14:textId="77777777" w:rsidTr="00EA321A">
        <w:trPr>
          <w:trHeight w:val="259"/>
        </w:trPr>
        <w:tc>
          <w:tcPr>
            <w:tcW w:w="1413" w:type="dxa"/>
            <w:noWrap/>
            <w:vAlign w:val="center"/>
            <w:hideMark/>
          </w:tcPr>
          <w:p w14:paraId="587963D1" w14:textId="77777777" w:rsidR="00016B30" w:rsidRPr="0091793E" w:rsidRDefault="00016B30" w:rsidP="00AE71A0">
            <w:pPr>
              <w:rPr>
                <w:szCs w:val="24"/>
              </w:rPr>
            </w:pPr>
            <w:r w:rsidRPr="0091793E">
              <w:rPr>
                <w:szCs w:val="24"/>
              </w:rPr>
              <w:t>9</w:t>
            </w:r>
          </w:p>
        </w:tc>
        <w:tc>
          <w:tcPr>
            <w:tcW w:w="3544" w:type="dxa"/>
            <w:vAlign w:val="center"/>
            <w:hideMark/>
          </w:tcPr>
          <w:p w14:paraId="43F71EDE" w14:textId="77777777" w:rsidR="00016B30" w:rsidRPr="0091793E" w:rsidRDefault="00016B30" w:rsidP="00AE71A0">
            <w:pPr>
              <w:rPr>
                <w:szCs w:val="24"/>
              </w:rPr>
            </w:pPr>
            <w:r w:rsidRPr="0091793E">
              <w:rPr>
                <w:szCs w:val="24"/>
              </w:rPr>
              <w:t>Rehabilitation of subsided areas</w:t>
            </w:r>
          </w:p>
        </w:tc>
        <w:tc>
          <w:tcPr>
            <w:tcW w:w="708" w:type="dxa"/>
            <w:noWrap/>
            <w:vAlign w:val="center"/>
            <w:hideMark/>
          </w:tcPr>
          <w:p w14:paraId="7A681199"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05780A74" w14:textId="77777777" w:rsidR="00016B30" w:rsidRPr="0091793E" w:rsidRDefault="00016B30" w:rsidP="00AE71A0">
            <w:pPr>
              <w:rPr>
                <w:szCs w:val="24"/>
              </w:rPr>
            </w:pPr>
            <w:r w:rsidRPr="0091793E">
              <w:rPr>
                <w:szCs w:val="24"/>
              </w:rPr>
              <w:t xml:space="preserve"> R   55 600.00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935BEF5" w14:textId="77777777" w:rsidR="00016B30" w:rsidRPr="0091793E" w:rsidRDefault="00016B30" w:rsidP="00AE71A0">
            <w:pPr>
              <w:rPr>
                <w:szCs w:val="24"/>
              </w:rPr>
            </w:pPr>
            <w:r w:rsidRPr="0091793E">
              <w:rPr>
                <w:rFonts w:ascii="Calibri" w:hAnsi="Calibri"/>
                <w:color w:val="000000"/>
                <w:szCs w:val="24"/>
              </w:rPr>
              <w:t xml:space="preserve"> R     107 812.79 </w:t>
            </w:r>
          </w:p>
        </w:tc>
      </w:tr>
      <w:tr w:rsidR="00016B30" w:rsidRPr="00203170" w14:paraId="680231D4" w14:textId="77777777" w:rsidTr="00EA321A">
        <w:trPr>
          <w:trHeight w:val="263"/>
        </w:trPr>
        <w:tc>
          <w:tcPr>
            <w:tcW w:w="1413" w:type="dxa"/>
            <w:noWrap/>
            <w:vAlign w:val="center"/>
            <w:hideMark/>
          </w:tcPr>
          <w:p w14:paraId="6567E736" w14:textId="77777777" w:rsidR="00016B30" w:rsidRPr="0091793E" w:rsidRDefault="00016B30" w:rsidP="00AE71A0">
            <w:pPr>
              <w:rPr>
                <w:szCs w:val="24"/>
              </w:rPr>
            </w:pPr>
            <w:r w:rsidRPr="0091793E">
              <w:rPr>
                <w:szCs w:val="24"/>
              </w:rPr>
              <w:t>10</w:t>
            </w:r>
          </w:p>
        </w:tc>
        <w:tc>
          <w:tcPr>
            <w:tcW w:w="3544" w:type="dxa"/>
            <w:vAlign w:val="center"/>
            <w:hideMark/>
          </w:tcPr>
          <w:p w14:paraId="5E1DF58E" w14:textId="77777777" w:rsidR="00016B30" w:rsidRPr="0091793E" w:rsidRDefault="00016B30" w:rsidP="00AE71A0">
            <w:pPr>
              <w:rPr>
                <w:szCs w:val="24"/>
              </w:rPr>
            </w:pPr>
            <w:r w:rsidRPr="0091793E">
              <w:rPr>
                <w:szCs w:val="24"/>
              </w:rPr>
              <w:t>General surface rehab and grassing</w:t>
            </w:r>
          </w:p>
        </w:tc>
        <w:tc>
          <w:tcPr>
            <w:tcW w:w="708" w:type="dxa"/>
            <w:noWrap/>
            <w:vAlign w:val="center"/>
            <w:hideMark/>
          </w:tcPr>
          <w:p w14:paraId="3E623ADA"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5978971C" w14:textId="77777777" w:rsidR="00016B30" w:rsidRPr="0091793E" w:rsidRDefault="00016B30" w:rsidP="00AE71A0">
            <w:pPr>
              <w:rPr>
                <w:szCs w:val="24"/>
              </w:rPr>
            </w:pPr>
            <w:r w:rsidRPr="0091793E">
              <w:rPr>
                <w:szCs w:val="24"/>
              </w:rPr>
              <w:t xml:space="preserve"> R   52 600.00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249E5D1" w14:textId="77777777" w:rsidR="00016B30" w:rsidRPr="0091793E" w:rsidRDefault="00016B30" w:rsidP="00AE71A0">
            <w:pPr>
              <w:rPr>
                <w:szCs w:val="24"/>
              </w:rPr>
            </w:pPr>
            <w:r w:rsidRPr="0091793E">
              <w:rPr>
                <w:rFonts w:ascii="Calibri" w:hAnsi="Calibri"/>
                <w:color w:val="000000"/>
                <w:szCs w:val="24"/>
              </w:rPr>
              <w:t xml:space="preserve"> R     101 995.55 </w:t>
            </w:r>
          </w:p>
        </w:tc>
      </w:tr>
      <w:tr w:rsidR="00016B30" w:rsidRPr="00203170" w14:paraId="734138D0" w14:textId="77777777" w:rsidTr="00EA321A">
        <w:trPr>
          <w:trHeight w:val="300"/>
        </w:trPr>
        <w:tc>
          <w:tcPr>
            <w:tcW w:w="1413" w:type="dxa"/>
            <w:noWrap/>
            <w:vAlign w:val="center"/>
            <w:hideMark/>
          </w:tcPr>
          <w:p w14:paraId="373E86FB" w14:textId="77777777" w:rsidR="00016B30" w:rsidRPr="0091793E" w:rsidRDefault="00016B30" w:rsidP="00AE71A0">
            <w:pPr>
              <w:rPr>
                <w:szCs w:val="24"/>
              </w:rPr>
            </w:pPr>
            <w:r w:rsidRPr="0091793E">
              <w:rPr>
                <w:szCs w:val="24"/>
              </w:rPr>
              <w:t>11</w:t>
            </w:r>
          </w:p>
        </w:tc>
        <w:tc>
          <w:tcPr>
            <w:tcW w:w="3544" w:type="dxa"/>
            <w:vAlign w:val="center"/>
            <w:hideMark/>
          </w:tcPr>
          <w:p w14:paraId="74CD2A6A" w14:textId="77777777" w:rsidR="00016B30" w:rsidRPr="0091793E" w:rsidRDefault="00016B30" w:rsidP="00AE71A0">
            <w:pPr>
              <w:rPr>
                <w:szCs w:val="24"/>
              </w:rPr>
            </w:pPr>
            <w:r w:rsidRPr="0091793E">
              <w:rPr>
                <w:szCs w:val="24"/>
              </w:rPr>
              <w:t>River diversions</w:t>
            </w:r>
          </w:p>
        </w:tc>
        <w:tc>
          <w:tcPr>
            <w:tcW w:w="708" w:type="dxa"/>
            <w:noWrap/>
            <w:vAlign w:val="center"/>
            <w:hideMark/>
          </w:tcPr>
          <w:p w14:paraId="7DE11F89"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4083D4DD" w14:textId="77777777" w:rsidR="00016B30" w:rsidRPr="0091793E" w:rsidRDefault="00016B30" w:rsidP="00AE71A0">
            <w:pPr>
              <w:rPr>
                <w:szCs w:val="24"/>
              </w:rPr>
            </w:pPr>
            <w:r w:rsidRPr="0091793E">
              <w:rPr>
                <w:szCs w:val="24"/>
              </w:rPr>
              <w:t xml:space="preserve"> R   52 600.00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1C89F323" w14:textId="77777777" w:rsidR="00016B30" w:rsidRPr="0091793E" w:rsidRDefault="00016B30" w:rsidP="00AE71A0">
            <w:pPr>
              <w:rPr>
                <w:szCs w:val="24"/>
              </w:rPr>
            </w:pPr>
            <w:r w:rsidRPr="0091793E">
              <w:rPr>
                <w:rFonts w:ascii="Calibri" w:hAnsi="Calibri"/>
                <w:color w:val="000000"/>
                <w:szCs w:val="24"/>
              </w:rPr>
              <w:t xml:space="preserve"> R     101 995.55 </w:t>
            </w:r>
          </w:p>
        </w:tc>
      </w:tr>
      <w:tr w:rsidR="00016B30" w:rsidRPr="00203170" w14:paraId="4D5784A0" w14:textId="77777777" w:rsidTr="00EA321A">
        <w:trPr>
          <w:trHeight w:val="132"/>
        </w:trPr>
        <w:tc>
          <w:tcPr>
            <w:tcW w:w="1413" w:type="dxa"/>
            <w:noWrap/>
            <w:vAlign w:val="center"/>
            <w:hideMark/>
          </w:tcPr>
          <w:p w14:paraId="282D7F1F" w14:textId="77777777" w:rsidR="00016B30" w:rsidRPr="0091793E" w:rsidRDefault="00016B30" w:rsidP="00AE71A0">
            <w:pPr>
              <w:rPr>
                <w:szCs w:val="24"/>
              </w:rPr>
            </w:pPr>
            <w:r w:rsidRPr="0091793E">
              <w:rPr>
                <w:szCs w:val="24"/>
              </w:rPr>
              <w:t>12</w:t>
            </w:r>
          </w:p>
        </w:tc>
        <w:tc>
          <w:tcPr>
            <w:tcW w:w="3544" w:type="dxa"/>
            <w:vAlign w:val="center"/>
            <w:hideMark/>
          </w:tcPr>
          <w:p w14:paraId="74728FF7" w14:textId="77777777" w:rsidR="00016B30" w:rsidRPr="0091793E" w:rsidRDefault="00016B30" w:rsidP="00AE71A0">
            <w:pPr>
              <w:rPr>
                <w:szCs w:val="24"/>
              </w:rPr>
            </w:pPr>
            <w:r w:rsidRPr="0091793E">
              <w:rPr>
                <w:szCs w:val="24"/>
              </w:rPr>
              <w:t>Fencing</w:t>
            </w:r>
          </w:p>
        </w:tc>
        <w:tc>
          <w:tcPr>
            <w:tcW w:w="708" w:type="dxa"/>
            <w:noWrap/>
            <w:vAlign w:val="center"/>
            <w:hideMark/>
          </w:tcPr>
          <w:p w14:paraId="6A09F069" w14:textId="77777777" w:rsidR="00016B30" w:rsidRPr="0091793E" w:rsidRDefault="00016B30" w:rsidP="00AE71A0">
            <w:pPr>
              <w:rPr>
                <w:szCs w:val="24"/>
              </w:rPr>
            </w:pPr>
            <w:r w:rsidRPr="0091793E">
              <w:rPr>
                <w:szCs w:val="24"/>
              </w:rPr>
              <w:t>m</w:t>
            </w:r>
          </w:p>
        </w:tc>
        <w:tc>
          <w:tcPr>
            <w:tcW w:w="1560" w:type="dxa"/>
            <w:tcBorders>
              <w:top w:val="single" w:sz="4" w:space="0" w:color="auto"/>
            </w:tcBorders>
            <w:noWrap/>
            <w:vAlign w:val="center"/>
            <w:hideMark/>
          </w:tcPr>
          <w:p w14:paraId="1A58EBC0" w14:textId="77777777" w:rsidR="00016B30" w:rsidRPr="0091793E" w:rsidRDefault="00016B30" w:rsidP="00AE71A0">
            <w:pPr>
              <w:rPr>
                <w:szCs w:val="24"/>
              </w:rPr>
            </w:pPr>
            <w:r w:rsidRPr="0091793E">
              <w:rPr>
                <w:szCs w:val="24"/>
              </w:rPr>
              <w:t xml:space="preserve"> R           60.00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058E509" w14:textId="77777777" w:rsidR="00016B30" w:rsidRPr="0091793E" w:rsidRDefault="00016B30" w:rsidP="00AE71A0">
            <w:pPr>
              <w:rPr>
                <w:szCs w:val="24"/>
              </w:rPr>
            </w:pPr>
            <w:r w:rsidRPr="0091793E">
              <w:rPr>
                <w:rFonts w:ascii="Calibri" w:hAnsi="Calibri"/>
                <w:color w:val="000000"/>
                <w:szCs w:val="24"/>
              </w:rPr>
              <w:t xml:space="preserve"> R             116.34 </w:t>
            </w:r>
          </w:p>
        </w:tc>
      </w:tr>
      <w:tr w:rsidR="00016B30" w:rsidRPr="00203170" w14:paraId="366C5204" w14:textId="77777777" w:rsidTr="00EA321A">
        <w:trPr>
          <w:trHeight w:val="192"/>
        </w:trPr>
        <w:tc>
          <w:tcPr>
            <w:tcW w:w="1413" w:type="dxa"/>
            <w:noWrap/>
            <w:vAlign w:val="center"/>
            <w:hideMark/>
          </w:tcPr>
          <w:p w14:paraId="3187DFB8" w14:textId="77777777" w:rsidR="00016B30" w:rsidRPr="0091793E" w:rsidRDefault="00016B30" w:rsidP="00AE71A0">
            <w:pPr>
              <w:rPr>
                <w:szCs w:val="24"/>
              </w:rPr>
            </w:pPr>
            <w:r w:rsidRPr="0091793E">
              <w:rPr>
                <w:szCs w:val="24"/>
              </w:rPr>
              <w:t>13</w:t>
            </w:r>
          </w:p>
        </w:tc>
        <w:tc>
          <w:tcPr>
            <w:tcW w:w="3544" w:type="dxa"/>
            <w:vAlign w:val="center"/>
            <w:hideMark/>
          </w:tcPr>
          <w:p w14:paraId="449E5768" w14:textId="77777777" w:rsidR="00016B30" w:rsidRPr="0091793E" w:rsidRDefault="00016B30" w:rsidP="00AE71A0">
            <w:pPr>
              <w:rPr>
                <w:szCs w:val="24"/>
              </w:rPr>
            </w:pPr>
            <w:r w:rsidRPr="0091793E">
              <w:rPr>
                <w:szCs w:val="24"/>
              </w:rPr>
              <w:t>Water management</w:t>
            </w:r>
          </w:p>
        </w:tc>
        <w:tc>
          <w:tcPr>
            <w:tcW w:w="708" w:type="dxa"/>
            <w:noWrap/>
            <w:vAlign w:val="center"/>
            <w:hideMark/>
          </w:tcPr>
          <w:p w14:paraId="098C0827" w14:textId="77777777" w:rsidR="00016B30" w:rsidRPr="0091793E" w:rsidRDefault="00016B30" w:rsidP="00AE71A0">
            <w:pPr>
              <w:rPr>
                <w:szCs w:val="24"/>
              </w:rPr>
            </w:pPr>
            <w:r w:rsidRPr="0091793E">
              <w:rPr>
                <w:szCs w:val="24"/>
              </w:rPr>
              <w:t>ha</w:t>
            </w:r>
          </w:p>
        </w:tc>
        <w:tc>
          <w:tcPr>
            <w:tcW w:w="1560" w:type="dxa"/>
            <w:tcBorders>
              <w:top w:val="single" w:sz="4" w:space="0" w:color="auto"/>
            </w:tcBorders>
            <w:noWrap/>
            <w:vAlign w:val="center"/>
            <w:hideMark/>
          </w:tcPr>
          <w:p w14:paraId="5C216BB3" w14:textId="77777777" w:rsidR="00016B30" w:rsidRPr="0091793E" w:rsidRDefault="00016B30" w:rsidP="00AE71A0">
            <w:pPr>
              <w:rPr>
                <w:szCs w:val="24"/>
              </w:rPr>
            </w:pPr>
            <w:r w:rsidRPr="0091793E">
              <w:rPr>
                <w:szCs w:val="24"/>
              </w:rPr>
              <w:t xml:space="preserve"> R   20 000.00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92DA053" w14:textId="77777777" w:rsidR="00016B30" w:rsidRPr="0091793E" w:rsidRDefault="00016B30" w:rsidP="00AE71A0">
            <w:pPr>
              <w:rPr>
                <w:szCs w:val="24"/>
              </w:rPr>
            </w:pPr>
            <w:r w:rsidRPr="0091793E">
              <w:rPr>
                <w:rFonts w:ascii="Calibri" w:hAnsi="Calibri"/>
                <w:color w:val="000000"/>
                <w:szCs w:val="24"/>
              </w:rPr>
              <w:t xml:space="preserve"> R       38 781.58 </w:t>
            </w:r>
          </w:p>
        </w:tc>
      </w:tr>
      <w:tr w:rsidR="00016B30" w:rsidRPr="00203170" w14:paraId="34D9E0E7" w14:textId="77777777" w:rsidTr="00EA321A">
        <w:trPr>
          <w:trHeight w:val="96"/>
        </w:trPr>
        <w:tc>
          <w:tcPr>
            <w:tcW w:w="1413" w:type="dxa"/>
            <w:noWrap/>
            <w:vAlign w:val="center"/>
            <w:hideMark/>
          </w:tcPr>
          <w:p w14:paraId="74933054" w14:textId="77777777" w:rsidR="00016B30" w:rsidRPr="0091793E" w:rsidRDefault="00016B30" w:rsidP="00AE71A0">
            <w:pPr>
              <w:rPr>
                <w:szCs w:val="24"/>
              </w:rPr>
            </w:pPr>
            <w:r w:rsidRPr="0091793E">
              <w:rPr>
                <w:szCs w:val="24"/>
              </w:rPr>
              <w:t>14</w:t>
            </w:r>
          </w:p>
        </w:tc>
        <w:tc>
          <w:tcPr>
            <w:tcW w:w="3544" w:type="dxa"/>
            <w:vAlign w:val="center"/>
            <w:hideMark/>
          </w:tcPr>
          <w:p w14:paraId="4DB1EE4A" w14:textId="77777777" w:rsidR="00016B30" w:rsidRPr="0091793E" w:rsidRDefault="00016B30" w:rsidP="00AE71A0">
            <w:pPr>
              <w:rPr>
                <w:szCs w:val="24"/>
              </w:rPr>
            </w:pPr>
            <w:r w:rsidRPr="0091793E">
              <w:rPr>
                <w:szCs w:val="24"/>
              </w:rPr>
              <w:t>2 to 3 years of maintenance and aftercare</w:t>
            </w:r>
          </w:p>
        </w:tc>
        <w:tc>
          <w:tcPr>
            <w:tcW w:w="708" w:type="dxa"/>
            <w:noWrap/>
            <w:vAlign w:val="center"/>
            <w:hideMark/>
          </w:tcPr>
          <w:p w14:paraId="3E0F7CC0" w14:textId="77777777" w:rsidR="00016B30" w:rsidRPr="0091793E" w:rsidRDefault="00016B30" w:rsidP="00AE71A0">
            <w:pPr>
              <w:rPr>
                <w:szCs w:val="24"/>
              </w:rPr>
            </w:pPr>
            <w:r w:rsidRPr="0091793E">
              <w:rPr>
                <w:szCs w:val="24"/>
              </w:rPr>
              <w:t>ha</w:t>
            </w:r>
          </w:p>
        </w:tc>
        <w:tc>
          <w:tcPr>
            <w:tcW w:w="1560" w:type="dxa"/>
            <w:tcBorders>
              <w:top w:val="single" w:sz="4" w:space="0" w:color="auto"/>
              <w:bottom w:val="single" w:sz="4" w:space="0" w:color="auto"/>
            </w:tcBorders>
            <w:noWrap/>
            <w:vAlign w:val="center"/>
            <w:hideMark/>
          </w:tcPr>
          <w:p w14:paraId="7331B2DB" w14:textId="77777777" w:rsidR="00016B30" w:rsidRPr="0091793E" w:rsidRDefault="00016B30" w:rsidP="00AE71A0">
            <w:pPr>
              <w:rPr>
                <w:szCs w:val="24"/>
              </w:rPr>
            </w:pPr>
            <w:r w:rsidRPr="0091793E">
              <w:rPr>
                <w:szCs w:val="24"/>
              </w:rPr>
              <w:t xml:space="preserve"> R     7 000.00 </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54A764FB" w14:textId="77777777" w:rsidR="00016B30" w:rsidRPr="0091793E" w:rsidRDefault="00016B30" w:rsidP="00AE71A0">
            <w:pPr>
              <w:rPr>
                <w:szCs w:val="24"/>
              </w:rPr>
            </w:pPr>
            <w:r w:rsidRPr="0091793E">
              <w:rPr>
                <w:rFonts w:ascii="Calibri" w:hAnsi="Calibri"/>
                <w:color w:val="000000"/>
                <w:szCs w:val="24"/>
              </w:rPr>
              <w:t xml:space="preserve"> R       13 573.55 </w:t>
            </w:r>
          </w:p>
        </w:tc>
      </w:tr>
      <w:bookmarkEnd w:id="133"/>
    </w:tbl>
    <w:p w14:paraId="4B6A7EC5" w14:textId="77777777" w:rsidR="0091793E" w:rsidRDefault="0091793E" w:rsidP="00AE71A0">
      <w:pPr>
        <w:rPr>
          <w:szCs w:val="24"/>
        </w:rPr>
      </w:pPr>
    </w:p>
    <w:p w14:paraId="7F832AA8" w14:textId="772B632C" w:rsidR="00016B30" w:rsidRPr="00203170" w:rsidRDefault="00016B30" w:rsidP="00AE71A0">
      <w:pPr>
        <w:rPr>
          <w:szCs w:val="24"/>
        </w:rPr>
      </w:pPr>
      <w:r w:rsidRPr="00203170">
        <w:rPr>
          <w:szCs w:val="24"/>
        </w:rPr>
        <w:t xml:space="preserve">The above </w:t>
      </w:r>
      <w:r w:rsidR="00DF3D8D">
        <w:rPr>
          <w:szCs w:val="24"/>
        </w:rPr>
        <w:t xml:space="preserve">table </w:t>
      </w:r>
      <w:r w:rsidRPr="00203170">
        <w:rPr>
          <w:szCs w:val="24"/>
        </w:rPr>
        <w:t>illustrate</w:t>
      </w:r>
      <w:r w:rsidR="001811F9" w:rsidRPr="00203170">
        <w:rPr>
          <w:szCs w:val="24"/>
        </w:rPr>
        <w:t>s</w:t>
      </w:r>
      <w:r w:rsidRPr="00203170">
        <w:rPr>
          <w:szCs w:val="24"/>
        </w:rPr>
        <w:t xml:space="preserve"> that the net effect of inflation in the period since 2005 to </w:t>
      </w:r>
      <w:r w:rsidR="00F97223" w:rsidRPr="00203170">
        <w:rPr>
          <w:szCs w:val="24"/>
        </w:rPr>
        <w:t>2017</w:t>
      </w:r>
      <w:r w:rsidRPr="00203170">
        <w:rPr>
          <w:szCs w:val="24"/>
        </w:rPr>
        <w:t xml:space="preserve"> has effectively almost doubled the originally published master rates. A full table providing the annual escalation for all intervening years between the date of publication of the guideline and the present is provided in </w:t>
      </w:r>
      <w:r w:rsidRPr="00203170">
        <w:rPr>
          <w:szCs w:val="24"/>
        </w:rPr>
        <w:fldChar w:fldCharType="begin"/>
      </w:r>
      <w:r w:rsidRPr="00203170">
        <w:rPr>
          <w:szCs w:val="24"/>
        </w:rPr>
        <w:instrText xml:space="preserve"> REF _Ref499613083 \h </w:instrText>
      </w:r>
      <w:r w:rsidR="008A5880" w:rsidRPr="00203170">
        <w:rPr>
          <w:szCs w:val="24"/>
        </w:rPr>
        <w:instrText xml:space="preserve"> \* MERGEFORMAT </w:instrText>
      </w:r>
      <w:r w:rsidRPr="00203170">
        <w:rPr>
          <w:szCs w:val="24"/>
        </w:rPr>
      </w:r>
      <w:r w:rsidRPr="00203170">
        <w:rPr>
          <w:szCs w:val="24"/>
        </w:rPr>
        <w:fldChar w:fldCharType="separate"/>
      </w:r>
      <w:r w:rsidR="00D673CD" w:rsidRPr="00D673CD">
        <w:rPr>
          <w:b/>
          <w:szCs w:val="24"/>
          <w:lang w:val="en-GB"/>
        </w:rPr>
        <w:t>ANNEXURE A</w:t>
      </w:r>
      <w:r w:rsidR="00D673CD" w:rsidRPr="00D673CD">
        <w:rPr>
          <w:szCs w:val="24"/>
          <w:lang w:val="en-GB"/>
        </w:rPr>
        <w:t>: Master Rates table escalated to 2017</w:t>
      </w:r>
      <w:r w:rsidRPr="00203170">
        <w:rPr>
          <w:szCs w:val="24"/>
        </w:rPr>
        <w:fldChar w:fldCharType="end"/>
      </w:r>
      <w:r w:rsidRPr="00203170">
        <w:rPr>
          <w:szCs w:val="24"/>
        </w:rPr>
        <w:t xml:space="preserve">. </w:t>
      </w:r>
    </w:p>
    <w:p w14:paraId="3DC1DFE1" w14:textId="7FAEE730" w:rsidR="005E4B1F" w:rsidRPr="00203170" w:rsidRDefault="00290659" w:rsidP="00AE71A0">
      <w:pPr>
        <w:rPr>
          <w:szCs w:val="24"/>
        </w:rPr>
      </w:pPr>
      <w:r>
        <w:rPr>
          <w:szCs w:val="24"/>
        </w:rPr>
        <w:t>T</w:t>
      </w:r>
      <w:r w:rsidRPr="00203170">
        <w:rPr>
          <w:szCs w:val="24"/>
        </w:rPr>
        <w:t xml:space="preserve">he type of rehabilitation </w:t>
      </w:r>
      <w:r>
        <w:rPr>
          <w:szCs w:val="24"/>
        </w:rPr>
        <w:t xml:space="preserve">work </w:t>
      </w:r>
      <w:r w:rsidRPr="00203170">
        <w:rPr>
          <w:szCs w:val="24"/>
        </w:rPr>
        <w:t>performed by Mintek over the period, which involved mostly surface rehabilitation of smaller dumps</w:t>
      </w:r>
      <w:r>
        <w:rPr>
          <w:szCs w:val="24"/>
        </w:rPr>
        <w:t xml:space="preserve">, resulted in a situation where </w:t>
      </w:r>
      <w:r w:rsidR="005E4B1F" w:rsidRPr="00203170">
        <w:rPr>
          <w:szCs w:val="24"/>
        </w:rPr>
        <w:t>not all these</w:t>
      </w:r>
      <w:r>
        <w:rPr>
          <w:szCs w:val="24"/>
        </w:rPr>
        <w:t xml:space="preserve"> master</w:t>
      </w:r>
      <w:r w:rsidR="005E4B1F" w:rsidRPr="00203170">
        <w:rPr>
          <w:szCs w:val="24"/>
        </w:rPr>
        <w:t xml:space="preserve"> rates were applicable</w:t>
      </w:r>
      <w:r>
        <w:rPr>
          <w:szCs w:val="24"/>
        </w:rPr>
        <w:t xml:space="preserve"> in every year.</w:t>
      </w:r>
      <w:r w:rsidR="005E4B1F" w:rsidRPr="00203170">
        <w:rPr>
          <w:szCs w:val="24"/>
        </w:rPr>
        <w:t xml:space="preserve"> </w:t>
      </w:r>
      <w:r w:rsidR="00CA753D" w:rsidRPr="00203170">
        <w:rPr>
          <w:szCs w:val="24"/>
        </w:rPr>
        <w:t>O</w:t>
      </w:r>
      <w:r w:rsidR="002B55E8" w:rsidRPr="00203170">
        <w:rPr>
          <w:szCs w:val="24"/>
        </w:rPr>
        <w:t>nly some of the master rates are</w:t>
      </w:r>
      <w:r w:rsidR="00CE5D59">
        <w:rPr>
          <w:szCs w:val="24"/>
        </w:rPr>
        <w:t xml:space="preserve"> </w:t>
      </w:r>
      <w:r w:rsidR="002B55E8" w:rsidRPr="00203170">
        <w:rPr>
          <w:szCs w:val="24"/>
        </w:rPr>
        <w:t xml:space="preserve">applicable to the typical project that was rehabilitated and could be used for comparison. </w:t>
      </w:r>
      <w:r w:rsidR="000F617B">
        <w:rPr>
          <w:szCs w:val="24"/>
        </w:rPr>
        <w:t>(see Tab</w:t>
      </w:r>
      <w:r w:rsidR="000F617B" w:rsidRPr="008502D9">
        <w:rPr>
          <w:szCs w:val="24"/>
        </w:rPr>
        <w:t>le</w:t>
      </w:r>
      <w:r w:rsidR="000F617B">
        <w:rPr>
          <w:szCs w:val="24"/>
        </w:rPr>
        <w:t xml:space="preserve"> </w:t>
      </w:r>
      <w:r w:rsidR="008502D9">
        <w:rPr>
          <w:szCs w:val="24"/>
        </w:rPr>
        <w:t>4.</w:t>
      </w:r>
      <w:r w:rsidR="00E73495">
        <w:rPr>
          <w:szCs w:val="24"/>
        </w:rPr>
        <w:t>2</w:t>
      </w:r>
      <w:r w:rsidR="008502D9">
        <w:rPr>
          <w:szCs w:val="24"/>
        </w:rPr>
        <w:t xml:space="preserve"> </w:t>
      </w:r>
      <w:r w:rsidR="000F617B">
        <w:rPr>
          <w:szCs w:val="24"/>
        </w:rPr>
        <w:t>below)</w:t>
      </w:r>
    </w:p>
    <w:p w14:paraId="19040D49" w14:textId="7B03EA60" w:rsidR="00AB57BB" w:rsidRPr="00063C48" w:rsidRDefault="000F617B" w:rsidP="00063C48">
      <w:pPr>
        <w:pStyle w:val="Heading2"/>
        <w:rPr>
          <w:rStyle w:val="Heading2Char"/>
          <w:b/>
          <w:bCs/>
        </w:rPr>
      </w:pPr>
      <w:bookmarkStart w:id="134" w:name="_Toc519445722"/>
      <w:r w:rsidRPr="00063C48">
        <w:rPr>
          <w:rStyle w:val="Heading2Char"/>
          <w:b/>
          <w:bCs/>
        </w:rPr>
        <w:t>Selection of applicable rehabilitation elements for comparison</w:t>
      </w:r>
      <w:bookmarkEnd w:id="134"/>
      <w:r w:rsidRPr="00063C48">
        <w:rPr>
          <w:rStyle w:val="Heading2Char"/>
          <w:b/>
          <w:bCs/>
        </w:rPr>
        <w:t xml:space="preserve"> </w:t>
      </w:r>
    </w:p>
    <w:p w14:paraId="02D206F5" w14:textId="39E0B50C" w:rsidR="00DF08A7" w:rsidRPr="00203170" w:rsidRDefault="00DF08A7" w:rsidP="00AE71A0">
      <w:pPr>
        <w:rPr>
          <w:szCs w:val="24"/>
        </w:rPr>
      </w:pPr>
      <w:r w:rsidRPr="00203170">
        <w:rPr>
          <w:szCs w:val="24"/>
        </w:rPr>
        <w:t>Section B of the DM</w:t>
      </w:r>
      <w:r w:rsidR="007C04B5">
        <w:rPr>
          <w:szCs w:val="24"/>
        </w:rPr>
        <w:t>E</w:t>
      </w:r>
      <w:r w:rsidRPr="00203170">
        <w:rPr>
          <w:szCs w:val="24"/>
        </w:rPr>
        <w:t xml:space="preserve"> guideline (the working manual) describes in detail how the guideline should be used. The guideline determines that Asbestos mines are all Risk Class A. (Section B, Part 4.1 &amp; 4.2 and Table B.12) This has implications for the application of modified master </w:t>
      </w:r>
      <w:r w:rsidRPr="00203170">
        <w:rPr>
          <w:szCs w:val="24"/>
        </w:rPr>
        <w:lastRenderedPageBreak/>
        <w:t>rates for Component 6; Opencast Rehabili</w:t>
      </w:r>
      <w:r w:rsidR="00FF1D35" w:rsidRPr="00203170">
        <w:rPr>
          <w:szCs w:val="24"/>
        </w:rPr>
        <w:t>t</w:t>
      </w:r>
      <w:r w:rsidRPr="00203170">
        <w:rPr>
          <w:szCs w:val="24"/>
        </w:rPr>
        <w:t>ation (including final voids and ramps) and the master rate for C</w:t>
      </w:r>
      <w:r w:rsidR="00FF1D35" w:rsidRPr="00203170">
        <w:rPr>
          <w:szCs w:val="24"/>
        </w:rPr>
        <w:t>omponent</w:t>
      </w:r>
      <w:r w:rsidRPr="00203170">
        <w:rPr>
          <w:szCs w:val="24"/>
        </w:rPr>
        <w:t xml:space="preserve"> 8(C)</w:t>
      </w:r>
      <w:r w:rsidR="00FF1D35" w:rsidRPr="00203170">
        <w:rPr>
          <w:szCs w:val="24"/>
        </w:rPr>
        <w:t xml:space="preserve"> </w:t>
      </w:r>
      <w:r w:rsidRPr="00203170">
        <w:rPr>
          <w:szCs w:val="24"/>
        </w:rPr>
        <w:t>P</w:t>
      </w:r>
      <w:r w:rsidR="00FF1D35" w:rsidRPr="00203170">
        <w:rPr>
          <w:szCs w:val="24"/>
        </w:rPr>
        <w:t xml:space="preserve">rocessing </w:t>
      </w:r>
      <w:r w:rsidRPr="00203170">
        <w:rPr>
          <w:szCs w:val="24"/>
        </w:rPr>
        <w:t>W</w:t>
      </w:r>
      <w:r w:rsidR="00FF1D35" w:rsidRPr="00203170">
        <w:rPr>
          <w:szCs w:val="24"/>
        </w:rPr>
        <w:t xml:space="preserve">aste </w:t>
      </w:r>
      <w:r w:rsidRPr="00203170">
        <w:rPr>
          <w:szCs w:val="24"/>
        </w:rPr>
        <w:t>D</w:t>
      </w:r>
      <w:r w:rsidR="00FF1D35" w:rsidRPr="00203170">
        <w:rPr>
          <w:szCs w:val="24"/>
        </w:rPr>
        <w:t>eposits</w:t>
      </w:r>
      <w:r w:rsidRPr="00203170">
        <w:rPr>
          <w:szCs w:val="24"/>
        </w:rPr>
        <w:t xml:space="preserve"> &amp; E</w:t>
      </w:r>
      <w:r w:rsidR="00FF1D35" w:rsidRPr="00203170">
        <w:rPr>
          <w:szCs w:val="24"/>
        </w:rPr>
        <w:t>vaporation ponds</w:t>
      </w:r>
      <w:r w:rsidRPr="00203170">
        <w:rPr>
          <w:szCs w:val="24"/>
        </w:rPr>
        <w:t xml:space="preserve"> (acidic, metal-rich waste)</w:t>
      </w:r>
      <w:r w:rsidR="00322083">
        <w:rPr>
          <w:szCs w:val="24"/>
        </w:rPr>
        <w:t>.</w:t>
      </w:r>
    </w:p>
    <w:p w14:paraId="002DF475" w14:textId="36F40CCC" w:rsidR="002B55E8" w:rsidRPr="00203170" w:rsidRDefault="00FF1D35" w:rsidP="00AE71A0">
      <w:pPr>
        <w:rPr>
          <w:szCs w:val="24"/>
        </w:rPr>
      </w:pPr>
      <w:r w:rsidRPr="00203170">
        <w:rPr>
          <w:szCs w:val="24"/>
        </w:rPr>
        <w:t xml:space="preserve">The scoping of a rehabilitation project can be likened to the Step 4.2 described in the DME guideline working manual Section B item 4.4.2; </w:t>
      </w:r>
      <w:r w:rsidR="00290659">
        <w:rPr>
          <w:szCs w:val="24"/>
        </w:rPr>
        <w:t>D</w:t>
      </w:r>
      <w:r w:rsidRPr="00203170">
        <w:rPr>
          <w:szCs w:val="24"/>
        </w:rPr>
        <w:t xml:space="preserve">etermine the closure components. </w:t>
      </w:r>
      <w:r w:rsidR="002B55E8" w:rsidRPr="00203170">
        <w:rPr>
          <w:szCs w:val="24"/>
        </w:rPr>
        <w:t>A</w:t>
      </w:r>
      <w:r w:rsidR="00CA753D" w:rsidRPr="00203170">
        <w:rPr>
          <w:szCs w:val="24"/>
        </w:rPr>
        <w:t>s</w:t>
      </w:r>
      <w:r w:rsidR="002B55E8" w:rsidRPr="00203170">
        <w:rPr>
          <w:szCs w:val="24"/>
        </w:rPr>
        <w:t xml:space="preserve"> most of </w:t>
      </w:r>
      <w:r w:rsidR="00CA753D" w:rsidRPr="00203170">
        <w:rPr>
          <w:szCs w:val="24"/>
        </w:rPr>
        <w:t>t</w:t>
      </w:r>
      <w:r w:rsidR="002B55E8" w:rsidRPr="00203170">
        <w:rPr>
          <w:szCs w:val="24"/>
        </w:rPr>
        <w:t>he proj</w:t>
      </w:r>
      <w:r w:rsidR="00CA753D" w:rsidRPr="00203170">
        <w:rPr>
          <w:szCs w:val="24"/>
        </w:rPr>
        <w:t>e</w:t>
      </w:r>
      <w:r w:rsidR="002B55E8" w:rsidRPr="00203170">
        <w:rPr>
          <w:szCs w:val="24"/>
        </w:rPr>
        <w:t>cts were asbestos mining operations,</w:t>
      </w:r>
      <w:r w:rsidR="00CA753D" w:rsidRPr="00203170">
        <w:rPr>
          <w:szCs w:val="24"/>
        </w:rPr>
        <w:t xml:space="preserve"> </w:t>
      </w:r>
      <w:r w:rsidR="00762B19" w:rsidRPr="00203170">
        <w:rPr>
          <w:szCs w:val="24"/>
        </w:rPr>
        <w:t>several</w:t>
      </w:r>
      <w:r w:rsidR="002B55E8" w:rsidRPr="00203170">
        <w:rPr>
          <w:szCs w:val="24"/>
        </w:rPr>
        <w:t xml:space="preserve"> </w:t>
      </w:r>
      <w:r w:rsidR="00F97223" w:rsidRPr="00203170">
        <w:rPr>
          <w:szCs w:val="24"/>
        </w:rPr>
        <w:t xml:space="preserve">of </w:t>
      </w:r>
      <w:r w:rsidR="002B55E8" w:rsidRPr="00203170">
        <w:rPr>
          <w:szCs w:val="24"/>
        </w:rPr>
        <w:t>the master rates are not applicable and w</w:t>
      </w:r>
      <w:r w:rsidR="00F97223" w:rsidRPr="00203170">
        <w:rPr>
          <w:szCs w:val="24"/>
        </w:rPr>
        <w:t>ere</w:t>
      </w:r>
      <w:r w:rsidR="002B55E8" w:rsidRPr="00203170">
        <w:rPr>
          <w:szCs w:val="24"/>
        </w:rPr>
        <w:t xml:space="preserve"> not </w:t>
      </w:r>
      <w:r w:rsidR="00CA753D" w:rsidRPr="00203170">
        <w:rPr>
          <w:szCs w:val="24"/>
        </w:rPr>
        <w:t xml:space="preserve">considered </w:t>
      </w:r>
      <w:r w:rsidR="002B55E8" w:rsidRPr="00203170">
        <w:rPr>
          <w:szCs w:val="24"/>
        </w:rPr>
        <w:t>further in the comparison. The app</w:t>
      </w:r>
      <w:r w:rsidR="00F97223" w:rsidRPr="00203170">
        <w:rPr>
          <w:szCs w:val="24"/>
        </w:rPr>
        <w:t>licable master rates that wer</w:t>
      </w:r>
      <w:r w:rsidR="002B55E8" w:rsidRPr="00203170">
        <w:rPr>
          <w:szCs w:val="24"/>
        </w:rPr>
        <w:t>e used for comparison in t</w:t>
      </w:r>
      <w:r w:rsidR="00CA753D" w:rsidRPr="00203170">
        <w:rPr>
          <w:szCs w:val="24"/>
        </w:rPr>
        <w:t>hi</w:t>
      </w:r>
      <w:r w:rsidR="002B55E8" w:rsidRPr="00203170">
        <w:rPr>
          <w:szCs w:val="24"/>
        </w:rPr>
        <w:t xml:space="preserve">s </w:t>
      </w:r>
      <w:r w:rsidR="009C1091">
        <w:rPr>
          <w:szCs w:val="24"/>
        </w:rPr>
        <w:t>research report</w:t>
      </w:r>
      <w:r w:rsidR="002B55E8" w:rsidRPr="00203170">
        <w:rPr>
          <w:szCs w:val="24"/>
        </w:rPr>
        <w:t xml:space="preserve"> going forward are reflected in </w:t>
      </w:r>
      <w:r w:rsidR="009734C5" w:rsidRPr="00203170">
        <w:rPr>
          <w:szCs w:val="24"/>
        </w:rPr>
        <w:t>T</w:t>
      </w:r>
      <w:r w:rsidR="002B55E8" w:rsidRPr="00203170">
        <w:rPr>
          <w:szCs w:val="24"/>
        </w:rPr>
        <w:t>able</w:t>
      </w:r>
      <w:r w:rsidR="009734C5" w:rsidRPr="00203170">
        <w:rPr>
          <w:szCs w:val="24"/>
        </w:rPr>
        <w:t xml:space="preserve"> </w:t>
      </w:r>
      <w:r w:rsidR="00EE00F1">
        <w:rPr>
          <w:szCs w:val="24"/>
        </w:rPr>
        <w:t>4.</w:t>
      </w:r>
      <w:r w:rsidR="00E73495">
        <w:rPr>
          <w:szCs w:val="24"/>
        </w:rPr>
        <w:t>2</w:t>
      </w:r>
      <w:r w:rsidR="002B55E8" w:rsidRPr="00203170">
        <w:rPr>
          <w:szCs w:val="24"/>
        </w:rPr>
        <w:t xml:space="preserve"> below:  </w:t>
      </w:r>
    </w:p>
    <w:p w14:paraId="04744F29" w14:textId="08B5501D" w:rsidR="003B607A" w:rsidRPr="00EE00F1" w:rsidRDefault="00322083" w:rsidP="00322083">
      <w:pPr>
        <w:pStyle w:val="Caption"/>
      </w:pPr>
      <w:bookmarkStart w:id="135" w:name="_Toc507320092"/>
      <w:bookmarkStart w:id="136" w:name="_Toc507336166"/>
      <w:bookmarkStart w:id="137" w:name="_Toc507336572"/>
      <w:bookmarkStart w:id="138" w:name="_Toc517372901"/>
      <w:bookmarkStart w:id="139" w:name="_Toc517372938"/>
      <w:bookmarkStart w:id="140" w:name="_Toc519445864"/>
      <w:bookmarkStart w:id="141" w:name="_Toc519445901"/>
      <w:r>
        <w:t xml:space="preserve">Table 4.2: </w:t>
      </w:r>
      <w:r w:rsidR="003B607A" w:rsidRPr="00EE00F1">
        <w:t>Applicability of cost items from the master rates table in the DM</w:t>
      </w:r>
      <w:r w:rsidR="007C04B5" w:rsidRPr="00EE00F1">
        <w:t>E</w:t>
      </w:r>
      <w:r w:rsidR="003B607A" w:rsidRPr="00EE00F1">
        <w:t xml:space="preserve"> guideline to surface mine rehabilitation project for abandoned asbestos mines</w:t>
      </w:r>
      <w:bookmarkEnd w:id="135"/>
      <w:bookmarkEnd w:id="136"/>
      <w:bookmarkEnd w:id="137"/>
      <w:bookmarkEnd w:id="138"/>
      <w:bookmarkEnd w:id="139"/>
      <w:bookmarkEnd w:id="140"/>
      <w:bookmarkEnd w:id="141"/>
    </w:p>
    <w:tbl>
      <w:tblPr>
        <w:tblStyle w:val="TableGrid"/>
        <w:tblW w:w="9067" w:type="dxa"/>
        <w:tblLook w:val="04A0" w:firstRow="1" w:lastRow="0" w:firstColumn="1" w:lastColumn="0" w:noHBand="0" w:noVBand="1"/>
      </w:tblPr>
      <w:tblGrid>
        <w:gridCol w:w="1387"/>
        <w:gridCol w:w="4562"/>
        <w:gridCol w:w="3118"/>
      </w:tblGrid>
      <w:tr w:rsidR="002B55E8" w:rsidRPr="00203170" w14:paraId="422B2D3D" w14:textId="77777777" w:rsidTr="009734C5">
        <w:trPr>
          <w:trHeight w:val="357"/>
          <w:tblHeader/>
        </w:trPr>
        <w:tc>
          <w:tcPr>
            <w:tcW w:w="1129" w:type="dxa"/>
            <w:hideMark/>
          </w:tcPr>
          <w:p w14:paraId="57943BB3" w14:textId="77777777" w:rsidR="002B55E8" w:rsidRPr="00203170" w:rsidRDefault="002B55E8" w:rsidP="00CE5D59">
            <w:pPr>
              <w:spacing w:line="240" w:lineRule="auto"/>
              <w:jc w:val="center"/>
              <w:rPr>
                <w:b/>
                <w:bCs/>
                <w:szCs w:val="24"/>
              </w:rPr>
            </w:pPr>
            <w:r w:rsidRPr="00203170">
              <w:rPr>
                <w:b/>
                <w:bCs/>
                <w:szCs w:val="24"/>
              </w:rPr>
              <w:t>Rate Component S1.2</w:t>
            </w:r>
          </w:p>
        </w:tc>
        <w:tc>
          <w:tcPr>
            <w:tcW w:w="4820" w:type="dxa"/>
            <w:hideMark/>
          </w:tcPr>
          <w:p w14:paraId="6CC32827" w14:textId="77777777" w:rsidR="002B55E8" w:rsidRPr="00203170" w:rsidRDefault="002B55E8" w:rsidP="00CE5D59">
            <w:pPr>
              <w:spacing w:line="240" w:lineRule="auto"/>
              <w:jc w:val="center"/>
              <w:rPr>
                <w:b/>
                <w:bCs/>
                <w:szCs w:val="24"/>
              </w:rPr>
            </w:pPr>
            <w:r w:rsidRPr="00203170">
              <w:rPr>
                <w:b/>
                <w:bCs/>
                <w:szCs w:val="24"/>
              </w:rPr>
              <w:t>Description</w:t>
            </w:r>
          </w:p>
        </w:tc>
        <w:tc>
          <w:tcPr>
            <w:tcW w:w="3118" w:type="dxa"/>
            <w:hideMark/>
          </w:tcPr>
          <w:p w14:paraId="0C562A67" w14:textId="67C50037" w:rsidR="002B55E8" w:rsidRPr="00203170" w:rsidRDefault="002B55E8" w:rsidP="00CE5D59">
            <w:pPr>
              <w:spacing w:line="240" w:lineRule="auto"/>
              <w:jc w:val="center"/>
              <w:rPr>
                <w:b/>
                <w:bCs/>
                <w:szCs w:val="24"/>
              </w:rPr>
            </w:pPr>
            <w:r w:rsidRPr="00203170">
              <w:rPr>
                <w:b/>
                <w:bCs/>
                <w:szCs w:val="24"/>
              </w:rPr>
              <w:t>Applicable to typical asbestos surface mining rehabilitation operation?</w:t>
            </w:r>
          </w:p>
        </w:tc>
      </w:tr>
      <w:tr w:rsidR="002B55E8" w:rsidRPr="00203170" w14:paraId="378C437F" w14:textId="77777777" w:rsidTr="009734C5">
        <w:trPr>
          <w:trHeight w:val="187"/>
        </w:trPr>
        <w:tc>
          <w:tcPr>
            <w:tcW w:w="1129" w:type="dxa"/>
            <w:noWrap/>
            <w:hideMark/>
          </w:tcPr>
          <w:p w14:paraId="0D734698" w14:textId="77777777" w:rsidR="002B55E8" w:rsidRPr="00203170" w:rsidRDefault="002B55E8" w:rsidP="00AE71A0">
            <w:pPr>
              <w:rPr>
                <w:szCs w:val="24"/>
              </w:rPr>
            </w:pPr>
            <w:r w:rsidRPr="00203170">
              <w:rPr>
                <w:szCs w:val="24"/>
              </w:rPr>
              <w:t>1</w:t>
            </w:r>
          </w:p>
        </w:tc>
        <w:tc>
          <w:tcPr>
            <w:tcW w:w="4820" w:type="dxa"/>
            <w:hideMark/>
          </w:tcPr>
          <w:p w14:paraId="1A67E8FF" w14:textId="77777777" w:rsidR="002B55E8" w:rsidRPr="00203170" w:rsidRDefault="002B55E8" w:rsidP="00AE71A0">
            <w:pPr>
              <w:rPr>
                <w:szCs w:val="24"/>
              </w:rPr>
            </w:pPr>
            <w:r w:rsidRPr="00203170">
              <w:rPr>
                <w:szCs w:val="24"/>
              </w:rPr>
              <w:t>Dismantling of processing plant</w:t>
            </w:r>
          </w:p>
        </w:tc>
        <w:tc>
          <w:tcPr>
            <w:tcW w:w="3118" w:type="dxa"/>
            <w:tcBorders>
              <w:top w:val="single" w:sz="4" w:space="0" w:color="auto"/>
            </w:tcBorders>
            <w:noWrap/>
          </w:tcPr>
          <w:p w14:paraId="181D5232" w14:textId="634E53B9" w:rsidR="002B55E8" w:rsidRPr="00203170" w:rsidRDefault="002B55E8" w:rsidP="00AE71A0">
            <w:pPr>
              <w:rPr>
                <w:szCs w:val="24"/>
              </w:rPr>
            </w:pPr>
            <w:r w:rsidRPr="00203170">
              <w:rPr>
                <w:szCs w:val="24"/>
              </w:rPr>
              <w:t>No</w:t>
            </w:r>
          </w:p>
        </w:tc>
      </w:tr>
      <w:tr w:rsidR="002B55E8" w:rsidRPr="00203170" w14:paraId="57A015DE" w14:textId="77777777" w:rsidTr="009734C5">
        <w:trPr>
          <w:trHeight w:val="101"/>
        </w:trPr>
        <w:tc>
          <w:tcPr>
            <w:tcW w:w="1129" w:type="dxa"/>
            <w:noWrap/>
            <w:hideMark/>
          </w:tcPr>
          <w:p w14:paraId="1B06256C" w14:textId="77777777" w:rsidR="002B55E8" w:rsidRPr="00203170" w:rsidRDefault="002B55E8" w:rsidP="00AE71A0">
            <w:pPr>
              <w:rPr>
                <w:szCs w:val="24"/>
              </w:rPr>
            </w:pPr>
            <w:r w:rsidRPr="00203170">
              <w:rPr>
                <w:szCs w:val="24"/>
              </w:rPr>
              <w:t>2A</w:t>
            </w:r>
          </w:p>
        </w:tc>
        <w:tc>
          <w:tcPr>
            <w:tcW w:w="4820" w:type="dxa"/>
            <w:hideMark/>
          </w:tcPr>
          <w:p w14:paraId="55D6623F" w14:textId="77777777" w:rsidR="002B55E8" w:rsidRPr="00203170" w:rsidRDefault="002B55E8" w:rsidP="00AE71A0">
            <w:pPr>
              <w:rPr>
                <w:szCs w:val="24"/>
              </w:rPr>
            </w:pPr>
            <w:r w:rsidRPr="00203170">
              <w:rPr>
                <w:szCs w:val="24"/>
              </w:rPr>
              <w:t>Demolition of steel buildings &amp; structures</w:t>
            </w:r>
          </w:p>
        </w:tc>
        <w:tc>
          <w:tcPr>
            <w:tcW w:w="3118" w:type="dxa"/>
            <w:tcBorders>
              <w:top w:val="single" w:sz="4" w:space="0" w:color="auto"/>
            </w:tcBorders>
            <w:noWrap/>
          </w:tcPr>
          <w:p w14:paraId="0B0FE391" w14:textId="20B0F450" w:rsidR="002B55E8" w:rsidRPr="00203170" w:rsidRDefault="002B55E8" w:rsidP="00AE71A0">
            <w:pPr>
              <w:rPr>
                <w:szCs w:val="24"/>
              </w:rPr>
            </w:pPr>
            <w:r w:rsidRPr="00203170">
              <w:rPr>
                <w:szCs w:val="24"/>
              </w:rPr>
              <w:t>No</w:t>
            </w:r>
          </w:p>
        </w:tc>
      </w:tr>
      <w:tr w:rsidR="002B55E8" w:rsidRPr="00203170" w14:paraId="3CA78279" w14:textId="77777777" w:rsidTr="009734C5">
        <w:trPr>
          <w:trHeight w:val="161"/>
        </w:trPr>
        <w:tc>
          <w:tcPr>
            <w:tcW w:w="1129" w:type="dxa"/>
            <w:noWrap/>
            <w:hideMark/>
          </w:tcPr>
          <w:p w14:paraId="3373D06C" w14:textId="77777777" w:rsidR="002B55E8" w:rsidRPr="00203170" w:rsidRDefault="002B55E8" w:rsidP="00AE71A0">
            <w:pPr>
              <w:rPr>
                <w:b/>
                <w:szCs w:val="24"/>
              </w:rPr>
            </w:pPr>
            <w:r w:rsidRPr="00203170">
              <w:rPr>
                <w:b/>
                <w:szCs w:val="24"/>
              </w:rPr>
              <w:t>2B</w:t>
            </w:r>
          </w:p>
        </w:tc>
        <w:tc>
          <w:tcPr>
            <w:tcW w:w="4820" w:type="dxa"/>
            <w:hideMark/>
          </w:tcPr>
          <w:p w14:paraId="7D0F92DA" w14:textId="77777777" w:rsidR="002B55E8" w:rsidRPr="00203170" w:rsidRDefault="002B55E8" w:rsidP="00AE71A0">
            <w:pPr>
              <w:rPr>
                <w:b/>
                <w:szCs w:val="24"/>
              </w:rPr>
            </w:pPr>
            <w:r w:rsidRPr="00203170">
              <w:rPr>
                <w:b/>
                <w:szCs w:val="24"/>
              </w:rPr>
              <w:t>Demolition of reinforced concrete structures</w:t>
            </w:r>
          </w:p>
        </w:tc>
        <w:tc>
          <w:tcPr>
            <w:tcW w:w="3118" w:type="dxa"/>
            <w:tcBorders>
              <w:top w:val="single" w:sz="4" w:space="0" w:color="auto"/>
            </w:tcBorders>
            <w:noWrap/>
          </w:tcPr>
          <w:p w14:paraId="5E6F6EF1" w14:textId="77390BA1" w:rsidR="002B55E8" w:rsidRPr="00203170" w:rsidRDefault="00FB195E" w:rsidP="00AE71A0">
            <w:pPr>
              <w:rPr>
                <w:b/>
                <w:szCs w:val="24"/>
              </w:rPr>
            </w:pPr>
            <w:r w:rsidRPr="00203170">
              <w:rPr>
                <w:b/>
                <w:szCs w:val="24"/>
              </w:rPr>
              <w:t>Very r</w:t>
            </w:r>
            <w:r w:rsidR="00E821B4" w:rsidRPr="00203170">
              <w:rPr>
                <w:b/>
                <w:szCs w:val="24"/>
              </w:rPr>
              <w:t>arely</w:t>
            </w:r>
          </w:p>
        </w:tc>
      </w:tr>
      <w:tr w:rsidR="002B55E8" w:rsidRPr="00203170" w14:paraId="01D0B319" w14:textId="77777777" w:rsidTr="009734C5">
        <w:trPr>
          <w:trHeight w:val="207"/>
        </w:trPr>
        <w:tc>
          <w:tcPr>
            <w:tcW w:w="1129" w:type="dxa"/>
            <w:noWrap/>
            <w:hideMark/>
          </w:tcPr>
          <w:p w14:paraId="01453EA4" w14:textId="77777777" w:rsidR="002B55E8" w:rsidRPr="00203170" w:rsidRDefault="002B55E8" w:rsidP="00AE71A0">
            <w:pPr>
              <w:rPr>
                <w:b/>
                <w:szCs w:val="24"/>
              </w:rPr>
            </w:pPr>
            <w:r w:rsidRPr="00203170">
              <w:rPr>
                <w:b/>
                <w:szCs w:val="24"/>
              </w:rPr>
              <w:t>3</w:t>
            </w:r>
          </w:p>
        </w:tc>
        <w:tc>
          <w:tcPr>
            <w:tcW w:w="4820" w:type="dxa"/>
            <w:hideMark/>
          </w:tcPr>
          <w:p w14:paraId="5880D585" w14:textId="77777777" w:rsidR="002B55E8" w:rsidRPr="00203170" w:rsidRDefault="002B55E8" w:rsidP="00AE71A0">
            <w:pPr>
              <w:rPr>
                <w:b/>
                <w:szCs w:val="24"/>
              </w:rPr>
            </w:pPr>
            <w:r w:rsidRPr="00203170">
              <w:rPr>
                <w:b/>
                <w:szCs w:val="24"/>
              </w:rPr>
              <w:t>Rehabilitation of access roads</w:t>
            </w:r>
          </w:p>
        </w:tc>
        <w:tc>
          <w:tcPr>
            <w:tcW w:w="3118" w:type="dxa"/>
            <w:tcBorders>
              <w:top w:val="single" w:sz="4" w:space="0" w:color="auto"/>
            </w:tcBorders>
            <w:noWrap/>
          </w:tcPr>
          <w:p w14:paraId="5ADFABF9" w14:textId="1C6CE0A4" w:rsidR="002B55E8" w:rsidRPr="00203170" w:rsidRDefault="002B55E8" w:rsidP="00AE71A0">
            <w:pPr>
              <w:rPr>
                <w:b/>
                <w:szCs w:val="24"/>
              </w:rPr>
            </w:pPr>
            <w:r w:rsidRPr="00203170">
              <w:rPr>
                <w:b/>
                <w:szCs w:val="24"/>
              </w:rPr>
              <w:t>Yes</w:t>
            </w:r>
          </w:p>
        </w:tc>
      </w:tr>
      <w:tr w:rsidR="002B55E8" w:rsidRPr="00203170" w14:paraId="6E65E87A" w14:textId="77777777" w:rsidTr="009734C5">
        <w:trPr>
          <w:trHeight w:val="267"/>
        </w:trPr>
        <w:tc>
          <w:tcPr>
            <w:tcW w:w="1129" w:type="dxa"/>
            <w:noWrap/>
            <w:hideMark/>
          </w:tcPr>
          <w:p w14:paraId="3E738A6B" w14:textId="77777777" w:rsidR="002B55E8" w:rsidRPr="00203170" w:rsidRDefault="002B55E8" w:rsidP="00AE71A0">
            <w:pPr>
              <w:rPr>
                <w:szCs w:val="24"/>
              </w:rPr>
            </w:pPr>
            <w:r w:rsidRPr="00203170">
              <w:rPr>
                <w:szCs w:val="24"/>
              </w:rPr>
              <w:t>4A</w:t>
            </w:r>
          </w:p>
        </w:tc>
        <w:tc>
          <w:tcPr>
            <w:tcW w:w="4820" w:type="dxa"/>
            <w:hideMark/>
          </w:tcPr>
          <w:p w14:paraId="7191F786" w14:textId="77777777" w:rsidR="002B55E8" w:rsidRPr="00203170" w:rsidRDefault="002B55E8" w:rsidP="00AE71A0">
            <w:pPr>
              <w:rPr>
                <w:szCs w:val="24"/>
              </w:rPr>
            </w:pPr>
            <w:r w:rsidRPr="00203170">
              <w:rPr>
                <w:szCs w:val="24"/>
              </w:rPr>
              <w:t>Demolition and rehabilitation of electrified railway lines</w:t>
            </w:r>
          </w:p>
        </w:tc>
        <w:tc>
          <w:tcPr>
            <w:tcW w:w="3118" w:type="dxa"/>
            <w:tcBorders>
              <w:top w:val="single" w:sz="4" w:space="0" w:color="auto"/>
            </w:tcBorders>
            <w:noWrap/>
          </w:tcPr>
          <w:p w14:paraId="13C84964" w14:textId="59CE93EB" w:rsidR="002B55E8" w:rsidRPr="00203170" w:rsidRDefault="002B55E8" w:rsidP="00AE71A0">
            <w:pPr>
              <w:rPr>
                <w:szCs w:val="24"/>
              </w:rPr>
            </w:pPr>
            <w:r w:rsidRPr="00203170">
              <w:rPr>
                <w:szCs w:val="24"/>
              </w:rPr>
              <w:t>No</w:t>
            </w:r>
          </w:p>
        </w:tc>
      </w:tr>
      <w:tr w:rsidR="002B55E8" w:rsidRPr="00203170" w14:paraId="24F7ABE5" w14:textId="77777777" w:rsidTr="009734C5">
        <w:trPr>
          <w:trHeight w:val="413"/>
        </w:trPr>
        <w:tc>
          <w:tcPr>
            <w:tcW w:w="1129" w:type="dxa"/>
            <w:noWrap/>
            <w:hideMark/>
          </w:tcPr>
          <w:p w14:paraId="56949072" w14:textId="77777777" w:rsidR="002B55E8" w:rsidRPr="00203170" w:rsidRDefault="002B55E8" w:rsidP="00AE71A0">
            <w:pPr>
              <w:rPr>
                <w:szCs w:val="24"/>
              </w:rPr>
            </w:pPr>
            <w:r w:rsidRPr="00203170">
              <w:rPr>
                <w:szCs w:val="24"/>
              </w:rPr>
              <w:t>4B</w:t>
            </w:r>
          </w:p>
        </w:tc>
        <w:tc>
          <w:tcPr>
            <w:tcW w:w="4820" w:type="dxa"/>
            <w:hideMark/>
          </w:tcPr>
          <w:p w14:paraId="1C7656A2" w14:textId="77777777" w:rsidR="002B55E8" w:rsidRPr="00203170" w:rsidRDefault="002B55E8" w:rsidP="00AE71A0">
            <w:pPr>
              <w:rPr>
                <w:szCs w:val="24"/>
              </w:rPr>
            </w:pPr>
            <w:r w:rsidRPr="00203170">
              <w:rPr>
                <w:szCs w:val="24"/>
              </w:rPr>
              <w:t>Demolition and rehabilitation of non-electrified railway lines</w:t>
            </w:r>
          </w:p>
        </w:tc>
        <w:tc>
          <w:tcPr>
            <w:tcW w:w="3118" w:type="dxa"/>
            <w:tcBorders>
              <w:top w:val="single" w:sz="4" w:space="0" w:color="auto"/>
            </w:tcBorders>
            <w:noWrap/>
          </w:tcPr>
          <w:p w14:paraId="57AF41CB" w14:textId="0D14D9D8" w:rsidR="002B55E8" w:rsidRPr="00203170" w:rsidRDefault="002B55E8" w:rsidP="00AE71A0">
            <w:pPr>
              <w:rPr>
                <w:szCs w:val="24"/>
              </w:rPr>
            </w:pPr>
            <w:r w:rsidRPr="00203170">
              <w:rPr>
                <w:szCs w:val="24"/>
              </w:rPr>
              <w:t>No</w:t>
            </w:r>
          </w:p>
        </w:tc>
      </w:tr>
      <w:tr w:rsidR="002B55E8" w:rsidRPr="00203170" w14:paraId="2C4FDF8A" w14:textId="77777777" w:rsidTr="009734C5">
        <w:trPr>
          <w:trHeight w:val="249"/>
        </w:trPr>
        <w:tc>
          <w:tcPr>
            <w:tcW w:w="1129" w:type="dxa"/>
            <w:noWrap/>
            <w:hideMark/>
          </w:tcPr>
          <w:p w14:paraId="4C8A4370" w14:textId="77777777" w:rsidR="002B55E8" w:rsidRPr="00203170" w:rsidRDefault="002B55E8" w:rsidP="00AE71A0">
            <w:pPr>
              <w:rPr>
                <w:szCs w:val="24"/>
              </w:rPr>
            </w:pPr>
            <w:r w:rsidRPr="00203170">
              <w:rPr>
                <w:szCs w:val="24"/>
              </w:rPr>
              <w:t>5</w:t>
            </w:r>
          </w:p>
        </w:tc>
        <w:tc>
          <w:tcPr>
            <w:tcW w:w="4820" w:type="dxa"/>
            <w:hideMark/>
          </w:tcPr>
          <w:p w14:paraId="6F49F1F5" w14:textId="77777777" w:rsidR="002B55E8" w:rsidRPr="00203170" w:rsidRDefault="002B55E8" w:rsidP="00AE71A0">
            <w:pPr>
              <w:rPr>
                <w:szCs w:val="24"/>
              </w:rPr>
            </w:pPr>
            <w:r w:rsidRPr="00203170">
              <w:rPr>
                <w:szCs w:val="24"/>
              </w:rPr>
              <w:t>Demolition of housing and facilities</w:t>
            </w:r>
          </w:p>
        </w:tc>
        <w:tc>
          <w:tcPr>
            <w:tcW w:w="3118" w:type="dxa"/>
            <w:tcBorders>
              <w:top w:val="single" w:sz="4" w:space="0" w:color="auto"/>
            </w:tcBorders>
            <w:noWrap/>
          </w:tcPr>
          <w:p w14:paraId="21135BFD" w14:textId="232425CF" w:rsidR="002B55E8" w:rsidRPr="00203170" w:rsidRDefault="00305DC8" w:rsidP="00AE71A0">
            <w:pPr>
              <w:rPr>
                <w:szCs w:val="24"/>
              </w:rPr>
            </w:pPr>
            <w:r w:rsidRPr="00203170">
              <w:rPr>
                <w:szCs w:val="24"/>
              </w:rPr>
              <w:t>Very rarely</w:t>
            </w:r>
          </w:p>
        </w:tc>
      </w:tr>
      <w:tr w:rsidR="002B55E8" w:rsidRPr="00203170" w14:paraId="2EC7859E" w14:textId="77777777" w:rsidTr="009734C5">
        <w:trPr>
          <w:trHeight w:val="267"/>
        </w:trPr>
        <w:tc>
          <w:tcPr>
            <w:tcW w:w="1129" w:type="dxa"/>
            <w:noWrap/>
            <w:hideMark/>
          </w:tcPr>
          <w:p w14:paraId="0F3F7E16" w14:textId="77777777" w:rsidR="002B55E8" w:rsidRPr="00203170" w:rsidRDefault="002B55E8" w:rsidP="00AE71A0">
            <w:pPr>
              <w:rPr>
                <w:szCs w:val="24"/>
              </w:rPr>
            </w:pPr>
            <w:r w:rsidRPr="00203170">
              <w:rPr>
                <w:szCs w:val="24"/>
              </w:rPr>
              <w:t>6</w:t>
            </w:r>
          </w:p>
        </w:tc>
        <w:tc>
          <w:tcPr>
            <w:tcW w:w="4820" w:type="dxa"/>
            <w:hideMark/>
          </w:tcPr>
          <w:p w14:paraId="11D4DA60" w14:textId="77777777" w:rsidR="002B55E8" w:rsidRPr="00203170" w:rsidRDefault="002B55E8" w:rsidP="00AE71A0">
            <w:pPr>
              <w:rPr>
                <w:szCs w:val="24"/>
              </w:rPr>
            </w:pPr>
            <w:r w:rsidRPr="00203170">
              <w:rPr>
                <w:szCs w:val="24"/>
              </w:rPr>
              <w:t>Opencast rehabilitation including final voids and ramps</w:t>
            </w:r>
          </w:p>
        </w:tc>
        <w:tc>
          <w:tcPr>
            <w:tcW w:w="3118" w:type="dxa"/>
            <w:tcBorders>
              <w:top w:val="single" w:sz="4" w:space="0" w:color="auto"/>
            </w:tcBorders>
            <w:noWrap/>
          </w:tcPr>
          <w:p w14:paraId="46F29796" w14:textId="33BBC795" w:rsidR="002B55E8" w:rsidRPr="00203170" w:rsidRDefault="002B55E8" w:rsidP="00AE71A0">
            <w:pPr>
              <w:rPr>
                <w:szCs w:val="24"/>
              </w:rPr>
            </w:pPr>
            <w:r w:rsidRPr="00203170">
              <w:rPr>
                <w:szCs w:val="24"/>
              </w:rPr>
              <w:t>No</w:t>
            </w:r>
          </w:p>
        </w:tc>
      </w:tr>
      <w:tr w:rsidR="002B55E8" w:rsidRPr="00203170" w14:paraId="648F31C4" w14:textId="77777777" w:rsidTr="009734C5">
        <w:trPr>
          <w:trHeight w:val="129"/>
        </w:trPr>
        <w:tc>
          <w:tcPr>
            <w:tcW w:w="1129" w:type="dxa"/>
            <w:noWrap/>
            <w:hideMark/>
          </w:tcPr>
          <w:p w14:paraId="375DCFFF" w14:textId="77777777" w:rsidR="002B55E8" w:rsidRPr="00203170" w:rsidRDefault="002B55E8" w:rsidP="00AE71A0">
            <w:pPr>
              <w:rPr>
                <w:b/>
                <w:szCs w:val="24"/>
              </w:rPr>
            </w:pPr>
            <w:r w:rsidRPr="00203170">
              <w:rPr>
                <w:b/>
                <w:szCs w:val="24"/>
              </w:rPr>
              <w:t>7</w:t>
            </w:r>
          </w:p>
        </w:tc>
        <w:tc>
          <w:tcPr>
            <w:tcW w:w="4820" w:type="dxa"/>
            <w:hideMark/>
          </w:tcPr>
          <w:p w14:paraId="25013C0F" w14:textId="77777777" w:rsidR="002B55E8" w:rsidRPr="00203170" w:rsidRDefault="002B55E8" w:rsidP="00AE71A0">
            <w:pPr>
              <w:rPr>
                <w:b/>
                <w:szCs w:val="24"/>
              </w:rPr>
            </w:pPr>
            <w:r w:rsidRPr="00203170">
              <w:rPr>
                <w:b/>
                <w:szCs w:val="24"/>
              </w:rPr>
              <w:t>Sealing of shafts, adits and inclines</w:t>
            </w:r>
          </w:p>
        </w:tc>
        <w:tc>
          <w:tcPr>
            <w:tcW w:w="3118" w:type="dxa"/>
            <w:tcBorders>
              <w:top w:val="single" w:sz="4" w:space="0" w:color="auto"/>
            </w:tcBorders>
            <w:noWrap/>
          </w:tcPr>
          <w:p w14:paraId="676EA67C" w14:textId="16B4715A" w:rsidR="002B55E8" w:rsidRPr="00203170" w:rsidRDefault="00EF2F90" w:rsidP="00AE71A0">
            <w:pPr>
              <w:rPr>
                <w:b/>
                <w:szCs w:val="24"/>
              </w:rPr>
            </w:pPr>
            <w:r w:rsidRPr="00203170">
              <w:rPr>
                <w:b/>
                <w:szCs w:val="24"/>
              </w:rPr>
              <w:t>Yes</w:t>
            </w:r>
          </w:p>
        </w:tc>
      </w:tr>
      <w:tr w:rsidR="002B55E8" w:rsidRPr="00203170" w14:paraId="490FC428" w14:textId="77777777" w:rsidTr="009734C5">
        <w:trPr>
          <w:trHeight w:val="189"/>
        </w:trPr>
        <w:tc>
          <w:tcPr>
            <w:tcW w:w="1129" w:type="dxa"/>
            <w:noWrap/>
            <w:hideMark/>
          </w:tcPr>
          <w:p w14:paraId="64752536" w14:textId="77777777" w:rsidR="002B55E8" w:rsidRPr="00203170" w:rsidRDefault="002B55E8" w:rsidP="00AE71A0">
            <w:pPr>
              <w:rPr>
                <w:szCs w:val="24"/>
              </w:rPr>
            </w:pPr>
            <w:r w:rsidRPr="00203170">
              <w:rPr>
                <w:szCs w:val="24"/>
              </w:rPr>
              <w:t>8A</w:t>
            </w:r>
          </w:p>
        </w:tc>
        <w:tc>
          <w:tcPr>
            <w:tcW w:w="4820" w:type="dxa"/>
            <w:hideMark/>
          </w:tcPr>
          <w:p w14:paraId="7D216FDD" w14:textId="77777777" w:rsidR="002B55E8" w:rsidRPr="00203170" w:rsidRDefault="002B55E8" w:rsidP="00AE71A0">
            <w:pPr>
              <w:rPr>
                <w:szCs w:val="24"/>
              </w:rPr>
            </w:pPr>
            <w:r w:rsidRPr="00203170">
              <w:rPr>
                <w:szCs w:val="24"/>
              </w:rPr>
              <w:t>Rehabilitation of overburden and spoils</w:t>
            </w:r>
          </w:p>
        </w:tc>
        <w:tc>
          <w:tcPr>
            <w:tcW w:w="3118" w:type="dxa"/>
            <w:tcBorders>
              <w:top w:val="single" w:sz="4" w:space="0" w:color="auto"/>
            </w:tcBorders>
            <w:noWrap/>
          </w:tcPr>
          <w:p w14:paraId="1442463E" w14:textId="1A058B44" w:rsidR="002B55E8" w:rsidRPr="00203170" w:rsidRDefault="00F87514" w:rsidP="00AE71A0">
            <w:pPr>
              <w:rPr>
                <w:i/>
                <w:szCs w:val="24"/>
              </w:rPr>
            </w:pPr>
            <w:r w:rsidRPr="00203170">
              <w:rPr>
                <w:i/>
                <w:szCs w:val="24"/>
              </w:rPr>
              <w:t>No – asbestos under 8C</w:t>
            </w:r>
          </w:p>
        </w:tc>
      </w:tr>
      <w:tr w:rsidR="002B55E8" w:rsidRPr="00203170" w14:paraId="6B1897D0" w14:textId="77777777" w:rsidTr="009734C5">
        <w:trPr>
          <w:trHeight w:val="236"/>
        </w:trPr>
        <w:tc>
          <w:tcPr>
            <w:tcW w:w="1129" w:type="dxa"/>
            <w:noWrap/>
            <w:hideMark/>
          </w:tcPr>
          <w:p w14:paraId="7CE51FC6" w14:textId="77777777" w:rsidR="002B55E8" w:rsidRPr="00203170" w:rsidRDefault="002B55E8" w:rsidP="00AE71A0">
            <w:pPr>
              <w:rPr>
                <w:szCs w:val="24"/>
              </w:rPr>
            </w:pPr>
            <w:r w:rsidRPr="00203170">
              <w:rPr>
                <w:szCs w:val="24"/>
              </w:rPr>
              <w:lastRenderedPageBreak/>
              <w:t>8B</w:t>
            </w:r>
          </w:p>
        </w:tc>
        <w:tc>
          <w:tcPr>
            <w:tcW w:w="4820" w:type="dxa"/>
            <w:hideMark/>
          </w:tcPr>
          <w:p w14:paraId="7D00E8AF" w14:textId="77777777" w:rsidR="002B55E8" w:rsidRPr="00203170" w:rsidRDefault="002B55E8" w:rsidP="00AE71A0">
            <w:pPr>
              <w:rPr>
                <w:szCs w:val="24"/>
              </w:rPr>
            </w:pPr>
            <w:r w:rsidRPr="00203170">
              <w:rPr>
                <w:szCs w:val="24"/>
              </w:rPr>
              <w:t>Processing waste deposits and evaporation ponds (salt)</w:t>
            </w:r>
          </w:p>
        </w:tc>
        <w:tc>
          <w:tcPr>
            <w:tcW w:w="3118" w:type="dxa"/>
            <w:tcBorders>
              <w:top w:val="single" w:sz="4" w:space="0" w:color="auto"/>
            </w:tcBorders>
            <w:noWrap/>
          </w:tcPr>
          <w:p w14:paraId="34D5B5EB" w14:textId="127D0A08" w:rsidR="002B55E8" w:rsidRPr="00203170" w:rsidRDefault="00F87514" w:rsidP="00AE71A0">
            <w:pPr>
              <w:rPr>
                <w:i/>
                <w:szCs w:val="24"/>
              </w:rPr>
            </w:pPr>
            <w:r w:rsidRPr="00203170">
              <w:rPr>
                <w:i/>
                <w:szCs w:val="24"/>
              </w:rPr>
              <w:t>No – asbestos under 8C</w:t>
            </w:r>
          </w:p>
        </w:tc>
      </w:tr>
      <w:tr w:rsidR="002B55E8" w:rsidRPr="00203170" w14:paraId="49FCD3EB" w14:textId="77777777" w:rsidTr="009734C5">
        <w:trPr>
          <w:trHeight w:val="423"/>
        </w:trPr>
        <w:tc>
          <w:tcPr>
            <w:tcW w:w="1129" w:type="dxa"/>
            <w:noWrap/>
            <w:hideMark/>
          </w:tcPr>
          <w:p w14:paraId="2984FD1A" w14:textId="77777777" w:rsidR="002B55E8" w:rsidRPr="00203170" w:rsidRDefault="002B55E8" w:rsidP="00AE71A0">
            <w:pPr>
              <w:rPr>
                <w:b/>
                <w:szCs w:val="24"/>
              </w:rPr>
            </w:pPr>
            <w:r w:rsidRPr="00203170">
              <w:rPr>
                <w:b/>
                <w:szCs w:val="24"/>
              </w:rPr>
              <w:t>8C</w:t>
            </w:r>
          </w:p>
        </w:tc>
        <w:tc>
          <w:tcPr>
            <w:tcW w:w="4820" w:type="dxa"/>
            <w:hideMark/>
          </w:tcPr>
          <w:p w14:paraId="6DEE8FB5" w14:textId="77777777" w:rsidR="002B55E8" w:rsidRPr="00203170" w:rsidRDefault="002B55E8" w:rsidP="00AE71A0">
            <w:pPr>
              <w:rPr>
                <w:b/>
                <w:szCs w:val="24"/>
              </w:rPr>
            </w:pPr>
            <w:r w:rsidRPr="00203170">
              <w:rPr>
                <w:b/>
                <w:szCs w:val="24"/>
              </w:rPr>
              <w:t>Processing waste deposits and evaporation ponds (acid, metal)</w:t>
            </w:r>
          </w:p>
        </w:tc>
        <w:tc>
          <w:tcPr>
            <w:tcW w:w="3118" w:type="dxa"/>
            <w:tcBorders>
              <w:top w:val="single" w:sz="4" w:space="0" w:color="auto"/>
            </w:tcBorders>
            <w:noWrap/>
          </w:tcPr>
          <w:p w14:paraId="09B3E735" w14:textId="182996FA" w:rsidR="002B55E8" w:rsidRPr="00203170" w:rsidRDefault="00F87514" w:rsidP="00AE71A0">
            <w:pPr>
              <w:rPr>
                <w:b/>
                <w:szCs w:val="24"/>
              </w:rPr>
            </w:pPr>
            <w:r w:rsidRPr="00203170">
              <w:rPr>
                <w:b/>
                <w:szCs w:val="24"/>
              </w:rPr>
              <w:t>Yes</w:t>
            </w:r>
          </w:p>
        </w:tc>
      </w:tr>
      <w:tr w:rsidR="002B55E8" w:rsidRPr="00203170" w14:paraId="599B0A48" w14:textId="77777777" w:rsidTr="009734C5">
        <w:trPr>
          <w:trHeight w:val="259"/>
        </w:trPr>
        <w:tc>
          <w:tcPr>
            <w:tcW w:w="1129" w:type="dxa"/>
            <w:noWrap/>
            <w:hideMark/>
          </w:tcPr>
          <w:p w14:paraId="035AAD93" w14:textId="77777777" w:rsidR="002B55E8" w:rsidRPr="00203170" w:rsidRDefault="002B55E8" w:rsidP="00AE71A0">
            <w:pPr>
              <w:rPr>
                <w:szCs w:val="24"/>
              </w:rPr>
            </w:pPr>
            <w:r w:rsidRPr="00203170">
              <w:rPr>
                <w:szCs w:val="24"/>
              </w:rPr>
              <w:t>9</w:t>
            </w:r>
          </w:p>
        </w:tc>
        <w:tc>
          <w:tcPr>
            <w:tcW w:w="4820" w:type="dxa"/>
            <w:hideMark/>
          </w:tcPr>
          <w:p w14:paraId="48C193A7" w14:textId="77777777" w:rsidR="002B55E8" w:rsidRPr="00203170" w:rsidRDefault="002B55E8" w:rsidP="00AE71A0">
            <w:pPr>
              <w:rPr>
                <w:szCs w:val="24"/>
              </w:rPr>
            </w:pPr>
            <w:r w:rsidRPr="00203170">
              <w:rPr>
                <w:szCs w:val="24"/>
              </w:rPr>
              <w:t>Rehabilitation of subsided areas</w:t>
            </w:r>
          </w:p>
        </w:tc>
        <w:tc>
          <w:tcPr>
            <w:tcW w:w="3118" w:type="dxa"/>
            <w:tcBorders>
              <w:top w:val="single" w:sz="4" w:space="0" w:color="auto"/>
            </w:tcBorders>
            <w:noWrap/>
          </w:tcPr>
          <w:p w14:paraId="4F0A87DD" w14:textId="7F65552F" w:rsidR="002B55E8" w:rsidRPr="00203170" w:rsidRDefault="002B55E8" w:rsidP="00AE71A0">
            <w:pPr>
              <w:rPr>
                <w:szCs w:val="24"/>
              </w:rPr>
            </w:pPr>
            <w:r w:rsidRPr="00203170">
              <w:rPr>
                <w:szCs w:val="24"/>
              </w:rPr>
              <w:t>No</w:t>
            </w:r>
          </w:p>
        </w:tc>
      </w:tr>
      <w:tr w:rsidR="002B55E8" w:rsidRPr="00203170" w14:paraId="22657A1B" w14:textId="77777777" w:rsidTr="009734C5">
        <w:trPr>
          <w:trHeight w:val="263"/>
        </w:trPr>
        <w:tc>
          <w:tcPr>
            <w:tcW w:w="1129" w:type="dxa"/>
            <w:noWrap/>
            <w:hideMark/>
          </w:tcPr>
          <w:p w14:paraId="2BE64F96" w14:textId="77777777" w:rsidR="002B55E8" w:rsidRPr="00203170" w:rsidRDefault="002B55E8" w:rsidP="00AE71A0">
            <w:pPr>
              <w:rPr>
                <w:b/>
                <w:szCs w:val="24"/>
              </w:rPr>
            </w:pPr>
            <w:r w:rsidRPr="00203170">
              <w:rPr>
                <w:b/>
                <w:szCs w:val="24"/>
              </w:rPr>
              <w:t>10</w:t>
            </w:r>
          </w:p>
        </w:tc>
        <w:tc>
          <w:tcPr>
            <w:tcW w:w="4820" w:type="dxa"/>
            <w:hideMark/>
          </w:tcPr>
          <w:p w14:paraId="3D8808C1" w14:textId="77777777" w:rsidR="002B55E8" w:rsidRPr="00203170" w:rsidRDefault="002B55E8" w:rsidP="00AE71A0">
            <w:pPr>
              <w:rPr>
                <w:b/>
                <w:szCs w:val="24"/>
              </w:rPr>
            </w:pPr>
            <w:r w:rsidRPr="00203170">
              <w:rPr>
                <w:b/>
                <w:szCs w:val="24"/>
              </w:rPr>
              <w:t>General surface rehab and grassing</w:t>
            </w:r>
          </w:p>
        </w:tc>
        <w:tc>
          <w:tcPr>
            <w:tcW w:w="3118" w:type="dxa"/>
            <w:tcBorders>
              <w:top w:val="single" w:sz="4" w:space="0" w:color="auto"/>
            </w:tcBorders>
            <w:noWrap/>
          </w:tcPr>
          <w:p w14:paraId="63B0EB88" w14:textId="403E76AE" w:rsidR="002B55E8" w:rsidRPr="00203170" w:rsidRDefault="002B55E8" w:rsidP="00AE71A0">
            <w:pPr>
              <w:rPr>
                <w:b/>
                <w:szCs w:val="24"/>
              </w:rPr>
            </w:pPr>
            <w:r w:rsidRPr="00203170">
              <w:rPr>
                <w:b/>
                <w:szCs w:val="24"/>
              </w:rPr>
              <w:t>Yes</w:t>
            </w:r>
          </w:p>
        </w:tc>
      </w:tr>
      <w:tr w:rsidR="002B55E8" w:rsidRPr="00203170" w14:paraId="3EAB96D1" w14:textId="77777777" w:rsidTr="009734C5">
        <w:trPr>
          <w:trHeight w:val="300"/>
        </w:trPr>
        <w:tc>
          <w:tcPr>
            <w:tcW w:w="1129" w:type="dxa"/>
            <w:noWrap/>
            <w:hideMark/>
          </w:tcPr>
          <w:p w14:paraId="2A0A21EC" w14:textId="77777777" w:rsidR="002B55E8" w:rsidRPr="00203170" w:rsidRDefault="002B55E8" w:rsidP="00AE71A0">
            <w:pPr>
              <w:rPr>
                <w:szCs w:val="24"/>
              </w:rPr>
            </w:pPr>
            <w:r w:rsidRPr="00203170">
              <w:rPr>
                <w:szCs w:val="24"/>
              </w:rPr>
              <w:t>11</w:t>
            </w:r>
          </w:p>
        </w:tc>
        <w:tc>
          <w:tcPr>
            <w:tcW w:w="4820" w:type="dxa"/>
            <w:hideMark/>
          </w:tcPr>
          <w:p w14:paraId="61C4127B" w14:textId="77777777" w:rsidR="002B55E8" w:rsidRPr="00203170" w:rsidRDefault="002B55E8" w:rsidP="00AE71A0">
            <w:pPr>
              <w:rPr>
                <w:szCs w:val="24"/>
              </w:rPr>
            </w:pPr>
            <w:r w:rsidRPr="00203170">
              <w:rPr>
                <w:szCs w:val="24"/>
              </w:rPr>
              <w:t>River diversions</w:t>
            </w:r>
          </w:p>
        </w:tc>
        <w:tc>
          <w:tcPr>
            <w:tcW w:w="3118" w:type="dxa"/>
            <w:tcBorders>
              <w:top w:val="single" w:sz="4" w:space="0" w:color="auto"/>
            </w:tcBorders>
            <w:noWrap/>
          </w:tcPr>
          <w:p w14:paraId="0D39270B" w14:textId="0007A609" w:rsidR="002B55E8" w:rsidRPr="00203170" w:rsidRDefault="002B55E8" w:rsidP="00AE71A0">
            <w:pPr>
              <w:rPr>
                <w:szCs w:val="24"/>
              </w:rPr>
            </w:pPr>
            <w:r w:rsidRPr="00203170">
              <w:rPr>
                <w:szCs w:val="24"/>
              </w:rPr>
              <w:t>No</w:t>
            </w:r>
          </w:p>
        </w:tc>
      </w:tr>
      <w:tr w:rsidR="002B55E8" w:rsidRPr="00203170" w14:paraId="54093256" w14:textId="77777777" w:rsidTr="009734C5">
        <w:trPr>
          <w:trHeight w:val="132"/>
        </w:trPr>
        <w:tc>
          <w:tcPr>
            <w:tcW w:w="1129" w:type="dxa"/>
            <w:noWrap/>
            <w:hideMark/>
          </w:tcPr>
          <w:p w14:paraId="57C5AAAA" w14:textId="77777777" w:rsidR="002B55E8" w:rsidRPr="00203170" w:rsidRDefault="002B55E8" w:rsidP="00AE71A0">
            <w:pPr>
              <w:rPr>
                <w:b/>
                <w:szCs w:val="24"/>
              </w:rPr>
            </w:pPr>
            <w:r w:rsidRPr="00203170">
              <w:rPr>
                <w:b/>
                <w:szCs w:val="24"/>
              </w:rPr>
              <w:t>12</w:t>
            </w:r>
          </w:p>
        </w:tc>
        <w:tc>
          <w:tcPr>
            <w:tcW w:w="4820" w:type="dxa"/>
            <w:hideMark/>
          </w:tcPr>
          <w:p w14:paraId="55311452" w14:textId="77777777" w:rsidR="002B55E8" w:rsidRPr="00203170" w:rsidRDefault="002B55E8" w:rsidP="00AE71A0">
            <w:pPr>
              <w:rPr>
                <w:b/>
                <w:szCs w:val="24"/>
              </w:rPr>
            </w:pPr>
            <w:r w:rsidRPr="00203170">
              <w:rPr>
                <w:b/>
                <w:szCs w:val="24"/>
              </w:rPr>
              <w:t>Fencing</w:t>
            </w:r>
          </w:p>
        </w:tc>
        <w:tc>
          <w:tcPr>
            <w:tcW w:w="3118" w:type="dxa"/>
            <w:tcBorders>
              <w:top w:val="single" w:sz="4" w:space="0" w:color="auto"/>
            </w:tcBorders>
            <w:noWrap/>
          </w:tcPr>
          <w:p w14:paraId="3DCA6EDD" w14:textId="28786224" w:rsidR="002B55E8" w:rsidRPr="00203170" w:rsidRDefault="00FB195E" w:rsidP="00AE71A0">
            <w:pPr>
              <w:rPr>
                <w:b/>
                <w:szCs w:val="24"/>
              </w:rPr>
            </w:pPr>
            <w:r w:rsidRPr="00203170">
              <w:rPr>
                <w:b/>
                <w:szCs w:val="24"/>
              </w:rPr>
              <w:t>Yes</w:t>
            </w:r>
          </w:p>
        </w:tc>
      </w:tr>
      <w:tr w:rsidR="002B55E8" w:rsidRPr="00203170" w14:paraId="7CB4787C" w14:textId="77777777" w:rsidTr="009734C5">
        <w:trPr>
          <w:trHeight w:val="192"/>
        </w:trPr>
        <w:tc>
          <w:tcPr>
            <w:tcW w:w="1129" w:type="dxa"/>
            <w:noWrap/>
            <w:hideMark/>
          </w:tcPr>
          <w:p w14:paraId="7FDCDE3C" w14:textId="77777777" w:rsidR="002B55E8" w:rsidRPr="00203170" w:rsidRDefault="002B55E8" w:rsidP="00AE71A0">
            <w:pPr>
              <w:rPr>
                <w:szCs w:val="24"/>
              </w:rPr>
            </w:pPr>
            <w:r w:rsidRPr="00203170">
              <w:rPr>
                <w:szCs w:val="24"/>
              </w:rPr>
              <w:t>13</w:t>
            </w:r>
          </w:p>
        </w:tc>
        <w:tc>
          <w:tcPr>
            <w:tcW w:w="4820" w:type="dxa"/>
            <w:hideMark/>
          </w:tcPr>
          <w:p w14:paraId="5746B18F" w14:textId="77777777" w:rsidR="002B55E8" w:rsidRPr="00203170" w:rsidRDefault="002B55E8" w:rsidP="00AE71A0">
            <w:pPr>
              <w:rPr>
                <w:szCs w:val="24"/>
              </w:rPr>
            </w:pPr>
            <w:r w:rsidRPr="00203170">
              <w:rPr>
                <w:szCs w:val="24"/>
              </w:rPr>
              <w:t>Water management</w:t>
            </w:r>
          </w:p>
        </w:tc>
        <w:tc>
          <w:tcPr>
            <w:tcW w:w="3118" w:type="dxa"/>
            <w:tcBorders>
              <w:top w:val="single" w:sz="4" w:space="0" w:color="auto"/>
            </w:tcBorders>
            <w:noWrap/>
          </w:tcPr>
          <w:p w14:paraId="57282F15" w14:textId="50C7EAE6" w:rsidR="002B55E8" w:rsidRPr="00203170" w:rsidRDefault="002B55E8" w:rsidP="00AE71A0">
            <w:pPr>
              <w:rPr>
                <w:szCs w:val="24"/>
              </w:rPr>
            </w:pPr>
            <w:r w:rsidRPr="00203170">
              <w:rPr>
                <w:szCs w:val="24"/>
              </w:rPr>
              <w:t>No</w:t>
            </w:r>
          </w:p>
        </w:tc>
      </w:tr>
      <w:tr w:rsidR="002B55E8" w:rsidRPr="00203170" w14:paraId="54375451" w14:textId="77777777" w:rsidTr="009734C5">
        <w:trPr>
          <w:trHeight w:val="96"/>
        </w:trPr>
        <w:tc>
          <w:tcPr>
            <w:tcW w:w="1129" w:type="dxa"/>
            <w:noWrap/>
            <w:hideMark/>
          </w:tcPr>
          <w:p w14:paraId="327F1712" w14:textId="77777777" w:rsidR="002B55E8" w:rsidRPr="00203170" w:rsidRDefault="002B55E8" w:rsidP="00AE71A0">
            <w:pPr>
              <w:rPr>
                <w:szCs w:val="24"/>
              </w:rPr>
            </w:pPr>
            <w:r w:rsidRPr="00203170">
              <w:rPr>
                <w:szCs w:val="24"/>
              </w:rPr>
              <w:t>14</w:t>
            </w:r>
          </w:p>
        </w:tc>
        <w:tc>
          <w:tcPr>
            <w:tcW w:w="4820" w:type="dxa"/>
            <w:hideMark/>
          </w:tcPr>
          <w:p w14:paraId="50A4E847" w14:textId="77777777" w:rsidR="002B55E8" w:rsidRPr="00203170" w:rsidRDefault="002B55E8" w:rsidP="00AE71A0">
            <w:pPr>
              <w:rPr>
                <w:szCs w:val="24"/>
              </w:rPr>
            </w:pPr>
            <w:r w:rsidRPr="00203170">
              <w:rPr>
                <w:szCs w:val="24"/>
              </w:rPr>
              <w:t>2 to 3 years of maintenance and aftercare</w:t>
            </w:r>
          </w:p>
        </w:tc>
        <w:tc>
          <w:tcPr>
            <w:tcW w:w="3118" w:type="dxa"/>
            <w:tcBorders>
              <w:top w:val="single" w:sz="4" w:space="0" w:color="auto"/>
              <w:bottom w:val="single" w:sz="4" w:space="0" w:color="auto"/>
            </w:tcBorders>
            <w:noWrap/>
          </w:tcPr>
          <w:p w14:paraId="17CCCBBA" w14:textId="530A2F12" w:rsidR="002B55E8" w:rsidRPr="00203170" w:rsidRDefault="002B55E8" w:rsidP="00AE71A0">
            <w:pPr>
              <w:rPr>
                <w:szCs w:val="24"/>
              </w:rPr>
            </w:pPr>
            <w:r w:rsidRPr="00203170">
              <w:rPr>
                <w:szCs w:val="24"/>
              </w:rPr>
              <w:t>No</w:t>
            </w:r>
          </w:p>
        </w:tc>
      </w:tr>
    </w:tbl>
    <w:p w14:paraId="46C4FE8C" w14:textId="3F58C7BA" w:rsidR="008A5880" w:rsidRDefault="008A5880" w:rsidP="00AE71A0">
      <w:pPr>
        <w:rPr>
          <w:szCs w:val="24"/>
        </w:rPr>
      </w:pPr>
    </w:p>
    <w:p w14:paraId="4BF30947" w14:textId="7BAC7685" w:rsidR="00740516" w:rsidRDefault="00740516" w:rsidP="00AE71A0">
      <w:pPr>
        <w:rPr>
          <w:szCs w:val="24"/>
        </w:rPr>
      </w:pPr>
      <w:r w:rsidRPr="00740516">
        <w:rPr>
          <w:szCs w:val="24"/>
        </w:rPr>
        <w:t xml:space="preserve">The nature of the typical abandoned asbestos mine, of which several </w:t>
      </w:r>
      <w:r w:rsidR="00290659" w:rsidRPr="00740516">
        <w:rPr>
          <w:szCs w:val="24"/>
        </w:rPr>
        <w:t>remain</w:t>
      </w:r>
      <w:r w:rsidRPr="00740516">
        <w:rPr>
          <w:szCs w:val="24"/>
        </w:rPr>
        <w:t xml:space="preserve"> in the country of varying sizes, is somewhat different from opencast workings for other types of mineral mined in bulk from tabular seams. Asbestos seams were often exploited by tunnelling from surface in small-diameter adits or simply digging trenches from surface to the extent of the economical deposit into the usually narrow seams. There are </w:t>
      </w:r>
      <w:r w:rsidR="00290659" w:rsidRPr="00740516">
        <w:rPr>
          <w:szCs w:val="24"/>
        </w:rPr>
        <w:t>a few</w:t>
      </w:r>
      <w:r w:rsidRPr="00740516">
        <w:rPr>
          <w:szCs w:val="24"/>
        </w:rPr>
        <w:t xml:space="preserve"> exceptions where the ore deposits warranted larger operations to produce on large scale from vertical or incline shafts. </w:t>
      </w:r>
    </w:p>
    <w:p w14:paraId="5BBFE4B9" w14:textId="69BDDA6E" w:rsidR="000F617B" w:rsidRPr="002328EF" w:rsidRDefault="000F617B" w:rsidP="00322083">
      <w:pPr>
        <w:pStyle w:val="Heading2"/>
      </w:pPr>
      <w:bookmarkStart w:id="142" w:name="_Toc519445723"/>
      <w:r w:rsidRPr="002328EF">
        <w:t>Comparison of the DME guideline master rates and analysis of the results</w:t>
      </w:r>
      <w:bookmarkEnd w:id="142"/>
    </w:p>
    <w:p w14:paraId="7814B1DC" w14:textId="0EDBD1D3" w:rsidR="00B03119" w:rsidRDefault="003A72AE" w:rsidP="00AE71A0">
      <w:pPr>
        <w:rPr>
          <w:szCs w:val="24"/>
        </w:rPr>
      </w:pPr>
      <w:r w:rsidRPr="00203170">
        <w:rPr>
          <w:szCs w:val="24"/>
        </w:rPr>
        <w:t>The DM</w:t>
      </w:r>
      <w:r w:rsidR="007C04B5">
        <w:rPr>
          <w:szCs w:val="24"/>
        </w:rPr>
        <w:t>E</w:t>
      </w:r>
      <w:r w:rsidRPr="00203170">
        <w:rPr>
          <w:szCs w:val="24"/>
        </w:rPr>
        <w:t xml:space="preserve"> guideline document </w:t>
      </w:r>
      <w:r w:rsidR="007B673C" w:rsidRPr="00203170">
        <w:rPr>
          <w:szCs w:val="24"/>
        </w:rPr>
        <w:t xml:space="preserve">also </w:t>
      </w:r>
      <w:r w:rsidRPr="00203170">
        <w:rPr>
          <w:szCs w:val="24"/>
        </w:rPr>
        <w:t xml:space="preserve">provides, in its </w:t>
      </w:r>
      <w:r w:rsidR="00762B19" w:rsidRPr="00203170">
        <w:rPr>
          <w:szCs w:val="24"/>
        </w:rPr>
        <w:t>A</w:t>
      </w:r>
      <w:r w:rsidRPr="00203170">
        <w:rPr>
          <w:szCs w:val="24"/>
        </w:rPr>
        <w:t>ppendix C.3</w:t>
      </w:r>
      <w:r w:rsidR="007B673C" w:rsidRPr="00203170">
        <w:rPr>
          <w:szCs w:val="24"/>
        </w:rPr>
        <w:t>,</w:t>
      </w:r>
      <w:r w:rsidRPr="00203170">
        <w:rPr>
          <w:szCs w:val="24"/>
        </w:rPr>
        <w:t xml:space="preserve"> a set of generally accepted closure methods. These </w:t>
      </w:r>
      <w:r w:rsidR="00290659" w:rsidRPr="00203170">
        <w:rPr>
          <w:szCs w:val="24"/>
        </w:rPr>
        <w:t>explain</w:t>
      </w:r>
      <w:r w:rsidRPr="00203170">
        <w:rPr>
          <w:szCs w:val="24"/>
        </w:rPr>
        <w:t xml:space="preserve"> the underlying assumptions and specific </w:t>
      </w:r>
      <w:r w:rsidR="007B673C" w:rsidRPr="00203170">
        <w:rPr>
          <w:szCs w:val="24"/>
        </w:rPr>
        <w:t xml:space="preserve">rehabilitation protocols and component rates </w:t>
      </w:r>
      <w:r w:rsidRPr="00203170">
        <w:rPr>
          <w:szCs w:val="24"/>
        </w:rPr>
        <w:t xml:space="preserve">on which the master rates were based. </w:t>
      </w:r>
      <w:r w:rsidR="002879D0">
        <w:rPr>
          <w:szCs w:val="24"/>
        </w:rPr>
        <w:t xml:space="preserve">These rehabilitation methods and component rates on which each master rate was based, </w:t>
      </w:r>
      <w:r w:rsidR="005E2860">
        <w:rPr>
          <w:szCs w:val="24"/>
        </w:rPr>
        <w:t>are</w:t>
      </w:r>
      <w:r w:rsidR="002879D0">
        <w:rPr>
          <w:szCs w:val="24"/>
        </w:rPr>
        <w:t xml:space="preserve"> copied verbatim from the original DME guideline for information and appears as </w:t>
      </w:r>
      <w:r w:rsidR="002879D0" w:rsidRPr="00484D70">
        <w:rPr>
          <w:b/>
          <w:szCs w:val="24"/>
        </w:rPr>
        <w:t>ANNEXURE B</w:t>
      </w:r>
      <w:r w:rsidR="002879D0">
        <w:rPr>
          <w:szCs w:val="24"/>
        </w:rPr>
        <w:t xml:space="preserve"> to this research report. </w:t>
      </w:r>
      <w:r w:rsidRPr="00203170">
        <w:rPr>
          <w:szCs w:val="24"/>
        </w:rPr>
        <w:t>The applicable master rates and the specific cost components of a typical asbestos rehabilitation project are:</w:t>
      </w:r>
      <w:r w:rsidR="00FB195E" w:rsidRPr="00203170">
        <w:rPr>
          <w:szCs w:val="24"/>
        </w:rPr>
        <w:t xml:space="preserve"> (3)</w:t>
      </w:r>
      <w:r w:rsidRPr="00203170">
        <w:rPr>
          <w:szCs w:val="24"/>
        </w:rPr>
        <w:t xml:space="preserve"> </w:t>
      </w:r>
      <w:r w:rsidR="00FB195E" w:rsidRPr="00203170">
        <w:rPr>
          <w:szCs w:val="24"/>
        </w:rPr>
        <w:t xml:space="preserve">Rehabilitation of access roads, (7) Sealing of shafts, adits and inclines, (8C) Processing waste deposits and evaporation ponds (acid, metal), (10) General </w:t>
      </w:r>
      <w:r w:rsidR="00FB195E" w:rsidRPr="00203170">
        <w:rPr>
          <w:szCs w:val="24"/>
        </w:rPr>
        <w:lastRenderedPageBreak/>
        <w:t>surface rehab and grassing and (12). Fencing</w:t>
      </w:r>
      <w:r w:rsidR="00B03119" w:rsidRPr="00203170">
        <w:rPr>
          <w:szCs w:val="24"/>
        </w:rPr>
        <w:t xml:space="preserve">. The first master rate that will be reviewed, however, is the </w:t>
      </w:r>
      <w:r w:rsidR="007B673C" w:rsidRPr="00203170">
        <w:rPr>
          <w:szCs w:val="24"/>
        </w:rPr>
        <w:t>D</w:t>
      </w:r>
      <w:r w:rsidR="00B03119" w:rsidRPr="00203170">
        <w:rPr>
          <w:szCs w:val="24"/>
        </w:rPr>
        <w:t xml:space="preserve">emolition of reinforced concrete structures </w:t>
      </w:r>
      <w:r w:rsidR="007B673C" w:rsidRPr="00203170">
        <w:rPr>
          <w:szCs w:val="24"/>
        </w:rPr>
        <w:t>(2)</w:t>
      </w:r>
      <w:r w:rsidR="000A143C">
        <w:rPr>
          <w:szCs w:val="24"/>
        </w:rPr>
        <w:t xml:space="preserve"> This element is not often encountered on asbestos mine sites and therefore has </w:t>
      </w:r>
      <w:r w:rsidR="00336236">
        <w:rPr>
          <w:szCs w:val="24"/>
        </w:rPr>
        <w:t xml:space="preserve">only a </w:t>
      </w:r>
      <w:r w:rsidR="000A143C">
        <w:rPr>
          <w:szCs w:val="24"/>
        </w:rPr>
        <w:t>few data points</w:t>
      </w:r>
      <w:r w:rsidR="00CE5D59">
        <w:rPr>
          <w:szCs w:val="24"/>
        </w:rPr>
        <w:t xml:space="preserve"> from the tenders analysed</w:t>
      </w:r>
      <w:r w:rsidR="000A143C">
        <w:rPr>
          <w:szCs w:val="24"/>
        </w:rPr>
        <w:t xml:space="preserve">. </w:t>
      </w:r>
      <w:r w:rsidR="004A528F">
        <w:rPr>
          <w:szCs w:val="24"/>
        </w:rPr>
        <w:t>Master rates for the closure of shafts and for the rehabilitation of processing waste deposits both contain more than one underlying components, the individual rates of which are compared where appropriate.</w:t>
      </w:r>
    </w:p>
    <w:p w14:paraId="445C6A04" w14:textId="561B1C60" w:rsidR="000A143C" w:rsidRDefault="00CE5D59" w:rsidP="00AE71A0">
      <w:pPr>
        <w:rPr>
          <w:szCs w:val="24"/>
        </w:rPr>
      </w:pPr>
      <w:r>
        <w:rPr>
          <w:szCs w:val="24"/>
        </w:rPr>
        <w:t>T</w:t>
      </w:r>
      <w:r w:rsidR="000A143C">
        <w:rPr>
          <w:szCs w:val="24"/>
        </w:rPr>
        <w:t>he analys</w:t>
      </w:r>
      <w:r>
        <w:rPr>
          <w:szCs w:val="24"/>
        </w:rPr>
        <w:t>i</w:t>
      </w:r>
      <w:r w:rsidR="000A143C">
        <w:rPr>
          <w:szCs w:val="24"/>
        </w:rPr>
        <w:t>s that follow</w:t>
      </w:r>
      <w:r>
        <w:rPr>
          <w:szCs w:val="24"/>
        </w:rPr>
        <w:t>s is</w:t>
      </w:r>
      <w:r w:rsidR="000A143C">
        <w:rPr>
          <w:szCs w:val="24"/>
        </w:rPr>
        <w:t xml:space="preserve"> based on the graphs drawn from tender data and the DME and CIDB guideline rates</w:t>
      </w:r>
      <w:r>
        <w:rPr>
          <w:szCs w:val="24"/>
        </w:rPr>
        <w:t>. A</w:t>
      </w:r>
      <w:r w:rsidR="000A143C">
        <w:rPr>
          <w:szCs w:val="24"/>
        </w:rPr>
        <w:t xml:space="preserve"> format is followed </w:t>
      </w:r>
      <w:r w:rsidR="005E2860">
        <w:rPr>
          <w:szCs w:val="24"/>
        </w:rPr>
        <w:t>w</w:t>
      </w:r>
      <w:r w:rsidR="000A143C">
        <w:rPr>
          <w:szCs w:val="24"/>
        </w:rPr>
        <w:t>here the actual tender data is represented by columns in each year for which there is data. These columns can only cover the years from 2009 to 2</w:t>
      </w:r>
      <w:r w:rsidR="005E2860">
        <w:rPr>
          <w:szCs w:val="24"/>
        </w:rPr>
        <w:t>0</w:t>
      </w:r>
      <w:r w:rsidR="000A143C">
        <w:rPr>
          <w:szCs w:val="24"/>
        </w:rPr>
        <w:t xml:space="preserve">16, as those are the years in which there was tender data available, </w:t>
      </w:r>
      <w:r w:rsidR="00290659">
        <w:rPr>
          <w:szCs w:val="24"/>
        </w:rPr>
        <w:t>except for</w:t>
      </w:r>
      <w:r w:rsidR="000A143C">
        <w:rPr>
          <w:szCs w:val="24"/>
        </w:rPr>
        <w:t xml:space="preserve"> 201</w:t>
      </w:r>
      <w:r>
        <w:rPr>
          <w:szCs w:val="24"/>
        </w:rPr>
        <w:t>3</w:t>
      </w:r>
      <w:r w:rsidR="000A143C">
        <w:rPr>
          <w:szCs w:val="24"/>
        </w:rPr>
        <w:t xml:space="preserve">, in which there were no tenders. The DME guideline rates are represented by a solid line </w:t>
      </w:r>
      <w:r w:rsidR="004A528F">
        <w:rPr>
          <w:szCs w:val="24"/>
        </w:rPr>
        <w:t xml:space="preserve">(brown) </w:t>
      </w:r>
      <w:r w:rsidR="000A143C">
        <w:rPr>
          <w:szCs w:val="24"/>
        </w:rPr>
        <w:t>for the period from 2005, the first year that CPI escalation was to be applied, to 2017, the last year for which a full CPI value is available</w:t>
      </w:r>
      <w:r w:rsidR="00BB4414">
        <w:rPr>
          <w:rStyle w:val="FootnoteReference"/>
          <w:szCs w:val="24"/>
        </w:rPr>
        <w:footnoteReference w:id="10"/>
      </w:r>
      <w:r w:rsidR="000A143C">
        <w:rPr>
          <w:szCs w:val="24"/>
        </w:rPr>
        <w:t xml:space="preserve">. Another </w:t>
      </w:r>
      <w:r w:rsidR="004A528F">
        <w:rPr>
          <w:szCs w:val="24"/>
        </w:rPr>
        <w:t xml:space="preserve">(green) </w:t>
      </w:r>
      <w:r w:rsidR="000A143C">
        <w:rPr>
          <w:szCs w:val="24"/>
        </w:rPr>
        <w:t>line closely follows this, being the CIDB/DPW projected rate of increase on government construction project</w:t>
      </w:r>
      <w:r w:rsidR="00BB4414">
        <w:rPr>
          <w:szCs w:val="24"/>
        </w:rPr>
        <w:t>s</w:t>
      </w:r>
      <w:r w:rsidR="000A143C">
        <w:rPr>
          <w:szCs w:val="24"/>
        </w:rPr>
        <w:t>, including the CPI increase</w:t>
      </w:r>
      <w:r>
        <w:rPr>
          <w:szCs w:val="24"/>
        </w:rPr>
        <w:t>,</w:t>
      </w:r>
      <w:r w:rsidR="000A143C">
        <w:rPr>
          <w:szCs w:val="24"/>
        </w:rPr>
        <w:t xml:space="preserve"> the PPPFA premium and the CPG premium, each rated at 2% and which collectively add another 4% to the DME rate for each master rate or component above the usual CPI increase. In temporal terms, this line extends from 2006, when the CIDB research was conducted, to 2017. </w:t>
      </w:r>
    </w:p>
    <w:p w14:paraId="1D87E2AA" w14:textId="62B79096" w:rsidR="009C1AEF" w:rsidRDefault="000A143C" w:rsidP="009C1AEF">
      <w:pPr>
        <w:rPr>
          <w:szCs w:val="24"/>
        </w:rPr>
      </w:pPr>
      <w:r>
        <w:rPr>
          <w:szCs w:val="24"/>
        </w:rPr>
        <w:t xml:space="preserve">Where sufficient data was available, a linear trend line was inserted to reflect the trend in the actual tender data and to enable a visual comparison of the rate of change </w:t>
      </w:r>
      <w:r w:rsidRPr="000A143C">
        <w:rPr>
          <w:i/>
          <w:szCs w:val="24"/>
        </w:rPr>
        <w:t>vis-à-vis</w:t>
      </w:r>
      <w:r>
        <w:rPr>
          <w:szCs w:val="24"/>
        </w:rPr>
        <w:t xml:space="preserve"> the DME and CIDB rates. This was only done for master </w:t>
      </w:r>
      <w:r w:rsidR="005E2860">
        <w:rPr>
          <w:szCs w:val="24"/>
        </w:rPr>
        <w:t>r</w:t>
      </w:r>
      <w:r>
        <w:rPr>
          <w:szCs w:val="24"/>
        </w:rPr>
        <w:t xml:space="preserve">ate graphs where </w:t>
      </w:r>
      <w:r w:rsidR="004A528F">
        <w:rPr>
          <w:szCs w:val="24"/>
        </w:rPr>
        <w:t xml:space="preserve">4 or more </w:t>
      </w:r>
      <w:r>
        <w:rPr>
          <w:szCs w:val="24"/>
        </w:rPr>
        <w:t xml:space="preserve">data points exist. Where data only exists for three or </w:t>
      </w:r>
      <w:r w:rsidR="004A528F">
        <w:rPr>
          <w:szCs w:val="24"/>
        </w:rPr>
        <w:t xml:space="preserve">fewer </w:t>
      </w:r>
      <w:r>
        <w:rPr>
          <w:szCs w:val="24"/>
        </w:rPr>
        <w:t>years of a given master rate or component, this trend line is omitted as it is con</w:t>
      </w:r>
      <w:r w:rsidR="00CE5D59">
        <w:rPr>
          <w:szCs w:val="24"/>
        </w:rPr>
        <w:t xml:space="preserve">sidered </w:t>
      </w:r>
      <w:r>
        <w:rPr>
          <w:szCs w:val="24"/>
        </w:rPr>
        <w:t xml:space="preserve">that the data is not sufficient to indicate a definite trend. </w:t>
      </w:r>
    </w:p>
    <w:p w14:paraId="58D05BED" w14:textId="2EE52AE3" w:rsidR="009C1AEF" w:rsidRDefault="009C1AEF" w:rsidP="009C1AEF">
      <w:pPr>
        <w:rPr>
          <w:szCs w:val="24"/>
        </w:rPr>
      </w:pPr>
      <w:r w:rsidRPr="00203170">
        <w:rPr>
          <w:szCs w:val="24"/>
        </w:rPr>
        <w:t>Figure</w:t>
      </w:r>
      <w:r>
        <w:rPr>
          <w:szCs w:val="24"/>
        </w:rPr>
        <w:t>s 4.2 – 4.1</w:t>
      </w:r>
      <w:r w:rsidR="004A528F">
        <w:rPr>
          <w:szCs w:val="24"/>
        </w:rPr>
        <w:t>4</w:t>
      </w:r>
      <w:r>
        <w:rPr>
          <w:szCs w:val="24"/>
        </w:rPr>
        <w:t xml:space="preserve"> below</w:t>
      </w:r>
      <w:r w:rsidRPr="00203170">
        <w:rPr>
          <w:szCs w:val="24"/>
        </w:rPr>
        <w:t xml:space="preserve"> provide</w:t>
      </w:r>
      <w:r>
        <w:rPr>
          <w:szCs w:val="24"/>
        </w:rPr>
        <w:t xml:space="preserve"> the results of the </w:t>
      </w:r>
      <w:r w:rsidRPr="00203170">
        <w:rPr>
          <w:szCs w:val="24"/>
        </w:rPr>
        <w:t xml:space="preserve">comparison </w:t>
      </w:r>
      <w:r>
        <w:rPr>
          <w:szCs w:val="24"/>
        </w:rPr>
        <w:t xml:space="preserve">described above: </w:t>
      </w:r>
      <w:r w:rsidRPr="00203170">
        <w:rPr>
          <w:szCs w:val="24"/>
        </w:rPr>
        <w:t xml:space="preserve">the actual tendered prices for the </w:t>
      </w:r>
      <w:r>
        <w:rPr>
          <w:szCs w:val="24"/>
        </w:rPr>
        <w:t xml:space="preserve">various cost elements </w:t>
      </w:r>
      <w:r w:rsidRPr="00203170">
        <w:rPr>
          <w:szCs w:val="24"/>
        </w:rPr>
        <w:t>compared to the DM</w:t>
      </w:r>
      <w:r>
        <w:rPr>
          <w:szCs w:val="24"/>
        </w:rPr>
        <w:t>E</w:t>
      </w:r>
      <w:r w:rsidRPr="00203170">
        <w:rPr>
          <w:szCs w:val="24"/>
        </w:rPr>
        <w:t xml:space="preserve"> guideline values and the predicted rate of escalation as encountered in the CIDB report. </w:t>
      </w:r>
      <w:r>
        <w:rPr>
          <w:szCs w:val="24"/>
        </w:rPr>
        <w:t xml:space="preserve">The data gaps, rates of escalation and trends, where sufficient data was available to insert them, are self-evident. </w:t>
      </w:r>
    </w:p>
    <w:p w14:paraId="64DA196A" w14:textId="541C1456" w:rsidR="009C1AEF" w:rsidRPr="00203170" w:rsidRDefault="009C1AEF" w:rsidP="009C1AEF">
      <w:pPr>
        <w:rPr>
          <w:szCs w:val="24"/>
        </w:rPr>
      </w:pPr>
      <w:r>
        <w:rPr>
          <w:szCs w:val="24"/>
        </w:rPr>
        <w:lastRenderedPageBreak/>
        <w:t xml:space="preserve">For detailed descriptions of the work involved in each of these steps when actual rehabilitation work is performed, please refer to </w:t>
      </w:r>
      <w:r w:rsidRPr="009C1AEF">
        <w:rPr>
          <w:b/>
          <w:szCs w:val="24"/>
        </w:rPr>
        <w:t>Annexure C</w:t>
      </w:r>
      <w:r>
        <w:rPr>
          <w:szCs w:val="24"/>
        </w:rPr>
        <w:t xml:space="preserve">. </w:t>
      </w:r>
    </w:p>
    <w:p w14:paraId="4B6571AF" w14:textId="5CF7F8F7" w:rsidR="00B03119" w:rsidRPr="002328EF" w:rsidRDefault="00173FF3" w:rsidP="00322083">
      <w:pPr>
        <w:pStyle w:val="Heading3"/>
      </w:pPr>
      <w:bookmarkStart w:id="143" w:name="_Toc519445724"/>
      <w:r w:rsidRPr="002328EF">
        <w:t xml:space="preserve">Master rate </w:t>
      </w:r>
      <w:r w:rsidR="00B03119" w:rsidRPr="002328EF">
        <w:t>(2)</w:t>
      </w:r>
      <w:r w:rsidRPr="002328EF">
        <w:t>:</w:t>
      </w:r>
      <w:r w:rsidR="00B03119" w:rsidRPr="002328EF">
        <w:t xml:space="preserve"> Demolition of concrete structures</w:t>
      </w:r>
      <w:bookmarkEnd w:id="143"/>
      <w:r w:rsidR="00B03119" w:rsidRPr="002328EF">
        <w:t xml:space="preserve"> </w:t>
      </w:r>
    </w:p>
    <w:p w14:paraId="73A11AC3" w14:textId="6B6B6B53" w:rsidR="00404A99" w:rsidRPr="00203170" w:rsidRDefault="00D14D5A" w:rsidP="00AE71A0">
      <w:pPr>
        <w:rPr>
          <w:szCs w:val="24"/>
        </w:rPr>
      </w:pPr>
      <w:r>
        <w:rPr>
          <w:noProof/>
          <w:lang w:eastAsia="en-ZA"/>
        </w:rPr>
        <w:drawing>
          <wp:inline distT="0" distB="0" distL="0" distR="0" wp14:anchorId="13014EE8" wp14:editId="48E0D425">
            <wp:extent cx="5692140" cy="3602355"/>
            <wp:effectExtent l="0" t="0" r="3810" b="17145"/>
            <wp:docPr id="10" name="Chart 1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924C4C3-340B-49E4-83AA-AB414FBD02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CB6BC43" w14:textId="20758430" w:rsidR="00404A99" w:rsidRDefault="00322083" w:rsidP="00322083">
      <w:pPr>
        <w:pStyle w:val="Caption"/>
      </w:pPr>
      <w:bookmarkStart w:id="144" w:name="_Toc507336573"/>
      <w:bookmarkStart w:id="145" w:name="_Toc507336686"/>
      <w:bookmarkStart w:id="146" w:name="_Toc517372939"/>
      <w:bookmarkStart w:id="147" w:name="_Toc517373094"/>
      <w:bookmarkStart w:id="148" w:name="_Toc519445865"/>
      <w:bookmarkStart w:id="149" w:name="_Toc519445902"/>
      <w:r>
        <w:t xml:space="preserve">Figure 4.2: </w:t>
      </w:r>
      <w:r w:rsidRPr="00EE00F1">
        <w:t xml:space="preserve">Comparison of actual tendered prices for the demolition of concrete with DME and CIDB </w:t>
      </w:r>
      <w:r>
        <w:br/>
      </w:r>
      <w:r w:rsidRPr="00EE00F1">
        <w:t>guideline rates</w:t>
      </w:r>
      <w:bookmarkEnd w:id="144"/>
      <w:bookmarkEnd w:id="145"/>
      <w:bookmarkEnd w:id="146"/>
      <w:bookmarkEnd w:id="147"/>
      <w:bookmarkEnd w:id="148"/>
      <w:bookmarkEnd w:id="149"/>
      <w:r>
        <w:t xml:space="preserve"> </w:t>
      </w:r>
    </w:p>
    <w:p w14:paraId="575CD6BD" w14:textId="7185602D" w:rsidR="001644AB" w:rsidRPr="001644AB" w:rsidRDefault="001644AB" w:rsidP="001644AB">
      <w:r>
        <w:t xml:space="preserve">The results of the comparison of the actual tendered values for the demolition of concrete structures appears in Figure 4.2 above. The description of the actions required during this task on a project appears in </w:t>
      </w:r>
      <w:r w:rsidRPr="001644AB">
        <w:rPr>
          <w:b/>
        </w:rPr>
        <w:t>Annexure C</w:t>
      </w:r>
      <w:r>
        <w:rPr>
          <w:b/>
        </w:rPr>
        <w:t>.</w:t>
      </w:r>
      <w:r w:rsidRPr="001644AB">
        <w:t xml:space="preserve"> Only 3 data points were available and </w:t>
      </w:r>
      <w:r w:rsidR="004A528F">
        <w:t xml:space="preserve">these </w:t>
      </w:r>
      <w:r w:rsidRPr="001644AB">
        <w:t xml:space="preserve">show marked departure from the predicted costs by both the DMR guideline and the CIDB escalated value in later years. </w:t>
      </w:r>
    </w:p>
    <w:p w14:paraId="7B7D9F5B" w14:textId="3115561C" w:rsidR="00FB195E" w:rsidRPr="00374E2B" w:rsidRDefault="00173FF3" w:rsidP="00322083">
      <w:pPr>
        <w:pStyle w:val="Heading3"/>
      </w:pPr>
      <w:bookmarkStart w:id="150" w:name="_Toc519445725"/>
      <w:r w:rsidRPr="00374E2B">
        <w:lastRenderedPageBreak/>
        <w:t xml:space="preserve">Master rate </w:t>
      </w:r>
      <w:r w:rsidR="00FB195E" w:rsidRPr="00374E2B">
        <w:t>(3)</w:t>
      </w:r>
      <w:r w:rsidRPr="00374E2B">
        <w:t>:</w:t>
      </w:r>
      <w:r w:rsidR="00FB195E" w:rsidRPr="00374E2B">
        <w:t xml:space="preserve"> Rehabilitation of access roads</w:t>
      </w:r>
      <w:bookmarkEnd w:id="150"/>
    </w:p>
    <w:p w14:paraId="1FC40C1B" w14:textId="41A7672A" w:rsidR="009E0CE1" w:rsidRPr="00203170" w:rsidRDefault="00D14D5A" w:rsidP="00AE71A0">
      <w:pPr>
        <w:rPr>
          <w:szCs w:val="24"/>
        </w:rPr>
      </w:pPr>
      <w:r>
        <w:rPr>
          <w:noProof/>
          <w:lang w:eastAsia="en-ZA"/>
        </w:rPr>
        <w:drawing>
          <wp:inline distT="0" distB="0" distL="0" distR="0" wp14:anchorId="4E2D7E57" wp14:editId="4CB654A5">
            <wp:extent cx="5684520" cy="3602355"/>
            <wp:effectExtent l="0" t="0" r="11430" b="17145"/>
            <wp:docPr id="13" name="Chart 1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B3A6B2C3-D9EE-499C-A8B9-4D9D26DBD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C45ECF" w14:textId="707D5FDE" w:rsidR="00322083" w:rsidRDefault="00322083" w:rsidP="00322083">
      <w:pPr>
        <w:pStyle w:val="Caption"/>
      </w:pPr>
      <w:bookmarkStart w:id="151" w:name="_Toc507336575"/>
      <w:bookmarkStart w:id="152" w:name="_Toc507336688"/>
      <w:bookmarkStart w:id="153" w:name="_Toc517372941"/>
      <w:bookmarkStart w:id="154" w:name="_Toc517373096"/>
      <w:bookmarkStart w:id="155" w:name="_Toc519445866"/>
      <w:bookmarkStart w:id="156" w:name="_Toc519445903"/>
      <w:r>
        <w:t>Figure 4.</w:t>
      </w:r>
      <w:r w:rsidR="001644AB">
        <w:t>3</w:t>
      </w:r>
      <w:r>
        <w:t xml:space="preserve">: </w:t>
      </w:r>
      <w:r w:rsidRPr="0010396E">
        <w:t>Comparison of DME Guideline values and actual tender data. Guideline item 3: Rehabilitation of access roads</w:t>
      </w:r>
      <w:bookmarkEnd w:id="151"/>
      <w:bookmarkEnd w:id="152"/>
      <w:bookmarkEnd w:id="153"/>
      <w:bookmarkEnd w:id="154"/>
      <w:bookmarkEnd w:id="155"/>
      <w:bookmarkEnd w:id="156"/>
      <w:r>
        <w:t xml:space="preserve"> </w:t>
      </w:r>
    </w:p>
    <w:p w14:paraId="0E406FDD" w14:textId="153D8576" w:rsidR="00CF2F35" w:rsidRPr="00203170" w:rsidRDefault="00CF2F35" w:rsidP="00AE71A0">
      <w:pPr>
        <w:rPr>
          <w:szCs w:val="24"/>
        </w:rPr>
      </w:pPr>
      <w:bookmarkStart w:id="157" w:name="_Hlk507246789"/>
      <w:r w:rsidRPr="00915F4C">
        <w:rPr>
          <w:szCs w:val="24"/>
        </w:rPr>
        <w:t>With 5 data points across the temporal range, it was possible to insert a linear trendline across the</w:t>
      </w:r>
      <w:r w:rsidR="001644AB">
        <w:rPr>
          <w:szCs w:val="24"/>
        </w:rPr>
        <w:t xml:space="preserve"> data </w:t>
      </w:r>
      <w:r w:rsidRPr="00915F4C">
        <w:rPr>
          <w:szCs w:val="24"/>
        </w:rPr>
        <w:t>point</w:t>
      </w:r>
      <w:r w:rsidR="001644AB">
        <w:rPr>
          <w:szCs w:val="24"/>
        </w:rPr>
        <w:t xml:space="preserve">s for the rehabilitation of access roads (Figure 4.3) </w:t>
      </w:r>
      <w:r w:rsidRPr="00915F4C">
        <w:rPr>
          <w:szCs w:val="24"/>
        </w:rPr>
        <w:t xml:space="preserve">The formula for the trendline is y = 2.3965x + 28.878. </w:t>
      </w:r>
      <w:r w:rsidR="002A478F" w:rsidRPr="00915F4C">
        <w:rPr>
          <w:szCs w:val="24"/>
        </w:rPr>
        <w:t>T</w:t>
      </w:r>
      <w:r w:rsidRPr="00915F4C">
        <w:rPr>
          <w:szCs w:val="24"/>
        </w:rPr>
        <w:t xml:space="preserve">he intercept </w:t>
      </w:r>
      <w:r w:rsidR="00162D9A" w:rsidRPr="00915F4C">
        <w:rPr>
          <w:szCs w:val="24"/>
        </w:rPr>
        <w:t xml:space="preserve">value </w:t>
      </w:r>
      <w:r w:rsidR="002A478F" w:rsidRPr="00915F4C">
        <w:rPr>
          <w:szCs w:val="24"/>
        </w:rPr>
        <w:t>confirms the visual indication that the DME guideline rate started out too low. T</w:t>
      </w:r>
      <w:r w:rsidRPr="00915F4C">
        <w:rPr>
          <w:szCs w:val="24"/>
        </w:rPr>
        <w:t>he slope</w:t>
      </w:r>
      <w:r w:rsidR="002A478F" w:rsidRPr="00915F4C">
        <w:rPr>
          <w:szCs w:val="24"/>
        </w:rPr>
        <w:t xml:space="preserve"> of the equation</w:t>
      </w:r>
      <w:r w:rsidRPr="00915F4C">
        <w:rPr>
          <w:szCs w:val="24"/>
        </w:rPr>
        <w:t xml:space="preserve"> indicates an annual rate of increase of </w:t>
      </w:r>
      <w:r w:rsidR="00163E06" w:rsidRPr="00915F4C">
        <w:rPr>
          <w:szCs w:val="24"/>
        </w:rPr>
        <w:t>almost R 2</w:t>
      </w:r>
      <w:r w:rsidR="002A478F" w:rsidRPr="00915F4C">
        <w:rPr>
          <w:szCs w:val="24"/>
        </w:rPr>
        <w:t>.40/m</w:t>
      </w:r>
      <w:r w:rsidR="002A478F" w:rsidRPr="00915F4C">
        <w:rPr>
          <w:szCs w:val="24"/>
          <w:vertAlign w:val="superscript"/>
        </w:rPr>
        <w:t>2</w:t>
      </w:r>
      <w:r w:rsidR="00163E06" w:rsidRPr="00915F4C">
        <w:rPr>
          <w:szCs w:val="24"/>
        </w:rPr>
        <w:t xml:space="preserve"> compared to the guideline predicted rate of increase </w:t>
      </w:r>
      <w:r w:rsidR="002A478F" w:rsidRPr="00915F4C">
        <w:rPr>
          <w:szCs w:val="24"/>
        </w:rPr>
        <w:t xml:space="preserve">of only </w:t>
      </w:r>
      <w:r w:rsidR="00163E06" w:rsidRPr="00915F4C">
        <w:rPr>
          <w:szCs w:val="24"/>
        </w:rPr>
        <w:t xml:space="preserve">around </w:t>
      </w:r>
      <w:r w:rsidR="00163E06" w:rsidRPr="00702A08">
        <w:rPr>
          <w:szCs w:val="24"/>
        </w:rPr>
        <w:t>R</w:t>
      </w:r>
      <w:r w:rsidR="002A478F" w:rsidRPr="00702A08">
        <w:rPr>
          <w:szCs w:val="24"/>
        </w:rPr>
        <w:t xml:space="preserve"> 1.</w:t>
      </w:r>
      <w:r w:rsidR="00702A08" w:rsidRPr="00702A08">
        <w:rPr>
          <w:szCs w:val="24"/>
        </w:rPr>
        <w:t>57</w:t>
      </w:r>
      <w:r w:rsidR="002A478F" w:rsidRPr="00702A08">
        <w:rPr>
          <w:szCs w:val="24"/>
        </w:rPr>
        <w:t>/</w:t>
      </w:r>
      <w:r w:rsidR="002A478F" w:rsidRPr="00915F4C">
        <w:rPr>
          <w:szCs w:val="24"/>
        </w:rPr>
        <w:t>m</w:t>
      </w:r>
      <w:r w:rsidR="002A478F" w:rsidRPr="00915F4C">
        <w:rPr>
          <w:szCs w:val="24"/>
          <w:vertAlign w:val="superscript"/>
        </w:rPr>
        <w:t>2</w:t>
      </w:r>
      <w:r w:rsidR="002A478F" w:rsidRPr="00915F4C">
        <w:rPr>
          <w:szCs w:val="24"/>
        </w:rPr>
        <w:t xml:space="preserve"> per</w:t>
      </w:r>
      <w:r w:rsidR="00163E06" w:rsidRPr="00915F4C">
        <w:rPr>
          <w:szCs w:val="24"/>
        </w:rPr>
        <w:t xml:space="preserve"> year</w:t>
      </w:r>
      <w:r w:rsidR="002A478F" w:rsidRPr="00915F4C">
        <w:rPr>
          <w:szCs w:val="24"/>
        </w:rPr>
        <w:t>, if the overall CPI value is averaged out to an annual value over the 1</w:t>
      </w:r>
      <w:r w:rsidR="007A0E90">
        <w:rPr>
          <w:szCs w:val="24"/>
        </w:rPr>
        <w:t>2</w:t>
      </w:r>
      <w:r w:rsidR="002A478F" w:rsidRPr="00915F4C">
        <w:rPr>
          <w:szCs w:val="24"/>
        </w:rPr>
        <w:t xml:space="preserve"> years of escalation</w:t>
      </w:r>
      <w:r w:rsidR="00163E06" w:rsidRPr="00915F4C">
        <w:rPr>
          <w:szCs w:val="24"/>
        </w:rPr>
        <w:t>.</w:t>
      </w:r>
      <w:r w:rsidR="002A478F" w:rsidRPr="00915F4C">
        <w:rPr>
          <w:szCs w:val="24"/>
        </w:rPr>
        <w:t xml:space="preserve"> (Compare </w:t>
      </w:r>
      <w:r w:rsidR="002A478F" w:rsidRPr="00915F4C">
        <w:rPr>
          <w:b/>
          <w:szCs w:val="24"/>
        </w:rPr>
        <w:t>ANNEXURE A</w:t>
      </w:r>
      <w:r w:rsidR="002A478F" w:rsidRPr="00915F4C">
        <w:rPr>
          <w:szCs w:val="24"/>
        </w:rPr>
        <w:t xml:space="preserve">) </w:t>
      </w:r>
      <w:r w:rsidRPr="00915F4C">
        <w:rPr>
          <w:szCs w:val="24"/>
        </w:rPr>
        <w:t>The R</w:t>
      </w:r>
      <w:r w:rsidR="002A478F" w:rsidRPr="00915F4C">
        <w:rPr>
          <w:szCs w:val="24"/>
          <w:vertAlign w:val="superscript"/>
        </w:rPr>
        <w:t>2</w:t>
      </w:r>
      <w:r w:rsidRPr="00915F4C">
        <w:rPr>
          <w:szCs w:val="24"/>
        </w:rPr>
        <w:t xml:space="preserve"> value of 0.9057 indicates that the linear trendline fits the data very well (correlation approaches 1) and that the trendline is therefore a very good predictor of the underlying data set.</w:t>
      </w:r>
      <w:r>
        <w:rPr>
          <w:szCs w:val="24"/>
        </w:rPr>
        <w:t xml:space="preserve">  </w:t>
      </w:r>
    </w:p>
    <w:p w14:paraId="11753BBE" w14:textId="258F23A7" w:rsidR="00FB195E" w:rsidRDefault="008D306D" w:rsidP="00F04DF8">
      <w:pPr>
        <w:pStyle w:val="Heading3"/>
      </w:pPr>
      <w:bookmarkStart w:id="158" w:name="_Toc519445726"/>
      <w:bookmarkEnd w:id="157"/>
      <w:r w:rsidRPr="00374E2B">
        <w:t xml:space="preserve">Master rate </w:t>
      </w:r>
      <w:r w:rsidR="00FB195E" w:rsidRPr="00374E2B">
        <w:t>(7)</w:t>
      </w:r>
      <w:r w:rsidRPr="00374E2B">
        <w:t>:</w:t>
      </w:r>
      <w:r w:rsidR="00FB195E" w:rsidRPr="00374E2B">
        <w:t xml:space="preserve"> Sealing of shafts, adits and inclines</w:t>
      </w:r>
      <w:bookmarkEnd w:id="158"/>
    </w:p>
    <w:p w14:paraId="3AAC422A" w14:textId="7B20F898" w:rsidR="00B309E0" w:rsidRPr="00203170" w:rsidRDefault="00B309E0" w:rsidP="00B309E0">
      <w:pPr>
        <w:rPr>
          <w:szCs w:val="24"/>
        </w:rPr>
      </w:pPr>
      <w:r w:rsidRPr="00203170">
        <w:rPr>
          <w:szCs w:val="24"/>
        </w:rPr>
        <w:t xml:space="preserve">The first underlying </w:t>
      </w:r>
      <w:r w:rsidR="004A528F">
        <w:rPr>
          <w:szCs w:val="24"/>
        </w:rPr>
        <w:t xml:space="preserve">component </w:t>
      </w:r>
      <w:r w:rsidRPr="00203170">
        <w:rPr>
          <w:szCs w:val="24"/>
        </w:rPr>
        <w:t>rate used to compile the master rate for the sealing of shafts and a</w:t>
      </w:r>
      <w:r>
        <w:rPr>
          <w:szCs w:val="24"/>
        </w:rPr>
        <w:t>d</w:t>
      </w:r>
      <w:r w:rsidRPr="00203170">
        <w:rPr>
          <w:szCs w:val="24"/>
        </w:rPr>
        <w:t xml:space="preserve">its includes a rate to backfill the shaft or adit. </w:t>
      </w:r>
      <w:r w:rsidR="001644AB">
        <w:rPr>
          <w:szCs w:val="24"/>
        </w:rPr>
        <w:t xml:space="preserve">The description of </w:t>
      </w:r>
      <w:r w:rsidR="004A528F">
        <w:rPr>
          <w:szCs w:val="24"/>
        </w:rPr>
        <w:t xml:space="preserve">the practical execution of </w:t>
      </w:r>
      <w:r w:rsidR="001644AB">
        <w:rPr>
          <w:szCs w:val="24"/>
        </w:rPr>
        <w:t xml:space="preserve">this task on site appears in </w:t>
      </w:r>
      <w:r w:rsidR="001644AB" w:rsidRPr="001644AB">
        <w:rPr>
          <w:b/>
          <w:szCs w:val="24"/>
        </w:rPr>
        <w:t>Annexure C</w:t>
      </w:r>
      <w:r w:rsidR="001644AB">
        <w:rPr>
          <w:szCs w:val="24"/>
        </w:rPr>
        <w:t xml:space="preserve">. </w:t>
      </w:r>
    </w:p>
    <w:p w14:paraId="6565456A" w14:textId="54868C92" w:rsidR="009E0CE1" w:rsidRPr="00203170" w:rsidRDefault="00D14D5A" w:rsidP="00AE71A0">
      <w:pPr>
        <w:rPr>
          <w:szCs w:val="24"/>
        </w:rPr>
      </w:pPr>
      <w:r>
        <w:rPr>
          <w:noProof/>
          <w:lang w:eastAsia="en-ZA"/>
        </w:rPr>
        <w:lastRenderedPageBreak/>
        <w:drawing>
          <wp:inline distT="0" distB="0" distL="0" distR="0" wp14:anchorId="48CB8EC9" wp14:editId="24F13672">
            <wp:extent cx="5708650" cy="4229100"/>
            <wp:effectExtent l="0" t="0" r="6350" b="0"/>
            <wp:docPr id="14" name="Chart 1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DE0866E0-C3F9-41A1-B893-BC17209F49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178519" w14:textId="5978EDF3" w:rsidR="00490A2D" w:rsidRPr="0010396E" w:rsidRDefault="00F04DF8" w:rsidP="00F04DF8">
      <w:pPr>
        <w:pStyle w:val="Caption"/>
      </w:pPr>
      <w:bookmarkStart w:id="159" w:name="_Toc507336579"/>
      <w:bookmarkStart w:id="160" w:name="_Toc507336692"/>
      <w:bookmarkStart w:id="161" w:name="_Toc517372945"/>
      <w:bookmarkStart w:id="162" w:name="_Toc517373100"/>
      <w:bookmarkStart w:id="163" w:name="_Toc519445867"/>
      <w:bookmarkStart w:id="164" w:name="_Toc519445904"/>
      <w:r>
        <w:t>Figure 4.</w:t>
      </w:r>
      <w:r w:rsidR="001644AB">
        <w:t>4</w:t>
      </w:r>
      <w:r>
        <w:t xml:space="preserve">: </w:t>
      </w:r>
      <w:r w:rsidRPr="0010396E">
        <w:t>Comparison of DME guideline values and actual tender data. Guideline item 7: Backfilling of shafts</w:t>
      </w:r>
      <w:bookmarkEnd w:id="159"/>
      <w:bookmarkEnd w:id="160"/>
      <w:bookmarkEnd w:id="161"/>
      <w:bookmarkEnd w:id="162"/>
      <w:bookmarkEnd w:id="163"/>
      <w:bookmarkEnd w:id="164"/>
      <w:r>
        <w:t xml:space="preserve"> </w:t>
      </w:r>
    </w:p>
    <w:p w14:paraId="6B641AB2" w14:textId="77777777" w:rsidR="009A7398" w:rsidRDefault="009A7398" w:rsidP="00B309E0">
      <w:pPr>
        <w:rPr>
          <w:szCs w:val="24"/>
        </w:rPr>
      </w:pPr>
      <w:bookmarkStart w:id="165" w:name="_Hlk505710910"/>
    </w:p>
    <w:p w14:paraId="1E2C423E" w14:textId="42FFD390" w:rsidR="004A528F" w:rsidRDefault="009A7398" w:rsidP="00B309E0">
      <w:pPr>
        <w:rPr>
          <w:szCs w:val="24"/>
        </w:rPr>
      </w:pPr>
      <w:r w:rsidRPr="009A7398">
        <w:rPr>
          <w:szCs w:val="24"/>
        </w:rPr>
        <w:t>Figure 4.</w:t>
      </w:r>
      <w:r>
        <w:rPr>
          <w:szCs w:val="24"/>
        </w:rPr>
        <w:t>4</w:t>
      </w:r>
      <w:r w:rsidRPr="009A7398">
        <w:rPr>
          <w:szCs w:val="24"/>
        </w:rPr>
        <w:t xml:space="preserve"> provides a comparison of the actual tendered prices for the backfilling of incline and vertical shafts with the DME guideline values and the predicted costs from the CIDB report. Data was only available for the year 2009 and for the period from 2014 to 2016. In other years, no data was available or no shaft closure was required at any project in that year.</w:t>
      </w:r>
    </w:p>
    <w:p w14:paraId="51CC4D8D" w14:textId="711E89D7" w:rsidR="004A528F" w:rsidRDefault="004A528F" w:rsidP="00B309E0">
      <w:pPr>
        <w:rPr>
          <w:szCs w:val="24"/>
        </w:rPr>
      </w:pPr>
      <w:r>
        <w:rPr>
          <w:szCs w:val="24"/>
        </w:rPr>
        <w:t xml:space="preserve">The results presented in Figure 4.4 are self—evident and are </w:t>
      </w:r>
      <w:r w:rsidR="00B1706E">
        <w:rPr>
          <w:szCs w:val="24"/>
        </w:rPr>
        <w:t>summarised</w:t>
      </w:r>
      <w:r>
        <w:rPr>
          <w:szCs w:val="24"/>
        </w:rPr>
        <w:t xml:space="preserve"> in </w:t>
      </w:r>
      <w:r w:rsidR="00BB4414">
        <w:rPr>
          <w:szCs w:val="24"/>
        </w:rPr>
        <w:t xml:space="preserve">Table 4.6 </w:t>
      </w:r>
      <w:r>
        <w:rPr>
          <w:szCs w:val="24"/>
        </w:rPr>
        <w:t>below.</w:t>
      </w:r>
    </w:p>
    <w:p w14:paraId="092D78EC" w14:textId="77777777" w:rsidR="00B20A4E" w:rsidRDefault="00B20A4E" w:rsidP="00B309E0">
      <w:pPr>
        <w:rPr>
          <w:szCs w:val="24"/>
        </w:rPr>
      </w:pPr>
    </w:p>
    <w:p w14:paraId="3802042E" w14:textId="0387BB6A" w:rsidR="00B309E0" w:rsidRPr="00203170" w:rsidRDefault="00B309E0" w:rsidP="00B309E0">
      <w:pPr>
        <w:rPr>
          <w:szCs w:val="24"/>
        </w:rPr>
      </w:pPr>
      <w:r w:rsidRPr="00203170">
        <w:rPr>
          <w:szCs w:val="24"/>
        </w:rPr>
        <w:t xml:space="preserve">The other significant underlying rate used to compile the master rate for the sealing of shafts and adits is a rate per cubic metre to provide the concrete cap for the shaft or adit. </w:t>
      </w:r>
    </w:p>
    <w:bookmarkEnd w:id="165"/>
    <w:p w14:paraId="0AAF26B3" w14:textId="0D02D4A7" w:rsidR="009E0CE1" w:rsidRPr="00203170" w:rsidRDefault="00D14D5A" w:rsidP="00AE71A0">
      <w:pPr>
        <w:rPr>
          <w:szCs w:val="24"/>
        </w:rPr>
      </w:pPr>
      <w:r>
        <w:rPr>
          <w:noProof/>
          <w:lang w:eastAsia="en-ZA"/>
        </w:rPr>
        <w:lastRenderedPageBreak/>
        <w:drawing>
          <wp:inline distT="0" distB="0" distL="0" distR="0" wp14:anchorId="40A4B634" wp14:editId="6CED302B">
            <wp:extent cx="5684520" cy="3306445"/>
            <wp:effectExtent l="0" t="0" r="11430" b="8255"/>
            <wp:docPr id="16" name="Chart 1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16252C94-896E-4B72-A965-0FA6F04BB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05FFBEB" w14:textId="2924C091" w:rsidR="00F04DF8" w:rsidRDefault="00F04DF8" w:rsidP="00F04DF8">
      <w:pPr>
        <w:pStyle w:val="Caption"/>
      </w:pPr>
      <w:bookmarkStart w:id="166" w:name="_Toc507336580"/>
      <w:bookmarkStart w:id="167" w:name="_Toc507336693"/>
      <w:bookmarkStart w:id="168" w:name="_Toc517372946"/>
      <w:bookmarkStart w:id="169" w:name="_Toc517373101"/>
      <w:bookmarkStart w:id="170" w:name="_Toc519445868"/>
      <w:bookmarkStart w:id="171" w:name="_Toc519445905"/>
      <w:r>
        <w:t>Figure 4.</w:t>
      </w:r>
      <w:r w:rsidR="001644AB">
        <w:t>5</w:t>
      </w:r>
      <w:r>
        <w:t xml:space="preserve">: </w:t>
      </w:r>
      <w:r w:rsidRPr="0010396E">
        <w:t>Comparison of DME Guideline values and actual tender data. Guideline item 7: Backfilling of incline shafts</w:t>
      </w:r>
      <w:bookmarkEnd w:id="166"/>
      <w:bookmarkEnd w:id="167"/>
      <w:bookmarkEnd w:id="168"/>
      <w:bookmarkEnd w:id="169"/>
      <w:bookmarkEnd w:id="170"/>
      <w:bookmarkEnd w:id="171"/>
      <w:r>
        <w:t xml:space="preserve"> </w:t>
      </w:r>
    </w:p>
    <w:p w14:paraId="5F283171" w14:textId="73090645" w:rsidR="00775CCF" w:rsidRPr="00203170" w:rsidRDefault="004A528F" w:rsidP="00AE71A0">
      <w:pPr>
        <w:rPr>
          <w:szCs w:val="24"/>
        </w:rPr>
      </w:pPr>
      <w:r>
        <w:rPr>
          <w:szCs w:val="24"/>
        </w:rPr>
        <w:t xml:space="preserve">Figure 4.5 illustrates that </w:t>
      </w:r>
      <w:r w:rsidR="00775CCF" w:rsidRPr="00203170">
        <w:rPr>
          <w:szCs w:val="24"/>
        </w:rPr>
        <w:t>the rate per m</w:t>
      </w:r>
      <w:r w:rsidR="00775CCF" w:rsidRPr="00203170">
        <w:rPr>
          <w:szCs w:val="24"/>
          <w:vertAlign w:val="superscript"/>
        </w:rPr>
        <w:t>3</w:t>
      </w:r>
      <w:r w:rsidR="00775CCF" w:rsidRPr="00203170">
        <w:rPr>
          <w:szCs w:val="24"/>
        </w:rPr>
        <w:t xml:space="preserve"> to provide concrete for capping of shafts or adits </w:t>
      </w:r>
      <w:r w:rsidR="002957DE" w:rsidRPr="00203170">
        <w:rPr>
          <w:szCs w:val="24"/>
        </w:rPr>
        <w:t xml:space="preserve">according to the specification </w:t>
      </w:r>
      <w:r w:rsidR="00775CCF" w:rsidRPr="00203170">
        <w:rPr>
          <w:szCs w:val="24"/>
        </w:rPr>
        <w:t>is significantly less than the rate predicted by the DM</w:t>
      </w:r>
      <w:r w:rsidR="007C04B5">
        <w:rPr>
          <w:szCs w:val="24"/>
        </w:rPr>
        <w:t>E</w:t>
      </w:r>
      <w:r w:rsidR="00775CCF" w:rsidRPr="00203170">
        <w:rPr>
          <w:szCs w:val="24"/>
        </w:rPr>
        <w:t xml:space="preserve"> guideline and the CIDB </w:t>
      </w:r>
      <w:r w:rsidR="002957DE" w:rsidRPr="00203170">
        <w:rPr>
          <w:szCs w:val="24"/>
        </w:rPr>
        <w:t>report</w:t>
      </w:r>
      <w:r w:rsidR="00775CCF" w:rsidRPr="00203170">
        <w:rPr>
          <w:szCs w:val="24"/>
        </w:rPr>
        <w:t xml:space="preserve">. </w:t>
      </w:r>
    </w:p>
    <w:p w14:paraId="2257E7A5" w14:textId="04736CC2" w:rsidR="00FB195E" w:rsidRPr="00374E2B" w:rsidRDefault="002957DE" w:rsidP="00F04DF8">
      <w:pPr>
        <w:pStyle w:val="Heading3"/>
      </w:pPr>
      <w:bookmarkStart w:id="172" w:name="_Toc519445727"/>
      <w:bookmarkStart w:id="173" w:name="_Hlk519059852"/>
      <w:r w:rsidRPr="00374E2B">
        <w:t xml:space="preserve">Master rate </w:t>
      </w:r>
      <w:r w:rsidR="00FB195E" w:rsidRPr="00374E2B">
        <w:t>(8C)</w:t>
      </w:r>
      <w:r w:rsidRPr="00374E2B">
        <w:t xml:space="preserve">: </w:t>
      </w:r>
      <w:r w:rsidR="00FB195E" w:rsidRPr="00374E2B">
        <w:t xml:space="preserve"> Processing waste deposits and evaporation ponds (acid, metal)</w:t>
      </w:r>
      <w:bookmarkEnd w:id="172"/>
    </w:p>
    <w:bookmarkEnd w:id="173"/>
    <w:p w14:paraId="7CD12B4A" w14:textId="6C9F28BB" w:rsidR="00143768" w:rsidRPr="00203170" w:rsidRDefault="00143768" w:rsidP="00AE71A0">
      <w:pPr>
        <w:rPr>
          <w:szCs w:val="24"/>
        </w:rPr>
      </w:pPr>
      <w:r w:rsidRPr="00203170">
        <w:rPr>
          <w:szCs w:val="24"/>
        </w:rPr>
        <w:t xml:space="preserve">The unit rates for </w:t>
      </w:r>
      <w:r w:rsidR="00290659" w:rsidRPr="00203170">
        <w:rPr>
          <w:szCs w:val="24"/>
        </w:rPr>
        <w:t>all</w:t>
      </w:r>
      <w:r w:rsidRPr="00203170">
        <w:rPr>
          <w:szCs w:val="24"/>
        </w:rPr>
        <w:t xml:space="preserve"> the</w:t>
      </w:r>
      <w:r w:rsidR="00804BFD">
        <w:rPr>
          <w:szCs w:val="24"/>
        </w:rPr>
        <w:t xml:space="preserve"> underlying items that relate to this master rate </w:t>
      </w:r>
      <w:r w:rsidRPr="00203170">
        <w:rPr>
          <w:szCs w:val="24"/>
        </w:rPr>
        <w:t>are readily available from the tender</w:t>
      </w:r>
      <w:r w:rsidR="00240171" w:rsidRPr="00203170">
        <w:rPr>
          <w:szCs w:val="24"/>
        </w:rPr>
        <w:t>s</w:t>
      </w:r>
      <w:r w:rsidRPr="00203170">
        <w:rPr>
          <w:szCs w:val="24"/>
        </w:rPr>
        <w:t xml:space="preserve"> and can be used, if not directly relatable to the master rate, to analyse trends in the underlying components of this master rate to arrive at an indication of the rate of change in price of these components over the </w:t>
      </w:r>
      <w:r w:rsidR="00290659" w:rsidRPr="00203170">
        <w:rPr>
          <w:szCs w:val="24"/>
        </w:rPr>
        <w:t>period</w:t>
      </w:r>
      <w:r w:rsidRPr="00203170">
        <w:rPr>
          <w:szCs w:val="24"/>
        </w:rPr>
        <w:t xml:space="preserve"> that is the subject of this study. </w:t>
      </w:r>
    </w:p>
    <w:p w14:paraId="4DB54F0A" w14:textId="1F62D4B8" w:rsidR="002C17DA" w:rsidRPr="00374E2B" w:rsidRDefault="00AF6286" w:rsidP="00AE71A0">
      <w:pPr>
        <w:rPr>
          <w:b/>
          <w:szCs w:val="24"/>
        </w:rPr>
      </w:pPr>
      <w:r w:rsidRPr="00374E2B">
        <w:rPr>
          <w:b/>
          <w:szCs w:val="24"/>
        </w:rPr>
        <w:t>4.</w:t>
      </w:r>
      <w:r w:rsidR="006247F7">
        <w:rPr>
          <w:b/>
          <w:szCs w:val="24"/>
        </w:rPr>
        <w:t>3.</w:t>
      </w:r>
      <w:r w:rsidR="00F048C4">
        <w:rPr>
          <w:b/>
          <w:szCs w:val="24"/>
        </w:rPr>
        <w:t>4</w:t>
      </w:r>
      <w:r w:rsidRPr="00374E2B">
        <w:rPr>
          <w:b/>
          <w:szCs w:val="24"/>
        </w:rPr>
        <w:t xml:space="preserve"> (a) </w:t>
      </w:r>
      <w:r w:rsidR="002C17DA" w:rsidRPr="00374E2B">
        <w:rPr>
          <w:b/>
          <w:szCs w:val="24"/>
        </w:rPr>
        <w:t>Slope modification to 18</w:t>
      </w:r>
      <w:r w:rsidR="002C17DA" w:rsidRPr="00374E2B">
        <w:rPr>
          <w:b/>
          <w:szCs w:val="24"/>
          <w:vertAlign w:val="superscript"/>
        </w:rPr>
        <w:t>o</w:t>
      </w:r>
      <w:r w:rsidR="002C17DA" w:rsidRPr="00374E2B">
        <w:rPr>
          <w:b/>
          <w:szCs w:val="24"/>
        </w:rPr>
        <w:t xml:space="preserve"> </w:t>
      </w:r>
      <w:r w:rsidR="008A5880" w:rsidRPr="00374E2B">
        <w:rPr>
          <w:b/>
          <w:szCs w:val="24"/>
        </w:rPr>
        <w:t>(2.6.4.1)</w:t>
      </w:r>
    </w:p>
    <w:p w14:paraId="3F024D11" w14:textId="3950A3FC" w:rsidR="00240171" w:rsidRPr="00203170" w:rsidRDefault="00240171" w:rsidP="00AE71A0">
      <w:pPr>
        <w:rPr>
          <w:szCs w:val="24"/>
        </w:rPr>
      </w:pPr>
      <w:r w:rsidRPr="00203170">
        <w:rPr>
          <w:szCs w:val="24"/>
        </w:rPr>
        <w:t xml:space="preserve">The first individual cost component that forms a </w:t>
      </w:r>
      <w:r w:rsidR="004A528F">
        <w:rPr>
          <w:szCs w:val="24"/>
        </w:rPr>
        <w:t xml:space="preserve">part </w:t>
      </w:r>
      <w:r w:rsidRPr="00203170">
        <w:rPr>
          <w:szCs w:val="24"/>
        </w:rPr>
        <w:t>of the master rate in the DM</w:t>
      </w:r>
      <w:r w:rsidR="007C04B5">
        <w:rPr>
          <w:szCs w:val="24"/>
        </w:rPr>
        <w:t>E</w:t>
      </w:r>
      <w:r w:rsidRPr="00203170">
        <w:rPr>
          <w:szCs w:val="24"/>
        </w:rPr>
        <w:t xml:space="preserve"> guideline for the rehabilitation of processing waste deposits (of the type encountered on asbestos dumps) is slope modification. This process involves digging into the waste dump with the aim of moving the material usually dumped at angle of repose, to a slope angle of 18</w:t>
      </w:r>
      <w:r w:rsidRPr="00203170">
        <w:rPr>
          <w:szCs w:val="24"/>
          <w:vertAlign w:val="superscript"/>
        </w:rPr>
        <w:t>o</w:t>
      </w:r>
      <w:r w:rsidRPr="00203170">
        <w:rPr>
          <w:szCs w:val="24"/>
        </w:rPr>
        <w:t xml:space="preserve"> maximum. </w:t>
      </w:r>
    </w:p>
    <w:p w14:paraId="0D5A2069" w14:textId="311BB22B" w:rsidR="008949BE" w:rsidRPr="00203170" w:rsidRDefault="00D14D5A" w:rsidP="00AE71A0">
      <w:pPr>
        <w:rPr>
          <w:szCs w:val="24"/>
        </w:rPr>
      </w:pPr>
      <w:r>
        <w:rPr>
          <w:noProof/>
          <w:lang w:eastAsia="en-ZA"/>
        </w:rPr>
        <w:lastRenderedPageBreak/>
        <w:drawing>
          <wp:inline distT="0" distB="0" distL="0" distR="0" wp14:anchorId="0E8EDBFD" wp14:editId="6DD12736">
            <wp:extent cx="5737860" cy="3698240"/>
            <wp:effectExtent l="0" t="0" r="15240" b="16510"/>
            <wp:docPr id="17" name="Chart 1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7C5839A0-2A3E-4D88-987A-CA2000B0C9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C0A17BC" w14:textId="077D9347" w:rsidR="009E0CE1" w:rsidRPr="0010396E" w:rsidRDefault="000049EB" w:rsidP="000049EB">
      <w:pPr>
        <w:pStyle w:val="Caption"/>
      </w:pPr>
      <w:bookmarkStart w:id="174" w:name="_Toc507336585"/>
      <w:bookmarkStart w:id="175" w:name="_Toc507336698"/>
      <w:bookmarkStart w:id="176" w:name="_Toc517372951"/>
      <w:bookmarkStart w:id="177" w:name="_Toc517373106"/>
      <w:bookmarkStart w:id="178" w:name="_Toc519445869"/>
      <w:bookmarkStart w:id="179" w:name="_Toc519445906"/>
      <w:r>
        <w:t>Figure 4.</w:t>
      </w:r>
      <w:r w:rsidR="001644AB">
        <w:t>6</w:t>
      </w:r>
      <w:r>
        <w:t xml:space="preserve">: </w:t>
      </w:r>
      <w:r w:rsidR="009177E8" w:rsidRPr="0010396E">
        <w:t>Comparison of DM</w:t>
      </w:r>
      <w:r w:rsidR="007C04B5" w:rsidRPr="0010396E">
        <w:t>E</w:t>
      </w:r>
      <w:r w:rsidR="00240171" w:rsidRPr="0010396E">
        <w:t xml:space="preserve"> g</w:t>
      </w:r>
      <w:r w:rsidR="009177E8" w:rsidRPr="0010396E">
        <w:t xml:space="preserve">uideline values and actual tender data. Guideline item 8C (a) </w:t>
      </w:r>
      <w:r>
        <w:br/>
      </w:r>
      <w:r w:rsidR="009177E8" w:rsidRPr="0010396E">
        <w:t>Slope modification</w:t>
      </w:r>
      <w:bookmarkEnd w:id="174"/>
      <w:bookmarkEnd w:id="175"/>
      <w:bookmarkEnd w:id="176"/>
      <w:bookmarkEnd w:id="177"/>
      <w:bookmarkEnd w:id="178"/>
      <w:bookmarkEnd w:id="179"/>
    </w:p>
    <w:p w14:paraId="3D880108" w14:textId="1D4EFDD0" w:rsidR="002A478F" w:rsidRPr="00203170" w:rsidRDefault="004A528F" w:rsidP="00AE71A0">
      <w:pPr>
        <w:rPr>
          <w:szCs w:val="24"/>
        </w:rPr>
      </w:pPr>
      <w:r>
        <w:rPr>
          <w:szCs w:val="24"/>
        </w:rPr>
        <w:t>Figure 4.6 above represents the results of the compared te</w:t>
      </w:r>
      <w:r w:rsidR="0087653A">
        <w:rPr>
          <w:szCs w:val="24"/>
        </w:rPr>
        <w:t>n</w:t>
      </w:r>
      <w:r>
        <w:rPr>
          <w:szCs w:val="24"/>
        </w:rPr>
        <w:t xml:space="preserve">der cost medians with </w:t>
      </w:r>
      <w:r w:rsidR="0087653A">
        <w:rPr>
          <w:szCs w:val="24"/>
        </w:rPr>
        <w:t xml:space="preserve">both DME and CIBD estimated values. The linear trendline across </w:t>
      </w:r>
      <w:r w:rsidR="002A478F" w:rsidRPr="002A478F">
        <w:rPr>
          <w:szCs w:val="24"/>
        </w:rPr>
        <w:t xml:space="preserve"> </w:t>
      </w:r>
      <w:r w:rsidR="00702A08">
        <w:rPr>
          <w:szCs w:val="24"/>
        </w:rPr>
        <w:t>6</w:t>
      </w:r>
      <w:r w:rsidR="002A478F" w:rsidRPr="002A478F">
        <w:rPr>
          <w:szCs w:val="24"/>
        </w:rPr>
        <w:t xml:space="preserve"> data points </w:t>
      </w:r>
      <w:r w:rsidR="0087653A">
        <w:rPr>
          <w:szCs w:val="24"/>
        </w:rPr>
        <w:t xml:space="preserve">has the </w:t>
      </w:r>
      <w:r w:rsidR="002A478F" w:rsidRPr="002A478F">
        <w:rPr>
          <w:szCs w:val="24"/>
        </w:rPr>
        <w:t>formula</w:t>
      </w:r>
      <w:r w:rsidR="0087653A">
        <w:rPr>
          <w:szCs w:val="24"/>
        </w:rPr>
        <w:t>:</w:t>
      </w:r>
      <w:r w:rsidR="002A478F" w:rsidRPr="002A478F">
        <w:rPr>
          <w:szCs w:val="24"/>
        </w:rPr>
        <w:t xml:space="preserve"> y = </w:t>
      </w:r>
      <w:r w:rsidR="00702A08" w:rsidRPr="00702A08">
        <w:rPr>
          <w:szCs w:val="24"/>
        </w:rPr>
        <w:t>13.223x - 69.644</w:t>
      </w:r>
      <w:r w:rsidR="0087653A">
        <w:rPr>
          <w:szCs w:val="24"/>
        </w:rPr>
        <w:t xml:space="preserve">, </w:t>
      </w:r>
      <w:r w:rsidR="002A478F" w:rsidRPr="002A478F">
        <w:rPr>
          <w:szCs w:val="24"/>
        </w:rPr>
        <w:t>equat</w:t>
      </w:r>
      <w:r w:rsidR="0087653A">
        <w:rPr>
          <w:szCs w:val="24"/>
        </w:rPr>
        <w:t>ing</w:t>
      </w:r>
      <w:r w:rsidR="002A478F" w:rsidRPr="002A478F">
        <w:rPr>
          <w:szCs w:val="24"/>
        </w:rPr>
        <w:t xml:space="preserve"> to an annual rate of increase of almost R </w:t>
      </w:r>
      <w:r w:rsidR="00702A08">
        <w:rPr>
          <w:szCs w:val="24"/>
        </w:rPr>
        <w:t>13</w:t>
      </w:r>
      <w:r w:rsidR="002A478F" w:rsidRPr="00702A08">
        <w:rPr>
          <w:szCs w:val="24"/>
        </w:rPr>
        <w:t>.</w:t>
      </w:r>
      <w:r w:rsidR="00702A08" w:rsidRPr="00702A08">
        <w:rPr>
          <w:szCs w:val="24"/>
        </w:rPr>
        <w:t>22</w:t>
      </w:r>
      <w:r w:rsidR="002A478F" w:rsidRPr="002A478F">
        <w:rPr>
          <w:szCs w:val="24"/>
        </w:rPr>
        <w:t>/m</w:t>
      </w:r>
      <w:r w:rsidR="00702A08" w:rsidRPr="00702A08">
        <w:rPr>
          <w:szCs w:val="24"/>
          <w:vertAlign w:val="superscript"/>
        </w:rPr>
        <w:t>3</w:t>
      </w:r>
      <w:r w:rsidR="002A478F" w:rsidRPr="002A478F">
        <w:rPr>
          <w:szCs w:val="24"/>
        </w:rPr>
        <w:t xml:space="preserve"> compared to the guideline predicted rate of increase </w:t>
      </w:r>
      <w:r w:rsidR="002A478F">
        <w:rPr>
          <w:szCs w:val="24"/>
        </w:rPr>
        <w:t xml:space="preserve">of only </w:t>
      </w:r>
      <w:r w:rsidR="002A478F" w:rsidRPr="002A478F">
        <w:rPr>
          <w:szCs w:val="24"/>
        </w:rPr>
        <w:t xml:space="preserve">around </w:t>
      </w:r>
      <w:r w:rsidR="002A478F" w:rsidRPr="00702A08">
        <w:rPr>
          <w:szCs w:val="24"/>
        </w:rPr>
        <w:t xml:space="preserve">R </w:t>
      </w:r>
      <w:r w:rsidR="00702A08" w:rsidRPr="00702A08">
        <w:rPr>
          <w:szCs w:val="24"/>
        </w:rPr>
        <w:t>0</w:t>
      </w:r>
      <w:r w:rsidR="002A478F" w:rsidRPr="00702A08">
        <w:rPr>
          <w:szCs w:val="24"/>
        </w:rPr>
        <w:t>.</w:t>
      </w:r>
      <w:r w:rsidR="00702A08" w:rsidRPr="00702A08">
        <w:rPr>
          <w:szCs w:val="24"/>
        </w:rPr>
        <w:t>74</w:t>
      </w:r>
      <w:r w:rsidR="002A478F">
        <w:rPr>
          <w:szCs w:val="24"/>
        </w:rPr>
        <w:t>/m</w:t>
      </w:r>
      <w:r w:rsidR="00702A08" w:rsidRPr="00702A08">
        <w:rPr>
          <w:szCs w:val="24"/>
          <w:vertAlign w:val="superscript"/>
        </w:rPr>
        <w:t>3</w:t>
      </w:r>
      <w:r w:rsidR="002A478F">
        <w:rPr>
          <w:szCs w:val="24"/>
        </w:rPr>
        <w:t xml:space="preserve"> per</w:t>
      </w:r>
      <w:r w:rsidR="002A478F" w:rsidRPr="002A478F">
        <w:rPr>
          <w:szCs w:val="24"/>
        </w:rPr>
        <w:t xml:space="preserve"> year, if the overall CPI value is averaged out to an annual value</w:t>
      </w:r>
      <w:r w:rsidR="002A478F">
        <w:rPr>
          <w:szCs w:val="24"/>
        </w:rPr>
        <w:t xml:space="preserve"> over the 1</w:t>
      </w:r>
      <w:r w:rsidR="00702A08">
        <w:rPr>
          <w:szCs w:val="24"/>
        </w:rPr>
        <w:t>2</w:t>
      </w:r>
      <w:r w:rsidR="002A478F">
        <w:rPr>
          <w:szCs w:val="24"/>
        </w:rPr>
        <w:t xml:space="preserve"> years of escalation</w:t>
      </w:r>
      <w:r w:rsidR="002A478F" w:rsidRPr="002A478F">
        <w:rPr>
          <w:szCs w:val="24"/>
        </w:rPr>
        <w:t>.</w:t>
      </w:r>
      <w:r w:rsidR="002A478F">
        <w:rPr>
          <w:szCs w:val="24"/>
        </w:rPr>
        <w:t xml:space="preserve"> (Compare </w:t>
      </w:r>
      <w:r w:rsidR="002A478F" w:rsidRPr="002A478F">
        <w:rPr>
          <w:b/>
          <w:szCs w:val="24"/>
        </w:rPr>
        <w:t>ANNEXURE A</w:t>
      </w:r>
      <w:r w:rsidR="002A478F">
        <w:rPr>
          <w:szCs w:val="24"/>
        </w:rPr>
        <w:t xml:space="preserve">) </w:t>
      </w:r>
      <w:r w:rsidR="002A478F" w:rsidRPr="002A478F">
        <w:rPr>
          <w:szCs w:val="24"/>
        </w:rPr>
        <w:t>The R</w:t>
      </w:r>
      <w:r w:rsidR="002A478F" w:rsidRPr="002A478F">
        <w:rPr>
          <w:szCs w:val="24"/>
          <w:vertAlign w:val="superscript"/>
        </w:rPr>
        <w:t>2</w:t>
      </w:r>
      <w:r w:rsidR="002A478F" w:rsidRPr="002A478F">
        <w:rPr>
          <w:szCs w:val="24"/>
        </w:rPr>
        <w:t xml:space="preserve"> value of </w:t>
      </w:r>
      <w:r w:rsidR="002A478F" w:rsidRPr="00702A08">
        <w:rPr>
          <w:szCs w:val="24"/>
        </w:rPr>
        <w:t>0.</w:t>
      </w:r>
      <w:r w:rsidR="00702A08" w:rsidRPr="00702A08">
        <w:rPr>
          <w:szCs w:val="24"/>
        </w:rPr>
        <w:t>5233</w:t>
      </w:r>
      <w:r w:rsidR="002A478F" w:rsidRPr="002A478F">
        <w:rPr>
          <w:szCs w:val="24"/>
        </w:rPr>
        <w:t xml:space="preserve"> </w:t>
      </w:r>
      <w:r w:rsidR="00702A08" w:rsidRPr="00702A08">
        <w:rPr>
          <w:szCs w:val="24"/>
        </w:rPr>
        <w:t xml:space="preserve">indicates a weak positive correlation of just over </w:t>
      </w:r>
      <w:r w:rsidR="00702A08">
        <w:rPr>
          <w:szCs w:val="24"/>
        </w:rPr>
        <w:t>5</w:t>
      </w:r>
      <w:r w:rsidR="00702A08" w:rsidRPr="00702A08">
        <w:rPr>
          <w:szCs w:val="24"/>
        </w:rPr>
        <w:t xml:space="preserve">0% with the underlying data and the trendline is therefore only a mediocre predictor of the underlying data. </w:t>
      </w:r>
      <w:r w:rsidR="00702A08">
        <w:rPr>
          <w:szCs w:val="24"/>
        </w:rPr>
        <w:t xml:space="preserve">Wide annual variances could be expected from the trendline, as the actual data indicates. </w:t>
      </w:r>
      <w:r w:rsidR="002A478F">
        <w:rPr>
          <w:szCs w:val="24"/>
        </w:rPr>
        <w:t xml:space="preserve"> </w:t>
      </w:r>
    </w:p>
    <w:p w14:paraId="7EF99696" w14:textId="55F28AEB" w:rsidR="0087653A" w:rsidRPr="00D7687F" w:rsidRDefault="00AF6286" w:rsidP="00D7687F">
      <w:pPr>
        <w:pStyle w:val="Heading3"/>
        <w:numPr>
          <w:ilvl w:val="2"/>
          <w:numId w:val="37"/>
        </w:numPr>
        <w:rPr>
          <w:iCs/>
          <w:noProof/>
          <w:lang w:eastAsia="en-ZA"/>
        </w:rPr>
      </w:pPr>
      <w:bookmarkStart w:id="180" w:name="_Toc519445728"/>
      <w:r w:rsidRPr="00374E2B">
        <w:t xml:space="preserve">(b) </w:t>
      </w:r>
      <w:r w:rsidR="002C17DA" w:rsidRPr="00374E2B">
        <w:t>Earthworks to shape dumps to the required angle of slope</w:t>
      </w:r>
      <w:bookmarkEnd w:id="180"/>
      <w:r w:rsidR="002C17DA" w:rsidRPr="00D7687F">
        <w:rPr>
          <w:iCs/>
          <w:noProof/>
          <w:lang w:eastAsia="en-ZA"/>
        </w:rPr>
        <w:t xml:space="preserve"> </w:t>
      </w:r>
      <w:bookmarkStart w:id="181" w:name="_Hlk519059989"/>
    </w:p>
    <w:p w14:paraId="234F444B" w14:textId="58986A77" w:rsidR="0087653A" w:rsidRPr="00203170" w:rsidRDefault="0087653A" w:rsidP="0087653A">
      <w:pPr>
        <w:rPr>
          <w:szCs w:val="24"/>
        </w:rPr>
      </w:pPr>
      <w:r w:rsidRPr="00203170">
        <w:rPr>
          <w:szCs w:val="24"/>
        </w:rPr>
        <w:t>The next individual cost component that forms a part of the master rate in the DM</w:t>
      </w:r>
      <w:r>
        <w:rPr>
          <w:szCs w:val="24"/>
        </w:rPr>
        <w:t>E</w:t>
      </w:r>
      <w:r w:rsidRPr="00203170">
        <w:rPr>
          <w:szCs w:val="24"/>
        </w:rPr>
        <w:t xml:space="preserve"> guideline for the rehabilitation of processing waste deposits (of the type encountered on asbestos dumps) is the shaping of the dump. This happens after the desired dump slope angle has been attained</w:t>
      </w:r>
      <w:r>
        <w:rPr>
          <w:szCs w:val="24"/>
        </w:rPr>
        <w:t xml:space="preserve"> and </w:t>
      </w:r>
      <w:r w:rsidRPr="00203170">
        <w:rPr>
          <w:szCs w:val="24"/>
        </w:rPr>
        <w:t xml:space="preserve">involves the smoothing and final shaping of the waste dump with the aim of preparing the surface for the placement of cover layers, water runoff management and </w:t>
      </w:r>
      <w:r w:rsidRPr="00203170">
        <w:rPr>
          <w:szCs w:val="24"/>
        </w:rPr>
        <w:lastRenderedPageBreak/>
        <w:t xml:space="preserve">erosion control as well as vegetation. </w:t>
      </w:r>
      <w:r>
        <w:rPr>
          <w:szCs w:val="24"/>
        </w:rPr>
        <w:t xml:space="preserve">More details on this process step are provided in </w:t>
      </w:r>
      <w:r w:rsidRPr="0087653A">
        <w:rPr>
          <w:b/>
          <w:szCs w:val="24"/>
        </w:rPr>
        <w:t>Annexure C</w:t>
      </w:r>
      <w:r>
        <w:rPr>
          <w:szCs w:val="24"/>
        </w:rPr>
        <w:t xml:space="preserve">. </w:t>
      </w:r>
    </w:p>
    <w:bookmarkEnd w:id="181"/>
    <w:p w14:paraId="1164286A" w14:textId="34C6C62B" w:rsidR="003410CC" w:rsidRPr="00203170" w:rsidRDefault="00D14D5A" w:rsidP="00AE71A0">
      <w:pPr>
        <w:rPr>
          <w:szCs w:val="24"/>
        </w:rPr>
      </w:pPr>
      <w:r>
        <w:rPr>
          <w:noProof/>
          <w:lang w:eastAsia="en-ZA"/>
        </w:rPr>
        <w:drawing>
          <wp:inline distT="0" distB="0" distL="0" distR="0" wp14:anchorId="48AD2B60" wp14:editId="25204739">
            <wp:extent cx="5676900" cy="3698240"/>
            <wp:effectExtent l="0" t="0" r="0" b="16510"/>
            <wp:docPr id="19" name="Chart 1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587D6B79-3B93-4143-A449-476BF2B2F3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7B4BD3B" w14:textId="55216352" w:rsidR="009E0CE1" w:rsidRPr="0010396E" w:rsidRDefault="000049EB" w:rsidP="000049EB">
      <w:pPr>
        <w:pStyle w:val="Caption"/>
      </w:pPr>
      <w:bookmarkStart w:id="182" w:name="_Toc507336586"/>
      <w:bookmarkStart w:id="183" w:name="_Toc507336699"/>
      <w:bookmarkStart w:id="184" w:name="_Toc517372952"/>
      <w:bookmarkStart w:id="185" w:name="_Toc517373107"/>
      <w:bookmarkStart w:id="186" w:name="_Toc519445870"/>
      <w:bookmarkStart w:id="187" w:name="_Toc519445907"/>
      <w:r>
        <w:t>Figure 4.</w:t>
      </w:r>
      <w:r w:rsidR="001644AB">
        <w:t>7</w:t>
      </w:r>
      <w:r>
        <w:t xml:space="preserve">: </w:t>
      </w:r>
      <w:r w:rsidR="009177E8" w:rsidRPr="0010396E">
        <w:t>Comparison of DM</w:t>
      </w:r>
      <w:r w:rsidR="007C04B5" w:rsidRPr="0010396E">
        <w:t>E</w:t>
      </w:r>
      <w:r w:rsidR="009177E8" w:rsidRPr="0010396E">
        <w:t xml:space="preserve"> </w:t>
      </w:r>
      <w:r w:rsidR="00984327" w:rsidRPr="0010396E">
        <w:t>g</w:t>
      </w:r>
      <w:r w:rsidR="009177E8" w:rsidRPr="0010396E">
        <w:t>uideline values and actual tender data. Guideline item 8C (b) Shaping</w:t>
      </w:r>
      <w:bookmarkEnd w:id="182"/>
      <w:bookmarkEnd w:id="183"/>
      <w:bookmarkEnd w:id="184"/>
      <w:bookmarkEnd w:id="185"/>
      <w:bookmarkEnd w:id="186"/>
      <w:bookmarkEnd w:id="187"/>
    </w:p>
    <w:p w14:paraId="14AA6915" w14:textId="77777777" w:rsidR="0087653A" w:rsidRDefault="0087653A" w:rsidP="00AE71A0">
      <w:pPr>
        <w:rPr>
          <w:szCs w:val="24"/>
        </w:rPr>
      </w:pPr>
    </w:p>
    <w:p w14:paraId="1783EBCF" w14:textId="1A7BB660" w:rsidR="002A478F" w:rsidRDefault="0087653A" w:rsidP="00AE71A0">
      <w:pPr>
        <w:rPr>
          <w:szCs w:val="24"/>
        </w:rPr>
      </w:pPr>
      <w:r>
        <w:rPr>
          <w:szCs w:val="24"/>
        </w:rPr>
        <w:t>As Figure 4.7 illustrates, seven (</w:t>
      </w:r>
      <w:r w:rsidR="00702A08">
        <w:rPr>
          <w:szCs w:val="24"/>
        </w:rPr>
        <w:t>7</w:t>
      </w:r>
      <w:r>
        <w:rPr>
          <w:szCs w:val="24"/>
        </w:rPr>
        <w:t>)</w:t>
      </w:r>
      <w:r w:rsidR="002A478F" w:rsidRPr="002A478F">
        <w:rPr>
          <w:szCs w:val="24"/>
        </w:rPr>
        <w:t xml:space="preserve"> data points </w:t>
      </w:r>
      <w:r w:rsidR="00702A08">
        <w:rPr>
          <w:szCs w:val="24"/>
        </w:rPr>
        <w:t>were available in the period and</w:t>
      </w:r>
      <w:r w:rsidR="002A478F" w:rsidRPr="002A478F">
        <w:rPr>
          <w:szCs w:val="24"/>
        </w:rPr>
        <w:t xml:space="preserve"> it was possible to insert a </w:t>
      </w:r>
      <w:r w:rsidR="00702A08">
        <w:rPr>
          <w:szCs w:val="24"/>
        </w:rPr>
        <w:t xml:space="preserve">representative </w:t>
      </w:r>
      <w:r w:rsidR="002A478F" w:rsidRPr="002A478F">
        <w:rPr>
          <w:szCs w:val="24"/>
        </w:rPr>
        <w:t>linear trendline across these point</w:t>
      </w:r>
      <w:r w:rsidR="00702A08">
        <w:rPr>
          <w:szCs w:val="24"/>
        </w:rPr>
        <w:t xml:space="preserve">s to indicate </w:t>
      </w:r>
      <w:r w:rsidR="002A478F" w:rsidRPr="002A478F">
        <w:rPr>
          <w:szCs w:val="24"/>
        </w:rPr>
        <w:t>the rate of increase in the actual tendered prices</w:t>
      </w:r>
      <w:r>
        <w:rPr>
          <w:szCs w:val="24"/>
        </w:rPr>
        <w:t xml:space="preserve"> for the shaping of waste deposits.</w:t>
      </w:r>
      <w:r w:rsidR="00702A08">
        <w:rPr>
          <w:szCs w:val="24"/>
        </w:rPr>
        <w:t xml:space="preserve"> </w:t>
      </w:r>
      <w:r w:rsidR="002A478F">
        <w:rPr>
          <w:szCs w:val="24"/>
        </w:rPr>
        <w:t>T</w:t>
      </w:r>
      <w:r w:rsidR="002A478F" w:rsidRPr="002A478F">
        <w:rPr>
          <w:szCs w:val="24"/>
        </w:rPr>
        <w:t>he slope</w:t>
      </w:r>
      <w:r w:rsidR="002A478F">
        <w:rPr>
          <w:szCs w:val="24"/>
        </w:rPr>
        <w:t xml:space="preserve"> of the </w:t>
      </w:r>
      <w:r>
        <w:rPr>
          <w:szCs w:val="24"/>
        </w:rPr>
        <w:t xml:space="preserve">linear trendline </w:t>
      </w:r>
      <w:r w:rsidR="002A478F">
        <w:rPr>
          <w:szCs w:val="24"/>
        </w:rPr>
        <w:t>equation</w:t>
      </w:r>
      <w:r w:rsidR="002A478F" w:rsidRPr="002A478F">
        <w:rPr>
          <w:szCs w:val="24"/>
        </w:rPr>
        <w:t xml:space="preserve"> indicates an annual rate of increase of </w:t>
      </w:r>
      <w:r w:rsidR="00702A08">
        <w:rPr>
          <w:szCs w:val="24"/>
        </w:rPr>
        <w:t>about</w:t>
      </w:r>
      <w:r w:rsidR="002A478F" w:rsidRPr="002A478F">
        <w:rPr>
          <w:szCs w:val="24"/>
        </w:rPr>
        <w:t xml:space="preserve"> </w:t>
      </w:r>
      <w:r w:rsidR="002A478F" w:rsidRPr="00702A08">
        <w:rPr>
          <w:szCs w:val="24"/>
        </w:rPr>
        <w:t>R 2.0</w:t>
      </w:r>
      <w:r w:rsidR="00702A08" w:rsidRPr="00702A08">
        <w:rPr>
          <w:szCs w:val="24"/>
        </w:rPr>
        <w:t>1</w:t>
      </w:r>
      <w:r w:rsidR="002A478F" w:rsidRPr="002A478F">
        <w:rPr>
          <w:szCs w:val="24"/>
        </w:rPr>
        <w:t>/m</w:t>
      </w:r>
      <w:r w:rsidR="00702A08">
        <w:rPr>
          <w:szCs w:val="24"/>
          <w:vertAlign w:val="superscript"/>
        </w:rPr>
        <w:t>3</w:t>
      </w:r>
      <w:r w:rsidR="002A478F" w:rsidRPr="002A478F">
        <w:rPr>
          <w:szCs w:val="24"/>
        </w:rPr>
        <w:t xml:space="preserve"> compared to the guideline predicted rate of increase </w:t>
      </w:r>
      <w:r w:rsidR="002A478F">
        <w:rPr>
          <w:szCs w:val="24"/>
        </w:rPr>
        <w:t xml:space="preserve">of only </w:t>
      </w:r>
      <w:r w:rsidR="002A478F" w:rsidRPr="002A478F">
        <w:rPr>
          <w:szCs w:val="24"/>
        </w:rPr>
        <w:t xml:space="preserve">around </w:t>
      </w:r>
      <w:r w:rsidR="002A478F" w:rsidRPr="00702A08">
        <w:rPr>
          <w:szCs w:val="24"/>
        </w:rPr>
        <w:t xml:space="preserve">R </w:t>
      </w:r>
      <w:r w:rsidR="00702A08">
        <w:rPr>
          <w:szCs w:val="24"/>
        </w:rPr>
        <w:t>0.18</w:t>
      </w:r>
      <w:r w:rsidR="002A478F">
        <w:rPr>
          <w:szCs w:val="24"/>
        </w:rPr>
        <w:t>/m</w:t>
      </w:r>
      <w:r w:rsidR="00702A08">
        <w:rPr>
          <w:szCs w:val="24"/>
          <w:vertAlign w:val="superscript"/>
        </w:rPr>
        <w:t>3</w:t>
      </w:r>
      <w:r w:rsidR="002A478F">
        <w:rPr>
          <w:szCs w:val="24"/>
        </w:rPr>
        <w:t xml:space="preserve"> per</w:t>
      </w:r>
      <w:r w:rsidR="002A478F" w:rsidRPr="002A478F">
        <w:rPr>
          <w:szCs w:val="24"/>
        </w:rPr>
        <w:t xml:space="preserve"> year, if the overall CPI value is averaged out to an annual value</w:t>
      </w:r>
      <w:r w:rsidR="002A478F">
        <w:rPr>
          <w:szCs w:val="24"/>
        </w:rPr>
        <w:t xml:space="preserve"> over the 1</w:t>
      </w:r>
      <w:r w:rsidR="007528EB">
        <w:rPr>
          <w:szCs w:val="24"/>
        </w:rPr>
        <w:t>2</w:t>
      </w:r>
      <w:r w:rsidR="002A478F">
        <w:rPr>
          <w:szCs w:val="24"/>
        </w:rPr>
        <w:t xml:space="preserve"> years of escalation</w:t>
      </w:r>
      <w:r w:rsidR="002A478F" w:rsidRPr="002A478F">
        <w:rPr>
          <w:szCs w:val="24"/>
        </w:rPr>
        <w:t>.</w:t>
      </w:r>
      <w:r w:rsidR="002A478F">
        <w:rPr>
          <w:szCs w:val="24"/>
        </w:rPr>
        <w:t xml:space="preserve"> (Compare </w:t>
      </w:r>
      <w:r w:rsidR="002A478F" w:rsidRPr="002A478F">
        <w:rPr>
          <w:b/>
          <w:szCs w:val="24"/>
        </w:rPr>
        <w:t>ANNEXURE A</w:t>
      </w:r>
      <w:r w:rsidR="002A478F">
        <w:rPr>
          <w:szCs w:val="24"/>
        </w:rPr>
        <w:t xml:space="preserve">) </w:t>
      </w:r>
      <w:r w:rsidR="002A478F" w:rsidRPr="002A478F">
        <w:rPr>
          <w:szCs w:val="24"/>
        </w:rPr>
        <w:t>The R</w:t>
      </w:r>
      <w:r w:rsidR="002A478F" w:rsidRPr="002A478F">
        <w:rPr>
          <w:szCs w:val="24"/>
          <w:vertAlign w:val="superscript"/>
        </w:rPr>
        <w:t>2</w:t>
      </w:r>
      <w:r w:rsidR="002A478F" w:rsidRPr="002A478F">
        <w:rPr>
          <w:szCs w:val="24"/>
        </w:rPr>
        <w:t xml:space="preserve"> value of </w:t>
      </w:r>
      <w:r w:rsidR="002A478F" w:rsidRPr="004D207B">
        <w:rPr>
          <w:szCs w:val="24"/>
        </w:rPr>
        <w:t>0.</w:t>
      </w:r>
      <w:r w:rsidR="007528EB" w:rsidRPr="004D207B">
        <w:rPr>
          <w:szCs w:val="24"/>
        </w:rPr>
        <w:t>4171</w:t>
      </w:r>
      <w:r w:rsidR="004D207B" w:rsidRPr="004D207B">
        <w:t xml:space="preserve"> </w:t>
      </w:r>
      <w:r w:rsidR="004D207B" w:rsidRPr="004D207B">
        <w:rPr>
          <w:szCs w:val="24"/>
        </w:rPr>
        <w:t xml:space="preserve">indicates </w:t>
      </w:r>
      <w:r>
        <w:rPr>
          <w:szCs w:val="24"/>
        </w:rPr>
        <w:t xml:space="preserve">only </w:t>
      </w:r>
      <w:r w:rsidR="004D207B" w:rsidRPr="004D207B">
        <w:rPr>
          <w:szCs w:val="24"/>
        </w:rPr>
        <w:t xml:space="preserve">a weak positive correlation of just over </w:t>
      </w:r>
      <w:r w:rsidR="004D207B">
        <w:rPr>
          <w:szCs w:val="24"/>
        </w:rPr>
        <w:t>4</w:t>
      </w:r>
      <w:r w:rsidR="004D207B" w:rsidRPr="004D207B">
        <w:rPr>
          <w:szCs w:val="24"/>
        </w:rPr>
        <w:t xml:space="preserve">0% with the underlying data and </w:t>
      </w:r>
      <w:r>
        <w:rPr>
          <w:szCs w:val="24"/>
        </w:rPr>
        <w:t>w</w:t>
      </w:r>
      <w:r w:rsidR="004D207B" w:rsidRPr="004D207B">
        <w:rPr>
          <w:szCs w:val="24"/>
        </w:rPr>
        <w:t>ide annual variances could be expected from the trendline</w:t>
      </w:r>
      <w:r>
        <w:rPr>
          <w:szCs w:val="24"/>
        </w:rPr>
        <w:t>.</w:t>
      </w:r>
      <w:r w:rsidR="002A478F" w:rsidRPr="002A478F">
        <w:rPr>
          <w:szCs w:val="24"/>
        </w:rPr>
        <w:t xml:space="preserve"> </w:t>
      </w:r>
    </w:p>
    <w:p w14:paraId="1710328E" w14:textId="016B0C7F" w:rsidR="00D7687F" w:rsidRDefault="00D7687F" w:rsidP="00AE71A0">
      <w:pPr>
        <w:rPr>
          <w:szCs w:val="24"/>
        </w:rPr>
      </w:pPr>
    </w:p>
    <w:p w14:paraId="01D9C53B" w14:textId="77777777" w:rsidR="00D14D5A" w:rsidRDefault="00D14D5A" w:rsidP="00AE71A0">
      <w:pPr>
        <w:rPr>
          <w:szCs w:val="24"/>
        </w:rPr>
      </w:pPr>
    </w:p>
    <w:p w14:paraId="02CB1153" w14:textId="77777777" w:rsidR="00D7687F" w:rsidRPr="00203170" w:rsidRDefault="00D7687F" w:rsidP="00AE71A0">
      <w:pPr>
        <w:rPr>
          <w:szCs w:val="24"/>
        </w:rPr>
      </w:pPr>
    </w:p>
    <w:p w14:paraId="18EA4A3A" w14:textId="2A693E80" w:rsidR="00AF6286" w:rsidRDefault="00AF6286" w:rsidP="00AE71A0">
      <w:pPr>
        <w:rPr>
          <w:b/>
          <w:i/>
          <w:szCs w:val="24"/>
        </w:rPr>
      </w:pPr>
      <w:r w:rsidRPr="00374E2B">
        <w:rPr>
          <w:b/>
          <w:i/>
          <w:szCs w:val="24"/>
        </w:rPr>
        <w:lastRenderedPageBreak/>
        <w:t>4.</w:t>
      </w:r>
      <w:r w:rsidR="006247F7">
        <w:rPr>
          <w:b/>
          <w:i/>
          <w:szCs w:val="24"/>
        </w:rPr>
        <w:t>3.</w:t>
      </w:r>
      <w:r w:rsidR="00F048C4">
        <w:rPr>
          <w:b/>
          <w:i/>
          <w:szCs w:val="24"/>
        </w:rPr>
        <w:t>4</w:t>
      </w:r>
      <w:r w:rsidRPr="00374E2B">
        <w:rPr>
          <w:b/>
          <w:i/>
          <w:szCs w:val="24"/>
        </w:rPr>
        <w:t xml:space="preserve"> (c)</w:t>
      </w:r>
      <w:r w:rsidR="00B45DC9">
        <w:rPr>
          <w:b/>
          <w:i/>
          <w:szCs w:val="24"/>
        </w:rPr>
        <w:t xml:space="preserve"> </w:t>
      </w:r>
      <w:r w:rsidRPr="00374E2B">
        <w:rPr>
          <w:b/>
          <w:i/>
          <w:szCs w:val="24"/>
        </w:rPr>
        <w:t xml:space="preserve">The placement of dedicated covers over the dump (Component rate 2.6.4.2 in guideline)  </w:t>
      </w:r>
    </w:p>
    <w:p w14:paraId="228F7743" w14:textId="2C7FF529" w:rsidR="0087653A" w:rsidRPr="00374E2B" w:rsidRDefault="0087653A" w:rsidP="0087653A">
      <w:r>
        <w:t xml:space="preserve">The next step in the rehabilitation of a processing waste deposit, is the placing of a layer of rocky material.  Details of this step appear in </w:t>
      </w:r>
      <w:r w:rsidRPr="0087653A">
        <w:rPr>
          <w:b/>
        </w:rPr>
        <w:t>Annexure C</w:t>
      </w:r>
      <w:r>
        <w:t xml:space="preserve">. </w:t>
      </w:r>
    </w:p>
    <w:p w14:paraId="7EC6FD4A" w14:textId="0AED5569" w:rsidR="008B7EAA" w:rsidRPr="00203170" w:rsidRDefault="00D14D5A" w:rsidP="00AE71A0">
      <w:pPr>
        <w:rPr>
          <w:szCs w:val="24"/>
        </w:rPr>
      </w:pPr>
      <w:r>
        <w:rPr>
          <w:noProof/>
          <w:lang w:eastAsia="en-ZA"/>
        </w:rPr>
        <w:drawing>
          <wp:inline distT="0" distB="0" distL="0" distR="0" wp14:anchorId="4DF24767" wp14:editId="7E592230">
            <wp:extent cx="5730240" cy="3893820"/>
            <wp:effectExtent l="0" t="0" r="3810" b="11430"/>
            <wp:docPr id="20" name="Chart 2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DEF69F3-8FE4-4EED-8332-46451450B7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FCA17DB" w14:textId="416DC32B" w:rsidR="009E0CE1" w:rsidRPr="0010396E" w:rsidRDefault="00C511D2" w:rsidP="00C511D2">
      <w:pPr>
        <w:pStyle w:val="Caption"/>
      </w:pPr>
      <w:bookmarkStart w:id="188" w:name="_Toc507336587"/>
      <w:bookmarkStart w:id="189" w:name="_Toc507336700"/>
      <w:bookmarkStart w:id="190" w:name="_Toc517372953"/>
      <w:bookmarkStart w:id="191" w:name="_Toc517373108"/>
      <w:bookmarkStart w:id="192" w:name="_Toc519445871"/>
      <w:bookmarkStart w:id="193" w:name="_Toc519445908"/>
      <w:r>
        <w:t>Figure 4.</w:t>
      </w:r>
      <w:r w:rsidR="001644AB">
        <w:t>8</w:t>
      </w:r>
      <w:r>
        <w:t xml:space="preserve">: </w:t>
      </w:r>
      <w:r w:rsidR="009177E8" w:rsidRPr="0010396E">
        <w:t>Comparison of DM</w:t>
      </w:r>
      <w:r w:rsidR="007C04B5" w:rsidRPr="0010396E">
        <w:t>E</w:t>
      </w:r>
      <w:r w:rsidR="009177E8" w:rsidRPr="0010396E">
        <w:t xml:space="preserve"> </w:t>
      </w:r>
      <w:r w:rsidR="00984327" w:rsidRPr="0010396E">
        <w:t>g</w:t>
      </w:r>
      <w:r w:rsidR="009177E8" w:rsidRPr="0010396E">
        <w:t xml:space="preserve">uideline values and actual tender data. Guideline item 8C (c) </w:t>
      </w:r>
      <w:r>
        <w:br/>
      </w:r>
      <w:r w:rsidR="009177E8" w:rsidRPr="0010396E">
        <w:t>Covering: Armour</w:t>
      </w:r>
      <w:bookmarkEnd w:id="188"/>
      <w:bookmarkEnd w:id="189"/>
      <w:bookmarkEnd w:id="190"/>
      <w:bookmarkEnd w:id="191"/>
      <w:bookmarkEnd w:id="192"/>
      <w:bookmarkEnd w:id="193"/>
    </w:p>
    <w:p w14:paraId="05C63E21" w14:textId="0621D7E8" w:rsidR="003A1F06" w:rsidRDefault="003A1F06" w:rsidP="00AE71A0">
      <w:pPr>
        <w:rPr>
          <w:szCs w:val="24"/>
        </w:rPr>
      </w:pPr>
      <w:r w:rsidRPr="00203170">
        <w:rPr>
          <w:szCs w:val="24"/>
        </w:rPr>
        <w:t xml:space="preserve">The </w:t>
      </w:r>
      <w:r w:rsidR="00575D5D" w:rsidRPr="00203170">
        <w:rPr>
          <w:szCs w:val="24"/>
        </w:rPr>
        <w:t>third-party</w:t>
      </w:r>
      <w:r w:rsidRPr="00203170">
        <w:rPr>
          <w:szCs w:val="24"/>
        </w:rPr>
        <w:t xml:space="preserve"> rate per m</w:t>
      </w:r>
      <w:r w:rsidRPr="00203170">
        <w:rPr>
          <w:szCs w:val="24"/>
          <w:vertAlign w:val="superscript"/>
        </w:rPr>
        <w:t>3</w:t>
      </w:r>
      <w:r w:rsidRPr="00203170">
        <w:rPr>
          <w:szCs w:val="24"/>
        </w:rPr>
        <w:t xml:space="preserve"> to </w:t>
      </w:r>
      <w:r w:rsidR="00695E24" w:rsidRPr="00203170">
        <w:rPr>
          <w:szCs w:val="24"/>
        </w:rPr>
        <w:t xml:space="preserve">place the rocky cover layer </w:t>
      </w:r>
      <w:r w:rsidRPr="00203170">
        <w:rPr>
          <w:szCs w:val="24"/>
        </w:rPr>
        <w:t xml:space="preserve">on dumps according to the specification, as actually tendered, </w:t>
      </w:r>
      <w:r w:rsidR="004C6D0B" w:rsidRPr="00203170">
        <w:rPr>
          <w:szCs w:val="24"/>
        </w:rPr>
        <w:t xml:space="preserve">followed the recommended guideline rate </w:t>
      </w:r>
      <w:r w:rsidR="00290659" w:rsidRPr="00203170">
        <w:rPr>
          <w:szCs w:val="24"/>
        </w:rPr>
        <w:t>closely</w:t>
      </w:r>
      <w:r w:rsidR="004C6D0B" w:rsidRPr="00203170">
        <w:rPr>
          <w:szCs w:val="24"/>
        </w:rPr>
        <w:t xml:space="preserve"> in the years from 2009</w:t>
      </w:r>
      <w:r w:rsidR="001644AB">
        <w:rPr>
          <w:szCs w:val="24"/>
        </w:rPr>
        <w:t xml:space="preserve"> </w:t>
      </w:r>
      <w:r w:rsidR="004C6D0B" w:rsidRPr="00203170">
        <w:rPr>
          <w:szCs w:val="24"/>
        </w:rPr>
        <w:t>-</w:t>
      </w:r>
      <w:r w:rsidR="001644AB">
        <w:rPr>
          <w:szCs w:val="24"/>
        </w:rPr>
        <w:t xml:space="preserve"> </w:t>
      </w:r>
      <w:r w:rsidR="004C6D0B" w:rsidRPr="00203170">
        <w:rPr>
          <w:szCs w:val="24"/>
        </w:rPr>
        <w:t xml:space="preserve">2012. </w:t>
      </w:r>
      <w:r w:rsidRPr="00203170">
        <w:rPr>
          <w:szCs w:val="24"/>
        </w:rPr>
        <w:t>In the period from 2009 – 201</w:t>
      </w:r>
      <w:r w:rsidR="004C6D0B" w:rsidRPr="00203170">
        <w:rPr>
          <w:szCs w:val="24"/>
        </w:rPr>
        <w:t>2</w:t>
      </w:r>
      <w:r w:rsidRPr="00203170">
        <w:rPr>
          <w:szCs w:val="24"/>
        </w:rPr>
        <w:t xml:space="preserve">, the predicted rate of </w:t>
      </w:r>
      <w:r w:rsidR="004C6D0B" w:rsidRPr="00203170">
        <w:rPr>
          <w:szCs w:val="24"/>
        </w:rPr>
        <w:t xml:space="preserve">cover layer placement </w:t>
      </w:r>
      <w:r w:rsidRPr="00203170">
        <w:rPr>
          <w:szCs w:val="24"/>
        </w:rPr>
        <w:t>was in the range of R</w:t>
      </w:r>
      <w:r w:rsidR="004C6D0B" w:rsidRPr="00203170">
        <w:rPr>
          <w:szCs w:val="24"/>
        </w:rPr>
        <w:t>2</w:t>
      </w:r>
      <w:r w:rsidR="00903B7A">
        <w:rPr>
          <w:szCs w:val="24"/>
        </w:rPr>
        <w:t>1</w:t>
      </w:r>
      <w:r w:rsidRPr="00203170">
        <w:rPr>
          <w:szCs w:val="24"/>
        </w:rPr>
        <w:t xml:space="preserve"> – R</w:t>
      </w:r>
      <w:r w:rsidR="004C6D0B" w:rsidRPr="00203170">
        <w:rPr>
          <w:szCs w:val="24"/>
        </w:rPr>
        <w:t>2</w:t>
      </w:r>
      <w:r w:rsidR="00903B7A">
        <w:rPr>
          <w:szCs w:val="24"/>
        </w:rPr>
        <w:t>5</w:t>
      </w:r>
      <w:r w:rsidRPr="00203170">
        <w:rPr>
          <w:szCs w:val="24"/>
        </w:rPr>
        <w:t xml:space="preserve"> per cubic metre. The actual tender data during this period </w:t>
      </w:r>
      <w:r w:rsidR="004C6D0B" w:rsidRPr="00203170">
        <w:rPr>
          <w:szCs w:val="24"/>
        </w:rPr>
        <w:t xml:space="preserve">started out at R 40 per cubic metre in 2009, double the guideline rate, but then decreased in the following three years </w:t>
      </w:r>
      <w:r w:rsidR="00984327" w:rsidRPr="00203170">
        <w:rPr>
          <w:szCs w:val="24"/>
        </w:rPr>
        <w:t xml:space="preserve">(2010-2012) </w:t>
      </w:r>
      <w:r w:rsidR="004C6D0B" w:rsidRPr="00203170">
        <w:rPr>
          <w:szCs w:val="24"/>
        </w:rPr>
        <w:t xml:space="preserve">to follow the guideline rate very closely. </w:t>
      </w:r>
      <w:r w:rsidRPr="00203170">
        <w:rPr>
          <w:szCs w:val="24"/>
        </w:rPr>
        <w:t>The</w:t>
      </w:r>
      <w:r w:rsidR="004C6D0B" w:rsidRPr="00203170">
        <w:rPr>
          <w:szCs w:val="24"/>
        </w:rPr>
        <w:t xml:space="preserve">re is a gap </w:t>
      </w:r>
      <w:r w:rsidR="00575D5D" w:rsidRPr="00203170">
        <w:rPr>
          <w:szCs w:val="24"/>
        </w:rPr>
        <w:t>in</w:t>
      </w:r>
      <w:r w:rsidR="004C6D0B" w:rsidRPr="00203170">
        <w:rPr>
          <w:szCs w:val="24"/>
        </w:rPr>
        <w:t xml:space="preserve"> the data </w:t>
      </w:r>
      <w:r w:rsidR="00575D5D" w:rsidRPr="00203170">
        <w:rPr>
          <w:szCs w:val="24"/>
        </w:rPr>
        <w:t>for</w:t>
      </w:r>
      <w:r w:rsidR="004C6D0B" w:rsidRPr="00203170">
        <w:rPr>
          <w:szCs w:val="24"/>
        </w:rPr>
        <w:t xml:space="preserve"> the year </w:t>
      </w:r>
      <w:r w:rsidR="00575D5D" w:rsidRPr="00203170">
        <w:rPr>
          <w:szCs w:val="24"/>
        </w:rPr>
        <w:t>2013 but</w:t>
      </w:r>
      <w:r w:rsidR="004C6D0B" w:rsidRPr="00203170">
        <w:rPr>
          <w:szCs w:val="24"/>
        </w:rPr>
        <w:t xml:space="preserve"> the next data point</w:t>
      </w:r>
      <w:r w:rsidR="00984327" w:rsidRPr="00203170">
        <w:rPr>
          <w:szCs w:val="24"/>
        </w:rPr>
        <w:t>,</w:t>
      </w:r>
      <w:r w:rsidR="004C6D0B" w:rsidRPr="00203170">
        <w:rPr>
          <w:szCs w:val="24"/>
        </w:rPr>
        <w:t xml:space="preserve"> in the year 2014, indicates that the rate had risen significantly to R 70 per cubic metre against a pre</w:t>
      </w:r>
      <w:r w:rsidR="00903B7A">
        <w:rPr>
          <w:szCs w:val="24"/>
        </w:rPr>
        <w:t>dicted guideline rate of only R37</w:t>
      </w:r>
      <w:r w:rsidR="004C6D0B" w:rsidRPr="00203170">
        <w:rPr>
          <w:szCs w:val="24"/>
        </w:rPr>
        <w:t>/m</w:t>
      </w:r>
      <w:r w:rsidR="004C6D0B" w:rsidRPr="00203170">
        <w:rPr>
          <w:szCs w:val="24"/>
          <w:vertAlign w:val="superscript"/>
        </w:rPr>
        <w:t>3</w:t>
      </w:r>
      <w:r w:rsidR="004C6D0B" w:rsidRPr="00203170">
        <w:rPr>
          <w:szCs w:val="24"/>
        </w:rPr>
        <w:t>.</w:t>
      </w:r>
      <w:r w:rsidRPr="00203170">
        <w:rPr>
          <w:szCs w:val="24"/>
        </w:rPr>
        <w:t xml:space="preserve"> </w:t>
      </w:r>
      <w:r w:rsidR="004C6D0B" w:rsidRPr="00203170">
        <w:rPr>
          <w:szCs w:val="24"/>
        </w:rPr>
        <w:t xml:space="preserve">In the next two years, this rate increases dramatically to almost R 350 and finally to R 520 per cubic metre in the last year for which there is data (2016). </w:t>
      </w:r>
    </w:p>
    <w:p w14:paraId="681CF630" w14:textId="3CE8FA3B" w:rsidR="002A478F" w:rsidRPr="00203170" w:rsidRDefault="004D207B" w:rsidP="00AE71A0">
      <w:pPr>
        <w:rPr>
          <w:szCs w:val="24"/>
        </w:rPr>
      </w:pPr>
      <w:r>
        <w:rPr>
          <w:szCs w:val="24"/>
        </w:rPr>
        <w:lastRenderedPageBreak/>
        <w:t xml:space="preserve">The 7 </w:t>
      </w:r>
      <w:r w:rsidR="002A478F" w:rsidRPr="002A478F">
        <w:rPr>
          <w:szCs w:val="24"/>
        </w:rPr>
        <w:t xml:space="preserve">data points </w:t>
      </w:r>
      <w:r>
        <w:rPr>
          <w:szCs w:val="24"/>
        </w:rPr>
        <w:t xml:space="preserve">that were available in the period allowed a </w:t>
      </w:r>
      <w:r w:rsidR="002A478F" w:rsidRPr="002A478F">
        <w:rPr>
          <w:szCs w:val="24"/>
        </w:rPr>
        <w:t xml:space="preserve">linear trendline </w:t>
      </w:r>
      <w:r>
        <w:rPr>
          <w:szCs w:val="24"/>
        </w:rPr>
        <w:t xml:space="preserve">to be calculated </w:t>
      </w:r>
      <w:r w:rsidR="002A478F" w:rsidRPr="002A478F">
        <w:rPr>
          <w:szCs w:val="24"/>
        </w:rPr>
        <w:t>across these point</w:t>
      </w:r>
      <w:r>
        <w:rPr>
          <w:szCs w:val="24"/>
        </w:rPr>
        <w:t xml:space="preserve">s to analyse </w:t>
      </w:r>
      <w:r w:rsidR="002A478F" w:rsidRPr="002A478F">
        <w:rPr>
          <w:szCs w:val="24"/>
        </w:rPr>
        <w:t xml:space="preserve">the rate of increase in the actual tendered prices. The formula for the trendline is y = </w:t>
      </w:r>
      <w:r w:rsidRPr="004D207B">
        <w:rPr>
          <w:szCs w:val="24"/>
        </w:rPr>
        <w:t>62.136x - 369.92</w:t>
      </w:r>
      <w:r w:rsidR="0087653A">
        <w:rPr>
          <w:szCs w:val="24"/>
        </w:rPr>
        <w:t xml:space="preserve"> and t</w:t>
      </w:r>
      <w:r w:rsidR="002A478F" w:rsidRPr="002A478F">
        <w:rPr>
          <w:szCs w:val="24"/>
        </w:rPr>
        <w:t>he slope</w:t>
      </w:r>
      <w:r w:rsidR="002A478F">
        <w:rPr>
          <w:szCs w:val="24"/>
        </w:rPr>
        <w:t xml:space="preserve"> of the </w:t>
      </w:r>
      <w:r>
        <w:rPr>
          <w:szCs w:val="24"/>
        </w:rPr>
        <w:t xml:space="preserve">trendline </w:t>
      </w:r>
      <w:r w:rsidR="002A478F">
        <w:rPr>
          <w:szCs w:val="24"/>
        </w:rPr>
        <w:t>equation</w:t>
      </w:r>
      <w:r w:rsidR="002A478F" w:rsidRPr="002A478F">
        <w:rPr>
          <w:szCs w:val="24"/>
        </w:rPr>
        <w:t xml:space="preserve"> indicates an annual rate of increase of almost R </w:t>
      </w:r>
      <w:r w:rsidRPr="004D207B">
        <w:rPr>
          <w:szCs w:val="24"/>
        </w:rPr>
        <w:t>62</w:t>
      </w:r>
      <w:r w:rsidR="002A478F" w:rsidRPr="004D207B">
        <w:rPr>
          <w:szCs w:val="24"/>
        </w:rPr>
        <w:t>.</w:t>
      </w:r>
      <w:r w:rsidRPr="004D207B">
        <w:rPr>
          <w:szCs w:val="24"/>
        </w:rPr>
        <w:t>17</w:t>
      </w:r>
      <w:r w:rsidR="002A478F" w:rsidRPr="002A478F">
        <w:rPr>
          <w:szCs w:val="24"/>
        </w:rPr>
        <w:t>/m</w:t>
      </w:r>
      <w:r>
        <w:rPr>
          <w:szCs w:val="24"/>
          <w:vertAlign w:val="superscript"/>
        </w:rPr>
        <w:t>3</w:t>
      </w:r>
      <w:r w:rsidR="002A478F" w:rsidRPr="002A478F">
        <w:rPr>
          <w:szCs w:val="24"/>
        </w:rPr>
        <w:t xml:space="preserve"> compared to the guideline predicted increase </w:t>
      </w:r>
      <w:r w:rsidR="002A478F">
        <w:rPr>
          <w:szCs w:val="24"/>
        </w:rPr>
        <w:t xml:space="preserve">of only </w:t>
      </w:r>
      <w:r w:rsidR="002A478F" w:rsidRPr="002A478F">
        <w:rPr>
          <w:szCs w:val="24"/>
        </w:rPr>
        <w:t xml:space="preserve">around </w:t>
      </w:r>
      <w:r w:rsidR="002A478F" w:rsidRPr="00B853BF">
        <w:rPr>
          <w:szCs w:val="24"/>
        </w:rPr>
        <w:t>R 1.</w:t>
      </w:r>
      <w:r w:rsidR="00B853BF" w:rsidRPr="00B853BF">
        <w:rPr>
          <w:szCs w:val="24"/>
        </w:rPr>
        <w:t>29</w:t>
      </w:r>
      <w:r w:rsidR="002A478F">
        <w:rPr>
          <w:szCs w:val="24"/>
        </w:rPr>
        <w:t>/m</w:t>
      </w:r>
      <w:r>
        <w:rPr>
          <w:szCs w:val="24"/>
          <w:vertAlign w:val="superscript"/>
        </w:rPr>
        <w:t>3</w:t>
      </w:r>
      <w:r w:rsidR="002A478F">
        <w:rPr>
          <w:szCs w:val="24"/>
        </w:rPr>
        <w:t xml:space="preserve"> per</w:t>
      </w:r>
      <w:r w:rsidR="002A478F" w:rsidRPr="002A478F">
        <w:rPr>
          <w:szCs w:val="24"/>
        </w:rPr>
        <w:t xml:space="preserve"> year</w:t>
      </w:r>
      <w:r w:rsidR="00B853BF">
        <w:rPr>
          <w:szCs w:val="24"/>
        </w:rPr>
        <w:t xml:space="preserve"> on average </w:t>
      </w:r>
      <w:r w:rsidR="002A478F">
        <w:rPr>
          <w:szCs w:val="24"/>
        </w:rPr>
        <w:t>over the 1</w:t>
      </w:r>
      <w:r w:rsidR="00B853BF">
        <w:rPr>
          <w:szCs w:val="24"/>
        </w:rPr>
        <w:t>2</w:t>
      </w:r>
      <w:r w:rsidR="002A478F">
        <w:rPr>
          <w:szCs w:val="24"/>
        </w:rPr>
        <w:t xml:space="preserve"> years of escalation</w:t>
      </w:r>
      <w:r w:rsidR="002A478F" w:rsidRPr="002A478F">
        <w:rPr>
          <w:szCs w:val="24"/>
        </w:rPr>
        <w:t>.</w:t>
      </w:r>
      <w:r w:rsidR="002A478F">
        <w:rPr>
          <w:szCs w:val="24"/>
        </w:rPr>
        <w:t xml:space="preserve"> (Compare </w:t>
      </w:r>
      <w:r w:rsidR="002A478F" w:rsidRPr="002A478F">
        <w:rPr>
          <w:b/>
          <w:szCs w:val="24"/>
        </w:rPr>
        <w:t>ANNEXURE A</w:t>
      </w:r>
      <w:r w:rsidR="002A478F">
        <w:rPr>
          <w:szCs w:val="24"/>
        </w:rPr>
        <w:t xml:space="preserve">) </w:t>
      </w:r>
      <w:r w:rsidR="002A478F" w:rsidRPr="002A478F">
        <w:rPr>
          <w:szCs w:val="24"/>
        </w:rPr>
        <w:t>The R</w:t>
      </w:r>
      <w:r w:rsidR="002A478F" w:rsidRPr="002A478F">
        <w:rPr>
          <w:szCs w:val="24"/>
          <w:vertAlign w:val="superscript"/>
        </w:rPr>
        <w:t>2</w:t>
      </w:r>
      <w:r w:rsidR="002A478F" w:rsidRPr="002A478F">
        <w:rPr>
          <w:szCs w:val="24"/>
        </w:rPr>
        <w:t xml:space="preserve"> value of </w:t>
      </w:r>
      <w:r w:rsidR="002A478F" w:rsidRPr="00B853BF">
        <w:rPr>
          <w:szCs w:val="24"/>
        </w:rPr>
        <w:t>0.</w:t>
      </w:r>
      <w:r w:rsidR="00B853BF" w:rsidRPr="00B853BF">
        <w:rPr>
          <w:szCs w:val="24"/>
        </w:rPr>
        <w:t>6809</w:t>
      </w:r>
      <w:r w:rsidR="002A478F" w:rsidRPr="002A478F">
        <w:rPr>
          <w:szCs w:val="24"/>
        </w:rPr>
        <w:t xml:space="preserve"> </w:t>
      </w:r>
      <w:r w:rsidR="00B853BF" w:rsidRPr="00B853BF">
        <w:rPr>
          <w:szCs w:val="24"/>
        </w:rPr>
        <w:t xml:space="preserve">indicates a </w:t>
      </w:r>
      <w:r w:rsidR="00B853BF">
        <w:rPr>
          <w:szCs w:val="24"/>
        </w:rPr>
        <w:t xml:space="preserve">moderate </w:t>
      </w:r>
      <w:r w:rsidR="00B853BF" w:rsidRPr="00B853BF">
        <w:rPr>
          <w:szCs w:val="24"/>
        </w:rPr>
        <w:t xml:space="preserve">positive correlation </w:t>
      </w:r>
      <w:r w:rsidR="00B853BF">
        <w:rPr>
          <w:szCs w:val="24"/>
        </w:rPr>
        <w:t>approaching 7</w:t>
      </w:r>
      <w:r w:rsidR="00B853BF" w:rsidRPr="00B853BF">
        <w:rPr>
          <w:szCs w:val="24"/>
        </w:rPr>
        <w:t>0% with the underlying data</w:t>
      </w:r>
      <w:r w:rsidR="00B853BF">
        <w:rPr>
          <w:szCs w:val="24"/>
        </w:rPr>
        <w:t xml:space="preserve">. </w:t>
      </w:r>
    </w:p>
    <w:p w14:paraId="5E91054B" w14:textId="50D46B42" w:rsidR="002C17DA" w:rsidRDefault="00AF6286" w:rsidP="00AE71A0">
      <w:pPr>
        <w:rPr>
          <w:b/>
          <w:i/>
          <w:szCs w:val="24"/>
        </w:rPr>
      </w:pPr>
      <w:r w:rsidRPr="00374E2B">
        <w:rPr>
          <w:b/>
          <w:i/>
          <w:szCs w:val="24"/>
        </w:rPr>
        <w:t>4.</w:t>
      </w:r>
      <w:r w:rsidR="006247F7">
        <w:rPr>
          <w:b/>
          <w:i/>
          <w:szCs w:val="24"/>
        </w:rPr>
        <w:t>3.</w:t>
      </w:r>
      <w:r w:rsidR="00F048C4">
        <w:rPr>
          <w:b/>
          <w:i/>
          <w:szCs w:val="24"/>
        </w:rPr>
        <w:t>4</w:t>
      </w:r>
      <w:r w:rsidRPr="00374E2B">
        <w:rPr>
          <w:b/>
          <w:i/>
          <w:szCs w:val="24"/>
        </w:rPr>
        <w:t xml:space="preserve"> (d) </w:t>
      </w:r>
      <w:r w:rsidRPr="00374E2B">
        <w:rPr>
          <w:b/>
          <w:i/>
          <w:szCs w:val="24"/>
        </w:rPr>
        <w:tab/>
      </w:r>
      <w:r w:rsidR="002C17DA" w:rsidRPr="00374E2B">
        <w:rPr>
          <w:b/>
          <w:i/>
          <w:szCs w:val="24"/>
        </w:rPr>
        <w:t xml:space="preserve">Placing a topsoil cover of 300mm </w:t>
      </w:r>
    </w:p>
    <w:p w14:paraId="00239F98" w14:textId="62293F7B" w:rsidR="0087653A" w:rsidRPr="0087653A" w:rsidRDefault="0087653A" w:rsidP="0087653A">
      <w:r>
        <w:t xml:space="preserve">Following the armour or rocky layer over a the prepared waste deposit during rehabilitation is a cover of soil, usually at least 300mm thick. </w:t>
      </w:r>
    </w:p>
    <w:p w14:paraId="4F24DEB7" w14:textId="2F89608E" w:rsidR="008B7EAA" w:rsidRPr="00203170" w:rsidRDefault="00D14D5A" w:rsidP="00AE71A0">
      <w:pPr>
        <w:rPr>
          <w:szCs w:val="24"/>
        </w:rPr>
      </w:pPr>
      <w:r>
        <w:rPr>
          <w:noProof/>
          <w:lang w:eastAsia="en-ZA"/>
        </w:rPr>
        <w:drawing>
          <wp:inline distT="0" distB="0" distL="0" distR="0" wp14:anchorId="4449E6C0" wp14:editId="7CE27560">
            <wp:extent cx="5753100" cy="3878580"/>
            <wp:effectExtent l="0" t="0" r="0" b="7620"/>
            <wp:docPr id="31" name="Chart 3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52DC8423-20FA-433D-AFFC-8AC873014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376232" w14:textId="59F0C7DA" w:rsidR="009E0CE1" w:rsidRPr="0010396E" w:rsidRDefault="00C511D2" w:rsidP="00C511D2">
      <w:pPr>
        <w:pStyle w:val="Caption"/>
      </w:pPr>
      <w:bookmarkStart w:id="194" w:name="_Toc507336588"/>
      <w:bookmarkStart w:id="195" w:name="_Toc507336701"/>
      <w:bookmarkStart w:id="196" w:name="_Toc517372954"/>
      <w:bookmarkStart w:id="197" w:name="_Toc517373109"/>
      <w:bookmarkStart w:id="198" w:name="_Toc519445872"/>
      <w:bookmarkStart w:id="199" w:name="_Toc519445909"/>
      <w:r>
        <w:t>Figure 4.</w:t>
      </w:r>
      <w:r w:rsidR="001644AB">
        <w:t>9</w:t>
      </w:r>
      <w:r>
        <w:t xml:space="preserve">: </w:t>
      </w:r>
      <w:r w:rsidR="009177E8" w:rsidRPr="0010396E">
        <w:t xml:space="preserve">Comparison of </w:t>
      </w:r>
      <w:r w:rsidR="007C04B5" w:rsidRPr="0010396E">
        <w:t>DME</w:t>
      </w:r>
      <w:r w:rsidR="009177E8" w:rsidRPr="0010396E">
        <w:t xml:space="preserve"> </w:t>
      </w:r>
      <w:r w:rsidR="00984327" w:rsidRPr="0010396E">
        <w:t>g</w:t>
      </w:r>
      <w:r w:rsidR="009177E8" w:rsidRPr="0010396E">
        <w:t xml:space="preserve">uideline values and actual tender data. Guideline item 8C (d) </w:t>
      </w:r>
      <w:r>
        <w:br/>
      </w:r>
      <w:r w:rsidR="009177E8" w:rsidRPr="0010396E">
        <w:t>Covering: Evaporative</w:t>
      </w:r>
      <w:bookmarkEnd w:id="194"/>
      <w:bookmarkEnd w:id="195"/>
      <w:bookmarkEnd w:id="196"/>
      <w:bookmarkEnd w:id="197"/>
      <w:bookmarkEnd w:id="198"/>
      <w:bookmarkEnd w:id="199"/>
    </w:p>
    <w:p w14:paraId="7A12336C" w14:textId="7F472A85" w:rsidR="006A5CB7" w:rsidRDefault="0087653A" w:rsidP="00B309E0">
      <w:pPr>
        <w:rPr>
          <w:szCs w:val="24"/>
        </w:rPr>
      </w:pPr>
      <w:r>
        <w:rPr>
          <w:szCs w:val="24"/>
        </w:rPr>
        <w:t xml:space="preserve">Figure 4.9 above displays the data and includes the </w:t>
      </w:r>
      <w:r w:rsidR="002A478F" w:rsidRPr="002A478F">
        <w:rPr>
          <w:szCs w:val="24"/>
        </w:rPr>
        <w:t xml:space="preserve">linear trendline across </w:t>
      </w:r>
      <w:r>
        <w:rPr>
          <w:szCs w:val="24"/>
        </w:rPr>
        <w:t>the 7</w:t>
      </w:r>
      <w:r w:rsidRPr="002A478F">
        <w:rPr>
          <w:szCs w:val="24"/>
        </w:rPr>
        <w:t xml:space="preserve"> </w:t>
      </w:r>
      <w:r>
        <w:rPr>
          <w:szCs w:val="24"/>
        </w:rPr>
        <w:t>ava</w:t>
      </w:r>
      <w:r w:rsidR="006A5CB7">
        <w:rPr>
          <w:szCs w:val="24"/>
        </w:rPr>
        <w:t>i</w:t>
      </w:r>
      <w:r>
        <w:rPr>
          <w:szCs w:val="24"/>
        </w:rPr>
        <w:t xml:space="preserve">lable </w:t>
      </w:r>
      <w:r w:rsidRPr="002A478F">
        <w:rPr>
          <w:szCs w:val="24"/>
        </w:rPr>
        <w:t>data points</w:t>
      </w:r>
      <w:r w:rsidR="006A5CB7">
        <w:rPr>
          <w:szCs w:val="24"/>
        </w:rPr>
        <w:t xml:space="preserve">. </w:t>
      </w:r>
      <w:r w:rsidR="002A478F" w:rsidRPr="002A478F">
        <w:rPr>
          <w:szCs w:val="24"/>
        </w:rPr>
        <w:t xml:space="preserve">The </w:t>
      </w:r>
      <w:r w:rsidR="006A5CB7">
        <w:rPr>
          <w:szCs w:val="24"/>
        </w:rPr>
        <w:t>t</w:t>
      </w:r>
      <w:r w:rsidR="002A478F" w:rsidRPr="002A478F">
        <w:rPr>
          <w:szCs w:val="24"/>
        </w:rPr>
        <w:t xml:space="preserve">rendline </w:t>
      </w:r>
      <w:r w:rsidR="006A5CB7">
        <w:rPr>
          <w:szCs w:val="24"/>
        </w:rPr>
        <w:t>(</w:t>
      </w:r>
      <w:r w:rsidR="002A478F" w:rsidRPr="002A478F">
        <w:rPr>
          <w:szCs w:val="24"/>
        </w:rPr>
        <w:t xml:space="preserve">y = </w:t>
      </w:r>
      <w:r w:rsidR="00B853BF" w:rsidRPr="00B853BF">
        <w:rPr>
          <w:szCs w:val="24"/>
        </w:rPr>
        <w:t>16.583x - 68.139</w:t>
      </w:r>
      <w:r w:rsidR="006A5CB7">
        <w:rPr>
          <w:szCs w:val="24"/>
        </w:rPr>
        <w:t>)</w:t>
      </w:r>
      <w:r w:rsidR="002A478F" w:rsidRPr="002A478F">
        <w:rPr>
          <w:szCs w:val="24"/>
        </w:rPr>
        <w:t xml:space="preserve"> indicates an annual increase of almost R </w:t>
      </w:r>
      <w:r w:rsidR="00B853BF">
        <w:rPr>
          <w:szCs w:val="24"/>
        </w:rPr>
        <w:t>16</w:t>
      </w:r>
      <w:r w:rsidR="002A478F" w:rsidRPr="00B853BF">
        <w:rPr>
          <w:szCs w:val="24"/>
        </w:rPr>
        <w:t>.</w:t>
      </w:r>
      <w:r w:rsidR="00B853BF" w:rsidRPr="00B853BF">
        <w:rPr>
          <w:szCs w:val="24"/>
        </w:rPr>
        <w:t>5</w:t>
      </w:r>
      <w:r w:rsidR="00B853BF">
        <w:rPr>
          <w:szCs w:val="24"/>
        </w:rPr>
        <w:t>8</w:t>
      </w:r>
      <w:r w:rsidR="002A478F" w:rsidRPr="002A478F">
        <w:rPr>
          <w:szCs w:val="24"/>
        </w:rPr>
        <w:t>/m</w:t>
      </w:r>
      <w:r w:rsidR="00B853BF">
        <w:rPr>
          <w:szCs w:val="24"/>
          <w:vertAlign w:val="superscript"/>
        </w:rPr>
        <w:t>3</w:t>
      </w:r>
      <w:r w:rsidR="002A478F" w:rsidRPr="002A478F">
        <w:rPr>
          <w:szCs w:val="24"/>
        </w:rPr>
        <w:t xml:space="preserve"> compared to the guideline predicted increase </w:t>
      </w:r>
      <w:r w:rsidR="002A478F">
        <w:rPr>
          <w:szCs w:val="24"/>
        </w:rPr>
        <w:t xml:space="preserve">of only </w:t>
      </w:r>
      <w:r w:rsidR="002A478F" w:rsidRPr="002A478F">
        <w:rPr>
          <w:szCs w:val="24"/>
        </w:rPr>
        <w:t xml:space="preserve">around </w:t>
      </w:r>
      <w:r w:rsidR="002A478F" w:rsidRPr="00B853BF">
        <w:rPr>
          <w:szCs w:val="24"/>
        </w:rPr>
        <w:t>R 1.</w:t>
      </w:r>
      <w:r w:rsidR="00B853BF" w:rsidRPr="00B853BF">
        <w:rPr>
          <w:szCs w:val="24"/>
        </w:rPr>
        <w:t>29</w:t>
      </w:r>
      <w:r w:rsidR="002A478F">
        <w:rPr>
          <w:szCs w:val="24"/>
        </w:rPr>
        <w:t>/m</w:t>
      </w:r>
      <w:r w:rsidR="00B853BF">
        <w:rPr>
          <w:szCs w:val="24"/>
          <w:vertAlign w:val="superscript"/>
        </w:rPr>
        <w:t>3</w:t>
      </w:r>
      <w:r w:rsidR="002A478F">
        <w:rPr>
          <w:szCs w:val="24"/>
        </w:rPr>
        <w:t xml:space="preserve"> per</w:t>
      </w:r>
      <w:r w:rsidR="002A478F" w:rsidRPr="002A478F">
        <w:rPr>
          <w:szCs w:val="24"/>
        </w:rPr>
        <w:t xml:space="preserve"> year</w:t>
      </w:r>
      <w:r w:rsidR="00903B7A">
        <w:rPr>
          <w:szCs w:val="24"/>
        </w:rPr>
        <w:t xml:space="preserve">. </w:t>
      </w:r>
      <w:r w:rsidR="006A5CB7">
        <w:rPr>
          <w:szCs w:val="24"/>
        </w:rPr>
        <w:t xml:space="preserve">Only </w:t>
      </w:r>
      <w:r w:rsidR="006A5CB7" w:rsidRPr="007E0B0E">
        <w:rPr>
          <w:szCs w:val="24"/>
        </w:rPr>
        <w:t>moderate positive correlation with the underlying data</w:t>
      </w:r>
      <w:r w:rsidR="006A5CB7" w:rsidRPr="002A478F">
        <w:rPr>
          <w:szCs w:val="24"/>
        </w:rPr>
        <w:t xml:space="preserve"> </w:t>
      </w:r>
      <w:r w:rsidR="006A5CB7">
        <w:rPr>
          <w:szCs w:val="24"/>
        </w:rPr>
        <w:t>(</w:t>
      </w:r>
      <w:r w:rsidR="002A478F" w:rsidRPr="002A478F">
        <w:rPr>
          <w:szCs w:val="24"/>
        </w:rPr>
        <w:t>R</w:t>
      </w:r>
      <w:r w:rsidR="002A478F" w:rsidRPr="002A478F">
        <w:rPr>
          <w:szCs w:val="24"/>
          <w:vertAlign w:val="superscript"/>
        </w:rPr>
        <w:t>2</w:t>
      </w:r>
      <w:r w:rsidR="002A478F" w:rsidRPr="002A478F">
        <w:rPr>
          <w:szCs w:val="24"/>
        </w:rPr>
        <w:t xml:space="preserve"> value of </w:t>
      </w:r>
      <w:r w:rsidR="002A478F" w:rsidRPr="007E0B0E">
        <w:rPr>
          <w:szCs w:val="24"/>
        </w:rPr>
        <w:t>0.</w:t>
      </w:r>
      <w:r w:rsidR="007E0B0E" w:rsidRPr="007E0B0E">
        <w:rPr>
          <w:szCs w:val="24"/>
        </w:rPr>
        <w:t>5337</w:t>
      </w:r>
      <w:r w:rsidR="006A5CB7">
        <w:rPr>
          <w:szCs w:val="24"/>
        </w:rPr>
        <w:t>)</w:t>
      </w:r>
      <w:r w:rsidR="002A478F" w:rsidRPr="002A478F">
        <w:rPr>
          <w:szCs w:val="24"/>
        </w:rPr>
        <w:t xml:space="preserve"> i</w:t>
      </w:r>
      <w:r w:rsidR="006A5CB7">
        <w:rPr>
          <w:szCs w:val="24"/>
        </w:rPr>
        <w:t xml:space="preserve">s achieved by this trendline, though. </w:t>
      </w:r>
    </w:p>
    <w:p w14:paraId="0CEA8D3B" w14:textId="77777777" w:rsidR="006A5CB7" w:rsidRDefault="00A13C0B" w:rsidP="006A5CB7">
      <w:pPr>
        <w:rPr>
          <w:b/>
          <w:i/>
          <w:szCs w:val="24"/>
        </w:rPr>
      </w:pPr>
      <w:r>
        <w:rPr>
          <w:b/>
          <w:i/>
          <w:szCs w:val="24"/>
        </w:rPr>
        <w:lastRenderedPageBreak/>
        <w:t xml:space="preserve">4.3.4 </w:t>
      </w:r>
      <w:r w:rsidR="00AF6286" w:rsidRPr="00374E2B">
        <w:rPr>
          <w:b/>
          <w:i/>
          <w:szCs w:val="24"/>
        </w:rPr>
        <w:t>(e)</w:t>
      </w:r>
      <w:r w:rsidR="00AF6286" w:rsidRPr="00374E2B">
        <w:rPr>
          <w:b/>
          <w:i/>
          <w:szCs w:val="24"/>
        </w:rPr>
        <w:tab/>
      </w:r>
      <w:r w:rsidR="002C17DA" w:rsidRPr="00374E2B">
        <w:rPr>
          <w:b/>
          <w:i/>
          <w:szCs w:val="24"/>
        </w:rPr>
        <w:t xml:space="preserve">Vegetation </w:t>
      </w:r>
    </w:p>
    <w:p w14:paraId="7379487B" w14:textId="0EDE9AEF" w:rsidR="006A5CB7" w:rsidRPr="00203170" w:rsidRDefault="006A5CB7" w:rsidP="006A5CB7">
      <w:pPr>
        <w:rPr>
          <w:szCs w:val="24"/>
        </w:rPr>
      </w:pPr>
      <w:r w:rsidRPr="00203170">
        <w:rPr>
          <w:szCs w:val="24"/>
        </w:rPr>
        <w:t xml:space="preserve">The final individual cost component that comprises the master rate in the </w:t>
      </w:r>
      <w:r>
        <w:rPr>
          <w:szCs w:val="24"/>
        </w:rPr>
        <w:t>DME</w:t>
      </w:r>
      <w:r w:rsidRPr="00203170">
        <w:rPr>
          <w:szCs w:val="24"/>
        </w:rPr>
        <w:t xml:space="preserve"> guideline for the rehabilitation of processing waste deposits is vegetation of grassing. </w:t>
      </w:r>
    </w:p>
    <w:p w14:paraId="131FD49E" w14:textId="534F58F5" w:rsidR="008B7EAA" w:rsidRPr="00203170" w:rsidRDefault="00D14D5A" w:rsidP="00AE71A0">
      <w:pPr>
        <w:rPr>
          <w:szCs w:val="24"/>
        </w:rPr>
      </w:pPr>
      <w:r>
        <w:rPr>
          <w:noProof/>
          <w:lang w:eastAsia="en-ZA"/>
        </w:rPr>
        <w:drawing>
          <wp:inline distT="0" distB="0" distL="0" distR="0" wp14:anchorId="261484CC" wp14:editId="33A2854E">
            <wp:extent cx="5684520" cy="2823845"/>
            <wp:effectExtent l="0" t="0" r="11430" b="14605"/>
            <wp:docPr id="32" name="Chart 3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A21F5029-63A0-4E6D-AFB8-0B8BA97F8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B9C1FD" w14:textId="1843C450" w:rsidR="009E0CE1" w:rsidRPr="0010396E" w:rsidRDefault="00A13C0B" w:rsidP="00A13C0B">
      <w:pPr>
        <w:pStyle w:val="Caption"/>
      </w:pPr>
      <w:bookmarkStart w:id="200" w:name="_Toc507336589"/>
      <w:bookmarkStart w:id="201" w:name="_Toc507336702"/>
      <w:bookmarkStart w:id="202" w:name="_Toc517372955"/>
      <w:bookmarkStart w:id="203" w:name="_Toc517373110"/>
      <w:bookmarkStart w:id="204" w:name="_Toc519445873"/>
      <w:bookmarkStart w:id="205" w:name="_Toc519445910"/>
      <w:r>
        <w:t>Figure 4.1</w:t>
      </w:r>
      <w:r w:rsidR="001644AB">
        <w:t>0</w:t>
      </w:r>
      <w:r>
        <w:t xml:space="preserve">: </w:t>
      </w:r>
      <w:r w:rsidR="009177E8" w:rsidRPr="0010396E">
        <w:t xml:space="preserve">Comparison of </w:t>
      </w:r>
      <w:r w:rsidR="007C04B5" w:rsidRPr="0010396E">
        <w:t>DME</w:t>
      </w:r>
      <w:r w:rsidR="009177E8" w:rsidRPr="0010396E">
        <w:t xml:space="preserve"> </w:t>
      </w:r>
      <w:r w:rsidR="000451AF" w:rsidRPr="0010396E">
        <w:t>g</w:t>
      </w:r>
      <w:r w:rsidR="009177E8" w:rsidRPr="0010396E">
        <w:t>uideline values and actual tender data. Guideline item 8C (e) Grassing &amp; vegetation</w:t>
      </w:r>
      <w:bookmarkEnd w:id="200"/>
      <w:bookmarkEnd w:id="201"/>
      <w:bookmarkEnd w:id="202"/>
      <w:bookmarkEnd w:id="203"/>
      <w:bookmarkEnd w:id="204"/>
      <w:bookmarkEnd w:id="205"/>
    </w:p>
    <w:p w14:paraId="38204CD8" w14:textId="1725A196" w:rsidR="003A1F06" w:rsidRPr="00203170" w:rsidRDefault="003A1F06" w:rsidP="00AE71A0">
      <w:pPr>
        <w:rPr>
          <w:szCs w:val="24"/>
        </w:rPr>
      </w:pPr>
      <w:r w:rsidRPr="00203170">
        <w:rPr>
          <w:szCs w:val="24"/>
        </w:rPr>
        <w:t xml:space="preserve">The </w:t>
      </w:r>
      <w:r w:rsidR="00575D5D" w:rsidRPr="00203170">
        <w:rPr>
          <w:szCs w:val="24"/>
        </w:rPr>
        <w:t>third-party</w:t>
      </w:r>
      <w:r w:rsidRPr="00203170">
        <w:rPr>
          <w:szCs w:val="24"/>
        </w:rPr>
        <w:t xml:space="preserve"> rate per </w:t>
      </w:r>
      <w:r w:rsidR="00CE542E" w:rsidRPr="00203170">
        <w:rPr>
          <w:szCs w:val="24"/>
        </w:rPr>
        <w:t>hectare t</w:t>
      </w:r>
      <w:r w:rsidRPr="00203170">
        <w:rPr>
          <w:szCs w:val="24"/>
        </w:rPr>
        <w:t xml:space="preserve">o </w:t>
      </w:r>
      <w:r w:rsidR="00CE542E" w:rsidRPr="00203170">
        <w:rPr>
          <w:szCs w:val="24"/>
        </w:rPr>
        <w:t>establish vegetation on</w:t>
      </w:r>
      <w:r w:rsidRPr="00203170">
        <w:rPr>
          <w:szCs w:val="24"/>
        </w:rPr>
        <w:t xml:space="preserve"> dumps according to the specification </w:t>
      </w:r>
      <w:r w:rsidR="00CE542E" w:rsidRPr="00203170">
        <w:rPr>
          <w:szCs w:val="24"/>
        </w:rPr>
        <w:t xml:space="preserve">vastly </w:t>
      </w:r>
      <w:r w:rsidRPr="00203170">
        <w:rPr>
          <w:szCs w:val="24"/>
        </w:rPr>
        <w:t xml:space="preserve">exceeds the predicted rate by the </w:t>
      </w:r>
      <w:r w:rsidR="007C04B5">
        <w:rPr>
          <w:szCs w:val="24"/>
        </w:rPr>
        <w:t>DME</w:t>
      </w:r>
      <w:r w:rsidRPr="00203170">
        <w:rPr>
          <w:szCs w:val="24"/>
        </w:rPr>
        <w:t xml:space="preserve"> guideline and the CIDB increased rate in all </w:t>
      </w:r>
      <w:r w:rsidR="00CE542E" w:rsidRPr="00203170">
        <w:rPr>
          <w:szCs w:val="24"/>
        </w:rPr>
        <w:t xml:space="preserve">3 </w:t>
      </w:r>
      <w:r w:rsidRPr="00203170">
        <w:rPr>
          <w:szCs w:val="24"/>
        </w:rPr>
        <w:t xml:space="preserve">years for which there is data. </w:t>
      </w:r>
    </w:p>
    <w:p w14:paraId="2F786D7A" w14:textId="0EEEE682" w:rsidR="00CE542E" w:rsidRPr="00374E2B" w:rsidRDefault="00AF6286" w:rsidP="00AE71A0">
      <w:pPr>
        <w:rPr>
          <w:b/>
          <w:i/>
          <w:szCs w:val="24"/>
        </w:rPr>
      </w:pPr>
      <w:r w:rsidRPr="00374E2B">
        <w:rPr>
          <w:rStyle w:val="Heading4Char"/>
          <w:rFonts w:asciiTheme="minorHAnsi" w:hAnsiTheme="minorHAnsi"/>
          <w:b/>
          <w:i w:val="0"/>
          <w:color w:val="auto"/>
          <w:szCs w:val="24"/>
        </w:rPr>
        <w:t>4.</w:t>
      </w:r>
      <w:r w:rsidR="006247F7">
        <w:rPr>
          <w:rStyle w:val="Heading4Char"/>
          <w:rFonts w:asciiTheme="minorHAnsi" w:hAnsiTheme="minorHAnsi"/>
          <w:b/>
          <w:i w:val="0"/>
          <w:color w:val="auto"/>
          <w:szCs w:val="24"/>
        </w:rPr>
        <w:t>3.</w:t>
      </w:r>
      <w:r w:rsidR="00F048C4">
        <w:rPr>
          <w:rStyle w:val="Heading4Char"/>
          <w:rFonts w:asciiTheme="minorHAnsi" w:hAnsiTheme="minorHAnsi"/>
          <w:b/>
          <w:i w:val="0"/>
          <w:color w:val="auto"/>
          <w:szCs w:val="24"/>
        </w:rPr>
        <w:t>4</w:t>
      </w:r>
      <w:r w:rsidRPr="00374E2B">
        <w:rPr>
          <w:rStyle w:val="Heading4Char"/>
          <w:rFonts w:asciiTheme="minorHAnsi" w:hAnsiTheme="minorHAnsi"/>
          <w:b/>
          <w:i w:val="0"/>
          <w:color w:val="auto"/>
          <w:szCs w:val="24"/>
        </w:rPr>
        <w:t xml:space="preserve"> (f)</w:t>
      </w:r>
      <w:r w:rsidR="00A13C0B">
        <w:rPr>
          <w:rStyle w:val="Heading4Char"/>
          <w:rFonts w:asciiTheme="minorHAnsi" w:hAnsiTheme="minorHAnsi"/>
          <w:b/>
          <w:i w:val="0"/>
          <w:color w:val="auto"/>
          <w:szCs w:val="24"/>
        </w:rPr>
        <w:t xml:space="preserve"> </w:t>
      </w:r>
      <w:r w:rsidR="002C17DA" w:rsidRPr="00374E2B">
        <w:rPr>
          <w:rStyle w:val="Heading4Char"/>
          <w:rFonts w:asciiTheme="minorHAnsi" w:hAnsiTheme="minorHAnsi"/>
          <w:b/>
          <w:i w:val="0"/>
          <w:color w:val="auto"/>
          <w:szCs w:val="24"/>
        </w:rPr>
        <w:t xml:space="preserve">The </w:t>
      </w:r>
      <w:r w:rsidR="006F4FCC" w:rsidRPr="00374E2B">
        <w:rPr>
          <w:rStyle w:val="Heading4Char"/>
          <w:rFonts w:asciiTheme="minorHAnsi" w:hAnsiTheme="minorHAnsi"/>
          <w:b/>
          <w:i w:val="0"/>
          <w:color w:val="auto"/>
          <w:szCs w:val="24"/>
        </w:rPr>
        <w:t>establishment</w:t>
      </w:r>
      <w:r w:rsidR="002C17DA" w:rsidRPr="00374E2B">
        <w:rPr>
          <w:rStyle w:val="Heading4Char"/>
          <w:rFonts w:asciiTheme="minorHAnsi" w:hAnsiTheme="minorHAnsi"/>
          <w:b/>
          <w:i w:val="0"/>
          <w:color w:val="auto"/>
          <w:szCs w:val="24"/>
        </w:rPr>
        <w:t xml:space="preserve"> </w:t>
      </w:r>
      <w:r w:rsidR="006F4FCC" w:rsidRPr="00374E2B">
        <w:rPr>
          <w:rStyle w:val="Heading4Char"/>
          <w:rFonts w:asciiTheme="minorHAnsi" w:hAnsiTheme="minorHAnsi"/>
          <w:b/>
          <w:i w:val="0"/>
          <w:color w:val="auto"/>
          <w:szCs w:val="24"/>
        </w:rPr>
        <w:t>of</w:t>
      </w:r>
      <w:r w:rsidR="002C17DA" w:rsidRPr="00374E2B">
        <w:rPr>
          <w:rStyle w:val="Heading4Char"/>
          <w:rFonts w:asciiTheme="minorHAnsi" w:hAnsiTheme="minorHAnsi"/>
          <w:b/>
          <w:i w:val="0"/>
          <w:color w:val="auto"/>
          <w:szCs w:val="24"/>
        </w:rPr>
        <w:t xml:space="preserve"> a borrow pit to obtain </w:t>
      </w:r>
      <w:r w:rsidR="006F4FCC" w:rsidRPr="00374E2B">
        <w:rPr>
          <w:rStyle w:val="Heading4Char"/>
          <w:rFonts w:asciiTheme="minorHAnsi" w:hAnsiTheme="minorHAnsi"/>
          <w:b/>
          <w:i w:val="0"/>
          <w:color w:val="auto"/>
          <w:szCs w:val="24"/>
        </w:rPr>
        <w:t>cover</w:t>
      </w:r>
      <w:r w:rsidR="002C17DA" w:rsidRPr="00374E2B">
        <w:rPr>
          <w:rStyle w:val="Heading4Char"/>
          <w:rFonts w:asciiTheme="minorHAnsi" w:hAnsiTheme="minorHAnsi"/>
          <w:b/>
          <w:i w:val="0"/>
          <w:color w:val="auto"/>
          <w:szCs w:val="24"/>
        </w:rPr>
        <w:t xml:space="preserve"> and topsoil material </w:t>
      </w:r>
      <w:r w:rsidR="00A13C0B">
        <w:rPr>
          <w:rStyle w:val="Heading4Char"/>
          <w:rFonts w:asciiTheme="minorHAnsi" w:hAnsiTheme="minorHAnsi"/>
          <w:b/>
          <w:i w:val="0"/>
          <w:color w:val="auto"/>
          <w:szCs w:val="24"/>
        </w:rPr>
        <w:br/>
      </w:r>
      <w:r w:rsidR="002C17DA" w:rsidRPr="00374E2B">
        <w:rPr>
          <w:rStyle w:val="Heading4Char"/>
          <w:rFonts w:asciiTheme="minorHAnsi" w:hAnsiTheme="minorHAnsi"/>
          <w:b/>
          <w:i w:val="0"/>
          <w:color w:val="auto"/>
          <w:szCs w:val="24"/>
        </w:rPr>
        <w:t>near the dump</w:t>
      </w:r>
    </w:p>
    <w:p w14:paraId="6F681BD2" w14:textId="19C8C050" w:rsidR="002C17DA" w:rsidRPr="00203170" w:rsidRDefault="00CE542E" w:rsidP="00AE71A0">
      <w:pPr>
        <w:rPr>
          <w:szCs w:val="24"/>
        </w:rPr>
      </w:pPr>
      <w:r w:rsidRPr="00203170">
        <w:rPr>
          <w:szCs w:val="24"/>
        </w:rPr>
        <w:t xml:space="preserve">The </w:t>
      </w:r>
      <w:r w:rsidR="007C04B5">
        <w:rPr>
          <w:szCs w:val="24"/>
        </w:rPr>
        <w:t>DME</w:t>
      </w:r>
      <w:r w:rsidRPr="00203170">
        <w:rPr>
          <w:szCs w:val="24"/>
        </w:rPr>
        <w:t xml:space="preserve"> guideline rate provides for the establishment of a borrow pit to obtain material to place on the dump.</w:t>
      </w:r>
    </w:p>
    <w:p w14:paraId="1000F3C2" w14:textId="1CE43A6A" w:rsidR="008B7EAA" w:rsidRPr="00203170" w:rsidRDefault="00D14D5A" w:rsidP="00AE71A0">
      <w:pPr>
        <w:rPr>
          <w:szCs w:val="24"/>
        </w:rPr>
      </w:pPr>
      <w:r>
        <w:rPr>
          <w:noProof/>
          <w:lang w:eastAsia="en-ZA"/>
        </w:rPr>
        <w:lastRenderedPageBreak/>
        <w:drawing>
          <wp:inline distT="0" distB="0" distL="0" distR="0" wp14:anchorId="7AA1A522" wp14:editId="059E8367">
            <wp:extent cx="5669280" cy="2818765"/>
            <wp:effectExtent l="0" t="0" r="7620" b="635"/>
            <wp:docPr id="33" name="Chart 3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ACA84D7D-0746-4D3D-BF38-8E953961E6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52A63E7" w14:textId="6F392742" w:rsidR="009E0CE1" w:rsidRPr="0010396E" w:rsidRDefault="00A13C0B" w:rsidP="00A13C0B">
      <w:pPr>
        <w:pStyle w:val="Caption"/>
      </w:pPr>
      <w:bookmarkStart w:id="206" w:name="_Toc507336590"/>
      <w:bookmarkStart w:id="207" w:name="_Toc507336703"/>
      <w:bookmarkStart w:id="208" w:name="_Toc517372956"/>
      <w:bookmarkStart w:id="209" w:name="_Toc517373111"/>
      <w:bookmarkStart w:id="210" w:name="_Toc519445874"/>
      <w:bookmarkStart w:id="211" w:name="_Toc519445911"/>
      <w:r>
        <w:t>Figure 4.1</w:t>
      </w:r>
      <w:r w:rsidR="001644AB">
        <w:t>1</w:t>
      </w:r>
      <w:r>
        <w:t xml:space="preserve">: </w:t>
      </w:r>
      <w:r w:rsidR="009177E8" w:rsidRPr="0010396E">
        <w:t xml:space="preserve">Comparison of </w:t>
      </w:r>
      <w:r w:rsidR="007C04B5" w:rsidRPr="0010396E">
        <w:t>DME</w:t>
      </w:r>
      <w:r w:rsidR="009177E8" w:rsidRPr="0010396E">
        <w:t xml:space="preserve"> </w:t>
      </w:r>
      <w:r w:rsidR="000451AF" w:rsidRPr="0010396E">
        <w:t>g</w:t>
      </w:r>
      <w:r w:rsidR="009177E8" w:rsidRPr="0010396E">
        <w:t>uideline values and actual tender data. Guideline item 8C (f) Aggregate</w:t>
      </w:r>
      <w:bookmarkEnd w:id="206"/>
      <w:bookmarkEnd w:id="207"/>
      <w:bookmarkEnd w:id="208"/>
      <w:bookmarkEnd w:id="209"/>
      <w:bookmarkEnd w:id="210"/>
      <w:bookmarkEnd w:id="211"/>
    </w:p>
    <w:p w14:paraId="650CCB40" w14:textId="282AB19E" w:rsidR="002D717D" w:rsidRDefault="003A1F06" w:rsidP="002D717D">
      <w:pPr>
        <w:rPr>
          <w:szCs w:val="24"/>
        </w:rPr>
      </w:pPr>
      <w:r w:rsidRPr="00203170">
        <w:rPr>
          <w:szCs w:val="24"/>
        </w:rPr>
        <w:t xml:space="preserve">The </w:t>
      </w:r>
      <w:r w:rsidR="00575D5D" w:rsidRPr="00203170">
        <w:rPr>
          <w:szCs w:val="24"/>
        </w:rPr>
        <w:t>third-party</w:t>
      </w:r>
      <w:r w:rsidRPr="00203170">
        <w:rPr>
          <w:szCs w:val="24"/>
        </w:rPr>
        <w:t xml:space="preserve"> rate per m</w:t>
      </w:r>
      <w:r w:rsidRPr="00203170">
        <w:rPr>
          <w:szCs w:val="24"/>
          <w:vertAlign w:val="superscript"/>
        </w:rPr>
        <w:t>3</w:t>
      </w:r>
      <w:r w:rsidRPr="00203170">
        <w:rPr>
          <w:szCs w:val="24"/>
        </w:rPr>
        <w:t xml:space="preserve"> to </w:t>
      </w:r>
      <w:r w:rsidR="00D25B57" w:rsidRPr="00203170">
        <w:rPr>
          <w:szCs w:val="24"/>
        </w:rPr>
        <w:t xml:space="preserve">source and place aggregate </w:t>
      </w:r>
      <w:r w:rsidRPr="00203170">
        <w:rPr>
          <w:szCs w:val="24"/>
        </w:rPr>
        <w:t>on dumps according to the specification</w:t>
      </w:r>
      <w:r w:rsidR="00DC20CB" w:rsidRPr="00203170">
        <w:rPr>
          <w:szCs w:val="24"/>
        </w:rPr>
        <w:t xml:space="preserve"> </w:t>
      </w:r>
      <w:r w:rsidR="00290659" w:rsidRPr="00203170">
        <w:rPr>
          <w:szCs w:val="24"/>
        </w:rPr>
        <w:t>follows</w:t>
      </w:r>
      <w:r w:rsidR="00D25B57" w:rsidRPr="00203170">
        <w:rPr>
          <w:szCs w:val="24"/>
        </w:rPr>
        <w:t xml:space="preserve"> the </w:t>
      </w:r>
      <w:r w:rsidR="00DC20CB" w:rsidRPr="00203170">
        <w:rPr>
          <w:szCs w:val="24"/>
        </w:rPr>
        <w:t xml:space="preserve">predicted </w:t>
      </w:r>
      <w:r w:rsidR="007C04B5">
        <w:rPr>
          <w:szCs w:val="24"/>
        </w:rPr>
        <w:t>DME</w:t>
      </w:r>
      <w:r w:rsidR="00D25B57" w:rsidRPr="00203170">
        <w:rPr>
          <w:szCs w:val="24"/>
        </w:rPr>
        <w:t xml:space="preserve"> and CIDB rates </w:t>
      </w:r>
      <w:r w:rsidR="00290659" w:rsidRPr="00203170">
        <w:rPr>
          <w:szCs w:val="24"/>
        </w:rPr>
        <w:t>closely</w:t>
      </w:r>
      <w:r w:rsidR="00D25B57" w:rsidRPr="00203170">
        <w:rPr>
          <w:szCs w:val="24"/>
        </w:rPr>
        <w:t xml:space="preserve">, but </w:t>
      </w:r>
      <w:r w:rsidR="00575D5D" w:rsidRPr="00203170">
        <w:rPr>
          <w:szCs w:val="24"/>
        </w:rPr>
        <w:t>show</w:t>
      </w:r>
      <w:r w:rsidR="00D25B57" w:rsidRPr="00203170">
        <w:rPr>
          <w:szCs w:val="24"/>
        </w:rPr>
        <w:t xml:space="preserve"> a ste</w:t>
      </w:r>
      <w:r w:rsidR="00575D5D" w:rsidRPr="00203170">
        <w:rPr>
          <w:szCs w:val="24"/>
        </w:rPr>
        <w:t>a</w:t>
      </w:r>
      <w:r w:rsidR="00D25B57" w:rsidRPr="00203170">
        <w:rPr>
          <w:szCs w:val="24"/>
        </w:rPr>
        <w:t xml:space="preserve">dy increase over those rates in the </w:t>
      </w:r>
      <w:r w:rsidR="00575D5D" w:rsidRPr="00203170">
        <w:rPr>
          <w:szCs w:val="24"/>
        </w:rPr>
        <w:t>three</w:t>
      </w:r>
      <w:r w:rsidR="00D25B57" w:rsidRPr="00203170">
        <w:rPr>
          <w:szCs w:val="24"/>
        </w:rPr>
        <w:t xml:space="preserve"> years for which there is data. </w:t>
      </w:r>
      <w:r w:rsidRPr="00203170">
        <w:rPr>
          <w:szCs w:val="24"/>
        </w:rPr>
        <w:t>In the period from 20</w:t>
      </w:r>
      <w:r w:rsidR="00D25B57" w:rsidRPr="00203170">
        <w:rPr>
          <w:szCs w:val="24"/>
        </w:rPr>
        <w:t>14</w:t>
      </w:r>
      <w:r w:rsidRPr="00203170">
        <w:rPr>
          <w:szCs w:val="24"/>
        </w:rPr>
        <w:t xml:space="preserve"> – 201</w:t>
      </w:r>
      <w:r w:rsidR="00D25B57" w:rsidRPr="00203170">
        <w:rPr>
          <w:szCs w:val="24"/>
        </w:rPr>
        <w:t>6</w:t>
      </w:r>
      <w:r w:rsidRPr="00203170">
        <w:rPr>
          <w:szCs w:val="24"/>
        </w:rPr>
        <w:t xml:space="preserve">, the predicted rate of rehabilitation was in the range of </w:t>
      </w:r>
      <w:r w:rsidR="00D25B57" w:rsidRPr="00203170">
        <w:rPr>
          <w:szCs w:val="24"/>
        </w:rPr>
        <w:t>just under R 280/m</w:t>
      </w:r>
      <w:r w:rsidR="00D25B57" w:rsidRPr="00203170">
        <w:rPr>
          <w:szCs w:val="24"/>
          <w:vertAlign w:val="superscript"/>
        </w:rPr>
        <w:t>3</w:t>
      </w:r>
      <w:r w:rsidR="00D25B57" w:rsidRPr="00203170">
        <w:rPr>
          <w:szCs w:val="24"/>
        </w:rPr>
        <w:t xml:space="preserve"> to over R31</w:t>
      </w:r>
      <w:r w:rsidR="00903B7A">
        <w:rPr>
          <w:szCs w:val="24"/>
        </w:rPr>
        <w:t>5</w:t>
      </w:r>
      <w:r w:rsidR="00D25B57" w:rsidRPr="00203170">
        <w:rPr>
          <w:szCs w:val="24"/>
        </w:rPr>
        <w:t xml:space="preserve"> per m</w:t>
      </w:r>
      <w:r w:rsidR="00575D5D" w:rsidRPr="00203170">
        <w:rPr>
          <w:szCs w:val="24"/>
          <w:vertAlign w:val="superscript"/>
        </w:rPr>
        <w:t>3</w:t>
      </w:r>
      <w:r w:rsidR="00575D5D" w:rsidRPr="00203170">
        <w:rPr>
          <w:szCs w:val="24"/>
        </w:rPr>
        <w:t>.</w:t>
      </w:r>
      <w:r w:rsidRPr="00203170">
        <w:rPr>
          <w:szCs w:val="24"/>
        </w:rPr>
        <w:t xml:space="preserve"> The actual tender data during this period </w:t>
      </w:r>
      <w:r w:rsidR="00575D5D" w:rsidRPr="00203170">
        <w:rPr>
          <w:szCs w:val="24"/>
        </w:rPr>
        <w:t>was R</w:t>
      </w:r>
      <w:r w:rsidRPr="00203170">
        <w:rPr>
          <w:szCs w:val="24"/>
        </w:rPr>
        <w:t xml:space="preserve"> 2</w:t>
      </w:r>
      <w:r w:rsidR="00D25B57" w:rsidRPr="00203170">
        <w:rPr>
          <w:szCs w:val="24"/>
        </w:rPr>
        <w:t>83</w:t>
      </w:r>
      <w:r w:rsidRPr="00203170">
        <w:rPr>
          <w:szCs w:val="24"/>
        </w:rPr>
        <w:t xml:space="preserve"> per cubic meter in 20</w:t>
      </w:r>
      <w:r w:rsidR="00D25B57" w:rsidRPr="00203170">
        <w:rPr>
          <w:szCs w:val="24"/>
        </w:rPr>
        <w:t>14</w:t>
      </w:r>
      <w:r w:rsidRPr="00203170">
        <w:rPr>
          <w:szCs w:val="24"/>
        </w:rPr>
        <w:t xml:space="preserve">, rising </w:t>
      </w:r>
      <w:r w:rsidR="00D25B57" w:rsidRPr="00203170">
        <w:rPr>
          <w:szCs w:val="24"/>
        </w:rPr>
        <w:t>through R 204</w:t>
      </w:r>
      <w:r w:rsidR="007C04B5">
        <w:rPr>
          <w:szCs w:val="24"/>
        </w:rPr>
        <w:t>.00</w:t>
      </w:r>
      <w:r w:rsidR="00D25B57" w:rsidRPr="00203170">
        <w:rPr>
          <w:szCs w:val="24"/>
        </w:rPr>
        <w:t xml:space="preserve"> per m</w:t>
      </w:r>
      <w:r w:rsidR="00D25B57" w:rsidRPr="00203170">
        <w:rPr>
          <w:szCs w:val="24"/>
          <w:vertAlign w:val="superscript"/>
        </w:rPr>
        <w:t>3</w:t>
      </w:r>
      <w:r w:rsidR="00D25B57" w:rsidRPr="00203170">
        <w:rPr>
          <w:szCs w:val="24"/>
        </w:rPr>
        <w:t xml:space="preserve"> in 2015 and then increasing sharply to just over R 500 per m</w:t>
      </w:r>
      <w:r w:rsidR="00D25B57" w:rsidRPr="00203170">
        <w:rPr>
          <w:szCs w:val="24"/>
          <w:vertAlign w:val="superscript"/>
        </w:rPr>
        <w:t>3</w:t>
      </w:r>
      <w:r w:rsidR="00D25B57" w:rsidRPr="00203170">
        <w:rPr>
          <w:szCs w:val="24"/>
        </w:rPr>
        <w:t xml:space="preserve"> in 2016. </w:t>
      </w:r>
    </w:p>
    <w:p w14:paraId="6538771B" w14:textId="7BEFAB74" w:rsidR="002D717D" w:rsidRPr="00203170" w:rsidRDefault="00DA680B" w:rsidP="002D717D">
      <w:pPr>
        <w:rPr>
          <w:szCs w:val="24"/>
        </w:rPr>
      </w:pPr>
      <w:r w:rsidRPr="00DA680B">
        <w:rPr>
          <w:szCs w:val="24"/>
        </w:rPr>
        <w:t>Another specific material cost component included in the master rate in the DME guideline for the rehabilitation of processing waste deposits is the purchase and placing of geotextile used in the covering of the dump and stabilisation of the soil for protection against erosion. This material is a specialised membrane used to stabilise soil and protect against erosion and several standard varieties are available from suppliers.</w:t>
      </w:r>
      <w:r>
        <w:rPr>
          <w:szCs w:val="24"/>
        </w:rPr>
        <w:t xml:space="preserve"> </w:t>
      </w:r>
      <w:r w:rsidR="002D717D" w:rsidRPr="00203170">
        <w:rPr>
          <w:szCs w:val="24"/>
        </w:rPr>
        <w:t xml:space="preserve">Figure </w:t>
      </w:r>
      <w:r w:rsidR="002D717D">
        <w:rPr>
          <w:szCs w:val="24"/>
        </w:rPr>
        <w:t>4.</w:t>
      </w:r>
      <w:r>
        <w:rPr>
          <w:szCs w:val="24"/>
        </w:rPr>
        <w:t>1</w:t>
      </w:r>
      <w:r w:rsidR="002D717D">
        <w:rPr>
          <w:szCs w:val="24"/>
        </w:rPr>
        <w:t>2</w:t>
      </w:r>
      <w:r w:rsidR="002D717D" w:rsidRPr="00203170">
        <w:rPr>
          <w:szCs w:val="24"/>
        </w:rPr>
        <w:t xml:space="preserve"> provides a comparison of the actual tendered prices for the sourcing and placement of geotextile on waste deposits to the </w:t>
      </w:r>
      <w:r w:rsidR="002D717D">
        <w:rPr>
          <w:szCs w:val="24"/>
        </w:rPr>
        <w:t>DME</w:t>
      </w:r>
      <w:r w:rsidR="002D717D" w:rsidRPr="00203170">
        <w:rPr>
          <w:szCs w:val="24"/>
        </w:rPr>
        <w:t xml:space="preserve"> guideline values and the predicted rate of escalation from the CIDB report. </w:t>
      </w:r>
    </w:p>
    <w:p w14:paraId="0DE560FC" w14:textId="19B4C126" w:rsidR="003A1F06" w:rsidRPr="00203170" w:rsidRDefault="003A1F06" w:rsidP="002D717D">
      <w:pPr>
        <w:rPr>
          <w:szCs w:val="24"/>
        </w:rPr>
      </w:pPr>
    </w:p>
    <w:p w14:paraId="5067CA01" w14:textId="550BC7F8" w:rsidR="008B7EAA" w:rsidRPr="00203170" w:rsidRDefault="00D14D5A" w:rsidP="00AE71A0">
      <w:pPr>
        <w:rPr>
          <w:szCs w:val="24"/>
        </w:rPr>
      </w:pPr>
      <w:r>
        <w:rPr>
          <w:noProof/>
          <w:lang w:eastAsia="en-ZA"/>
        </w:rPr>
        <w:lastRenderedPageBreak/>
        <w:drawing>
          <wp:inline distT="0" distB="0" distL="0" distR="0" wp14:anchorId="4003468B" wp14:editId="03557715">
            <wp:extent cx="5745480" cy="4053840"/>
            <wp:effectExtent l="0" t="0" r="7620" b="3810"/>
            <wp:docPr id="45" name="Chart 4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99281265-B6A1-437E-AD70-38AA5EFDF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43AC763" w14:textId="746EC5E8" w:rsidR="00143768" w:rsidRPr="0010396E" w:rsidRDefault="00A13C0B" w:rsidP="00A13C0B">
      <w:pPr>
        <w:pStyle w:val="Caption"/>
      </w:pPr>
      <w:bookmarkStart w:id="212" w:name="_Toc507336591"/>
      <w:bookmarkStart w:id="213" w:name="_Toc507336704"/>
      <w:bookmarkStart w:id="214" w:name="_Toc517372957"/>
      <w:bookmarkStart w:id="215" w:name="_Toc517373112"/>
      <w:bookmarkStart w:id="216" w:name="_Toc519445875"/>
      <w:bookmarkStart w:id="217" w:name="_Toc519445912"/>
      <w:r>
        <w:t>Figure 4.</w:t>
      </w:r>
      <w:r w:rsidR="001644AB">
        <w:t>1</w:t>
      </w:r>
      <w:r>
        <w:t xml:space="preserve">2: </w:t>
      </w:r>
      <w:r w:rsidR="009177E8" w:rsidRPr="0010396E">
        <w:t xml:space="preserve">Comparison of </w:t>
      </w:r>
      <w:r w:rsidR="007C04B5" w:rsidRPr="0010396E">
        <w:t>DME</w:t>
      </w:r>
      <w:r w:rsidR="009177E8" w:rsidRPr="0010396E">
        <w:t xml:space="preserve"> </w:t>
      </w:r>
      <w:r w:rsidR="00B542D0" w:rsidRPr="0010396E">
        <w:t>g</w:t>
      </w:r>
      <w:r w:rsidR="009177E8" w:rsidRPr="0010396E">
        <w:t>uideline values and actual tender data. Guideline item 8C (g) Geotextile</w:t>
      </w:r>
      <w:bookmarkEnd w:id="212"/>
      <w:bookmarkEnd w:id="213"/>
      <w:bookmarkEnd w:id="214"/>
      <w:bookmarkEnd w:id="215"/>
      <w:bookmarkEnd w:id="216"/>
      <w:bookmarkEnd w:id="217"/>
    </w:p>
    <w:p w14:paraId="0ABE4601" w14:textId="77777777" w:rsidR="00DA680B" w:rsidRDefault="00DA680B" w:rsidP="00AE71A0">
      <w:pPr>
        <w:rPr>
          <w:szCs w:val="24"/>
        </w:rPr>
      </w:pPr>
    </w:p>
    <w:p w14:paraId="3698EB4E" w14:textId="68977E5B" w:rsidR="00AB5CB2" w:rsidRPr="00203170" w:rsidRDefault="00DA680B" w:rsidP="00AE71A0">
      <w:pPr>
        <w:rPr>
          <w:szCs w:val="24"/>
        </w:rPr>
      </w:pPr>
      <w:r>
        <w:rPr>
          <w:szCs w:val="24"/>
        </w:rPr>
        <w:t>Although only 4 data point</w:t>
      </w:r>
      <w:r w:rsidR="00D7687F">
        <w:rPr>
          <w:szCs w:val="24"/>
        </w:rPr>
        <w:t>s</w:t>
      </w:r>
      <w:r>
        <w:rPr>
          <w:szCs w:val="24"/>
        </w:rPr>
        <w:t xml:space="preserve"> are available, the data displays </w:t>
      </w:r>
      <w:r w:rsidR="00B542D0" w:rsidRPr="00203170">
        <w:rPr>
          <w:szCs w:val="24"/>
        </w:rPr>
        <w:t xml:space="preserve">a similar price pattern to </w:t>
      </w:r>
      <w:r w:rsidR="00DB7D04" w:rsidRPr="00203170">
        <w:rPr>
          <w:szCs w:val="24"/>
        </w:rPr>
        <w:t xml:space="preserve">several other </w:t>
      </w:r>
      <w:r>
        <w:rPr>
          <w:szCs w:val="24"/>
        </w:rPr>
        <w:t xml:space="preserve">master rates </w:t>
      </w:r>
      <w:r w:rsidR="00575D5D" w:rsidRPr="00203170">
        <w:rPr>
          <w:szCs w:val="24"/>
        </w:rPr>
        <w:t>analysed</w:t>
      </w:r>
      <w:r w:rsidR="00DB7D04" w:rsidRPr="00203170">
        <w:rPr>
          <w:szCs w:val="24"/>
        </w:rPr>
        <w:t xml:space="preserve"> in this </w:t>
      </w:r>
      <w:r w:rsidR="009C1091">
        <w:rPr>
          <w:szCs w:val="24"/>
        </w:rPr>
        <w:t>research report</w:t>
      </w:r>
      <w:r w:rsidR="00B542D0" w:rsidRPr="00203170">
        <w:rPr>
          <w:szCs w:val="24"/>
        </w:rPr>
        <w:t xml:space="preserve"> in that </w:t>
      </w:r>
      <w:r w:rsidR="00DB7D04" w:rsidRPr="00203170">
        <w:rPr>
          <w:szCs w:val="24"/>
        </w:rPr>
        <w:t xml:space="preserve">the year 2015 </w:t>
      </w:r>
      <w:r w:rsidR="00575D5D" w:rsidRPr="00203170">
        <w:rPr>
          <w:szCs w:val="24"/>
        </w:rPr>
        <w:t>provide</w:t>
      </w:r>
      <w:r w:rsidR="00B542D0" w:rsidRPr="00203170">
        <w:rPr>
          <w:szCs w:val="24"/>
        </w:rPr>
        <w:t>s</w:t>
      </w:r>
      <w:r w:rsidR="00DB7D04" w:rsidRPr="00203170">
        <w:rPr>
          <w:szCs w:val="24"/>
        </w:rPr>
        <w:t xml:space="preserve"> an anomaly in the recorded results</w:t>
      </w:r>
      <w:r w:rsidR="00B542D0" w:rsidRPr="00203170">
        <w:rPr>
          <w:szCs w:val="24"/>
        </w:rPr>
        <w:t xml:space="preserve"> with very high prices for many project components. For the supply and installation of geotextile, 2015 was no exception, </w:t>
      </w:r>
      <w:r w:rsidR="00DB7D04" w:rsidRPr="00203170">
        <w:rPr>
          <w:szCs w:val="24"/>
        </w:rPr>
        <w:t>when R 77.08</w:t>
      </w:r>
      <w:r w:rsidR="00B542D0" w:rsidRPr="00203170">
        <w:rPr>
          <w:szCs w:val="24"/>
        </w:rPr>
        <w:t>/m</w:t>
      </w:r>
      <w:r w:rsidR="00B542D0" w:rsidRPr="00203170">
        <w:rPr>
          <w:szCs w:val="24"/>
          <w:vertAlign w:val="superscript"/>
        </w:rPr>
        <w:t>2</w:t>
      </w:r>
      <w:r w:rsidR="00DB7D04" w:rsidRPr="00203170">
        <w:rPr>
          <w:szCs w:val="24"/>
        </w:rPr>
        <w:t xml:space="preserve"> </w:t>
      </w:r>
      <w:r w:rsidR="00B542D0" w:rsidRPr="00203170">
        <w:rPr>
          <w:szCs w:val="24"/>
        </w:rPr>
        <w:t>real prices were tendered v</w:t>
      </w:r>
      <w:r w:rsidR="00DB7D04" w:rsidRPr="00203170">
        <w:rPr>
          <w:szCs w:val="24"/>
        </w:rPr>
        <w:t xml:space="preserve">ersus a predicted R 29.25 per square metre. In other years, the </w:t>
      </w:r>
      <w:r w:rsidR="00B542D0" w:rsidRPr="00203170">
        <w:rPr>
          <w:szCs w:val="24"/>
        </w:rPr>
        <w:t xml:space="preserve">use of the </w:t>
      </w:r>
      <w:r w:rsidR="007C04B5">
        <w:rPr>
          <w:szCs w:val="24"/>
        </w:rPr>
        <w:t>DME</w:t>
      </w:r>
      <w:r w:rsidR="00DB7D04" w:rsidRPr="00203170">
        <w:rPr>
          <w:szCs w:val="24"/>
        </w:rPr>
        <w:t xml:space="preserve"> guideline </w:t>
      </w:r>
      <w:r w:rsidR="00B542D0" w:rsidRPr="00203170">
        <w:rPr>
          <w:szCs w:val="24"/>
        </w:rPr>
        <w:t xml:space="preserve">rate </w:t>
      </w:r>
      <w:r w:rsidR="00DB7D04" w:rsidRPr="00203170">
        <w:rPr>
          <w:szCs w:val="24"/>
        </w:rPr>
        <w:t>would have resulted in over-</w:t>
      </w:r>
      <w:r w:rsidR="00FD2125">
        <w:rPr>
          <w:szCs w:val="24"/>
        </w:rPr>
        <w:t>p</w:t>
      </w:r>
      <w:r w:rsidR="00DB7D04" w:rsidRPr="00203170">
        <w:rPr>
          <w:szCs w:val="24"/>
        </w:rPr>
        <w:t xml:space="preserve">ricing for this cost </w:t>
      </w:r>
      <w:r w:rsidR="00575D5D" w:rsidRPr="00203170">
        <w:rPr>
          <w:szCs w:val="24"/>
        </w:rPr>
        <w:t>element</w:t>
      </w:r>
      <w:r w:rsidR="00DB7D04" w:rsidRPr="00203170">
        <w:rPr>
          <w:szCs w:val="24"/>
        </w:rPr>
        <w:t xml:space="preserve">. </w:t>
      </w:r>
    </w:p>
    <w:p w14:paraId="536810A9" w14:textId="63B62EEC" w:rsidR="00652FE4" w:rsidRPr="00203170" w:rsidRDefault="00BC0B3C" w:rsidP="00AE71A0">
      <w:pPr>
        <w:rPr>
          <w:szCs w:val="24"/>
        </w:rPr>
      </w:pPr>
      <w:r w:rsidRPr="00203170">
        <w:rPr>
          <w:szCs w:val="24"/>
        </w:rPr>
        <w:t>The u</w:t>
      </w:r>
      <w:r w:rsidR="00652FE4" w:rsidRPr="00203170">
        <w:rPr>
          <w:szCs w:val="24"/>
        </w:rPr>
        <w:t>nit of measurement</w:t>
      </w:r>
      <w:r w:rsidRPr="00203170">
        <w:rPr>
          <w:szCs w:val="24"/>
        </w:rPr>
        <w:t xml:space="preserve"> of the m</w:t>
      </w:r>
      <w:r w:rsidR="00652FE4" w:rsidRPr="00203170">
        <w:rPr>
          <w:szCs w:val="24"/>
        </w:rPr>
        <w:t>aster rate</w:t>
      </w:r>
      <w:r w:rsidRPr="00203170">
        <w:rPr>
          <w:szCs w:val="24"/>
        </w:rPr>
        <w:t xml:space="preserve"> for overall waste deposit rehabilitation in the </w:t>
      </w:r>
      <w:r w:rsidR="007C04B5">
        <w:rPr>
          <w:szCs w:val="24"/>
        </w:rPr>
        <w:t>DME</w:t>
      </w:r>
      <w:r w:rsidRPr="00203170">
        <w:rPr>
          <w:szCs w:val="24"/>
        </w:rPr>
        <w:t xml:space="preserve"> guideline is </w:t>
      </w:r>
      <w:r w:rsidR="00652FE4" w:rsidRPr="00203170">
        <w:rPr>
          <w:szCs w:val="24"/>
        </w:rPr>
        <w:t>ha</w:t>
      </w:r>
      <w:r w:rsidRPr="00203170">
        <w:rPr>
          <w:szCs w:val="24"/>
        </w:rPr>
        <w:t xml:space="preserve"> but the underlying unit rates of the components that comprise this master rate relate more directly to the </w:t>
      </w:r>
      <w:r w:rsidR="00290659" w:rsidRPr="00203170">
        <w:rPr>
          <w:szCs w:val="24"/>
        </w:rPr>
        <w:t>way</w:t>
      </w:r>
      <w:r w:rsidRPr="00203170">
        <w:rPr>
          <w:szCs w:val="24"/>
        </w:rPr>
        <w:t xml:space="preserve"> the tenders are priced. The overall costs for rehabilitation of waste deposit have therefore been considered in relation to its component values. </w:t>
      </w:r>
    </w:p>
    <w:p w14:paraId="68953548" w14:textId="2E4F391B" w:rsidR="00FB195E" w:rsidRPr="00374E2B" w:rsidRDefault="00BC0B3C" w:rsidP="00A13C0B">
      <w:pPr>
        <w:pStyle w:val="Heading3"/>
      </w:pPr>
      <w:bookmarkStart w:id="218" w:name="_Toc519445729"/>
      <w:r w:rsidRPr="00374E2B">
        <w:t xml:space="preserve">Master Rate </w:t>
      </w:r>
      <w:r w:rsidR="00FB195E" w:rsidRPr="00374E2B">
        <w:t>(10)</w:t>
      </w:r>
      <w:r w:rsidRPr="00374E2B">
        <w:t>:</w:t>
      </w:r>
      <w:r w:rsidR="00FB195E" w:rsidRPr="00374E2B">
        <w:t xml:space="preserve"> General surface rehab and grassing</w:t>
      </w:r>
      <w:bookmarkEnd w:id="218"/>
      <w:r w:rsidR="00FB195E" w:rsidRPr="00374E2B">
        <w:t xml:space="preserve">  </w:t>
      </w:r>
    </w:p>
    <w:p w14:paraId="2DB32FD0" w14:textId="30647A08" w:rsidR="002C17DA" w:rsidRPr="00203170" w:rsidRDefault="002C17DA" w:rsidP="00AE71A0">
      <w:pPr>
        <w:rPr>
          <w:szCs w:val="24"/>
        </w:rPr>
      </w:pPr>
      <w:r w:rsidRPr="00203170">
        <w:rPr>
          <w:szCs w:val="24"/>
        </w:rPr>
        <w:t xml:space="preserve">While the master rate for item 8C already </w:t>
      </w:r>
      <w:r w:rsidR="005956E9" w:rsidRPr="00203170">
        <w:rPr>
          <w:szCs w:val="24"/>
        </w:rPr>
        <w:t xml:space="preserve">includes most of the cost elements that </w:t>
      </w:r>
      <w:r w:rsidR="006F4FCC" w:rsidRPr="00203170">
        <w:rPr>
          <w:szCs w:val="24"/>
        </w:rPr>
        <w:t>constitute</w:t>
      </w:r>
      <w:r w:rsidR="005956E9" w:rsidRPr="00203170">
        <w:rPr>
          <w:szCs w:val="24"/>
        </w:rPr>
        <w:t xml:space="preserve"> the</w:t>
      </w:r>
      <w:r w:rsidR="00DA680B">
        <w:rPr>
          <w:szCs w:val="24"/>
        </w:rPr>
        <w:t xml:space="preserve"> </w:t>
      </w:r>
      <w:r w:rsidR="005956E9" w:rsidRPr="00203170">
        <w:rPr>
          <w:szCs w:val="24"/>
        </w:rPr>
        <w:t>majority</w:t>
      </w:r>
      <w:r w:rsidR="00DA680B">
        <w:rPr>
          <w:szCs w:val="24"/>
        </w:rPr>
        <w:t xml:space="preserve"> </w:t>
      </w:r>
      <w:r w:rsidR="005956E9" w:rsidRPr="00203170">
        <w:rPr>
          <w:szCs w:val="24"/>
        </w:rPr>
        <w:t xml:space="preserve">of the work on a typical asbestos </w:t>
      </w:r>
      <w:r w:rsidR="006F4FCC" w:rsidRPr="00203170">
        <w:rPr>
          <w:szCs w:val="24"/>
        </w:rPr>
        <w:t>rehabilitation</w:t>
      </w:r>
      <w:r w:rsidR="005956E9" w:rsidRPr="00203170">
        <w:rPr>
          <w:szCs w:val="24"/>
        </w:rPr>
        <w:t xml:space="preserve"> project, general surface </w:t>
      </w:r>
      <w:r w:rsidR="005956E9" w:rsidRPr="00203170">
        <w:rPr>
          <w:szCs w:val="24"/>
        </w:rPr>
        <w:lastRenderedPageBreak/>
        <w:t xml:space="preserve">rehabilitation and grassing is a rate addressed in item 2.7 of the generally </w:t>
      </w:r>
      <w:r w:rsidR="006F4FCC" w:rsidRPr="00203170">
        <w:rPr>
          <w:szCs w:val="24"/>
        </w:rPr>
        <w:t>accepted</w:t>
      </w:r>
      <w:r w:rsidR="005956E9" w:rsidRPr="00203170">
        <w:rPr>
          <w:szCs w:val="24"/>
        </w:rPr>
        <w:t xml:space="preserve"> closure methods in the </w:t>
      </w:r>
      <w:r w:rsidR="007C04B5">
        <w:rPr>
          <w:szCs w:val="24"/>
        </w:rPr>
        <w:t>DME</w:t>
      </w:r>
      <w:r w:rsidR="005956E9" w:rsidRPr="00203170">
        <w:rPr>
          <w:szCs w:val="24"/>
        </w:rPr>
        <w:t xml:space="preserve"> guideline for areas </w:t>
      </w:r>
      <w:r w:rsidR="006F4FCC" w:rsidRPr="00203170">
        <w:rPr>
          <w:szCs w:val="24"/>
        </w:rPr>
        <w:t>which</w:t>
      </w:r>
      <w:r w:rsidR="005956E9" w:rsidRPr="00203170">
        <w:rPr>
          <w:szCs w:val="24"/>
        </w:rPr>
        <w:t xml:space="preserve"> are not </w:t>
      </w:r>
      <w:r w:rsidR="006F4FCC" w:rsidRPr="00203170">
        <w:rPr>
          <w:szCs w:val="24"/>
        </w:rPr>
        <w:t>covered</w:t>
      </w:r>
      <w:r w:rsidR="005956E9" w:rsidRPr="00203170">
        <w:rPr>
          <w:szCs w:val="24"/>
        </w:rPr>
        <w:t xml:space="preserve"> elsewhere. </w:t>
      </w:r>
      <w:r w:rsidR="00DA680B">
        <w:rPr>
          <w:szCs w:val="24"/>
        </w:rPr>
        <w:t xml:space="preserve">Details of the practical implementation of this step are provided in </w:t>
      </w:r>
      <w:r w:rsidR="00DA680B" w:rsidRPr="00DA680B">
        <w:rPr>
          <w:b/>
          <w:szCs w:val="24"/>
        </w:rPr>
        <w:t>Annexure C</w:t>
      </w:r>
      <w:r w:rsidR="00DA680B">
        <w:rPr>
          <w:szCs w:val="24"/>
        </w:rPr>
        <w:t>.</w:t>
      </w:r>
    </w:p>
    <w:p w14:paraId="024ABC3D" w14:textId="2DA441BE" w:rsidR="008B7EAA" w:rsidRPr="00203170" w:rsidRDefault="00D14D5A" w:rsidP="00AE71A0">
      <w:pPr>
        <w:rPr>
          <w:szCs w:val="24"/>
        </w:rPr>
      </w:pPr>
      <w:r>
        <w:rPr>
          <w:noProof/>
          <w:lang w:eastAsia="en-ZA"/>
        </w:rPr>
        <w:drawing>
          <wp:inline distT="0" distB="0" distL="0" distR="0" wp14:anchorId="117AD052" wp14:editId="40A561E8">
            <wp:extent cx="5699760" cy="3520440"/>
            <wp:effectExtent l="0" t="0" r="15240" b="3810"/>
            <wp:docPr id="46" name="Chart 4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181FB4C3-FEAF-48E3-9E9E-1A8AB3752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5B15BAC" w14:textId="3EDBD4BA" w:rsidR="009E0CE1" w:rsidRPr="0010396E" w:rsidRDefault="00A13C0B" w:rsidP="00A13C0B">
      <w:pPr>
        <w:pStyle w:val="Caption"/>
      </w:pPr>
      <w:bookmarkStart w:id="219" w:name="_Toc507336592"/>
      <w:bookmarkStart w:id="220" w:name="_Toc507336705"/>
      <w:bookmarkStart w:id="221" w:name="_Toc517372958"/>
      <w:bookmarkStart w:id="222" w:name="_Toc517373113"/>
      <w:bookmarkStart w:id="223" w:name="_Toc519445876"/>
      <w:bookmarkStart w:id="224" w:name="_Toc519445913"/>
      <w:r>
        <w:t>Figure 4.1</w:t>
      </w:r>
      <w:r w:rsidR="001644AB">
        <w:t>3</w:t>
      </w:r>
      <w:r>
        <w:t xml:space="preserve">: </w:t>
      </w:r>
      <w:r w:rsidR="009177E8" w:rsidRPr="0010396E">
        <w:t xml:space="preserve">Comparison of </w:t>
      </w:r>
      <w:r w:rsidR="007C04B5" w:rsidRPr="0010396E">
        <w:t>DME</w:t>
      </w:r>
      <w:r w:rsidR="00BC0B3C" w:rsidRPr="0010396E">
        <w:t xml:space="preserve"> g</w:t>
      </w:r>
      <w:r w:rsidR="009177E8" w:rsidRPr="0010396E">
        <w:t>uideline values and actual tender data. Guideline item 10 General surface rehabilitation and grassing</w:t>
      </w:r>
      <w:bookmarkEnd w:id="219"/>
      <w:bookmarkEnd w:id="220"/>
      <w:bookmarkEnd w:id="221"/>
      <w:bookmarkEnd w:id="222"/>
      <w:bookmarkEnd w:id="223"/>
      <w:bookmarkEnd w:id="224"/>
    </w:p>
    <w:p w14:paraId="092F0123" w14:textId="661E882D" w:rsidR="000F09E8" w:rsidRDefault="003A1F06" w:rsidP="00AE71A0">
      <w:pPr>
        <w:rPr>
          <w:szCs w:val="24"/>
        </w:rPr>
      </w:pPr>
      <w:r w:rsidRPr="00203170">
        <w:rPr>
          <w:szCs w:val="24"/>
        </w:rPr>
        <w:t xml:space="preserve">Data was </w:t>
      </w:r>
      <w:r w:rsidR="00AB21C5" w:rsidRPr="00203170">
        <w:rPr>
          <w:szCs w:val="24"/>
        </w:rPr>
        <w:t xml:space="preserve">only available for the years 2013 and </w:t>
      </w:r>
      <w:r w:rsidRPr="00203170">
        <w:rPr>
          <w:szCs w:val="24"/>
        </w:rPr>
        <w:t>201</w:t>
      </w:r>
      <w:r w:rsidR="00AB21C5" w:rsidRPr="00203170">
        <w:rPr>
          <w:szCs w:val="24"/>
        </w:rPr>
        <w:t>5.</w:t>
      </w:r>
      <w:r w:rsidRPr="00203170">
        <w:rPr>
          <w:szCs w:val="24"/>
        </w:rPr>
        <w:t xml:space="preserve"> </w:t>
      </w:r>
      <w:r w:rsidR="00AB21C5" w:rsidRPr="00203170">
        <w:rPr>
          <w:szCs w:val="24"/>
        </w:rPr>
        <w:t>This is a result of the manner in which the tender</w:t>
      </w:r>
      <w:r w:rsidR="00BC0B3C" w:rsidRPr="00203170">
        <w:rPr>
          <w:szCs w:val="24"/>
        </w:rPr>
        <w:t>s</w:t>
      </w:r>
      <w:r w:rsidR="00AB21C5" w:rsidRPr="00203170">
        <w:rPr>
          <w:szCs w:val="24"/>
        </w:rPr>
        <w:t xml:space="preserve"> were compiled. In most other years, the costs for the surface rehab and grassing were broken down into their components and priced accordingly, so calculating a rate per hectare was not possible from a selection of </w:t>
      </w:r>
      <w:r w:rsidR="00BC0B3C" w:rsidRPr="00203170">
        <w:rPr>
          <w:szCs w:val="24"/>
        </w:rPr>
        <w:t xml:space="preserve">these unstructured </w:t>
      </w:r>
      <w:r w:rsidR="00AB21C5" w:rsidRPr="00203170">
        <w:rPr>
          <w:szCs w:val="24"/>
        </w:rPr>
        <w:t>component costs</w:t>
      </w:r>
      <w:r w:rsidR="00BC0B3C" w:rsidRPr="00203170">
        <w:rPr>
          <w:szCs w:val="24"/>
        </w:rPr>
        <w:t xml:space="preserve"> for dissimilar projects.</w:t>
      </w:r>
      <w:r w:rsidR="000F09E8">
        <w:rPr>
          <w:rStyle w:val="FootnoteReference"/>
          <w:szCs w:val="24"/>
        </w:rPr>
        <w:footnoteReference w:id="11"/>
      </w:r>
    </w:p>
    <w:p w14:paraId="3F0E05E1" w14:textId="510F5448" w:rsidR="005B4E34" w:rsidRPr="00374E2B" w:rsidRDefault="00BC0B3C" w:rsidP="00A13C0B">
      <w:pPr>
        <w:pStyle w:val="Heading3"/>
      </w:pPr>
      <w:bookmarkStart w:id="225" w:name="_Toc519445730"/>
      <w:r w:rsidRPr="00374E2B">
        <w:lastRenderedPageBreak/>
        <w:t xml:space="preserve">Master Rate </w:t>
      </w:r>
      <w:r w:rsidR="00FB195E" w:rsidRPr="00374E2B">
        <w:t>(12)</w:t>
      </w:r>
      <w:r w:rsidRPr="00374E2B">
        <w:t>:</w:t>
      </w:r>
      <w:r w:rsidR="00FB195E" w:rsidRPr="00374E2B">
        <w:t xml:space="preserve"> Fencing</w:t>
      </w:r>
      <w:bookmarkEnd w:id="225"/>
    </w:p>
    <w:p w14:paraId="479F4055" w14:textId="59F92B3B" w:rsidR="00FA2961" w:rsidRPr="00203170" w:rsidRDefault="00FA2961" w:rsidP="00FA2961">
      <w:pPr>
        <w:rPr>
          <w:szCs w:val="24"/>
        </w:rPr>
      </w:pPr>
      <w:r w:rsidRPr="00203170">
        <w:rPr>
          <w:szCs w:val="24"/>
        </w:rPr>
        <w:t xml:space="preserve">The final master rate in the </w:t>
      </w:r>
      <w:r>
        <w:rPr>
          <w:szCs w:val="24"/>
        </w:rPr>
        <w:t>DME</w:t>
      </w:r>
      <w:r w:rsidRPr="00203170">
        <w:rPr>
          <w:szCs w:val="24"/>
        </w:rPr>
        <w:t xml:space="preserve"> guideline and considered in this report is the erection of fencing to protect the works and restrict access after rehabilitation is completed. The fencing standard is as specified for stock fences in the ARC guideline. </w:t>
      </w:r>
      <w:r w:rsidR="00DA680B">
        <w:rPr>
          <w:szCs w:val="24"/>
        </w:rPr>
        <w:t xml:space="preserve">(See </w:t>
      </w:r>
      <w:r w:rsidR="00DA680B" w:rsidRPr="00DA680B">
        <w:rPr>
          <w:b/>
          <w:szCs w:val="24"/>
        </w:rPr>
        <w:t>Annexure C</w:t>
      </w:r>
      <w:r w:rsidR="00DA680B">
        <w:rPr>
          <w:szCs w:val="24"/>
        </w:rPr>
        <w:t xml:space="preserve"> for details)</w:t>
      </w:r>
    </w:p>
    <w:p w14:paraId="38429388" w14:textId="0419FDB7" w:rsidR="008B7EAA" w:rsidRPr="00203170" w:rsidRDefault="00265485" w:rsidP="00AE71A0">
      <w:pPr>
        <w:rPr>
          <w:szCs w:val="24"/>
        </w:rPr>
      </w:pPr>
      <w:r w:rsidRPr="00203170">
        <w:rPr>
          <w:noProof/>
          <w:szCs w:val="24"/>
          <w:lang w:eastAsia="en-ZA"/>
        </w:rPr>
        <w:drawing>
          <wp:inline distT="0" distB="0" distL="0" distR="0" wp14:anchorId="7426FFF6" wp14:editId="0F718322">
            <wp:extent cx="5731510" cy="4044462"/>
            <wp:effectExtent l="0" t="0" r="2540" b="1333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5EBF97B" w14:textId="4257884B" w:rsidR="00143768" w:rsidRPr="0010396E" w:rsidRDefault="00A13C0B" w:rsidP="00A13C0B">
      <w:pPr>
        <w:pStyle w:val="Caption"/>
      </w:pPr>
      <w:bookmarkStart w:id="226" w:name="_Toc507336594"/>
      <w:bookmarkStart w:id="227" w:name="_Toc507336707"/>
      <w:bookmarkStart w:id="228" w:name="_Toc517372960"/>
      <w:bookmarkStart w:id="229" w:name="_Toc517373115"/>
      <w:bookmarkStart w:id="230" w:name="_Toc519445877"/>
      <w:bookmarkStart w:id="231" w:name="_Toc519445914"/>
      <w:r>
        <w:t>Figure 4.</w:t>
      </w:r>
      <w:r w:rsidR="001644AB">
        <w:t>14:</w:t>
      </w:r>
      <w:r>
        <w:t xml:space="preserve"> </w:t>
      </w:r>
      <w:r w:rsidR="009177E8" w:rsidRPr="0010396E">
        <w:t xml:space="preserve">Comparison of </w:t>
      </w:r>
      <w:r w:rsidR="007C04B5" w:rsidRPr="0010396E">
        <w:t>DME</w:t>
      </w:r>
      <w:r w:rsidR="009177E8" w:rsidRPr="0010396E">
        <w:t xml:space="preserve"> </w:t>
      </w:r>
      <w:r w:rsidR="00B90042" w:rsidRPr="0010396E">
        <w:t>g</w:t>
      </w:r>
      <w:r w:rsidR="009177E8" w:rsidRPr="0010396E">
        <w:t>uideline values and actual tender data. Guideline item 12 Fencing</w:t>
      </w:r>
      <w:bookmarkEnd w:id="226"/>
      <w:bookmarkEnd w:id="227"/>
      <w:bookmarkEnd w:id="228"/>
      <w:bookmarkEnd w:id="229"/>
      <w:bookmarkEnd w:id="230"/>
      <w:bookmarkEnd w:id="231"/>
    </w:p>
    <w:p w14:paraId="0F5EBB60" w14:textId="46FC6D6B" w:rsidR="00163E06" w:rsidRDefault="00265485" w:rsidP="00DA680B">
      <w:pPr>
        <w:rPr>
          <w:szCs w:val="24"/>
        </w:rPr>
      </w:pPr>
      <w:r w:rsidRPr="00203170">
        <w:rPr>
          <w:szCs w:val="24"/>
        </w:rPr>
        <w:t xml:space="preserve">Figure </w:t>
      </w:r>
      <w:r w:rsidR="00D44B27">
        <w:rPr>
          <w:szCs w:val="24"/>
        </w:rPr>
        <w:t>4.</w:t>
      </w:r>
      <w:r w:rsidR="00DA680B">
        <w:rPr>
          <w:szCs w:val="24"/>
        </w:rPr>
        <w:t>14</w:t>
      </w:r>
      <w:r w:rsidR="003A1F06" w:rsidRPr="00203170">
        <w:rPr>
          <w:szCs w:val="24"/>
        </w:rPr>
        <w:t xml:space="preserve"> provides a comparison of the actual tendered prices for the </w:t>
      </w:r>
      <w:r w:rsidRPr="00203170">
        <w:rPr>
          <w:szCs w:val="24"/>
        </w:rPr>
        <w:t xml:space="preserve">erection of standard stock fences around rehabilitated project sites </w:t>
      </w:r>
      <w:r w:rsidR="00B90042" w:rsidRPr="00203170">
        <w:rPr>
          <w:szCs w:val="24"/>
        </w:rPr>
        <w:t>with</w:t>
      </w:r>
      <w:r w:rsidR="003A1F06" w:rsidRPr="00203170">
        <w:rPr>
          <w:szCs w:val="24"/>
        </w:rPr>
        <w:t xml:space="preserve"> the </w:t>
      </w:r>
      <w:r w:rsidR="007C04B5">
        <w:rPr>
          <w:szCs w:val="24"/>
        </w:rPr>
        <w:t>DME</w:t>
      </w:r>
      <w:r w:rsidR="003A1F06" w:rsidRPr="00203170">
        <w:rPr>
          <w:szCs w:val="24"/>
        </w:rPr>
        <w:t xml:space="preserve"> guideline values and the </w:t>
      </w:r>
      <w:r w:rsidR="00B90042" w:rsidRPr="00203170">
        <w:rPr>
          <w:szCs w:val="24"/>
        </w:rPr>
        <w:t>predicted rate of escalation</w:t>
      </w:r>
      <w:r w:rsidR="003A1F06" w:rsidRPr="00203170">
        <w:rPr>
          <w:szCs w:val="24"/>
        </w:rPr>
        <w:t xml:space="preserve"> in the CIDB </w:t>
      </w:r>
      <w:r w:rsidR="00B90042" w:rsidRPr="00203170">
        <w:rPr>
          <w:szCs w:val="24"/>
        </w:rPr>
        <w:t>report</w:t>
      </w:r>
      <w:r w:rsidR="003A1F06" w:rsidRPr="00203170">
        <w:rPr>
          <w:szCs w:val="24"/>
        </w:rPr>
        <w:t xml:space="preserve">. </w:t>
      </w:r>
    </w:p>
    <w:p w14:paraId="58B50297" w14:textId="7FD09C5D" w:rsidR="002A478F" w:rsidRPr="00203170" w:rsidRDefault="00310963" w:rsidP="00AE71A0">
      <w:pPr>
        <w:rPr>
          <w:szCs w:val="24"/>
        </w:rPr>
      </w:pPr>
      <w:r>
        <w:rPr>
          <w:szCs w:val="24"/>
        </w:rPr>
        <w:t xml:space="preserve">The data for fencing provided 6 </w:t>
      </w:r>
      <w:r w:rsidR="002A478F" w:rsidRPr="002A478F">
        <w:rPr>
          <w:szCs w:val="24"/>
        </w:rPr>
        <w:t>data points across the temporal range</w:t>
      </w:r>
      <w:r>
        <w:rPr>
          <w:szCs w:val="24"/>
        </w:rPr>
        <w:t xml:space="preserve"> and </w:t>
      </w:r>
      <w:r w:rsidR="002A478F" w:rsidRPr="002A478F">
        <w:rPr>
          <w:szCs w:val="24"/>
        </w:rPr>
        <w:t>it was possible to insert a linear trendline across these point</w:t>
      </w:r>
      <w:r>
        <w:rPr>
          <w:szCs w:val="24"/>
        </w:rPr>
        <w:t>s</w:t>
      </w:r>
      <w:r w:rsidR="00002553">
        <w:rPr>
          <w:szCs w:val="24"/>
        </w:rPr>
        <w:t xml:space="preserve"> with the </w:t>
      </w:r>
      <w:r w:rsidR="002A478F" w:rsidRPr="002A478F">
        <w:rPr>
          <w:szCs w:val="24"/>
        </w:rPr>
        <w:t>formula</w:t>
      </w:r>
      <w:r w:rsidR="00002553">
        <w:rPr>
          <w:szCs w:val="24"/>
        </w:rPr>
        <w:t xml:space="preserve">: </w:t>
      </w:r>
      <w:r w:rsidR="002A478F" w:rsidRPr="002A478F">
        <w:rPr>
          <w:szCs w:val="24"/>
        </w:rPr>
        <w:t xml:space="preserve">y = </w:t>
      </w:r>
      <w:r w:rsidRPr="00310963">
        <w:rPr>
          <w:szCs w:val="24"/>
        </w:rPr>
        <w:t>71.083x - 402.8</w:t>
      </w:r>
      <w:r w:rsidR="002A478F" w:rsidRPr="002A478F">
        <w:rPr>
          <w:szCs w:val="24"/>
        </w:rPr>
        <w:t xml:space="preserve"> </w:t>
      </w:r>
      <w:r w:rsidR="002A478F">
        <w:rPr>
          <w:szCs w:val="24"/>
        </w:rPr>
        <w:t>T</w:t>
      </w:r>
      <w:r w:rsidR="002A478F" w:rsidRPr="002A478F">
        <w:rPr>
          <w:szCs w:val="24"/>
        </w:rPr>
        <w:t>he slope</w:t>
      </w:r>
      <w:r w:rsidR="002A478F">
        <w:rPr>
          <w:szCs w:val="24"/>
        </w:rPr>
        <w:t xml:space="preserve"> of the equation</w:t>
      </w:r>
      <w:r w:rsidR="002A478F" w:rsidRPr="002A478F">
        <w:rPr>
          <w:szCs w:val="24"/>
        </w:rPr>
        <w:t xml:space="preserve"> indicates an annual rate of increase </w:t>
      </w:r>
      <w:r w:rsidR="00002553">
        <w:rPr>
          <w:szCs w:val="24"/>
        </w:rPr>
        <w:t xml:space="preserve">or </w:t>
      </w:r>
      <w:r>
        <w:rPr>
          <w:szCs w:val="24"/>
        </w:rPr>
        <w:t xml:space="preserve">price change of </w:t>
      </w:r>
      <w:r w:rsidR="002A478F" w:rsidRPr="002A478F">
        <w:rPr>
          <w:szCs w:val="24"/>
        </w:rPr>
        <w:t xml:space="preserve">R </w:t>
      </w:r>
      <w:r>
        <w:rPr>
          <w:szCs w:val="24"/>
        </w:rPr>
        <w:t>71.10</w:t>
      </w:r>
      <w:r w:rsidR="002A478F" w:rsidRPr="002A478F">
        <w:rPr>
          <w:szCs w:val="24"/>
        </w:rPr>
        <w:t>/m</w:t>
      </w:r>
      <w:r>
        <w:rPr>
          <w:szCs w:val="24"/>
        </w:rPr>
        <w:t>. C</w:t>
      </w:r>
      <w:r w:rsidR="002A478F" w:rsidRPr="002A478F">
        <w:rPr>
          <w:szCs w:val="24"/>
        </w:rPr>
        <w:t>ompare</w:t>
      </w:r>
      <w:r>
        <w:rPr>
          <w:szCs w:val="24"/>
        </w:rPr>
        <w:t xml:space="preserve"> this </w:t>
      </w:r>
      <w:r w:rsidR="002A478F" w:rsidRPr="002A478F">
        <w:rPr>
          <w:szCs w:val="24"/>
        </w:rPr>
        <w:t xml:space="preserve">to the guideline predicted rate of increase </w:t>
      </w:r>
      <w:r w:rsidR="002A478F">
        <w:rPr>
          <w:szCs w:val="24"/>
        </w:rPr>
        <w:t xml:space="preserve">of only </w:t>
      </w:r>
      <w:r w:rsidR="002A478F" w:rsidRPr="00310963">
        <w:rPr>
          <w:szCs w:val="24"/>
        </w:rPr>
        <w:t xml:space="preserve">R </w:t>
      </w:r>
      <w:r w:rsidRPr="00310963">
        <w:rPr>
          <w:szCs w:val="24"/>
        </w:rPr>
        <w:t>5.53</w:t>
      </w:r>
      <w:r w:rsidR="002A478F">
        <w:rPr>
          <w:szCs w:val="24"/>
        </w:rPr>
        <w:t>/m per</w:t>
      </w:r>
      <w:r w:rsidR="002A478F" w:rsidRPr="002A478F">
        <w:rPr>
          <w:szCs w:val="24"/>
        </w:rPr>
        <w:t xml:space="preserve"> year, if the overall CPI value is averaged out to an annual value</w:t>
      </w:r>
      <w:r w:rsidR="002A478F">
        <w:rPr>
          <w:szCs w:val="24"/>
        </w:rPr>
        <w:t xml:space="preserve"> over the 1</w:t>
      </w:r>
      <w:r>
        <w:rPr>
          <w:szCs w:val="24"/>
        </w:rPr>
        <w:t>2</w:t>
      </w:r>
      <w:r w:rsidR="002A478F">
        <w:rPr>
          <w:szCs w:val="24"/>
        </w:rPr>
        <w:t xml:space="preserve"> years of escalation</w:t>
      </w:r>
      <w:r w:rsidR="002A478F" w:rsidRPr="002A478F">
        <w:rPr>
          <w:szCs w:val="24"/>
        </w:rPr>
        <w:t>.</w:t>
      </w:r>
      <w:r w:rsidR="002A478F">
        <w:rPr>
          <w:szCs w:val="24"/>
        </w:rPr>
        <w:t xml:space="preserve"> (Compare </w:t>
      </w:r>
      <w:r w:rsidR="002A478F" w:rsidRPr="002A478F">
        <w:rPr>
          <w:b/>
          <w:szCs w:val="24"/>
        </w:rPr>
        <w:t>ANNEXURE A</w:t>
      </w:r>
      <w:r w:rsidR="002A478F">
        <w:rPr>
          <w:szCs w:val="24"/>
        </w:rPr>
        <w:t xml:space="preserve">) </w:t>
      </w:r>
      <w:r w:rsidR="002A478F" w:rsidRPr="002A478F">
        <w:rPr>
          <w:szCs w:val="24"/>
        </w:rPr>
        <w:t>The R</w:t>
      </w:r>
      <w:r w:rsidR="002A478F" w:rsidRPr="002A478F">
        <w:rPr>
          <w:szCs w:val="24"/>
          <w:vertAlign w:val="superscript"/>
        </w:rPr>
        <w:t>2</w:t>
      </w:r>
      <w:r w:rsidR="002A478F" w:rsidRPr="002A478F">
        <w:rPr>
          <w:szCs w:val="24"/>
        </w:rPr>
        <w:t xml:space="preserve"> value of </w:t>
      </w:r>
      <w:r w:rsidR="002A478F" w:rsidRPr="00310963">
        <w:rPr>
          <w:szCs w:val="24"/>
        </w:rPr>
        <w:t>0.</w:t>
      </w:r>
      <w:r w:rsidRPr="00310963">
        <w:rPr>
          <w:szCs w:val="24"/>
        </w:rPr>
        <w:t>7713</w:t>
      </w:r>
      <w:r w:rsidR="002A478F" w:rsidRPr="002A478F">
        <w:rPr>
          <w:szCs w:val="24"/>
        </w:rPr>
        <w:t xml:space="preserve"> indicates that the linear trendline fits the data </w:t>
      </w:r>
      <w:r>
        <w:rPr>
          <w:szCs w:val="24"/>
        </w:rPr>
        <w:t>moderately</w:t>
      </w:r>
      <w:r w:rsidR="002A478F" w:rsidRPr="002A478F">
        <w:rPr>
          <w:szCs w:val="24"/>
        </w:rPr>
        <w:t xml:space="preserve"> well (correlation </w:t>
      </w:r>
      <w:r>
        <w:rPr>
          <w:szCs w:val="24"/>
        </w:rPr>
        <w:t>over 75%</w:t>
      </w:r>
      <w:r w:rsidR="002A478F" w:rsidRPr="002A478F">
        <w:rPr>
          <w:szCs w:val="24"/>
        </w:rPr>
        <w:t xml:space="preserve">) and that the trendline is therefore a </w:t>
      </w:r>
      <w:r>
        <w:rPr>
          <w:szCs w:val="24"/>
        </w:rPr>
        <w:t>reasonable</w:t>
      </w:r>
      <w:r w:rsidR="002A478F" w:rsidRPr="002A478F">
        <w:rPr>
          <w:szCs w:val="24"/>
        </w:rPr>
        <w:t xml:space="preserve"> predictor of the underlying data set.</w:t>
      </w:r>
      <w:r w:rsidR="002A478F">
        <w:rPr>
          <w:szCs w:val="24"/>
        </w:rPr>
        <w:t xml:space="preserve">  </w:t>
      </w:r>
    </w:p>
    <w:p w14:paraId="7F7668F1" w14:textId="010B8F8E" w:rsidR="00236982" w:rsidRDefault="003A1F06" w:rsidP="00AE71A0">
      <w:pPr>
        <w:rPr>
          <w:szCs w:val="24"/>
        </w:rPr>
      </w:pPr>
      <w:r w:rsidRPr="00203170">
        <w:rPr>
          <w:szCs w:val="24"/>
        </w:rPr>
        <w:lastRenderedPageBreak/>
        <w:t xml:space="preserve">For the years that data </w:t>
      </w:r>
      <w:r w:rsidR="003355BC" w:rsidRPr="00203170">
        <w:rPr>
          <w:szCs w:val="24"/>
        </w:rPr>
        <w:t xml:space="preserve">on fencing prices </w:t>
      </w:r>
      <w:r w:rsidRPr="00203170">
        <w:rPr>
          <w:szCs w:val="24"/>
        </w:rPr>
        <w:t xml:space="preserve">does exist, the data </w:t>
      </w:r>
      <w:r w:rsidR="003355BC" w:rsidRPr="00203170">
        <w:rPr>
          <w:szCs w:val="24"/>
        </w:rPr>
        <w:t>reveals mixed results</w:t>
      </w:r>
      <w:r w:rsidRPr="00203170">
        <w:rPr>
          <w:szCs w:val="24"/>
        </w:rPr>
        <w:t xml:space="preserve"> and </w:t>
      </w:r>
      <w:r w:rsidR="003355BC" w:rsidRPr="00203170">
        <w:rPr>
          <w:szCs w:val="24"/>
        </w:rPr>
        <w:t>does not display a clear pattern. In the years from 2009 – 2</w:t>
      </w:r>
      <w:r w:rsidR="00095B94">
        <w:rPr>
          <w:szCs w:val="24"/>
        </w:rPr>
        <w:t>0</w:t>
      </w:r>
      <w:r w:rsidR="003355BC" w:rsidRPr="00203170">
        <w:rPr>
          <w:szCs w:val="24"/>
        </w:rPr>
        <w:t xml:space="preserve">12, the actual prices lag the guideline rate by almost 300%, only to then exceed the guideline rate by the same percentage in later years. The rates for fencing are averaged out between the different projects in different areas in any given year, so the effect of local stock availability, etc. would have cancelled out regional economic effects. </w:t>
      </w:r>
    </w:p>
    <w:p w14:paraId="5027E380" w14:textId="6C8AD7BD" w:rsidR="00236982" w:rsidRPr="00374E2B" w:rsidRDefault="00236982" w:rsidP="009F161E">
      <w:pPr>
        <w:pStyle w:val="Heading2"/>
      </w:pPr>
      <w:bookmarkStart w:id="232" w:name="_Toc519445731"/>
      <w:r w:rsidRPr="00374E2B">
        <w:t>Master Rates other than direct construction works</w:t>
      </w:r>
      <w:bookmarkEnd w:id="232"/>
    </w:p>
    <w:p w14:paraId="254F8B54" w14:textId="7F4768D2" w:rsidR="00236982" w:rsidRPr="00236982" w:rsidRDefault="007C7B61" w:rsidP="00AE71A0">
      <w:pPr>
        <w:rPr>
          <w:szCs w:val="24"/>
        </w:rPr>
      </w:pPr>
      <w:r>
        <w:rPr>
          <w:szCs w:val="24"/>
        </w:rPr>
        <w:t xml:space="preserve">Preliminary and general costs are costs associated with the establishment of the plant and equipment that need to be mobilised to a project site before commencement of a civil construction project. </w:t>
      </w:r>
      <w:r w:rsidR="00236982" w:rsidRPr="00236982">
        <w:rPr>
          <w:szCs w:val="24"/>
        </w:rPr>
        <w:t xml:space="preserve">The DME guideline’s master rates tables also contain costs incidental to the establishment of a mine rehabilitation project by a third party, as would be required if the State had to take over the rehabilitation duties when the holder of a right defaults. With the detailed tender and price data obtained from actual submitted bids in the period from 2014 - 2016, it was possible to also graph this data for another insight into the relative cost components. </w:t>
      </w:r>
    </w:p>
    <w:p w14:paraId="77A0E995" w14:textId="77777777" w:rsidR="00236982" w:rsidRPr="00236982" w:rsidRDefault="00236982" w:rsidP="00AE71A0">
      <w:pPr>
        <w:rPr>
          <w:szCs w:val="24"/>
        </w:rPr>
      </w:pPr>
      <w:r w:rsidRPr="00236982">
        <w:rPr>
          <w:szCs w:val="24"/>
        </w:rPr>
        <w:t xml:space="preserve">The master rates table makes allowance for management and administrative costs as follows: </w:t>
      </w:r>
    </w:p>
    <w:p w14:paraId="4630EB91" w14:textId="6CA00370" w:rsidR="00D44B27" w:rsidRPr="0010396E" w:rsidRDefault="00A13C0B" w:rsidP="00A13C0B">
      <w:pPr>
        <w:pStyle w:val="Caption"/>
      </w:pPr>
      <w:bookmarkStart w:id="233" w:name="_Toc507336189"/>
      <w:bookmarkStart w:id="234" w:name="_Toc507336595"/>
      <w:bookmarkStart w:id="235" w:name="_Toc517372924"/>
      <w:bookmarkStart w:id="236" w:name="_Toc517373116"/>
      <w:bookmarkStart w:id="237" w:name="_Toc519445878"/>
      <w:bookmarkStart w:id="238" w:name="_Toc519445915"/>
      <w:r>
        <w:t xml:space="preserve">Table 4.5: </w:t>
      </w:r>
      <w:r w:rsidR="00D44B27" w:rsidRPr="0010396E">
        <w:t>Extract from DME guideline master rates table for preliminary and general and administrative costs</w:t>
      </w:r>
      <w:bookmarkEnd w:id="233"/>
      <w:bookmarkEnd w:id="234"/>
      <w:bookmarkEnd w:id="235"/>
      <w:bookmarkEnd w:id="236"/>
      <w:bookmarkEnd w:id="237"/>
      <w:bookmarkEnd w:id="238"/>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0"/>
        <w:gridCol w:w="3598"/>
      </w:tblGrid>
      <w:tr w:rsidR="00236982" w:rsidRPr="00236982" w14:paraId="7560C0B5" w14:textId="77777777" w:rsidTr="00162D9A">
        <w:trPr>
          <w:trHeight w:val="104"/>
          <w:tblHeader/>
        </w:trPr>
        <w:tc>
          <w:tcPr>
            <w:tcW w:w="5490" w:type="dxa"/>
            <w:vAlign w:val="center"/>
          </w:tcPr>
          <w:p w14:paraId="732DF1B0" w14:textId="77777777" w:rsidR="00236982" w:rsidRPr="00236982" w:rsidRDefault="00236982" w:rsidP="00564565">
            <w:pPr>
              <w:spacing w:line="240" w:lineRule="auto"/>
              <w:rPr>
                <w:b/>
                <w:szCs w:val="24"/>
              </w:rPr>
            </w:pPr>
            <w:r w:rsidRPr="00236982">
              <w:rPr>
                <w:b/>
                <w:szCs w:val="24"/>
              </w:rPr>
              <w:t>Additional management and administrative cost item</w:t>
            </w:r>
          </w:p>
        </w:tc>
        <w:tc>
          <w:tcPr>
            <w:tcW w:w="3598" w:type="dxa"/>
            <w:vAlign w:val="center"/>
          </w:tcPr>
          <w:p w14:paraId="449DD0D1" w14:textId="77777777" w:rsidR="00236982" w:rsidRPr="00236982" w:rsidRDefault="00236982" w:rsidP="00564565">
            <w:pPr>
              <w:spacing w:line="240" w:lineRule="auto"/>
              <w:rPr>
                <w:b/>
                <w:szCs w:val="24"/>
              </w:rPr>
            </w:pPr>
            <w:r w:rsidRPr="00236982">
              <w:rPr>
                <w:b/>
                <w:szCs w:val="24"/>
              </w:rPr>
              <w:t xml:space="preserve">Percentage of cost item recommended in guideline </w:t>
            </w:r>
          </w:p>
        </w:tc>
      </w:tr>
      <w:tr w:rsidR="00236982" w:rsidRPr="00236982" w14:paraId="7FFAB3CF" w14:textId="77777777" w:rsidTr="00162D9A">
        <w:trPr>
          <w:trHeight w:val="421"/>
        </w:trPr>
        <w:tc>
          <w:tcPr>
            <w:tcW w:w="5490" w:type="dxa"/>
            <w:vAlign w:val="center"/>
          </w:tcPr>
          <w:p w14:paraId="1BCDD758" w14:textId="77777777" w:rsidR="00236982" w:rsidRPr="00236982" w:rsidRDefault="00236982" w:rsidP="00AE71A0">
            <w:pPr>
              <w:rPr>
                <w:szCs w:val="24"/>
              </w:rPr>
            </w:pPr>
            <w:r w:rsidRPr="00236982">
              <w:rPr>
                <w:szCs w:val="24"/>
              </w:rPr>
              <w:t xml:space="preserve">Preliminary and General </w:t>
            </w:r>
          </w:p>
        </w:tc>
        <w:tc>
          <w:tcPr>
            <w:tcW w:w="3598" w:type="dxa"/>
            <w:vAlign w:val="center"/>
          </w:tcPr>
          <w:p w14:paraId="42CAFA8C" w14:textId="77777777" w:rsidR="00236982" w:rsidRPr="00236982" w:rsidRDefault="00236982" w:rsidP="00AE71A0">
            <w:pPr>
              <w:rPr>
                <w:szCs w:val="24"/>
              </w:rPr>
            </w:pPr>
            <w:r w:rsidRPr="00236982">
              <w:rPr>
                <w:szCs w:val="24"/>
              </w:rPr>
              <w:t>12.5% of Subtotal 1</w:t>
            </w:r>
            <w:r w:rsidRPr="00236982">
              <w:rPr>
                <w:szCs w:val="24"/>
                <w:vertAlign w:val="superscript"/>
              </w:rPr>
              <w:footnoteReference w:id="12"/>
            </w:r>
            <w:r w:rsidRPr="00236982">
              <w:rPr>
                <w:szCs w:val="24"/>
              </w:rPr>
              <w:t xml:space="preserve">  </w:t>
            </w:r>
          </w:p>
        </w:tc>
      </w:tr>
      <w:tr w:rsidR="00236982" w:rsidRPr="00236982" w14:paraId="33050874" w14:textId="77777777" w:rsidTr="00162D9A">
        <w:trPr>
          <w:trHeight w:val="104"/>
        </w:trPr>
        <w:tc>
          <w:tcPr>
            <w:tcW w:w="5490" w:type="dxa"/>
            <w:vAlign w:val="center"/>
          </w:tcPr>
          <w:p w14:paraId="4FD0FC11" w14:textId="77777777" w:rsidR="00236982" w:rsidRPr="00236982" w:rsidRDefault="00236982" w:rsidP="00AE71A0">
            <w:pPr>
              <w:rPr>
                <w:szCs w:val="24"/>
              </w:rPr>
            </w:pPr>
            <w:r w:rsidRPr="00236982">
              <w:rPr>
                <w:szCs w:val="24"/>
              </w:rPr>
              <w:t xml:space="preserve">Administration and supervision costs </w:t>
            </w:r>
          </w:p>
        </w:tc>
        <w:tc>
          <w:tcPr>
            <w:tcW w:w="3598" w:type="dxa"/>
            <w:vAlign w:val="center"/>
          </w:tcPr>
          <w:p w14:paraId="1F62F95C" w14:textId="77777777" w:rsidR="00236982" w:rsidRPr="00236982" w:rsidRDefault="00236982" w:rsidP="00AE71A0">
            <w:pPr>
              <w:rPr>
                <w:szCs w:val="24"/>
              </w:rPr>
            </w:pPr>
            <w:r w:rsidRPr="00236982">
              <w:rPr>
                <w:szCs w:val="24"/>
              </w:rPr>
              <w:t xml:space="preserve">6.0% of Subtotal 1 </w:t>
            </w:r>
          </w:p>
        </w:tc>
      </w:tr>
    </w:tbl>
    <w:p w14:paraId="63220F4C" w14:textId="77777777" w:rsidR="00236982" w:rsidRPr="00236982" w:rsidRDefault="00236982" w:rsidP="00AE71A0">
      <w:pPr>
        <w:rPr>
          <w:szCs w:val="24"/>
        </w:rPr>
      </w:pPr>
      <w:r w:rsidRPr="00236982">
        <w:rPr>
          <w:szCs w:val="24"/>
        </w:rPr>
        <w:t xml:space="preserve"> </w:t>
      </w:r>
    </w:p>
    <w:p w14:paraId="2CB1C98D" w14:textId="6DAE087C" w:rsidR="00236982" w:rsidRPr="00236982" w:rsidRDefault="00236982" w:rsidP="00AE71A0">
      <w:pPr>
        <w:rPr>
          <w:szCs w:val="24"/>
        </w:rPr>
      </w:pPr>
      <w:r w:rsidRPr="00236982">
        <w:rPr>
          <w:szCs w:val="24"/>
        </w:rPr>
        <w:t xml:space="preserve">It was possible to obtain the </w:t>
      </w:r>
      <w:r w:rsidR="00615C31" w:rsidRPr="00236982">
        <w:rPr>
          <w:szCs w:val="24"/>
        </w:rPr>
        <w:t>tendered</w:t>
      </w:r>
      <w:r w:rsidRPr="00236982">
        <w:rPr>
          <w:szCs w:val="24"/>
        </w:rPr>
        <w:t xml:space="preserve"> median values for the preliminary and general as well as administration and supervision costs from the bids submitted for work in the period 2014 – 2016 as a percentage of the median project values. The total prices for all bids submitted in the years before that were not recorded, so a similar comparison could not be made for that earlier period. Note that the administration and supervision cost plotted here reflect internal construction company overheads and supervision and not external supervision and admin by </w:t>
      </w:r>
      <w:r w:rsidRPr="00236982">
        <w:rPr>
          <w:szCs w:val="24"/>
        </w:rPr>
        <w:lastRenderedPageBreak/>
        <w:t xml:space="preserve">the third party implementing agent, who would report to the DME in the case of the State rehabilitating an abandoned mine. </w:t>
      </w:r>
    </w:p>
    <w:p w14:paraId="3B8DF220" w14:textId="77777777" w:rsidR="00236982" w:rsidRPr="00236982" w:rsidRDefault="00236982" w:rsidP="00AE71A0">
      <w:pPr>
        <w:rPr>
          <w:szCs w:val="24"/>
        </w:rPr>
      </w:pPr>
      <w:r w:rsidRPr="00236982">
        <w:rPr>
          <w:noProof/>
          <w:szCs w:val="24"/>
          <w:lang w:eastAsia="en-ZA"/>
        </w:rPr>
        <w:drawing>
          <wp:inline distT="0" distB="0" distL="0" distR="0" wp14:anchorId="74775816" wp14:editId="5F5B15A6">
            <wp:extent cx="5731510" cy="3692769"/>
            <wp:effectExtent l="0" t="0" r="2540" b="3175"/>
            <wp:docPr id="21" name="Chart 2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EEBAC7-B263-4CE1-9049-ACBA305EEF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F8E8F8A" w14:textId="5A1C1ADD" w:rsidR="00236982" w:rsidRPr="0010396E" w:rsidRDefault="00564565" w:rsidP="00564565">
      <w:pPr>
        <w:pStyle w:val="Caption"/>
      </w:pPr>
      <w:bookmarkStart w:id="239" w:name="_Toc507303671"/>
      <w:bookmarkStart w:id="240" w:name="_Toc507336596"/>
      <w:bookmarkStart w:id="241" w:name="_Toc507336709"/>
      <w:bookmarkStart w:id="242" w:name="_Toc517372962"/>
      <w:bookmarkStart w:id="243" w:name="_Toc517373117"/>
      <w:bookmarkStart w:id="244" w:name="_Toc519445879"/>
      <w:bookmarkStart w:id="245" w:name="_Toc519445916"/>
      <w:r>
        <w:t>Figure 4.</w:t>
      </w:r>
      <w:r w:rsidR="001644AB">
        <w:t>15</w:t>
      </w:r>
      <w:r>
        <w:t xml:space="preserve">: </w:t>
      </w:r>
      <w:r w:rsidR="00236982" w:rsidRPr="0010396E">
        <w:t>Median project values over the period from 2014 – 2016 with the percentages attributable to preliminary and general and site supervision costs</w:t>
      </w:r>
      <w:bookmarkEnd w:id="239"/>
      <w:bookmarkEnd w:id="240"/>
      <w:bookmarkEnd w:id="241"/>
      <w:bookmarkEnd w:id="242"/>
      <w:bookmarkEnd w:id="243"/>
      <w:bookmarkEnd w:id="244"/>
      <w:bookmarkEnd w:id="245"/>
    </w:p>
    <w:p w14:paraId="2B2579C6" w14:textId="374D1E10" w:rsidR="00236982" w:rsidRPr="00236982" w:rsidRDefault="00236982" w:rsidP="00AE71A0">
      <w:pPr>
        <w:rPr>
          <w:szCs w:val="24"/>
        </w:rPr>
      </w:pPr>
      <w:r w:rsidRPr="00236982">
        <w:rPr>
          <w:szCs w:val="24"/>
        </w:rPr>
        <w:t xml:space="preserve">The median values for site supervision (by the contractor on site only) and for preliminary and general costs were calculated from the data obtained from the bids submitted in the period from 2014 – 2016. A significant rise in proportional value for preliminary and general costs in 2015 in attributable to the nature of the projects. In this </w:t>
      </w:r>
      <w:r w:rsidR="00615C31" w:rsidRPr="00236982">
        <w:rPr>
          <w:szCs w:val="24"/>
        </w:rPr>
        <w:t>year</w:t>
      </w:r>
      <w:r w:rsidRPr="00236982">
        <w:rPr>
          <w:szCs w:val="24"/>
        </w:rPr>
        <w:t>, Projects L, M and N were conducted</w:t>
      </w:r>
      <w:r w:rsidR="00FE3FEC">
        <w:rPr>
          <w:szCs w:val="24"/>
        </w:rPr>
        <w:t>.</w:t>
      </w:r>
      <w:r w:rsidRPr="00236982">
        <w:rPr>
          <w:szCs w:val="24"/>
        </w:rPr>
        <w:t xml:space="preserve"> (</w:t>
      </w:r>
      <w:r w:rsidRPr="007C7B61">
        <w:rPr>
          <w:szCs w:val="24"/>
        </w:rPr>
        <w:t xml:space="preserve">see Table </w:t>
      </w:r>
      <w:r w:rsidR="006D4F26" w:rsidRPr="007C7B61">
        <w:rPr>
          <w:szCs w:val="24"/>
        </w:rPr>
        <w:t>4.</w:t>
      </w:r>
      <w:r w:rsidRPr="007C7B61">
        <w:rPr>
          <w:szCs w:val="24"/>
        </w:rPr>
        <w:t>2 above</w:t>
      </w:r>
      <w:r w:rsidRPr="00236982">
        <w:rPr>
          <w:szCs w:val="24"/>
        </w:rPr>
        <w:t xml:space="preserve">) </w:t>
      </w:r>
      <w:r w:rsidR="00FE3FEC">
        <w:rPr>
          <w:szCs w:val="24"/>
        </w:rPr>
        <w:t>A</w:t>
      </w:r>
      <w:r w:rsidRPr="00236982">
        <w:rPr>
          <w:szCs w:val="24"/>
        </w:rPr>
        <w:t xml:space="preserve">ll three of these projects </w:t>
      </w:r>
      <w:r w:rsidR="006D4F26">
        <w:rPr>
          <w:szCs w:val="24"/>
        </w:rPr>
        <w:t>we</w:t>
      </w:r>
      <w:r w:rsidRPr="00236982">
        <w:rPr>
          <w:szCs w:val="24"/>
        </w:rPr>
        <w:t xml:space="preserve">re located in very remote areas. Note here that Section B of the DME guideline </w:t>
      </w:r>
      <w:r w:rsidR="00615C31" w:rsidRPr="00236982">
        <w:rPr>
          <w:szCs w:val="24"/>
        </w:rPr>
        <w:t>makes</w:t>
      </w:r>
      <w:r w:rsidRPr="00236982">
        <w:rPr>
          <w:szCs w:val="24"/>
        </w:rPr>
        <w:t xml:space="preserve"> provision to apply a </w:t>
      </w:r>
      <w:r w:rsidR="005A31F0">
        <w:rPr>
          <w:szCs w:val="24"/>
        </w:rPr>
        <w:t xml:space="preserve">weighting </w:t>
      </w:r>
      <w:r w:rsidRPr="00236982">
        <w:rPr>
          <w:szCs w:val="24"/>
        </w:rPr>
        <w:t xml:space="preserve"> factor to the rate for preliminary and general cost of projects located in rugged, remote areas and this adds a potential 10% to the price for these projects</w:t>
      </w:r>
      <w:r w:rsidR="005A31F0">
        <w:rPr>
          <w:rStyle w:val="FootnoteReference"/>
          <w:szCs w:val="24"/>
        </w:rPr>
        <w:footnoteReference w:id="13"/>
      </w:r>
      <w:r w:rsidRPr="00236982">
        <w:rPr>
          <w:szCs w:val="24"/>
        </w:rPr>
        <w:t>, which would have the overall result of reducing the effective percentage of the P&amp;G cost as part of the overall project cost. (Guideline Section B, Part 4.4.4, Table B.</w:t>
      </w:r>
      <w:r w:rsidR="005A31F0">
        <w:rPr>
          <w:szCs w:val="24"/>
        </w:rPr>
        <w:t>7</w:t>
      </w:r>
      <w:r w:rsidRPr="00236982">
        <w:rPr>
          <w:szCs w:val="24"/>
        </w:rPr>
        <w:t xml:space="preserve">) It is believed that the relatively higher preliminary and general costs reflect the real cost of establishing all required facilities, plant and </w:t>
      </w:r>
      <w:r w:rsidRPr="00236982">
        <w:rPr>
          <w:szCs w:val="24"/>
        </w:rPr>
        <w:lastRenderedPageBreak/>
        <w:t xml:space="preserve">equipment on these remote sites where no facilities and amenities or services were available. The guideline document makes no distinction between fixed and time-related preliminary and general project establishment items, and these have been added together to arrive at a final preliminary and general value for the projects in each year. Larger projects typically have lower fixed preliminary and general costs as a percentage of total project value than smaller projects. Also, the time-related aspects of preliminary and general project costs – maintenance of the site facilities – usually affect projects of longer duration differently than shorter duration projects. </w:t>
      </w:r>
    </w:p>
    <w:p w14:paraId="57BD7632" w14:textId="73472DA2" w:rsidR="00236982" w:rsidRPr="00236982" w:rsidRDefault="00236982" w:rsidP="00AE71A0">
      <w:pPr>
        <w:rPr>
          <w:szCs w:val="24"/>
        </w:rPr>
      </w:pPr>
      <w:r w:rsidRPr="00236982">
        <w:rPr>
          <w:szCs w:val="24"/>
        </w:rPr>
        <w:t xml:space="preserve">The graph in Figure </w:t>
      </w:r>
      <w:r w:rsidR="00A51C53">
        <w:rPr>
          <w:szCs w:val="24"/>
        </w:rPr>
        <w:t>4.</w:t>
      </w:r>
      <w:r w:rsidR="005A31F0">
        <w:rPr>
          <w:szCs w:val="24"/>
        </w:rPr>
        <w:t>15</w:t>
      </w:r>
      <w:r w:rsidRPr="00236982">
        <w:rPr>
          <w:szCs w:val="24"/>
        </w:rPr>
        <w:t xml:space="preserve"> above reflects that the P&amp;G’s for all projects conducted in 2014 – 2016 varies quite significantly, from 19% recorded in 2014 to 26% 2015 and then again lower than the guideline’s prescribed 12.5% at 10% in 2016. It is worth noting the average project values over the same period and the relative remoteness of all projects in the sample for 2015 to help understand these variances. </w:t>
      </w:r>
      <w:r w:rsidR="00615C31" w:rsidRPr="00236982">
        <w:rPr>
          <w:szCs w:val="24"/>
        </w:rPr>
        <w:t>The</w:t>
      </w:r>
      <w:r w:rsidRPr="00236982">
        <w:rPr>
          <w:szCs w:val="24"/>
        </w:rPr>
        <w:t xml:space="preserve"> average project size grew significantly year-on-year, which will affect the median values for preliminary and general costs compared to overall project prices. </w:t>
      </w:r>
    </w:p>
    <w:p w14:paraId="1A6C5121" w14:textId="77777777" w:rsidR="00236982" w:rsidRPr="00236982" w:rsidRDefault="00236982" w:rsidP="00AE71A0">
      <w:pPr>
        <w:rPr>
          <w:szCs w:val="24"/>
        </w:rPr>
      </w:pPr>
      <w:r w:rsidRPr="00236982">
        <w:rPr>
          <w:noProof/>
          <w:szCs w:val="24"/>
          <w:lang w:eastAsia="en-ZA"/>
        </w:rPr>
        <w:drawing>
          <wp:inline distT="0" distB="0" distL="0" distR="0" wp14:anchorId="1221D643" wp14:editId="372570A7">
            <wp:extent cx="5516479" cy="3801979"/>
            <wp:effectExtent l="0" t="0" r="8255" b="8255"/>
            <wp:docPr id="11" name="Chart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7F47A8-71ED-42C2-975D-D05B4206B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8712738" w14:textId="5729F3D4" w:rsidR="00236982" w:rsidRPr="0010396E" w:rsidRDefault="00564565" w:rsidP="00564565">
      <w:pPr>
        <w:pStyle w:val="Caption"/>
      </w:pPr>
      <w:bookmarkStart w:id="246" w:name="_Toc507336597"/>
      <w:bookmarkStart w:id="247" w:name="_Toc507336710"/>
      <w:bookmarkStart w:id="248" w:name="_Toc517372963"/>
      <w:bookmarkStart w:id="249" w:name="_Toc517373118"/>
      <w:bookmarkStart w:id="250" w:name="_Toc519445880"/>
      <w:bookmarkStart w:id="251" w:name="_Toc519445917"/>
      <w:r>
        <w:t>Figure 4.</w:t>
      </w:r>
      <w:r w:rsidR="001644AB">
        <w:t>16</w:t>
      </w:r>
      <w:r>
        <w:t xml:space="preserve">: </w:t>
      </w:r>
      <w:r w:rsidR="00236982" w:rsidRPr="0010396E">
        <w:t>Correlation between average tender costs and preliminary and general costs</w:t>
      </w:r>
      <w:bookmarkEnd w:id="246"/>
      <w:bookmarkEnd w:id="247"/>
      <w:bookmarkEnd w:id="248"/>
      <w:bookmarkEnd w:id="249"/>
      <w:bookmarkEnd w:id="250"/>
      <w:bookmarkEnd w:id="251"/>
    </w:p>
    <w:p w14:paraId="37FA6D14" w14:textId="3F9923F4" w:rsidR="00236982" w:rsidRPr="00236982" w:rsidRDefault="00236982" w:rsidP="00AE71A0">
      <w:pPr>
        <w:rPr>
          <w:szCs w:val="24"/>
        </w:rPr>
      </w:pPr>
      <w:r w:rsidRPr="00236982">
        <w:rPr>
          <w:szCs w:val="24"/>
        </w:rPr>
        <w:lastRenderedPageBreak/>
        <w:t xml:space="preserve">Figure </w:t>
      </w:r>
      <w:r w:rsidR="00A51C53">
        <w:rPr>
          <w:szCs w:val="24"/>
        </w:rPr>
        <w:t>4.</w:t>
      </w:r>
      <w:r w:rsidR="005A31F0">
        <w:rPr>
          <w:szCs w:val="24"/>
        </w:rPr>
        <w:t>16</w:t>
      </w:r>
      <w:r w:rsidRPr="00236982">
        <w:rPr>
          <w:szCs w:val="24"/>
        </w:rPr>
        <w:t xml:space="preserve"> displays the same data as that presented in Figure </w:t>
      </w:r>
      <w:r w:rsidR="00A51C53">
        <w:rPr>
          <w:szCs w:val="24"/>
        </w:rPr>
        <w:t>4.</w:t>
      </w:r>
      <w:r w:rsidR="005A31F0">
        <w:rPr>
          <w:szCs w:val="24"/>
        </w:rPr>
        <w:t>15</w:t>
      </w:r>
      <w:r w:rsidRPr="00236982">
        <w:rPr>
          <w:szCs w:val="24"/>
        </w:rPr>
        <w:t xml:space="preserve"> but with the addition of the linear equation for the correlation between the final tender price (as an average of the sample (s) per year) and the median P&amp;G values over the same period. The R</w:t>
      </w:r>
      <w:r w:rsidRPr="00236982">
        <w:rPr>
          <w:szCs w:val="24"/>
          <w:vertAlign w:val="superscript"/>
        </w:rPr>
        <w:t>2</w:t>
      </w:r>
      <w:r w:rsidRPr="00236982">
        <w:rPr>
          <w:szCs w:val="24"/>
        </w:rPr>
        <w:t xml:space="preserve"> value of 0.266 indicates a weak positive correlation between these two elements.</w:t>
      </w:r>
    </w:p>
    <w:p w14:paraId="52308BD5" w14:textId="68FB7CD0" w:rsidR="00236982" w:rsidRDefault="00236982" w:rsidP="00AE71A0">
      <w:pPr>
        <w:rPr>
          <w:szCs w:val="24"/>
        </w:rPr>
      </w:pPr>
      <w:r w:rsidRPr="00236982">
        <w:rPr>
          <w:szCs w:val="24"/>
        </w:rPr>
        <w:t xml:space="preserve">It is already recorded that the guideline prescribes an allowance of 6% for supervision and management costs and that the data from the submitted bids only records the contractors’ on-site supervision cost and not that of the implementing agent. The data reflects that the supervision cost, as percentage of total project size, varies in respect of the size of the project. In 2014, when the average project size was just under R8,4 M, the supervision cost was 8% of the total project value. This percentage dropped sharply to a stable 3% in 2015 and 2016, when average project values rose first to R 12,8M and then to R 29,6M. These last two values are well within the 6% prescribed by the DME’s guideline document. </w:t>
      </w:r>
    </w:p>
    <w:p w14:paraId="37851B13" w14:textId="5E345A8F" w:rsidR="000D3CCA" w:rsidRPr="00374E2B" w:rsidRDefault="000D3CCA" w:rsidP="00564565">
      <w:pPr>
        <w:pStyle w:val="Heading2"/>
      </w:pPr>
      <w:bookmarkStart w:id="252" w:name="_Toc519445732"/>
      <w:r w:rsidRPr="00374E2B">
        <w:t>Summary of findings</w:t>
      </w:r>
      <w:bookmarkEnd w:id="252"/>
      <w:r w:rsidRPr="00374E2B">
        <w:t xml:space="preserve"> </w:t>
      </w:r>
    </w:p>
    <w:p w14:paraId="70771233" w14:textId="7D4B8BBA" w:rsidR="00F05163" w:rsidRDefault="00034E1D" w:rsidP="00AE71A0">
      <w:pPr>
        <w:rPr>
          <w:szCs w:val="24"/>
        </w:rPr>
      </w:pPr>
      <w:r w:rsidRPr="00203170">
        <w:rPr>
          <w:szCs w:val="24"/>
        </w:rPr>
        <w:t xml:space="preserve">The findings from the investigations </w:t>
      </w:r>
      <w:r w:rsidR="00E53A55" w:rsidRPr="00203170">
        <w:rPr>
          <w:szCs w:val="24"/>
        </w:rPr>
        <w:t xml:space="preserve">above are summarised in table form as </w:t>
      </w:r>
      <w:r w:rsidR="00E53A55" w:rsidRPr="00FD2125">
        <w:rPr>
          <w:szCs w:val="24"/>
        </w:rPr>
        <w:t xml:space="preserve">Table </w:t>
      </w:r>
      <w:r w:rsidR="00BA4620" w:rsidRPr="00FD2125">
        <w:rPr>
          <w:szCs w:val="24"/>
        </w:rPr>
        <w:t>4.6</w:t>
      </w:r>
      <w:r w:rsidR="00E53A55" w:rsidRPr="00FD2125">
        <w:rPr>
          <w:szCs w:val="24"/>
        </w:rPr>
        <w:t xml:space="preserve"> below.</w:t>
      </w:r>
      <w:r w:rsidR="00E53A55" w:rsidRPr="00203170">
        <w:rPr>
          <w:szCs w:val="24"/>
        </w:rPr>
        <w:t xml:space="preserve"> The results present a mixed result containing widely varying values from the </w:t>
      </w:r>
      <w:r w:rsidR="007C04B5">
        <w:rPr>
          <w:szCs w:val="24"/>
        </w:rPr>
        <w:t>DME</w:t>
      </w:r>
      <w:r w:rsidR="00E53A55" w:rsidRPr="00203170">
        <w:rPr>
          <w:szCs w:val="24"/>
        </w:rPr>
        <w:t xml:space="preserve"> and CIDB expected values. </w:t>
      </w:r>
    </w:p>
    <w:p w14:paraId="086C736F" w14:textId="6F991C5C" w:rsidR="000D3CCA" w:rsidRPr="0010396E" w:rsidRDefault="00564565" w:rsidP="00564565">
      <w:pPr>
        <w:pStyle w:val="Caption"/>
      </w:pPr>
      <w:bookmarkStart w:id="253" w:name="_Toc507320093"/>
      <w:bookmarkStart w:id="254" w:name="_Toc507336192"/>
      <w:bookmarkStart w:id="255" w:name="_Toc507336598"/>
      <w:bookmarkStart w:id="256" w:name="_Toc517372928"/>
      <w:bookmarkStart w:id="257" w:name="_Toc519445881"/>
      <w:bookmarkStart w:id="258" w:name="_Toc519445918"/>
      <w:r>
        <w:t xml:space="preserve">Table 4.6: </w:t>
      </w:r>
      <w:r w:rsidR="000D3CCA" w:rsidRPr="0010396E">
        <w:t>Summary of findings of tender cost comparison with DME guideline values</w:t>
      </w:r>
      <w:bookmarkEnd w:id="253"/>
      <w:bookmarkEnd w:id="254"/>
      <w:bookmarkEnd w:id="255"/>
      <w:bookmarkEnd w:id="256"/>
      <w:bookmarkEnd w:id="257"/>
      <w:bookmarkEnd w:id="258"/>
    </w:p>
    <w:tbl>
      <w:tblPr>
        <w:tblStyle w:val="TableGrid"/>
        <w:tblW w:w="9067" w:type="dxa"/>
        <w:tblLook w:val="04A0" w:firstRow="1" w:lastRow="0" w:firstColumn="1" w:lastColumn="0" w:noHBand="0" w:noVBand="1"/>
      </w:tblPr>
      <w:tblGrid>
        <w:gridCol w:w="1387"/>
        <w:gridCol w:w="1727"/>
        <w:gridCol w:w="5953"/>
      </w:tblGrid>
      <w:tr w:rsidR="000D3CCA" w:rsidRPr="00203170" w14:paraId="1DDCFD57" w14:textId="77777777" w:rsidTr="00034E1D">
        <w:trPr>
          <w:trHeight w:val="357"/>
          <w:tblHeader/>
        </w:trPr>
        <w:tc>
          <w:tcPr>
            <w:tcW w:w="1129" w:type="dxa"/>
            <w:vAlign w:val="center"/>
            <w:hideMark/>
          </w:tcPr>
          <w:p w14:paraId="43952066" w14:textId="77777777" w:rsidR="000D3CCA" w:rsidRPr="00203170" w:rsidRDefault="000D3CCA" w:rsidP="005A1585">
            <w:pPr>
              <w:spacing w:line="240" w:lineRule="auto"/>
              <w:jc w:val="center"/>
              <w:rPr>
                <w:b/>
                <w:bCs/>
                <w:szCs w:val="24"/>
              </w:rPr>
            </w:pPr>
            <w:r w:rsidRPr="00203170">
              <w:rPr>
                <w:b/>
                <w:bCs/>
                <w:szCs w:val="24"/>
              </w:rPr>
              <w:t>Rate Component S1.2</w:t>
            </w:r>
          </w:p>
        </w:tc>
        <w:tc>
          <w:tcPr>
            <w:tcW w:w="1985" w:type="dxa"/>
            <w:vAlign w:val="center"/>
            <w:hideMark/>
          </w:tcPr>
          <w:p w14:paraId="4B08AFF0" w14:textId="77777777" w:rsidR="000D3CCA" w:rsidRPr="00203170" w:rsidRDefault="000D3CCA" w:rsidP="005A1585">
            <w:pPr>
              <w:spacing w:line="240" w:lineRule="auto"/>
              <w:jc w:val="center"/>
              <w:rPr>
                <w:b/>
                <w:bCs/>
                <w:szCs w:val="24"/>
              </w:rPr>
            </w:pPr>
            <w:r w:rsidRPr="00203170">
              <w:rPr>
                <w:b/>
                <w:bCs/>
                <w:szCs w:val="24"/>
              </w:rPr>
              <w:t>Description</w:t>
            </w:r>
          </w:p>
        </w:tc>
        <w:tc>
          <w:tcPr>
            <w:tcW w:w="5953" w:type="dxa"/>
            <w:vAlign w:val="center"/>
          </w:tcPr>
          <w:p w14:paraId="27525D96" w14:textId="4332751B" w:rsidR="000D3CCA" w:rsidRPr="00203170" w:rsidRDefault="000D3CCA" w:rsidP="005A1585">
            <w:pPr>
              <w:spacing w:line="240" w:lineRule="auto"/>
              <w:jc w:val="center"/>
              <w:rPr>
                <w:b/>
                <w:bCs/>
                <w:szCs w:val="24"/>
              </w:rPr>
            </w:pPr>
            <w:r w:rsidRPr="00203170">
              <w:rPr>
                <w:b/>
                <w:bCs/>
                <w:szCs w:val="24"/>
              </w:rPr>
              <w:t>Key findings</w:t>
            </w:r>
          </w:p>
        </w:tc>
      </w:tr>
      <w:tr w:rsidR="000D3CCA" w:rsidRPr="00203170" w14:paraId="377F3988" w14:textId="77777777" w:rsidTr="00E53A55">
        <w:trPr>
          <w:trHeight w:val="187"/>
        </w:trPr>
        <w:tc>
          <w:tcPr>
            <w:tcW w:w="1129" w:type="dxa"/>
            <w:noWrap/>
            <w:vAlign w:val="center"/>
          </w:tcPr>
          <w:p w14:paraId="41EFAEC6" w14:textId="77777777" w:rsidR="000D3CCA" w:rsidRPr="00203170" w:rsidRDefault="000D3CCA" w:rsidP="00AE71A0">
            <w:pPr>
              <w:rPr>
                <w:szCs w:val="24"/>
              </w:rPr>
            </w:pPr>
            <w:r w:rsidRPr="00203170">
              <w:rPr>
                <w:szCs w:val="24"/>
              </w:rPr>
              <w:t>2B</w:t>
            </w:r>
          </w:p>
        </w:tc>
        <w:tc>
          <w:tcPr>
            <w:tcW w:w="1985" w:type="dxa"/>
            <w:vAlign w:val="center"/>
          </w:tcPr>
          <w:p w14:paraId="2310B64D" w14:textId="77777777" w:rsidR="000D3CCA" w:rsidRPr="00203170" w:rsidRDefault="000D3CCA" w:rsidP="00564565">
            <w:pPr>
              <w:spacing w:line="240" w:lineRule="auto"/>
              <w:rPr>
                <w:szCs w:val="24"/>
              </w:rPr>
            </w:pPr>
            <w:r w:rsidRPr="00203170">
              <w:rPr>
                <w:szCs w:val="24"/>
              </w:rPr>
              <w:t>Demolition of reinforced concrete structures</w:t>
            </w:r>
          </w:p>
        </w:tc>
        <w:tc>
          <w:tcPr>
            <w:tcW w:w="5953" w:type="dxa"/>
            <w:tcBorders>
              <w:top w:val="single" w:sz="4" w:space="0" w:color="auto"/>
            </w:tcBorders>
            <w:noWrap/>
          </w:tcPr>
          <w:p w14:paraId="532E6FAE" w14:textId="499C76C6" w:rsidR="000D3CCA" w:rsidRPr="00203170" w:rsidRDefault="000D3CCA" w:rsidP="000141D9">
            <w:pPr>
              <w:spacing w:line="240" w:lineRule="auto"/>
              <w:rPr>
                <w:szCs w:val="24"/>
              </w:rPr>
            </w:pPr>
            <w:r w:rsidRPr="00203170">
              <w:rPr>
                <w:szCs w:val="24"/>
              </w:rPr>
              <w:t xml:space="preserve">Actual tender values far exceed guideline master rates </w:t>
            </w:r>
            <w:r w:rsidR="00F05163" w:rsidRPr="00203170">
              <w:rPr>
                <w:szCs w:val="24"/>
              </w:rPr>
              <w:t xml:space="preserve">and CIDB rates in two of the three years for which data exists. Data considered too sparse for </w:t>
            </w:r>
            <w:r w:rsidR="000141D9">
              <w:rPr>
                <w:szCs w:val="24"/>
              </w:rPr>
              <w:t>definitive</w:t>
            </w:r>
            <w:r w:rsidR="00F05163" w:rsidRPr="00203170">
              <w:rPr>
                <w:szCs w:val="24"/>
              </w:rPr>
              <w:t xml:space="preserve"> conclusions</w:t>
            </w:r>
            <w:r w:rsidR="005A1585">
              <w:rPr>
                <w:szCs w:val="24"/>
              </w:rPr>
              <w:t>.</w:t>
            </w:r>
          </w:p>
        </w:tc>
      </w:tr>
      <w:tr w:rsidR="000D3CCA" w:rsidRPr="00203170" w14:paraId="2173A349" w14:textId="77777777" w:rsidTr="00E53A55">
        <w:trPr>
          <w:trHeight w:val="101"/>
        </w:trPr>
        <w:tc>
          <w:tcPr>
            <w:tcW w:w="1129" w:type="dxa"/>
            <w:noWrap/>
            <w:vAlign w:val="center"/>
          </w:tcPr>
          <w:p w14:paraId="26CEEFA6" w14:textId="77777777" w:rsidR="000D3CCA" w:rsidRPr="00203170" w:rsidRDefault="000D3CCA" w:rsidP="00AE71A0">
            <w:pPr>
              <w:rPr>
                <w:szCs w:val="24"/>
              </w:rPr>
            </w:pPr>
            <w:r w:rsidRPr="00203170">
              <w:rPr>
                <w:szCs w:val="24"/>
              </w:rPr>
              <w:t>3</w:t>
            </w:r>
          </w:p>
        </w:tc>
        <w:tc>
          <w:tcPr>
            <w:tcW w:w="1985" w:type="dxa"/>
            <w:vAlign w:val="center"/>
          </w:tcPr>
          <w:p w14:paraId="6BCC7397" w14:textId="77777777" w:rsidR="000D3CCA" w:rsidRPr="00203170" w:rsidRDefault="000D3CCA" w:rsidP="00564565">
            <w:pPr>
              <w:spacing w:line="240" w:lineRule="auto"/>
              <w:rPr>
                <w:szCs w:val="24"/>
              </w:rPr>
            </w:pPr>
            <w:r w:rsidRPr="00203170">
              <w:rPr>
                <w:szCs w:val="24"/>
              </w:rPr>
              <w:t>Rehabilitation of access roads</w:t>
            </w:r>
          </w:p>
        </w:tc>
        <w:tc>
          <w:tcPr>
            <w:tcW w:w="5953" w:type="dxa"/>
            <w:tcBorders>
              <w:top w:val="single" w:sz="4" w:space="0" w:color="auto"/>
            </w:tcBorders>
            <w:noWrap/>
          </w:tcPr>
          <w:p w14:paraId="1D7B6237" w14:textId="5ABF0D4E" w:rsidR="000D3CCA" w:rsidRPr="00203170" w:rsidRDefault="000D3CCA" w:rsidP="00564565">
            <w:pPr>
              <w:spacing w:line="240" w:lineRule="auto"/>
              <w:rPr>
                <w:szCs w:val="24"/>
              </w:rPr>
            </w:pPr>
            <w:r w:rsidRPr="00203170">
              <w:rPr>
                <w:szCs w:val="24"/>
              </w:rPr>
              <w:t>Actual tender values exceed guideline master rates</w:t>
            </w:r>
            <w:r w:rsidR="00F05163" w:rsidRPr="00203170">
              <w:rPr>
                <w:szCs w:val="24"/>
              </w:rPr>
              <w:t xml:space="preserve"> and CIDB rates in all years for which data is recorded. </w:t>
            </w:r>
          </w:p>
        </w:tc>
      </w:tr>
      <w:tr w:rsidR="000D3CCA" w:rsidRPr="00203170" w14:paraId="49B3A36E" w14:textId="77777777" w:rsidTr="00E53A55">
        <w:trPr>
          <w:trHeight w:val="161"/>
        </w:trPr>
        <w:tc>
          <w:tcPr>
            <w:tcW w:w="1129" w:type="dxa"/>
            <w:noWrap/>
            <w:vAlign w:val="center"/>
          </w:tcPr>
          <w:p w14:paraId="6C4BF00C" w14:textId="77777777" w:rsidR="000D3CCA" w:rsidRPr="00203170" w:rsidRDefault="000D3CCA" w:rsidP="00AE71A0">
            <w:pPr>
              <w:rPr>
                <w:szCs w:val="24"/>
              </w:rPr>
            </w:pPr>
            <w:r w:rsidRPr="00203170">
              <w:rPr>
                <w:szCs w:val="24"/>
              </w:rPr>
              <w:t>5</w:t>
            </w:r>
          </w:p>
        </w:tc>
        <w:tc>
          <w:tcPr>
            <w:tcW w:w="1985" w:type="dxa"/>
            <w:vAlign w:val="center"/>
          </w:tcPr>
          <w:p w14:paraId="3844F5F8" w14:textId="77777777" w:rsidR="000D3CCA" w:rsidRPr="00203170" w:rsidRDefault="000D3CCA" w:rsidP="00564565">
            <w:pPr>
              <w:spacing w:line="240" w:lineRule="auto"/>
              <w:rPr>
                <w:szCs w:val="24"/>
              </w:rPr>
            </w:pPr>
            <w:r w:rsidRPr="00203170">
              <w:rPr>
                <w:szCs w:val="24"/>
              </w:rPr>
              <w:t>Demolition of housing and facilities</w:t>
            </w:r>
          </w:p>
        </w:tc>
        <w:tc>
          <w:tcPr>
            <w:tcW w:w="5953" w:type="dxa"/>
            <w:tcBorders>
              <w:top w:val="single" w:sz="4" w:space="0" w:color="auto"/>
            </w:tcBorders>
            <w:noWrap/>
          </w:tcPr>
          <w:p w14:paraId="489CFD71" w14:textId="0BE93BB8" w:rsidR="000D3CCA" w:rsidRPr="00203170" w:rsidRDefault="00F05163" w:rsidP="000141D9">
            <w:pPr>
              <w:spacing w:line="240" w:lineRule="auto"/>
              <w:rPr>
                <w:szCs w:val="24"/>
              </w:rPr>
            </w:pPr>
            <w:r w:rsidRPr="00203170">
              <w:rPr>
                <w:szCs w:val="24"/>
              </w:rPr>
              <w:t>No useful tender data recorded – only one data point (one year) Not evaluated in this report.</w:t>
            </w:r>
          </w:p>
        </w:tc>
      </w:tr>
      <w:tr w:rsidR="000D3CCA" w:rsidRPr="00203170" w14:paraId="27D8E7A0" w14:textId="77777777" w:rsidTr="00E53A55">
        <w:trPr>
          <w:trHeight w:val="207"/>
        </w:trPr>
        <w:tc>
          <w:tcPr>
            <w:tcW w:w="1129" w:type="dxa"/>
            <w:noWrap/>
            <w:vAlign w:val="center"/>
          </w:tcPr>
          <w:p w14:paraId="0B918277" w14:textId="77777777" w:rsidR="000D3CCA" w:rsidRPr="00203170" w:rsidRDefault="000D3CCA" w:rsidP="00AE71A0">
            <w:pPr>
              <w:rPr>
                <w:szCs w:val="24"/>
              </w:rPr>
            </w:pPr>
            <w:r w:rsidRPr="00203170">
              <w:rPr>
                <w:szCs w:val="24"/>
              </w:rPr>
              <w:t>7</w:t>
            </w:r>
          </w:p>
        </w:tc>
        <w:tc>
          <w:tcPr>
            <w:tcW w:w="1985" w:type="dxa"/>
            <w:vAlign w:val="center"/>
          </w:tcPr>
          <w:p w14:paraId="6846B7FD" w14:textId="77777777" w:rsidR="000D3CCA" w:rsidRPr="00203170" w:rsidRDefault="000D3CCA" w:rsidP="00564565">
            <w:pPr>
              <w:spacing w:line="240" w:lineRule="auto"/>
              <w:rPr>
                <w:szCs w:val="24"/>
              </w:rPr>
            </w:pPr>
            <w:r w:rsidRPr="00203170">
              <w:rPr>
                <w:szCs w:val="24"/>
              </w:rPr>
              <w:t>Sealing of shafts, adits and inclines</w:t>
            </w:r>
          </w:p>
        </w:tc>
        <w:tc>
          <w:tcPr>
            <w:tcW w:w="5953" w:type="dxa"/>
            <w:tcBorders>
              <w:top w:val="single" w:sz="4" w:space="0" w:color="auto"/>
            </w:tcBorders>
            <w:noWrap/>
          </w:tcPr>
          <w:p w14:paraId="218B2147" w14:textId="78F7BBB6" w:rsidR="00F05163" w:rsidRPr="00203170" w:rsidRDefault="000D3CCA" w:rsidP="00564565">
            <w:pPr>
              <w:spacing w:line="240" w:lineRule="auto"/>
              <w:rPr>
                <w:szCs w:val="24"/>
              </w:rPr>
            </w:pPr>
            <w:r w:rsidRPr="00203170">
              <w:rPr>
                <w:szCs w:val="24"/>
              </w:rPr>
              <w:t xml:space="preserve">Actual tender values </w:t>
            </w:r>
            <w:r w:rsidR="00D0211C" w:rsidRPr="00203170">
              <w:rPr>
                <w:szCs w:val="24"/>
              </w:rPr>
              <w:t>are</w:t>
            </w:r>
            <w:r w:rsidR="00F05163" w:rsidRPr="00203170">
              <w:rPr>
                <w:szCs w:val="24"/>
              </w:rPr>
              <w:t xml:space="preserve"> </w:t>
            </w:r>
            <w:r w:rsidR="00D0211C" w:rsidRPr="00203170">
              <w:rPr>
                <w:szCs w:val="24"/>
              </w:rPr>
              <w:t>a mixed result</w:t>
            </w:r>
            <w:r w:rsidR="00F05163" w:rsidRPr="00203170">
              <w:rPr>
                <w:szCs w:val="24"/>
              </w:rPr>
              <w:t xml:space="preserve"> when compared to</w:t>
            </w:r>
            <w:r w:rsidRPr="00203170">
              <w:rPr>
                <w:szCs w:val="24"/>
              </w:rPr>
              <w:t xml:space="preserve"> </w:t>
            </w:r>
            <w:r w:rsidR="007C04B5">
              <w:rPr>
                <w:szCs w:val="24"/>
              </w:rPr>
              <w:t>DME</w:t>
            </w:r>
            <w:r w:rsidR="00F05163" w:rsidRPr="00203170">
              <w:rPr>
                <w:szCs w:val="24"/>
              </w:rPr>
              <w:t xml:space="preserve"> </w:t>
            </w:r>
            <w:r w:rsidRPr="00203170">
              <w:rPr>
                <w:szCs w:val="24"/>
              </w:rPr>
              <w:t>guideline master rates. Certain component rates are lower th</w:t>
            </w:r>
            <w:r w:rsidR="00F05163" w:rsidRPr="00203170">
              <w:rPr>
                <w:szCs w:val="24"/>
              </w:rPr>
              <w:t>an guideline rate and others higher</w:t>
            </w:r>
            <w:r w:rsidRPr="00203170">
              <w:rPr>
                <w:szCs w:val="24"/>
              </w:rPr>
              <w:t>.</w:t>
            </w:r>
          </w:p>
          <w:p w14:paraId="1E2AF509" w14:textId="04405972" w:rsidR="00F05163" w:rsidRPr="00203170" w:rsidRDefault="00F05163" w:rsidP="00564565">
            <w:pPr>
              <w:spacing w:line="240" w:lineRule="auto"/>
              <w:rPr>
                <w:szCs w:val="24"/>
              </w:rPr>
            </w:pPr>
            <w:r w:rsidRPr="00203170">
              <w:rPr>
                <w:szCs w:val="24"/>
              </w:rPr>
              <w:lastRenderedPageBreak/>
              <w:t xml:space="preserve">Component rate (a) – </w:t>
            </w:r>
            <w:r w:rsidR="004215C6">
              <w:rPr>
                <w:szCs w:val="24"/>
              </w:rPr>
              <w:t xml:space="preserve">Four datum points indicate that </w:t>
            </w:r>
            <w:r w:rsidRPr="00203170">
              <w:rPr>
                <w:szCs w:val="24"/>
              </w:rPr>
              <w:t xml:space="preserve">real costs for backfilling of shaft </w:t>
            </w:r>
            <w:r w:rsidR="004215C6">
              <w:rPr>
                <w:szCs w:val="24"/>
              </w:rPr>
              <w:t xml:space="preserve">vastly </w:t>
            </w:r>
            <w:r w:rsidRPr="00203170">
              <w:rPr>
                <w:szCs w:val="24"/>
              </w:rPr>
              <w:t>exceed</w:t>
            </w:r>
            <w:r w:rsidR="004215C6">
              <w:rPr>
                <w:szCs w:val="24"/>
              </w:rPr>
              <w:t xml:space="preserve"> master rate and CIDB rate in all years for which there is data.</w:t>
            </w:r>
          </w:p>
          <w:p w14:paraId="7C0D5DEA" w14:textId="677D83BE" w:rsidR="000D3CCA" w:rsidRPr="00203170" w:rsidRDefault="00F05163" w:rsidP="004215C6">
            <w:pPr>
              <w:spacing w:line="240" w:lineRule="auto"/>
              <w:rPr>
                <w:szCs w:val="24"/>
              </w:rPr>
            </w:pPr>
            <w:r w:rsidRPr="00203170">
              <w:rPr>
                <w:szCs w:val="24"/>
              </w:rPr>
              <w:t xml:space="preserve">Component rate (b) – </w:t>
            </w:r>
            <w:r w:rsidR="004215C6">
              <w:rPr>
                <w:szCs w:val="24"/>
              </w:rPr>
              <w:t>Real rates for providing c</w:t>
            </w:r>
            <w:r w:rsidRPr="00203170">
              <w:rPr>
                <w:szCs w:val="24"/>
              </w:rPr>
              <w:t>oncrete cap</w:t>
            </w:r>
            <w:r w:rsidR="004215C6">
              <w:rPr>
                <w:szCs w:val="24"/>
              </w:rPr>
              <w:t>s</w:t>
            </w:r>
            <w:r w:rsidRPr="00203170">
              <w:rPr>
                <w:szCs w:val="24"/>
              </w:rPr>
              <w:t xml:space="preserve"> for shafts is much lower </w:t>
            </w:r>
            <w:r w:rsidR="004215C6">
              <w:rPr>
                <w:szCs w:val="24"/>
              </w:rPr>
              <w:t xml:space="preserve">(less than 50%) </w:t>
            </w:r>
            <w:r w:rsidRPr="00203170">
              <w:rPr>
                <w:szCs w:val="24"/>
              </w:rPr>
              <w:t xml:space="preserve">than </w:t>
            </w:r>
            <w:r w:rsidR="004215C6">
              <w:rPr>
                <w:szCs w:val="24"/>
              </w:rPr>
              <w:t xml:space="preserve">the </w:t>
            </w:r>
            <w:r w:rsidR="007C04B5">
              <w:rPr>
                <w:szCs w:val="24"/>
              </w:rPr>
              <w:t>DME</w:t>
            </w:r>
            <w:r w:rsidRPr="00203170">
              <w:rPr>
                <w:szCs w:val="24"/>
              </w:rPr>
              <w:t xml:space="preserve"> guideline rate and CIDB rate</w:t>
            </w:r>
            <w:r w:rsidR="000D3CCA" w:rsidRPr="00203170">
              <w:rPr>
                <w:szCs w:val="24"/>
              </w:rPr>
              <w:t xml:space="preserve"> </w:t>
            </w:r>
            <w:r w:rsidR="004215C6">
              <w:rPr>
                <w:szCs w:val="24"/>
              </w:rPr>
              <w:t xml:space="preserve">in all years. </w:t>
            </w:r>
          </w:p>
        </w:tc>
      </w:tr>
      <w:tr w:rsidR="000D3CCA" w:rsidRPr="00203170" w14:paraId="02F9663E" w14:textId="77777777" w:rsidTr="00E53A55">
        <w:trPr>
          <w:trHeight w:val="267"/>
        </w:trPr>
        <w:tc>
          <w:tcPr>
            <w:tcW w:w="1129" w:type="dxa"/>
            <w:noWrap/>
            <w:vAlign w:val="center"/>
          </w:tcPr>
          <w:p w14:paraId="473AA44A" w14:textId="0C62D1E4" w:rsidR="000D3CCA" w:rsidRPr="00203170" w:rsidRDefault="000D3CCA" w:rsidP="00AE71A0">
            <w:pPr>
              <w:rPr>
                <w:szCs w:val="24"/>
              </w:rPr>
            </w:pPr>
            <w:r w:rsidRPr="00203170">
              <w:rPr>
                <w:szCs w:val="24"/>
              </w:rPr>
              <w:lastRenderedPageBreak/>
              <w:t>8C</w:t>
            </w:r>
          </w:p>
        </w:tc>
        <w:tc>
          <w:tcPr>
            <w:tcW w:w="1985" w:type="dxa"/>
            <w:vAlign w:val="center"/>
          </w:tcPr>
          <w:p w14:paraId="2FBD8972" w14:textId="77777777" w:rsidR="000D3CCA" w:rsidRPr="00203170" w:rsidRDefault="000D3CCA" w:rsidP="00564565">
            <w:pPr>
              <w:spacing w:line="240" w:lineRule="auto"/>
              <w:rPr>
                <w:szCs w:val="24"/>
              </w:rPr>
            </w:pPr>
            <w:r w:rsidRPr="00203170">
              <w:rPr>
                <w:szCs w:val="24"/>
              </w:rPr>
              <w:t>Processing waste deposits and evaporation ponds (acid, metal)</w:t>
            </w:r>
          </w:p>
        </w:tc>
        <w:tc>
          <w:tcPr>
            <w:tcW w:w="5953" w:type="dxa"/>
            <w:tcBorders>
              <w:top w:val="single" w:sz="4" w:space="0" w:color="auto"/>
            </w:tcBorders>
            <w:noWrap/>
          </w:tcPr>
          <w:p w14:paraId="7784463F" w14:textId="6BC35547" w:rsidR="00F05163" w:rsidRPr="00203170" w:rsidRDefault="000D3CCA" w:rsidP="00564565">
            <w:pPr>
              <w:spacing w:line="240" w:lineRule="auto"/>
              <w:rPr>
                <w:szCs w:val="24"/>
              </w:rPr>
            </w:pPr>
            <w:r w:rsidRPr="00203170">
              <w:rPr>
                <w:szCs w:val="24"/>
              </w:rPr>
              <w:t>Actual tender values far exceed guideline master rates.</w:t>
            </w:r>
            <w:r w:rsidR="00E53A55" w:rsidRPr="00203170">
              <w:rPr>
                <w:szCs w:val="24"/>
              </w:rPr>
              <w:t xml:space="preserve"> </w:t>
            </w:r>
            <w:r w:rsidR="00F05163" w:rsidRPr="00203170">
              <w:rPr>
                <w:szCs w:val="24"/>
              </w:rPr>
              <w:t xml:space="preserve">Component rates differ widely from </w:t>
            </w:r>
            <w:r w:rsidR="007C04B5">
              <w:rPr>
                <w:szCs w:val="24"/>
              </w:rPr>
              <w:t>DME</w:t>
            </w:r>
            <w:r w:rsidR="00F05163" w:rsidRPr="00203170">
              <w:rPr>
                <w:szCs w:val="24"/>
              </w:rPr>
              <w:t xml:space="preserve"> guideline master rates</w:t>
            </w:r>
            <w:r w:rsidR="00E53A55" w:rsidRPr="00203170">
              <w:rPr>
                <w:szCs w:val="24"/>
              </w:rPr>
              <w:t>:</w:t>
            </w:r>
          </w:p>
          <w:p w14:paraId="6AD09754" w14:textId="52DEBC78" w:rsidR="00F05163" w:rsidRPr="00C94D1A" w:rsidRDefault="00034E1D" w:rsidP="00C94D1A">
            <w:pPr>
              <w:pStyle w:val="ListParagraph"/>
              <w:numPr>
                <w:ilvl w:val="0"/>
                <w:numId w:val="36"/>
              </w:numPr>
              <w:spacing w:line="240" w:lineRule="auto"/>
              <w:rPr>
                <w:szCs w:val="24"/>
              </w:rPr>
            </w:pPr>
            <w:r w:rsidRPr="00C94D1A">
              <w:rPr>
                <w:szCs w:val="24"/>
              </w:rPr>
              <w:t>Slope modification of dumps: Actual tender values exceed guideline rates and CIDB rates in each year – greater difference in later years.</w:t>
            </w:r>
          </w:p>
          <w:p w14:paraId="1CE969EA" w14:textId="3DAD84A4" w:rsidR="00F05163" w:rsidRPr="00C94D1A" w:rsidRDefault="00034E1D" w:rsidP="00C94D1A">
            <w:pPr>
              <w:pStyle w:val="ListParagraph"/>
              <w:numPr>
                <w:ilvl w:val="0"/>
                <w:numId w:val="36"/>
              </w:numPr>
              <w:spacing w:line="240" w:lineRule="auto"/>
              <w:rPr>
                <w:szCs w:val="24"/>
              </w:rPr>
            </w:pPr>
            <w:r w:rsidRPr="00C94D1A">
              <w:rPr>
                <w:szCs w:val="24"/>
              </w:rPr>
              <w:t xml:space="preserve">Shaping of dumps: Actual tender prices significantly and consistently exceed the guideline values in every year. </w:t>
            </w:r>
          </w:p>
          <w:p w14:paraId="4190E942" w14:textId="1F3A8F8A" w:rsidR="00F05163" w:rsidRPr="00C94D1A" w:rsidRDefault="00F05163" w:rsidP="00C94D1A">
            <w:pPr>
              <w:pStyle w:val="ListParagraph"/>
              <w:numPr>
                <w:ilvl w:val="0"/>
                <w:numId w:val="36"/>
              </w:numPr>
              <w:spacing w:line="240" w:lineRule="auto"/>
              <w:rPr>
                <w:szCs w:val="24"/>
              </w:rPr>
            </w:pPr>
            <w:r w:rsidRPr="00C94D1A">
              <w:rPr>
                <w:szCs w:val="24"/>
              </w:rPr>
              <w:t>Armour cover layer</w:t>
            </w:r>
            <w:r w:rsidR="00034E1D" w:rsidRPr="00C94D1A">
              <w:rPr>
                <w:szCs w:val="24"/>
              </w:rPr>
              <w:t xml:space="preserve">: Actual tender prices </w:t>
            </w:r>
            <w:r w:rsidR="004215C6">
              <w:rPr>
                <w:szCs w:val="24"/>
              </w:rPr>
              <w:t>match</w:t>
            </w:r>
            <w:r w:rsidR="00034E1D" w:rsidRPr="00C94D1A">
              <w:rPr>
                <w:szCs w:val="24"/>
              </w:rPr>
              <w:t xml:space="preserve"> the guideline and CIDB rates in earlier years and then exceed the guideline rates by a very large margin in later years.</w:t>
            </w:r>
          </w:p>
          <w:p w14:paraId="2D9D37DD" w14:textId="4EAAD718" w:rsidR="00F05163" w:rsidRPr="00C94D1A" w:rsidRDefault="00F05163" w:rsidP="00C94D1A">
            <w:pPr>
              <w:pStyle w:val="ListParagraph"/>
              <w:numPr>
                <w:ilvl w:val="0"/>
                <w:numId w:val="36"/>
              </w:numPr>
              <w:spacing w:line="240" w:lineRule="auto"/>
              <w:rPr>
                <w:szCs w:val="24"/>
              </w:rPr>
            </w:pPr>
            <w:r w:rsidRPr="00C94D1A">
              <w:rPr>
                <w:szCs w:val="24"/>
              </w:rPr>
              <w:t>Soil cover layer</w:t>
            </w:r>
            <w:r w:rsidR="00034E1D" w:rsidRPr="00C94D1A">
              <w:rPr>
                <w:szCs w:val="24"/>
              </w:rPr>
              <w:t>: Actual tender prices slightly exceed the guideline and CIDB rates in earlier years and then exceed the guideline rates by a very large margin in later years.</w:t>
            </w:r>
          </w:p>
          <w:p w14:paraId="3B79E8E5" w14:textId="6328A4E6" w:rsidR="00F05163" w:rsidRPr="00C94D1A" w:rsidRDefault="00F05163" w:rsidP="00C94D1A">
            <w:pPr>
              <w:pStyle w:val="ListParagraph"/>
              <w:numPr>
                <w:ilvl w:val="0"/>
                <w:numId w:val="36"/>
              </w:numPr>
              <w:spacing w:line="240" w:lineRule="auto"/>
              <w:rPr>
                <w:szCs w:val="24"/>
              </w:rPr>
            </w:pPr>
            <w:r w:rsidRPr="00C94D1A">
              <w:rPr>
                <w:szCs w:val="24"/>
              </w:rPr>
              <w:t>Grassing and vegetation</w:t>
            </w:r>
            <w:r w:rsidR="00034E1D" w:rsidRPr="00C94D1A">
              <w:rPr>
                <w:szCs w:val="24"/>
              </w:rPr>
              <w:t xml:space="preserve">: Only three data points but these greatly exceed the guideline master rate in every year. </w:t>
            </w:r>
          </w:p>
          <w:p w14:paraId="43D74B01" w14:textId="5A672FD6" w:rsidR="00F05163" w:rsidRPr="00C94D1A" w:rsidRDefault="00F05163" w:rsidP="00C94D1A">
            <w:pPr>
              <w:pStyle w:val="ListParagraph"/>
              <w:numPr>
                <w:ilvl w:val="0"/>
                <w:numId w:val="36"/>
              </w:numPr>
              <w:spacing w:line="240" w:lineRule="auto"/>
              <w:rPr>
                <w:szCs w:val="24"/>
              </w:rPr>
            </w:pPr>
            <w:r w:rsidRPr="00C94D1A">
              <w:rPr>
                <w:szCs w:val="24"/>
              </w:rPr>
              <w:t>Aggregate</w:t>
            </w:r>
            <w:r w:rsidR="00034E1D" w:rsidRPr="00C94D1A">
              <w:rPr>
                <w:szCs w:val="24"/>
              </w:rPr>
              <w:t xml:space="preserve">: Only three data points which follow the master rate with an exceedance in the final year. </w:t>
            </w:r>
          </w:p>
          <w:p w14:paraId="154E96BC" w14:textId="44E5E2F8" w:rsidR="00F05163" w:rsidRPr="00C94D1A" w:rsidRDefault="00F05163" w:rsidP="00C94D1A">
            <w:pPr>
              <w:pStyle w:val="ListParagraph"/>
              <w:numPr>
                <w:ilvl w:val="0"/>
                <w:numId w:val="36"/>
              </w:numPr>
              <w:spacing w:line="240" w:lineRule="auto"/>
              <w:rPr>
                <w:szCs w:val="24"/>
              </w:rPr>
            </w:pPr>
            <w:r w:rsidRPr="00C94D1A">
              <w:rPr>
                <w:szCs w:val="24"/>
              </w:rPr>
              <w:t>Geotextile</w:t>
            </w:r>
            <w:r w:rsidR="00034E1D" w:rsidRPr="00C94D1A">
              <w:rPr>
                <w:szCs w:val="24"/>
              </w:rPr>
              <w:t>: Four</w:t>
            </w:r>
            <w:r w:rsidR="00D0211C" w:rsidRPr="00C94D1A">
              <w:rPr>
                <w:szCs w:val="24"/>
              </w:rPr>
              <w:t xml:space="preserve"> </w:t>
            </w:r>
            <w:r w:rsidR="00034E1D" w:rsidRPr="00C94D1A">
              <w:rPr>
                <w:szCs w:val="24"/>
              </w:rPr>
              <w:t>(4) data points which all lag the guideline rate, with the exception of 2015, when there is a large difference.</w:t>
            </w:r>
          </w:p>
        </w:tc>
      </w:tr>
      <w:tr w:rsidR="000D3CCA" w:rsidRPr="00203170" w14:paraId="7ED61056" w14:textId="77777777" w:rsidTr="00E53A55">
        <w:trPr>
          <w:trHeight w:val="413"/>
        </w:trPr>
        <w:tc>
          <w:tcPr>
            <w:tcW w:w="1129" w:type="dxa"/>
            <w:noWrap/>
            <w:vAlign w:val="center"/>
          </w:tcPr>
          <w:p w14:paraId="34D417FD" w14:textId="356542BA" w:rsidR="000D3CCA" w:rsidRPr="00203170" w:rsidRDefault="000D3CCA" w:rsidP="00AE71A0">
            <w:pPr>
              <w:rPr>
                <w:szCs w:val="24"/>
              </w:rPr>
            </w:pPr>
            <w:r w:rsidRPr="00203170">
              <w:rPr>
                <w:szCs w:val="24"/>
              </w:rPr>
              <w:t>10</w:t>
            </w:r>
          </w:p>
        </w:tc>
        <w:tc>
          <w:tcPr>
            <w:tcW w:w="1985" w:type="dxa"/>
            <w:vAlign w:val="center"/>
          </w:tcPr>
          <w:p w14:paraId="47A918FB" w14:textId="77777777" w:rsidR="000D3CCA" w:rsidRPr="00203170" w:rsidRDefault="000D3CCA" w:rsidP="00564565">
            <w:pPr>
              <w:spacing w:line="240" w:lineRule="auto"/>
              <w:rPr>
                <w:szCs w:val="24"/>
              </w:rPr>
            </w:pPr>
            <w:r w:rsidRPr="00203170">
              <w:rPr>
                <w:szCs w:val="24"/>
              </w:rPr>
              <w:t>General surface rehab and grassing</w:t>
            </w:r>
          </w:p>
        </w:tc>
        <w:tc>
          <w:tcPr>
            <w:tcW w:w="5953" w:type="dxa"/>
            <w:tcBorders>
              <w:top w:val="single" w:sz="4" w:space="0" w:color="auto"/>
            </w:tcBorders>
            <w:noWrap/>
          </w:tcPr>
          <w:p w14:paraId="3D303E62" w14:textId="0D60907A" w:rsidR="000D3CCA" w:rsidRPr="00203170" w:rsidRDefault="000D3CCA" w:rsidP="004215C6">
            <w:pPr>
              <w:spacing w:line="240" w:lineRule="auto"/>
              <w:rPr>
                <w:szCs w:val="24"/>
              </w:rPr>
            </w:pPr>
            <w:r w:rsidRPr="00203170">
              <w:rPr>
                <w:szCs w:val="24"/>
              </w:rPr>
              <w:t>Actual tend</w:t>
            </w:r>
            <w:r w:rsidR="00F05163" w:rsidRPr="00203170">
              <w:rPr>
                <w:szCs w:val="24"/>
              </w:rPr>
              <w:t xml:space="preserve">er values far exceed guideline </w:t>
            </w:r>
            <w:r w:rsidRPr="00203170">
              <w:rPr>
                <w:szCs w:val="24"/>
              </w:rPr>
              <w:t>master rates</w:t>
            </w:r>
            <w:r w:rsidR="00F05163" w:rsidRPr="00203170">
              <w:rPr>
                <w:szCs w:val="24"/>
              </w:rPr>
              <w:t xml:space="preserve"> for years with data. Only two data points </w:t>
            </w:r>
            <w:r w:rsidR="00034E1D" w:rsidRPr="00203170">
              <w:rPr>
                <w:szCs w:val="24"/>
              </w:rPr>
              <w:t xml:space="preserve">available </w:t>
            </w:r>
            <w:r w:rsidR="00F05163" w:rsidRPr="00203170">
              <w:rPr>
                <w:szCs w:val="24"/>
              </w:rPr>
              <w:t>so</w:t>
            </w:r>
            <w:r w:rsidR="00034E1D" w:rsidRPr="00203170">
              <w:rPr>
                <w:szCs w:val="24"/>
              </w:rPr>
              <w:t xml:space="preserve"> the </w:t>
            </w:r>
            <w:r w:rsidR="00F05163" w:rsidRPr="00203170">
              <w:rPr>
                <w:szCs w:val="24"/>
              </w:rPr>
              <w:t>results</w:t>
            </w:r>
            <w:r w:rsidR="00034E1D" w:rsidRPr="00203170">
              <w:rPr>
                <w:szCs w:val="24"/>
              </w:rPr>
              <w:t xml:space="preserve"> are </w:t>
            </w:r>
            <w:r w:rsidR="00F05163" w:rsidRPr="00203170">
              <w:rPr>
                <w:szCs w:val="24"/>
              </w:rPr>
              <w:t>not consider</w:t>
            </w:r>
            <w:r w:rsidR="00034E1D" w:rsidRPr="00203170">
              <w:rPr>
                <w:szCs w:val="24"/>
              </w:rPr>
              <w:t>ed</w:t>
            </w:r>
            <w:r w:rsidR="00F05163" w:rsidRPr="00203170">
              <w:rPr>
                <w:szCs w:val="24"/>
              </w:rPr>
              <w:t xml:space="preserve"> sufficient for </w:t>
            </w:r>
            <w:r w:rsidR="004215C6">
              <w:rPr>
                <w:szCs w:val="24"/>
              </w:rPr>
              <w:t xml:space="preserve">a valid </w:t>
            </w:r>
            <w:r w:rsidR="00F05163" w:rsidRPr="00203170">
              <w:rPr>
                <w:szCs w:val="24"/>
              </w:rPr>
              <w:t xml:space="preserve">conclusion. </w:t>
            </w:r>
          </w:p>
        </w:tc>
      </w:tr>
      <w:tr w:rsidR="000D3CCA" w:rsidRPr="00203170" w14:paraId="38072D08" w14:textId="77777777" w:rsidTr="00C507B3">
        <w:trPr>
          <w:trHeight w:val="249"/>
        </w:trPr>
        <w:tc>
          <w:tcPr>
            <w:tcW w:w="1129" w:type="dxa"/>
            <w:noWrap/>
            <w:vAlign w:val="center"/>
          </w:tcPr>
          <w:p w14:paraId="753DB22B" w14:textId="77777777" w:rsidR="000D3CCA" w:rsidRPr="00203170" w:rsidRDefault="000D3CCA" w:rsidP="00AE71A0">
            <w:pPr>
              <w:rPr>
                <w:szCs w:val="24"/>
              </w:rPr>
            </w:pPr>
            <w:r w:rsidRPr="00203170">
              <w:rPr>
                <w:szCs w:val="24"/>
              </w:rPr>
              <w:t>12</w:t>
            </w:r>
          </w:p>
        </w:tc>
        <w:tc>
          <w:tcPr>
            <w:tcW w:w="1985" w:type="dxa"/>
            <w:vAlign w:val="center"/>
          </w:tcPr>
          <w:p w14:paraId="5AE9106F" w14:textId="77777777" w:rsidR="000D3CCA" w:rsidRPr="00203170" w:rsidRDefault="000D3CCA" w:rsidP="00564565">
            <w:pPr>
              <w:spacing w:line="240" w:lineRule="auto"/>
              <w:rPr>
                <w:szCs w:val="24"/>
              </w:rPr>
            </w:pPr>
            <w:r w:rsidRPr="00203170">
              <w:rPr>
                <w:szCs w:val="24"/>
              </w:rPr>
              <w:t>Fencing</w:t>
            </w:r>
          </w:p>
        </w:tc>
        <w:tc>
          <w:tcPr>
            <w:tcW w:w="5953" w:type="dxa"/>
            <w:tcBorders>
              <w:top w:val="single" w:sz="4" w:space="0" w:color="auto"/>
              <w:bottom w:val="single" w:sz="4" w:space="0" w:color="auto"/>
            </w:tcBorders>
            <w:noWrap/>
          </w:tcPr>
          <w:p w14:paraId="3A28530F" w14:textId="06662482" w:rsidR="000D3CCA" w:rsidRPr="00203170" w:rsidRDefault="000D3CCA" w:rsidP="00564565">
            <w:pPr>
              <w:spacing w:line="240" w:lineRule="auto"/>
              <w:rPr>
                <w:szCs w:val="24"/>
              </w:rPr>
            </w:pPr>
            <w:r w:rsidRPr="00203170">
              <w:rPr>
                <w:szCs w:val="24"/>
              </w:rPr>
              <w:t xml:space="preserve">Actual tender values </w:t>
            </w:r>
            <w:r w:rsidR="00034E1D" w:rsidRPr="00203170">
              <w:rPr>
                <w:szCs w:val="24"/>
              </w:rPr>
              <w:t xml:space="preserve">lag </w:t>
            </w:r>
            <w:r w:rsidRPr="00203170">
              <w:rPr>
                <w:szCs w:val="24"/>
              </w:rPr>
              <w:t xml:space="preserve">far </w:t>
            </w:r>
            <w:r w:rsidR="00034E1D" w:rsidRPr="00203170">
              <w:rPr>
                <w:szCs w:val="24"/>
              </w:rPr>
              <w:t xml:space="preserve">behind </w:t>
            </w:r>
            <w:r w:rsidRPr="00203170">
              <w:rPr>
                <w:szCs w:val="24"/>
              </w:rPr>
              <w:t>guideline master rates</w:t>
            </w:r>
            <w:r w:rsidR="00034E1D" w:rsidRPr="00203170">
              <w:rPr>
                <w:szCs w:val="24"/>
              </w:rPr>
              <w:t xml:space="preserve"> in early years, only to exceed the master rates in later years. </w:t>
            </w:r>
          </w:p>
        </w:tc>
      </w:tr>
      <w:tr w:rsidR="00C507B3" w:rsidRPr="00203170" w14:paraId="504AEB72" w14:textId="77777777" w:rsidTr="00E53A55">
        <w:trPr>
          <w:trHeight w:val="249"/>
        </w:trPr>
        <w:tc>
          <w:tcPr>
            <w:tcW w:w="1129" w:type="dxa"/>
            <w:noWrap/>
            <w:vAlign w:val="center"/>
          </w:tcPr>
          <w:p w14:paraId="6D405FEE" w14:textId="77777777" w:rsidR="00C507B3" w:rsidRPr="00203170" w:rsidRDefault="00C507B3" w:rsidP="00AE71A0">
            <w:pPr>
              <w:rPr>
                <w:szCs w:val="24"/>
              </w:rPr>
            </w:pPr>
          </w:p>
        </w:tc>
        <w:tc>
          <w:tcPr>
            <w:tcW w:w="1985" w:type="dxa"/>
            <w:vAlign w:val="center"/>
          </w:tcPr>
          <w:p w14:paraId="59AD2532" w14:textId="7F661C10" w:rsidR="00C507B3" w:rsidRPr="00203170" w:rsidRDefault="00AA73A0" w:rsidP="00564565">
            <w:pPr>
              <w:spacing w:line="240" w:lineRule="auto"/>
              <w:rPr>
                <w:szCs w:val="24"/>
              </w:rPr>
            </w:pPr>
            <w:r>
              <w:rPr>
                <w:szCs w:val="24"/>
              </w:rPr>
              <w:t xml:space="preserve">Preliminary and General </w:t>
            </w:r>
          </w:p>
        </w:tc>
        <w:tc>
          <w:tcPr>
            <w:tcW w:w="5953" w:type="dxa"/>
            <w:tcBorders>
              <w:top w:val="single" w:sz="4" w:space="0" w:color="auto"/>
            </w:tcBorders>
            <w:noWrap/>
          </w:tcPr>
          <w:p w14:paraId="6278D331" w14:textId="1CC8B5A5" w:rsidR="00C507B3" w:rsidRPr="00203170" w:rsidRDefault="00AA73A0" w:rsidP="00564565">
            <w:pPr>
              <w:spacing w:line="240" w:lineRule="auto"/>
              <w:rPr>
                <w:szCs w:val="24"/>
              </w:rPr>
            </w:pPr>
            <w:r>
              <w:rPr>
                <w:szCs w:val="24"/>
              </w:rPr>
              <w:t xml:space="preserve">The Preliminary and General costs exceed the guideline rate of 12.5% on smaller projects but seems to decrease to under 10% on larger projects. The correlation between this relationship is weak, however. </w:t>
            </w:r>
          </w:p>
        </w:tc>
      </w:tr>
    </w:tbl>
    <w:p w14:paraId="7B5094AD" w14:textId="77777777" w:rsidR="00E53A55" w:rsidRPr="00203170" w:rsidRDefault="00E53A55" w:rsidP="00AE71A0">
      <w:pPr>
        <w:rPr>
          <w:szCs w:val="24"/>
        </w:rPr>
      </w:pPr>
    </w:p>
    <w:p w14:paraId="608F7459" w14:textId="6A0A51DE" w:rsidR="00236982" w:rsidRDefault="00E53A55" w:rsidP="00AE71A0">
      <w:pPr>
        <w:rPr>
          <w:szCs w:val="24"/>
        </w:rPr>
      </w:pPr>
      <w:r w:rsidRPr="00203170">
        <w:rPr>
          <w:szCs w:val="24"/>
        </w:rPr>
        <w:lastRenderedPageBreak/>
        <w:t xml:space="preserve">The analysis of the </w:t>
      </w:r>
      <w:r w:rsidR="007C04B5">
        <w:rPr>
          <w:szCs w:val="24"/>
        </w:rPr>
        <w:t>DME</w:t>
      </w:r>
      <w:r w:rsidRPr="00203170">
        <w:rPr>
          <w:szCs w:val="24"/>
        </w:rPr>
        <w:t xml:space="preserve">, CIDB and actual tender prices for the various master rates and component rates presented in the preceding chapter presents a mixed result. In most cases, the actual tender values exceed the guideline master rates. Also, as a general observation, the total of 4% difference that the CIDB report introduces, does not make any meaningful difference to the </w:t>
      </w:r>
      <w:r w:rsidR="007C04B5">
        <w:rPr>
          <w:szCs w:val="24"/>
        </w:rPr>
        <w:t>DME</w:t>
      </w:r>
      <w:r w:rsidRPr="00203170">
        <w:rPr>
          <w:szCs w:val="24"/>
        </w:rPr>
        <w:t xml:space="preserve"> master rates when compared to the amount of the actual values and their differences to the baseline or guideline rates. The CIDB escalation is </w:t>
      </w:r>
      <w:r w:rsidR="005C1C4D">
        <w:rPr>
          <w:szCs w:val="24"/>
        </w:rPr>
        <w:t xml:space="preserve">therefore </w:t>
      </w:r>
      <w:r w:rsidRPr="00203170">
        <w:rPr>
          <w:szCs w:val="24"/>
        </w:rPr>
        <w:t xml:space="preserve">an equally poor indicator of real tender values than the </w:t>
      </w:r>
      <w:r w:rsidR="007C04B5">
        <w:rPr>
          <w:szCs w:val="24"/>
        </w:rPr>
        <w:t>DME</w:t>
      </w:r>
      <w:r w:rsidRPr="00203170">
        <w:rPr>
          <w:szCs w:val="24"/>
        </w:rPr>
        <w:t xml:space="preserve"> guideline rate. There are some areas where the </w:t>
      </w:r>
      <w:r w:rsidR="007C04B5">
        <w:rPr>
          <w:szCs w:val="24"/>
        </w:rPr>
        <w:t>DME</w:t>
      </w:r>
      <w:r w:rsidRPr="00203170">
        <w:rPr>
          <w:szCs w:val="24"/>
        </w:rPr>
        <w:t xml:space="preserve"> guideline predicted the rates escalation of the master rates rather accurately, but these are the exceptions to the </w:t>
      </w:r>
      <w:r w:rsidR="005C1C4D">
        <w:rPr>
          <w:szCs w:val="24"/>
        </w:rPr>
        <w:t>general observation</w:t>
      </w:r>
      <w:r w:rsidRPr="00203170">
        <w:rPr>
          <w:szCs w:val="24"/>
        </w:rPr>
        <w:t>. Also observable is that the rates seem to escalate fairly evenly until 2012 and that there is a distinct rise in the rates from 2014 onward, with the year 2015 providing the greatest of these variances.</w:t>
      </w:r>
    </w:p>
    <w:p w14:paraId="41B0AE63" w14:textId="6C27F68C" w:rsidR="004215C6" w:rsidRDefault="004215C6" w:rsidP="00AE71A0">
      <w:pPr>
        <w:rPr>
          <w:szCs w:val="24"/>
        </w:rPr>
      </w:pPr>
      <w:r>
        <w:rPr>
          <w:szCs w:val="24"/>
        </w:rPr>
        <w:t xml:space="preserve">As an overall trend, it is notable that a sharp increase in prices is evident across almost all cost values from the 2015 tenders. In this year, Mintek elected to obtain the assistance of an engineering consultancy to assist in compiling the tender documentation, which it had been doing in-house before. As a result, the tender specifications became a lot more complex. This complexity need not necessarily have translated to increased costs on a per line item basis, unless bidders were costing in additional overhead costs on the projects. </w:t>
      </w:r>
    </w:p>
    <w:p w14:paraId="7B81447C" w14:textId="4928EA48" w:rsidR="00AC4F03" w:rsidRDefault="00AC4F03" w:rsidP="00AE71A0">
      <w:pPr>
        <w:rPr>
          <w:szCs w:val="24"/>
        </w:rPr>
        <w:sectPr w:rsidR="00AC4F03" w:rsidSect="004321A7">
          <w:pgSz w:w="11906" w:h="16838"/>
          <w:pgMar w:top="1440" w:right="1440" w:bottom="1440" w:left="1440" w:header="709" w:footer="709" w:gutter="0"/>
          <w:cols w:space="708"/>
          <w:docGrid w:linePitch="360"/>
        </w:sectPr>
      </w:pPr>
      <w:r>
        <w:rPr>
          <w:szCs w:val="24"/>
        </w:rPr>
        <w:t>The prices and cost estimates at overall project cost levels paint a different picture altogether. Here, other factors play a role in determining, in many cases, that the final project cost is much lower than an item-by-item analysis of the median values of the component rates might suggest.</w:t>
      </w:r>
      <w:r w:rsidR="004215C6">
        <w:rPr>
          <w:szCs w:val="24"/>
        </w:rPr>
        <w:t xml:space="preserve"> (See Chapter 7) </w:t>
      </w:r>
      <w:r>
        <w:rPr>
          <w:szCs w:val="24"/>
        </w:rPr>
        <w:t xml:space="preserve">The purely statistical approach to the component rates of rehabilitation costs seem to suggest that costs are much higher in most cases than the DME and CIDB predicted rates. </w:t>
      </w:r>
    </w:p>
    <w:p w14:paraId="328EEBEC" w14:textId="7868554B" w:rsidR="00855DF2" w:rsidRPr="00374E2B" w:rsidRDefault="00D464FB" w:rsidP="002D6002">
      <w:pPr>
        <w:pStyle w:val="Heading1"/>
      </w:pPr>
      <w:bookmarkStart w:id="259" w:name="_Toc446591754"/>
      <w:bookmarkStart w:id="260" w:name="_Toc446591863"/>
      <w:bookmarkStart w:id="261" w:name="_Toc447003213"/>
      <w:bookmarkStart w:id="262" w:name="_Toc463359248"/>
      <w:bookmarkStart w:id="263" w:name="_Toc499539630"/>
      <w:bookmarkStart w:id="264" w:name="_Toc499636238"/>
      <w:bookmarkStart w:id="265" w:name="_Toc499636273"/>
      <w:bookmarkStart w:id="266" w:name="_Toc500238250"/>
      <w:bookmarkStart w:id="267" w:name="_Toc500238291"/>
      <w:bookmarkStart w:id="268" w:name="_Toc500240270"/>
      <w:bookmarkStart w:id="269" w:name="_Toc500338125"/>
      <w:bookmarkStart w:id="270" w:name="_Toc500623145"/>
      <w:bookmarkStart w:id="271" w:name="_Toc500745637"/>
      <w:bookmarkStart w:id="272" w:name="_Toc500762366"/>
      <w:bookmarkStart w:id="273" w:name="_Toc501187364"/>
      <w:bookmarkStart w:id="274" w:name="_Toc501187409"/>
      <w:bookmarkStart w:id="275" w:name="_Toc501187689"/>
      <w:bookmarkStart w:id="276" w:name="_Toc501187732"/>
      <w:bookmarkStart w:id="277" w:name="_Toc505969195"/>
      <w:bookmarkStart w:id="278" w:name="_Toc505971217"/>
      <w:bookmarkStart w:id="279" w:name="_Toc505971922"/>
      <w:bookmarkStart w:id="280" w:name="_Toc505971990"/>
      <w:bookmarkStart w:id="281" w:name="_Toc506399056"/>
      <w:bookmarkStart w:id="282" w:name="_Toc506403304"/>
      <w:bookmarkStart w:id="283" w:name="_Toc506403777"/>
      <w:bookmarkStart w:id="284" w:name="_Toc506960835"/>
      <w:bookmarkStart w:id="285" w:name="_Toc507233530"/>
      <w:bookmarkStart w:id="286" w:name="_Toc507242344"/>
      <w:bookmarkStart w:id="287" w:name="_Toc507244160"/>
      <w:bookmarkStart w:id="288" w:name="_Toc507250052"/>
      <w:bookmarkStart w:id="289" w:name="_Toc507264701"/>
      <w:bookmarkStart w:id="290" w:name="_Toc507300860"/>
      <w:bookmarkStart w:id="291" w:name="_Toc507301026"/>
      <w:bookmarkStart w:id="292" w:name="_Toc507301286"/>
      <w:bookmarkStart w:id="293" w:name="_Toc507301347"/>
      <w:bookmarkStart w:id="294" w:name="_Toc507317975"/>
      <w:bookmarkStart w:id="295" w:name="_Toc507319024"/>
      <w:bookmarkStart w:id="296" w:name="_Toc507319088"/>
      <w:bookmarkStart w:id="297" w:name="_Toc446591755"/>
      <w:bookmarkStart w:id="298" w:name="_Toc446591864"/>
      <w:bookmarkStart w:id="299" w:name="_Toc447003214"/>
      <w:bookmarkStart w:id="300" w:name="_Toc463359249"/>
      <w:bookmarkStart w:id="301" w:name="_Toc499539631"/>
      <w:bookmarkStart w:id="302" w:name="_Toc499636239"/>
      <w:bookmarkStart w:id="303" w:name="_Toc499636274"/>
      <w:bookmarkStart w:id="304" w:name="_Toc500238251"/>
      <w:bookmarkStart w:id="305" w:name="_Toc500238292"/>
      <w:bookmarkStart w:id="306" w:name="_Toc500240271"/>
      <w:bookmarkStart w:id="307" w:name="_Toc500338126"/>
      <w:bookmarkStart w:id="308" w:name="_Toc500623146"/>
      <w:bookmarkStart w:id="309" w:name="_Toc500745638"/>
      <w:bookmarkStart w:id="310" w:name="_Toc500762367"/>
      <w:bookmarkStart w:id="311" w:name="_Toc501187365"/>
      <w:bookmarkStart w:id="312" w:name="_Toc501187410"/>
      <w:bookmarkStart w:id="313" w:name="_Toc501187690"/>
      <w:bookmarkStart w:id="314" w:name="_Toc501187733"/>
      <w:bookmarkStart w:id="315" w:name="_Toc505969196"/>
      <w:bookmarkStart w:id="316" w:name="_Toc505971218"/>
      <w:bookmarkStart w:id="317" w:name="_Toc505971923"/>
      <w:bookmarkStart w:id="318" w:name="_Toc505971991"/>
      <w:bookmarkStart w:id="319" w:name="_Toc506399057"/>
      <w:bookmarkStart w:id="320" w:name="_Toc506403305"/>
      <w:bookmarkStart w:id="321" w:name="_Toc506403778"/>
      <w:bookmarkStart w:id="322" w:name="_Toc506960836"/>
      <w:bookmarkStart w:id="323" w:name="_Toc507233531"/>
      <w:bookmarkStart w:id="324" w:name="_Toc507242345"/>
      <w:bookmarkStart w:id="325" w:name="_Toc507244161"/>
      <w:bookmarkStart w:id="326" w:name="_Toc507250053"/>
      <w:bookmarkStart w:id="327" w:name="_Toc507264702"/>
      <w:bookmarkStart w:id="328" w:name="_Toc507300861"/>
      <w:bookmarkStart w:id="329" w:name="_Toc507301027"/>
      <w:bookmarkStart w:id="330" w:name="_Toc507301287"/>
      <w:bookmarkStart w:id="331" w:name="_Toc507301348"/>
      <w:bookmarkStart w:id="332" w:name="_Toc507317976"/>
      <w:bookmarkStart w:id="333" w:name="_Toc507319025"/>
      <w:bookmarkStart w:id="334" w:name="_Toc507319089"/>
      <w:bookmarkStart w:id="335" w:name="_Toc446591756"/>
      <w:bookmarkStart w:id="336" w:name="_Toc446591865"/>
      <w:bookmarkStart w:id="337" w:name="_Toc447003215"/>
      <w:bookmarkStart w:id="338" w:name="_Toc463359250"/>
      <w:bookmarkStart w:id="339" w:name="_Toc499539632"/>
      <w:bookmarkStart w:id="340" w:name="_Toc499636240"/>
      <w:bookmarkStart w:id="341" w:name="_Toc499636275"/>
      <w:bookmarkStart w:id="342" w:name="_Toc500238252"/>
      <w:bookmarkStart w:id="343" w:name="_Toc500238293"/>
      <w:bookmarkStart w:id="344" w:name="_Toc500240272"/>
      <w:bookmarkStart w:id="345" w:name="_Toc500338127"/>
      <w:bookmarkStart w:id="346" w:name="_Toc500623147"/>
      <w:bookmarkStart w:id="347" w:name="_Toc500745639"/>
      <w:bookmarkStart w:id="348" w:name="_Toc500762368"/>
      <w:bookmarkStart w:id="349" w:name="_Toc501187366"/>
      <w:bookmarkStart w:id="350" w:name="_Toc501187411"/>
      <w:bookmarkStart w:id="351" w:name="_Toc501187691"/>
      <w:bookmarkStart w:id="352" w:name="_Toc501187734"/>
      <w:bookmarkStart w:id="353" w:name="_Toc505969197"/>
      <w:bookmarkStart w:id="354" w:name="_Toc505971219"/>
      <w:bookmarkStart w:id="355" w:name="_Toc505971924"/>
      <w:bookmarkStart w:id="356" w:name="_Toc505971992"/>
      <w:bookmarkStart w:id="357" w:name="_Toc506399058"/>
      <w:bookmarkStart w:id="358" w:name="_Toc506403306"/>
      <w:bookmarkStart w:id="359" w:name="_Toc506403779"/>
      <w:bookmarkStart w:id="360" w:name="_Toc506960837"/>
      <w:bookmarkStart w:id="361" w:name="_Toc507233532"/>
      <w:bookmarkStart w:id="362" w:name="_Toc507242346"/>
      <w:bookmarkStart w:id="363" w:name="_Toc507244162"/>
      <w:bookmarkStart w:id="364" w:name="_Toc507250054"/>
      <w:bookmarkStart w:id="365" w:name="_Toc507264703"/>
      <w:bookmarkStart w:id="366" w:name="_Toc507300862"/>
      <w:bookmarkStart w:id="367" w:name="_Toc507301028"/>
      <w:bookmarkStart w:id="368" w:name="_Toc507301288"/>
      <w:bookmarkStart w:id="369" w:name="_Toc507301349"/>
      <w:bookmarkStart w:id="370" w:name="_Toc507317977"/>
      <w:bookmarkStart w:id="371" w:name="_Toc507319026"/>
      <w:bookmarkStart w:id="372" w:name="_Toc507319090"/>
      <w:bookmarkStart w:id="373" w:name="_Toc446591757"/>
      <w:bookmarkStart w:id="374" w:name="_Toc446591866"/>
      <w:bookmarkStart w:id="375" w:name="_Toc447003216"/>
      <w:bookmarkStart w:id="376" w:name="_Toc463359251"/>
      <w:bookmarkStart w:id="377" w:name="_Toc499539633"/>
      <w:bookmarkStart w:id="378" w:name="_Toc499636241"/>
      <w:bookmarkStart w:id="379" w:name="_Toc499636276"/>
      <w:bookmarkStart w:id="380" w:name="_Toc500238253"/>
      <w:bookmarkStart w:id="381" w:name="_Toc500238294"/>
      <w:bookmarkStart w:id="382" w:name="_Toc500240273"/>
      <w:bookmarkStart w:id="383" w:name="_Toc500338128"/>
      <w:bookmarkStart w:id="384" w:name="_Toc500623148"/>
      <w:bookmarkStart w:id="385" w:name="_Toc500745640"/>
      <w:bookmarkStart w:id="386" w:name="_Toc500762369"/>
      <w:bookmarkStart w:id="387" w:name="_Toc501187367"/>
      <w:bookmarkStart w:id="388" w:name="_Toc501187412"/>
      <w:bookmarkStart w:id="389" w:name="_Toc501187692"/>
      <w:bookmarkStart w:id="390" w:name="_Toc501187735"/>
      <w:bookmarkStart w:id="391" w:name="_Toc505969198"/>
      <w:bookmarkStart w:id="392" w:name="_Toc505971220"/>
      <w:bookmarkStart w:id="393" w:name="_Toc505971925"/>
      <w:bookmarkStart w:id="394" w:name="_Toc505971993"/>
      <w:bookmarkStart w:id="395" w:name="_Toc506399059"/>
      <w:bookmarkStart w:id="396" w:name="_Toc506403307"/>
      <w:bookmarkStart w:id="397" w:name="_Toc506403780"/>
      <w:bookmarkStart w:id="398" w:name="_Toc506960838"/>
      <w:bookmarkStart w:id="399" w:name="_Toc507233533"/>
      <w:bookmarkStart w:id="400" w:name="_Toc507242347"/>
      <w:bookmarkStart w:id="401" w:name="_Toc507244163"/>
      <w:bookmarkStart w:id="402" w:name="_Toc507250055"/>
      <w:bookmarkStart w:id="403" w:name="_Toc507264704"/>
      <w:bookmarkStart w:id="404" w:name="_Toc507300863"/>
      <w:bookmarkStart w:id="405" w:name="_Toc507301029"/>
      <w:bookmarkStart w:id="406" w:name="_Toc507301289"/>
      <w:bookmarkStart w:id="407" w:name="_Toc507301350"/>
      <w:bookmarkStart w:id="408" w:name="_Toc507317978"/>
      <w:bookmarkStart w:id="409" w:name="_Toc507319027"/>
      <w:bookmarkStart w:id="410" w:name="_Toc507319091"/>
      <w:bookmarkStart w:id="411" w:name="_Toc446591758"/>
      <w:bookmarkStart w:id="412" w:name="_Toc446591867"/>
      <w:bookmarkStart w:id="413" w:name="_Toc447003217"/>
      <w:bookmarkStart w:id="414" w:name="_Toc463359252"/>
      <w:bookmarkStart w:id="415" w:name="_Toc499539634"/>
      <w:bookmarkStart w:id="416" w:name="_Toc499636242"/>
      <w:bookmarkStart w:id="417" w:name="_Toc499636277"/>
      <w:bookmarkStart w:id="418" w:name="_Toc500238254"/>
      <w:bookmarkStart w:id="419" w:name="_Toc500238295"/>
      <w:bookmarkStart w:id="420" w:name="_Toc500240274"/>
      <w:bookmarkStart w:id="421" w:name="_Toc500338129"/>
      <w:bookmarkStart w:id="422" w:name="_Toc500623149"/>
      <w:bookmarkStart w:id="423" w:name="_Toc500745641"/>
      <w:bookmarkStart w:id="424" w:name="_Toc500762370"/>
      <w:bookmarkStart w:id="425" w:name="_Toc501187368"/>
      <w:bookmarkStart w:id="426" w:name="_Toc501187413"/>
      <w:bookmarkStart w:id="427" w:name="_Toc501187693"/>
      <w:bookmarkStart w:id="428" w:name="_Toc501187736"/>
      <w:bookmarkStart w:id="429" w:name="_Toc505969199"/>
      <w:bookmarkStart w:id="430" w:name="_Toc505971221"/>
      <w:bookmarkStart w:id="431" w:name="_Toc505971926"/>
      <w:bookmarkStart w:id="432" w:name="_Toc505971994"/>
      <w:bookmarkStart w:id="433" w:name="_Toc506399060"/>
      <w:bookmarkStart w:id="434" w:name="_Toc506403308"/>
      <w:bookmarkStart w:id="435" w:name="_Toc506403781"/>
      <w:bookmarkStart w:id="436" w:name="_Toc506960839"/>
      <w:bookmarkStart w:id="437" w:name="_Toc507233534"/>
      <w:bookmarkStart w:id="438" w:name="_Toc507242348"/>
      <w:bookmarkStart w:id="439" w:name="_Toc507244164"/>
      <w:bookmarkStart w:id="440" w:name="_Toc507250056"/>
      <w:bookmarkStart w:id="441" w:name="_Toc507264705"/>
      <w:bookmarkStart w:id="442" w:name="_Toc507300864"/>
      <w:bookmarkStart w:id="443" w:name="_Toc507301030"/>
      <w:bookmarkStart w:id="444" w:name="_Toc507301290"/>
      <w:bookmarkStart w:id="445" w:name="_Toc507301351"/>
      <w:bookmarkStart w:id="446" w:name="_Toc507317979"/>
      <w:bookmarkStart w:id="447" w:name="_Toc507319028"/>
      <w:bookmarkStart w:id="448" w:name="_Toc507319092"/>
      <w:bookmarkStart w:id="449" w:name="_Toc446591759"/>
      <w:bookmarkStart w:id="450" w:name="_Toc446591868"/>
      <w:bookmarkStart w:id="451" w:name="_Toc447003218"/>
      <w:bookmarkStart w:id="452" w:name="_Toc463359253"/>
      <w:bookmarkStart w:id="453" w:name="_Toc499539635"/>
      <w:bookmarkStart w:id="454" w:name="_Toc499636243"/>
      <w:bookmarkStart w:id="455" w:name="_Toc499636278"/>
      <w:bookmarkStart w:id="456" w:name="_Toc500238255"/>
      <w:bookmarkStart w:id="457" w:name="_Toc500238296"/>
      <w:bookmarkStart w:id="458" w:name="_Toc500240275"/>
      <w:bookmarkStart w:id="459" w:name="_Toc500338130"/>
      <w:bookmarkStart w:id="460" w:name="_Toc500623150"/>
      <w:bookmarkStart w:id="461" w:name="_Toc500745642"/>
      <w:bookmarkStart w:id="462" w:name="_Toc500762371"/>
      <w:bookmarkStart w:id="463" w:name="_Toc501187369"/>
      <w:bookmarkStart w:id="464" w:name="_Toc501187414"/>
      <w:bookmarkStart w:id="465" w:name="_Toc501187694"/>
      <w:bookmarkStart w:id="466" w:name="_Toc501187737"/>
      <w:bookmarkStart w:id="467" w:name="_Toc505969200"/>
      <w:bookmarkStart w:id="468" w:name="_Toc505971222"/>
      <w:bookmarkStart w:id="469" w:name="_Toc505971927"/>
      <w:bookmarkStart w:id="470" w:name="_Toc505971995"/>
      <w:bookmarkStart w:id="471" w:name="_Toc506399061"/>
      <w:bookmarkStart w:id="472" w:name="_Toc506403309"/>
      <w:bookmarkStart w:id="473" w:name="_Toc506403782"/>
      <w:bookmarkStart w:id="474" w:name="_Toc506960840"/>
      <w:bookmarkStart w:id="475" w:name="_Toc507233535"/>
      <w:bookmarkStart w:id="476" w:name="_Toc507242349"/>
      <w:bookmarkStart w:id="477" w:name="_Toc507244165"/>
      <w:bookmarkStart w:id="478" w:name="_Toc507250057"/>
      <w:bookmarkStart w:id="479" w:name="_Toc507264706"/>
      <w:bookmarkStart w:id="480" w:name="_Toc507300865"/>
      <w:bookmarkStart w:id="481" w:name="_Toc507301031"/>
      <w:bookmarkStart w:id="482" w:name="_Toc507301291"/>
      <w:bookmarkStart w:id="483" w:name="_Toc507301352"/>
      <w:bookmarkStart w:id="484" w:name="_Toc507317980"/>
      <w:bookmarkStart w:id="485" w:name="_Toc507319029"/>
      <w:bookmarkStart w:id="486" w:name="_Toc507319093"/>
      <w:bookmarkStart w:id="487" w:name="_Toc446591760"/>
      <w:bookmarkStart w:id="488" w:name="_Toc446591869"/>
      <w:bookmarkStart w:id="489" w:name="_Toc447003219"/>
      <w:bookmarkStart w:id="490" w:name="_Toc463359254"/>
      <w:bookmarkStart w:id="491" w:name="_Toc499539636"/>
      <w:bookmarkStart w:id="492" w:name="_Toc499636244"/>
      <w:bookmarkStart w:id="493" w:name="_Toc499636279"/>
      <w:bookmarkStart w:id="494" w:name="_Toc500238256"/>
      <w:bookmarkStart w:id="495" w:name="_Toc500238297"/>
      <w:bookmarkStart w:id="496" w:name="_Toc500240276"/>
      <w:bookmarkStart w:id="497" w:name="_Toc500338131"/>
      <w:bookmarkStart w:id="498" w:name="_Toc500623151"/>
      <w:bookmarkStart w:id="499" w:name="_Toc500745643"/>
      <w:bookmarkStart w:id="500" w:name="_Toc500762372"/>
      <w:bookmarkStart w:id="501" w:name="_Toc501187370"/>
      <w:bookmarkStart w:id="502" w:name="_Toc501187415"/>
      <w:bookmarkStart w:id="503" w:name="_Toc501187695"/>
      <w:bookmarkStart w:id="504" w:name="_Toc501187738"/>
      <w:bookmarkStart w:id="505" w:name="_Toc505969201"/>
      <w:bookmarkStart w:id="506" w:name="_Toc505971223"/>
      <w:bookmarkStart w:id="507" w:name="_Toc505971928"/>
      <w:bookmarkStart w:id="508" w:name="_Toc505971996"/>
      <w:bookmarkStart w:id="509" w:name="_Toc506399062"/>
      <w:bookmarkStart w:id="510" w:name="_Toc506403310"/>
      <w:bookmarkStart w:id="511" w:name="_Toc506403783"/>
      <w:bookmarkStart w:id="512" w:name="_Toc506960841"/>
      <w:bookmarkStart w:id="513" w:name="_Toc507233536"/>
      <w:bookmarkStart w:id="514" w:name="_Toc507242350"/>
      <w:bookmarkStart w:id="515" w:name="_Toc507244166"/>
      <w:bookmarkStart w:id="516" w:name="_Toc507250058"/>
      <w:bookmarkStart w:id="517" w:name="_Toc507264707"/>
      <w:bookmarkStart w:id="518" w:name="_Toc507300866"/>
      <w:bookmarkStart w:id="519" w:name="_Toc507301032"/>
      <w:bookmarkStart w:id="520" w:name="_Toc507301292"/>
      <w:bookmarkStart w:id="521" w:name="_Toc507301353"/>
      <w:bookmarkStart w:id="522" w:name="_Toc507317981"/>
      <w:bookmarkStart w:id="523" w:name="_Toc507319030"/>
      <w:bookmarkStart w:id="524" w:name="_Toc507319094"/>
      <w:bookmarkStart w:id="525" w:name="_Toc501187371"/>
      <w:bookmarkStart w:id="526" w:name="_Toc501187416"/>
      <w:bookmarkStart w:id="527" w:name="_Toc501187696"/>
      <w:bookmarkStart w:id="528" w:name="_Toc501187739"/>
      <w:bookmarkStart w:id="529" w:name="_Toc505969202"/>
      <w:bookmarkStart w:id="530" w:name="_Toc505971224"/>
      <w:bookmarkStart w:id="531" w:name="_Toc505971929"/>
      <w:bookmarkStart w:id="532" w:name="_Toc505971997"/>
      <w:bookmarkStart w:id="533" w:name="_Toc506399063"/>
      <w:bookmarkStart w:id="534" w:name="_Toc506403311"/>
      <w:bookmarkStart w:id="535" w:name="_Toc506403784"/>
      <w:bookmarkStart w:id="536" w:name="_Toc506960842"/>
      <w:bookmarkStart w:id="537" w:name="_Toc507233537"/>
      <w:bookmarkStart w:id="538" w:name="_Toc507242351"/>
      <w:bookmarkStart w:id="539" w:name="_Toc507244167"/>
      <w:bookmarkStart w:id="540" w:name="_Toc507250059"/>
      <w:bookmarkStart w:id="541" w:name="_Toc507264708"/>
      <w:bookmarkStart w:id="542" w:name="_Toc507300867"/>
      <w:bookmarkStart w:id="543" w:name="_Toc507301033"/>
      <w:bookmarkStart w:id="544" w:name="_Toc507301293"/>
      <w:bookmarkStart w:id="545" w:name="_Toc507301354"/>
      <w:bookmarkStart w:id="546" w:name="_Toc507317982"/>
      <w:bookmarkStart w:id="547" w:name="_Toc507319031"/>
      <w:bookmarkStart w:id="548" w:name="_Toc507319095"/>
      <w:bookmarkStart w:id="549" w:name="_Toc501187372"/>
      <w:bookmarkStart w:id="550" w:name="_Toc501187417"/>
      <w:bookmarkStart w:id="551" w:name="_Toc501187697"/>
      <w:bookmarkStart w:id="552" w:name="_Toc501187740"/>
      <w:bookmarkStart w:id="553" w:name="_Toc505969203"/>
      <w:bookmarkStart w:id="554" w:name="_Toc505971225"/>
      <w:bookmarkStart w:id="555" w:name="_Toc505971930"/>
      <w:bookmarkStart w:id="556" w:name="_Toc505971998"/>
      <w:bookmarkStart w:id="557" w:name="_Toc506399064"/>
      <w:bookmarkStart w:id="558" w:name="_Toc506403312"/>
      <w:bookmarkStart w:id="559" w:name="_Toc506403785"/>
      <w:bookmarkStart w:id="560" w:name="_Toc506960843"/>
      <w:bookmarkStart w:id="561" w:name="_Toc507233538"/>
      <w:bookmarkStart w:id="562" w:name="_Toc507242352"/>
      <w:bookmarkStart w:id="563" w:name="_Toc507244168"/>
      <w:bookmarkStart w:id="564" w:name="_Toc507250060"/>
      <w:bookmarkStart w:id="565" w:name="_Toc507264709"/>
      <w:bookmarkStart w:id="566" w:name="_Toc507300868"/>
      <w:bookmarkStart w:id="567" w:name="_Toc507301034"/>
      <w:bookmarkStart w:id="568" w:name="_Toc507301294"/>
      <w:bookmarkStart w:id="569" w:name="_Toc507301355"/>
      <w:bookmarkStart w:id="570" w:name="_Toc507317983"/>
      <w:bookmarkStart w:id="571" w:name="_Toc507319032"/>
      <w:bookmarkStart w:id="572" w:name="_Toc507319096"/>
      <w:bookmarkStart w:id="573" w:name="_Toc519445733"/>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Pr="00374E2B">
        <w:lastRenderedPageBreak/>
        <w:t>Discussion</w:t>
      </w:r>
      <w:bookmarkEnd w:id="573"/>
      <w:r w:rsidRPr="00374E2B">
        <w:t xml:space="preserve"> </w:t>
      </w:r>
    </w:p>
    <w:p w14:paraId="4B31A0D8" w14:textId="7F9F5254" w:rsidR="00741EC0" w:rsidRDefault="00741EC0" w:rsidP="00AE71A0">
      <w:pPr>
        <w:rPr>
          <w:szCs w:val="24"/>
        </w:rPr>
      </w:pPr>
      <w:r w:rsidRPr="00203170">
        <w:rPr>
          <w:szCs w:val="24"/>
        </w:rPr>
        <w:t>The data obtained from the actual tender prices for mine rehabilitation projects by a third</w:t>
      </w:r>
      <w:r w:rsidR="00C576F5" w:rsidRPr="00203170">
        <w:rPr>
          <w:szCs w:val="24"/>
        </w:rPr>
        <w:t xml:space="preserve"> </w:t>
      </w:r>
      <w:r w:rsidRPr="00203170">
        <w:rPr>
          <w:szCs w:val="24"/>
        </w:rPr>
        <w:t xml:space="preserve">party suggests that the use of CPI to escalate mine rehabilitation costs was very quickly overtaken in reality by different, higher annual costs and rate increases for most of the </w:t>
      </w:r>
      <w:r w:rsidR="007C04B5">
        <w:rPr>
          <w:szCs w:val="24"/>
        </w:rPr>
        <w:t>DME</w:t>
      </w:r>
      <w:r w:rsidR="00A918CA" w:rsidRPr="00203170">
        <w:rPr>
          <w:szCs w:val="24"/>
        </w:rPr>
        <w:t xml:space="preserve"> guideline </w:t>
      </w:r>
      <w:r w:rsidRPr="00203170">
        <w:rPr>
          <w:szCs w:val="24"/>
        </w:rPr>
        <w:t xml:space="preserve">master rates that relate to surface mining. It means that the </w:t>
      </w:r>
      <w:r w:rsidR="007C04B5">
        <w:rPr>
          <w:szCs w:val="24"/>
        </w:rPr>
        <w:t>DME</w:t>
      </w:r>
      <w:r w:rsidRPr="00203170">
        <w:rPr>
          <w:szCs w:val="24"/>
        </w:rPr>
        <w:t xml:space="preserve"> guideline master rates were not reflective of actual rehabilitation costs by the time that the use of the </w:t>
      </w:r>
      <w:r w:rsidR="007C04B5">
        <w:rPr>
          <w:szCs w:val="24"/>
        </w:rPr>
        <w:t>DME</w:t>
      </w:r>
      <w:r w:rsidRPr="00203170">
        <w:rPr>
          <w:szCs w:val="24"/>
        </w:rPr>
        <w:t xml:space="preserve"> guideline was effectively scrapped by the DEA in 201</w:t>
      </w:r>
      <w:r w:rsidR="00A918CA" w:rsidRPr="00203170">
        <w:rPr>
          <w:szCs w:val="24"/>
        </w:rPr>
        <w:t>7</w:t>
      </w:r>
      <w:r w:rsidRPr="00203170">
        <w:rPr>
          <w:szCs w:val="24"/>
        </w:rPr>
        <w:t xml:space="preserve">. </w:t>
      </w:r>
    </w:p>
    <w:p w14:paraId="34C5EEB9" w14:textId="3787A4ED" w:rsidR="00E265DC" w:rsidRPr="00203170" w:rsidRDefault="00E265DC" w:rsidP="00AE71A0">
      <w:pPr>
        <w:rPr>
          <w:szCs w:val="24"/>
        </w:rPr>
      </w:pPr>
      <w:r w:rsidRPr="00203170">
        <w:rPr>
          <w:szCs w:val="24"/>
        </w:rPr>
        <w:t xml:space="preserve">It is acknowledged that the data used to compile this report represents only a small sample of the actual data that is required to fully cost an operational mine for closure. The original population size (n) was significant at 50% of the total population of projects undertaken from 2009 to 2016. The sample of bids submitted from which the BOQ level data could be extracted to work with within the population (s) was also sufficient in most cases. The issue here is the limited scope of a typical asbestos mine surface rehabilitation project and the resultant limitation on the wider applicability of the findings of this report to the overall objective. Mines are very large, complex industrial organisations in themselves and to fully cost for their closure is the work of teams of experts over many months. </w:t>
      </w:r>
      <w:r w:rsidR="005D5AFA">
        <w:rPr>
          <w:szCs w:val="24"/>
        </w:rPr>
        <w:t>T</w:t>
      </w:r>
      <w:r w:rsidRPr="00203170">
        <w:rPr>
          <w:szCs w:val="24"/>
        </w:rPr>
        <w:t>his analysis points to values recorded for simpler types of surface remediation works only and many other values are required with several specialist inputs, to arrive at real values.</w:t>
      </w:r>
    </w:p>
    <w:p w14:paraId="003C1035" w14:textId="1D1E01A5" w:rsidR="00F02CC3" w:rsidRPr="00203170" w:rsidRDefault="00F02CC3" w:rsidP="00AE71A0">
      <w:pPr>
        <w:rPr>
          <w:szCs w:val="24"/>
        </w:rPr>
      </w:pPr>
      <w:r w:rsidRPr="00203170">
        <w:rPr>
          <w:szCs w:val="24"/>
        </w:rPr>
        <w:t xml:space="preserve">The analysis of the actual tender prices for the various master- and component rates in comparison with the </w:t>
      </w:r>
      <w:r w:rsidR="007C04B5">
        <w:rPr>
          <w:szCs w:val="24"/>
        </w:rPr>
        <w:t>DME</w:t>
      </w:r>
      <w:r w:rsidRPr="00203170">
        <w:rPr>
          <w:szCs w:val="24"/>
        </w:rPr>
        <w:t xml:space="preserve"> guideline rates delivered mixed results. While the </w:t>
      </w:r>
      <w:r w:rsidR="005D5AFA">
        <w:rPr>
          <w:szCs w:val="24"/>
        </w:rPr>
        <w:t>median</w:t>
      </w:r>
      <w:r w:rsidR="005A31F0">
        <w:rPr>
          <w:szCs w:val="24"/>
        </w:rPr>
        <w:t>s</w:t>
      </w:r>
      <w:r w:rsidR="005D5AFA">
        <w:rPr>
          <w:szCs w:val="24"/>
        </w:rPr>
        <w:t xml:space="preserve"> of </w:t>
      </w:r>
      <w:r w:rsidRPr="00203170">
        <w:rPr>
          <w:szCs w:val="24"/>
        </w:rPr>
        <w:t>actual tender values exceeded the guideline master rates</w:t>
      </w:r>
      <w:r w:rsidR="005A31F0">
        <w:rPr>
          <w:szCs w:val="24"/>
        </w:rPr>
        <w:t xml:space="preserve"> in most cases</w:t>
      </w:r>
      <w:r w:rsidRPr="00203170">
        <w:rPr>
          <w:szCs w:val="24"/>
        </w:rPr>
        <w:t xml:space="preserve">, there were notable exceptions and </w:t>
      </w:r>
      <w:r w:rsidR="006B741D" w:rsidRPr="00203170">
        <w:rPr>
          <w:szCs w:val="24"/>
        </w:rPr>
        <w:t>instances</w:t>
      </w:r>
      <w:r w:rsidRPr="00203170">
        <w:rPr>
          <w:szCs w:val="24"/>
        </w:rPr>
        <w:t xml:space="preserve"> where the actual </w:t>
      </w:r>
      <w:r w:rsidR="006B741D" w:rsidRPr="00203170">
        <w:rPr>
          <w:szCs w:val="24"/>
        </w:rPr>
        <w:t>tender</w:t>
      </w:r>
      <w:r w:rsidRPr="00203170">
        <w:rPr>
          <w:szCs w:val="24"/>
        </w:rPr>
        <w:t xml:space="preserve"> results lagged the master rate. It was also found that introducing the </w:t>
      </w:r>
      <w:r w:rsidR="006B741D" w:rsidRPr="00203170">
        <w:rPr>
          <w:szCs w:val="24"/>
        </w:rPr>
        <w:t>premiums</w:t>
      </w:r>
      <w:r w:rsidRPr="00203170">
        <w:rPr>
          <w:szCs w:val="24"/>
        </w:rPr>
        <w:t xml:space="preserve"> for PPI and CPG’s suggested by the CIDB report resulted in no better predictive ability in the variation of </w:t>
      </w:r>
      <w:r w:rsidR="006B741D" w:rsidRPr="00203170">
        <w:rPr>
          <w:szCs w:val="24"/>
        </w:rPr>
        <w:t>actual</w:t>
      </w:r>
      <w:r w:rsidRPr="00203170">
        <w:rPr>
          <w:szCs w:val="24"/>
        </w:rPr>
        <w:t xml:space="preserve"> prices from the </w:t>
      </w:r>
      <w:r w:rsidR="007C04B5">
        <w:rPr>
          <w:szCs w:val="24"/>
        </w:rPr>
        <w:t>DME</w:t>
      </w:r>
      <w:r w:rsidRPr="00203170">
        <w:rPr>
          <w:szCs w:val="24"/>
        </w:rPr>
        <w:t xml:space="preserve"> master rate. </w:t>
      </w:r>
      <w:r w:rsidR="00121903" w:rsidRPr="00203170">
        <w:rPr>
          <w:szCs w:val="24"/>
        </w:rPr>
        <w:t>Indeed, the rise in prices reflected in the CIDB’s own report for the 2009 year in BCI and PPI was not reflected in any of the master rate tender price data.</w:t>
      </w:r>
      <w:r w:rsidR="0088341A">
        <w:rPr>
          <w:szCs w:val="24"/>
        </w:rPr>
        <w:t xml:space="preserve"> </w:t>
      </w:r>
      <w:r w:rsidRPr="00203170">
        <w:rPr>
          <w:szCs w:val="24"/>
        </w:rPr>
        <w:t xml:space="preserve">There </w:t>
      </w:r>
      <w:r w:rsidR="006B741D" w:rsidRPr="00203170">
        <w:rPr>
          <w:szCs w:val="24"/>
        </w:rPr>
        <w:t>is</w:t>
      </w:r>
      <w:r w:rsidRPr="00203170">
        <w:rPr>
          <w:szCs w:val="24"/>
        </w:rPr>
        <w:t xml:space="preserve"> a myriad of potential factors that could potentially explain the vast </w:t>
      </w:r>
      <w:r w:rsidR="006B741D" w:rsidRPr="00203170">
        <w:rPr>
          <w:szCs w:val="24"/>
        </w:rPr>
        <w:t>differences</w:t>
      </w:r>
      <w:r w:rsidRPr="00203170">
        <w:rPr>
          <w:szCs w:val="24"/>
        </w:rPr>
        <w:t xml:space="preserve"> observed in later years’ </w:t>
      </w:r>
      <w:r w:rsidR="006B741D" w:rsidRPr="00203170">
        <w:rPr>
          <w:szCs w:val="24"/>
        </w:rPr>
        <w:t>tender</w:t>
      </w:r>
      <w:r w:rsidRPr="00203170">
        <w:rPr>
          <w:szCs w:val="24"/>
        </w:rPr>
        <w:t xml:space="preserve"> prices form the guideline </w:t>
      </w:r>
      <w:r w:rsidR="006B741D" w:rsidRPr="00203170">
        <w:rPr>
          <w:szCs w:val="24"/>
        </w:rPr>
        <w:t>rates</w:t>
      </w:r>
      <w:r w:rsidRPr="00203170">
        <w:rPr>
          <w:szCs w:val="24"/>
        </w:rPr>
        <w:t xml:space="preserve">. </w:t>
      </w:r>
      <w:r w:rsidR="0088341A">
        <w:rPr>
          <w:szCs w:val="24"/>
        </w:rPr>
        <w:t xml:space="preserve">One interesting possibility is that the significant rate increase across many of the master rate and component values after 2011 could be linked to increased CPG and legislative requirements under the PPPFA, as explained in the CIDB report. Other </w:t>
      </w:r>
      <w:r w:rsidR="0088341A">
        <w:rPr>
          <w:szCs w:val="24"/>
        </w:rPr>
        <w:lastRenderedPageBreak/>
        <w:t xml:space="preserve">potential factors </w:t>
      </w:r>
      <w:r w:rsidRPr="00203170">
        <w:rPr>
          <w:szCs w:val="24"/>
        </w:rPr>
        <w:t xml:space="preserve">include, but are not </w:t>
      </w:r>
      <w:r w:rsidR="006B741D" w:rsidRPr="00203170">
        <w:rPr>
          <w:szCs w:val="24"/>
        </w:rPr>
        <w:t>limited</w:t>
      </w:r>
      <w:r w:rsidRPr="00203170">
        <w:rPr>
          <w:szCs w:val="24"/>
        </w:rPr>
        <w:t xml:space="preserve"> to: regional price </w:t>
      </w:r>
      <w:r w:rsidR="006B741D" w:rsidRPr="00203170">
        <w:rPr>
          <w:szCs w:val="24"/>
        </w:rPr>
        <w:t>differences</w:t>
      </w:r>
      <w:r w:rsidRPr="00203170">
        <w:rPr>
          <w:szCs w:val="24"/>
        </w:rPr>
        <w:t xml:space="preserve">, the effects of more </w:t>
      </w:r>
      <w:r w:rsidR="005A31F0">
        <w:rPr>
          <w:szCs w:val="24"/>
        </w:rPr>
        <w:t xml:space="preserve">complex </w:t>
      </w:r>
      <w:r w:rsidRPr="00203170">
        <w:rPr>
          <w:szCs w:val="24"/>
        </w:rPr>
        <w:t>designs and planning, opportunism in government tenders, over</w:t>
      </w:r>
      <w:r w:rsidR="005A31F0">
        <w:rPr>
          <w:szCs w:val="24"/>
        </w:rPr>
        <w:t>-engineering</w:t>
      </w:r>
      <w:r w:rsidRPr="00203170">
        <w:rPr>
          <w:szCs w:val="24"/>
        </w:rPr>
        <w:t xml:space="preserve"> of project</w:t>
      </w:r>
      <w:r w:rsidR="005A31F0">
        <w:rPr>
          <w:szCs w:val="24"/>
        </w:rPr>
        <w:t>s</w:t>
      </w:r>
      <w:r w:rsidR="0088341A">
        <w:rPr>
          <w:szCs w:val="24"/>
        </w:rPr>
        <w:t xml:space="preserve"> and </w:t>
      </w:r>
      <w:r w:rsidRPr="00203170">
        <w:rPr>
          <w:szCs w:val="24"/>
        </w:rPr>
        <w:t xml:space="preserve">real </w:t>
      </w:r>
      <w:r w:rsidR="006B741D" w:rsidRPr="00203170">
        <w:rPr>
          <w:szCs w:val="24"/>
        </w:rPr>
        <w:t>actual</w:t>
      </w:r>
      <w:r w:rsidRPr="00203170">
        <w:rPr>
          <w:szCs w:val="24"/>
        </w:rPr>
        <w:t xml:space="preserve"> </w:t>
      </w:r>
      <w:r w:rsidR="006B741D" w:rsidRPr="00203170">
        <w:rPr>
          <w:szCs w:val="24"/>
        </w:rPr>
        <w:t>input</w:t>
      </w:r>
      <w:r w:rsidRPr="00203170">
        <w:rPr>
          <w:szCs w:val="24"/>
        </w:rPr>
        <w:t xml:space="preserve"> price increases</w:t>
      </w:r>
      <w:r w:rsidR="0088341A">
        <w:rPr>
          <w:szCs w:val="24"/>
        </w:rPr>
        <w:t xml:space="preserve">, </w:t>
      </w:r>
      <w:r w:rsidR="006B741D" w:rsidRPr="00203170">
        <w:rPr>
          <w:szCs w:val="24"/>
        </w:rPr>
        <w:t>though</w:t>
      </w:r>
      <w:r w:rsidRPr="00203170">
        <w:rPr>
          <w:szCs w:val="24"/>
        </w:rPr>
        <w:t xml:space="preserve"> this is not supported by the</w:t>
      </w:r>
      <w:r w:rsidR="006B741D" w:rsidRPr="00203170">
        <w:rPr>
          <w:szCs w:val="24"/>
        </w:rPr>
        <w:t xml:space="preserve"> research</w:t>
      </w:r>
      <w:r w:rsidRPr="00203170">
        <w:rPr>
          <w:szCs w:val="24"/>
        </w:rPr>
        <w:t xml:space="preserve"> conducted by the CIDB. </w:t>
      </w:r>
      <w:r w:rsidR="0088341A">
        <w:rPr>
          <w:szCs w:val="24"/>
        </w:rPr>
        <w:t xml:space="preserve">The reported </w:t>
      </w:r>
      <w:r w:rsidRPr="00203170">
        <w:rPr>
          <w:szCs w:val="24"/>
        </w:rPr>
        <w:t xml:space="preserve">CIDB escalation </w:t>
      </w:r>
      <w:r w:rsidR="0088341A">
        <w:rPr>
          <w:szCs w:val="24"/>
        </w:rPr>
        <w:t xml:space="preserve">rates are </w:t>
      </w:r>
      <w:r w:rsidRPr="00203170">
        <w:rPr>
          <w:szCs w:val="24"/>
        </w:rPr>
        <w:t>equally poor indicator</w:t>
      </w:r>
      <w:r w:rsidR="0088341A">
        <w:rPr>
          <w:szCs w:val="24"/>
        </w:rPr>
        <w:t>s</w:t>
      </w:r>
      <w:r w:rsidRPr="00203170">
        <w:rPr>
          <w:szCs w:val="24"/>
        </w:rPr>
        <w:t xml:space="preserve"> of </w:t>
      </w:r>
      <w:r w:rsidR="00615C31">
        <w:rPr>
          <w:szCs w:val="24"/>
        </w:rPr>
        <w:t>probable mine rehabilitation costs</w:t>
      </w:r>
      <w:r w:rsidRPr="00203170">
        <w:rPr>
          <w:szCs w:val="24"/>
        </w:rPr>
        <w:t xml:space="preserve"> than the </w:t>
      </w:r>
      <w:r w:rsidR="007C04B5">
        <w:rPr>
          <w:szCs w:val="24"/>
        </w:rPr>
        <w:t>DME</w:t>
      </w:r>
      <w:r w:rsidRPr="00203170">
        <w:rPr>
          <w:szCs w:val="24"/>
        </w:rPr>
        <w:t xml:space="preserve"> guideline rate. The reasons for the deviations remain unclear. What is known, is that any mine that followed the </w:t>
      </w:r>
      <w:r w:rsidR="007C04B5">
        <w:rPr>
          <w:szCs w:val="24"/>
        </w:rPr>
        <w:t>DME</w:t>
      </w:r>
      <w:r w:rsidRPr="00203170">
        <w:rPr>
          <w:szCs w:val="24"/>
        </w:rPr>
        <w:t xml:space="preserve"> guideline closely, is likely t</w:t>
      </w:r>
      <w:r w:rsidR="006B741D" w:rsidRPr="00203170">
        <w:rPr>
          <w:szCs w:val="24"/>
        </w:rPr>
        <w:t xml:space="preserve">o </w:t>
      </w:r>
      <w:r w:rsidRPr="00203170">
        <w:rPr>
          <w:szCs w:val="24"/>
        </w:rPr>
        <w:t xml:space="preserve">have an </w:t>
      </w:r>
      <w:r w:rsidR="006B741D" w:rsidRPr="00203170">
        <w:rPr>
          <w:szCs w:val="24"/>
        </w:rPr>
        <w:t>inaccurate</w:t>
      </w:r>
      <w:r w:rsidRPr="00203170">
        <w:rPr>
          <w:szCs w:val="24"/>
        </w:rPr>
        <w:t xml:space="preserve"> result</w:t>
      </w:r>
      <w:r w:rsidR="006B741D" w:rsidRPr="00203170">
        <w:rPr>
          <w:szCs w:val="24"/>
        </w:rPr>
        <w:t xml:space="preserve"> on several master rates and thus financial provision if a third party were to do the work. </w:t>
      </w:r>
    </w:p>
    <w:p w14:paraId="722F3B60" w14:textId="77777777" w:rsidR="00236982" w:rsidRDefault="006B741D" w:rsidP="00AE71A0">
      <w:pPr>
        <w:rPr>
          <w:szCs w:val="24"/>
        </w:rPr>
      </w:pPr>
      <w:r w:rsidRPr="00203170">
        <w:rPr>
          <w:szCs w:val="24"/>
        </w:rPr>
        <w:t xml:space="preserve">Whilst no perfectly linear and distinct relationship could be deduced, the results seem to broadly support the findings of </w:t>
      </w:r>
      <w:r w:rsidR="00F02CC3" w:rsidRPr="00203170">
        <w:rPr>
          <w:szCs w:val="24"/>
        </w:rPr>
        <w:t>Du Plessi</w:t>
      </w:r>
      <w:r w:rsidRPr="00203170">
        <w:rPr>
          <w:szCs w:val="24"/>
        </w:rPr>
        <w:t>s</w:t>
      </w:r>
      <w:r w:rsidR="00F02CC3" w:rsidRPr="00203170">
        <w:rPr>
          <w:szCs w:val="24"/>
        </w:rPr>
        <w:t xml:space="preserve"> and Brent (2006)</w:t>
      </w:r>
      <w:r w:rsidRPr="00203170">
        <w:rPr>
          <w:szCs w:val="24"/>
        </w:rPr>
        <w:t xml:space="preserve">, Hewitson (2012) and, to an unproven extent, </w:t>
      </w:r>
      <w:r w:rsidR="009478FF">
        <w:rPr>
          <w:szCs w:val="24"/>
        </w:rPr>
        <w:t>the Department of Public Works</w:t>
      </w:r>
      <w:r w:rsidRPr="00203170">
        <w:rPr>
          <w:szCs w:val="24"/>
        </w:rPr>
        <w:t xml:space="preserve"> (201</w:t>
      </w:r>
      <w:r w:rsidR="009478FF">
        <w:rPr>
          <w:szCs w:val="24"/>
        </w:rPr>
        <w:t>7</w:t>
      </w:r>
      <w:r w:rsidRPr="00203170">
        <w:rPr>
          <w:szCs w:val="24"/>
        </w:rPr>
        <w:t xml:space="preserve">) in that the actual costs to rehabilitate a mine are much more than the guideline document will lead a mine to provide for. </w:t>
      </w:r>
      <w:r w:rsidR="0088341A">
        <w:rPr>
          <w:szCs w:val="24"/>
        </w:rPr>
        <w:t xml:space="preserve">Similarly, the </w:t>
      </w:r>
      <w:r w:rsidR="00D13A01">
        <w:rPr>
          <w:szCs w:val="24"/>
        </w:rPr>
        <w:t>report of van</w:t>
      </w:r>
      <w:r w:rsidR="0088341A">
        <w:rPr>
          <w:szCs w:val="24"/>
        </w:rPr>
        <w:t xml:space="preserve"> Zyl </w:t>
      </w:r>
      <w:r w:rsidR="0088341A" w:rsidRPr="0088341A">
        <w:rPr>
          <w:i/>
          <w:szCs w:val="24"/>
        </w:rPr>
        <w:t>et al</w:t>
      </w:r>
      <w:r w:rsidR="0088341A">
        <w:rPr>
          <w:szCs w:val="24"/>
        </w:rPr>
        <w:t xml:space="preserve">, which found that the financial provision of most mines in South Africa are underfunded and which recommends an update of the guideline values, must likewise be supported. </w:t>
      </w:r>
      <w:r w:rsidRPr="00203170">
        <w:rPr>
          <w:szCs w:val="24"/>
        </w:rPr>
        <w:t xml:space="preserve">This author must necessarily agree with these previous works in their assessment that the </w:t>
      </w:r>
      <w:r w:rsidR="007C04B5">
        <w:rPr>
          <w:szCs w:val="24"/>
        </w:rPr>
        <w:t>DME</w:t>
      </w:r>
      <w:r w:rsidRPr="00203170">
        <w:rPr>
          <w:szCs w:val="24"/>
        </w:rPr>
        <w:t xml:space="preserve"> guideline rates do not provide adequate financial provision, even if used correctly and duly escalated, to properly close a mine at industry-related rates, as borne out by the actual tender data from real mine rehabilitation projects. </w:t>
      </w:r>
    </w:p>
    <w:p w14:paraId="04EE0CB9" w14:textId="68B7670D" w:rsidR="00C72F8D" w:rsidRDefault="00C72F8D" w:rsidP="00AE71A0">
      <w:pPr>
        <w:rPr>
          <w:szCs w:val="24"/>
        </w:rPr>
        <w:sectPr w:rsidR="00C72F8D" w:rsidSect="004321A7">
          <w:pgSz w:w="11906" w:h="16838"/>
          <w:pgMar w:top="1440" w:right="1440" w:bottom="1440" w:left="1440" w:header="709" w:footer="709" w:gutter="0"/>
          <w:cols w:space="708"/>
          <w:docGrid w:linePitch="360"/>
        </w:sectPr>
      </w:pPr>
      <w:r>
        <w:rPr>
          <w:szCs w:val="24"/>
        </w:rPr>
        <w:t xml:space="preserve">An additional key observation in </w:t>
      </w:r>
      <w:r w:rsidRPr="00C72F8D">
        <w:rPr>
          <w:szCs w:val="24"/>
        </w:rPr>
        <w:t>counterpoint to the observed data trends for rehabilitation components, which are statistical medians, is the real award of projects to the lowest bidder</w:t>
      </w:r>
      <w:r>
        <w:rPr>
          <w:szCs w:val="24"/>
        </w:rPr>
        <w:t xml:space="preserve">. </w:t>
      </w:r>
      <w:r w:rsidRPr="00C72F8D">
        <w:rPr>
          <w:szCs w:val="24"/>
        </w:rPr>
        <w:t xml:space="preserve"> </w:t>
      </w:r>
      <w:r>
        <w:rPr>
          <w:szCs w:val="24"/>
        </w:rPr>
        <w:t>T</w:t>
      </w:r>
      <w:r w:rsidRPr="00C72F8D">
        <w:rPr>
          <w:szCs w:val="24"/>
        </w:rPr>
        <w:t xml:space="preserve">he </w:t>
      </w:r>
      <w:r>
        <w:rPr>
          <w:szCs w:val="24"/>
        </w:rPr>
        <w:t xml:space="preserve">data on </w:t>
      </w:r>
      <w:r w:rsidRPr="00C72F8D">
        <w:rPr>
          <w:szCs w:val="24"/>
        </w:rPr>
        <w:t xml:space="preserve">observed </w:t>
      </w:r>
      <w:r>
        <w:rPr>
          <w:szCs w:val="24"/>
        </w:rPr>
        <w:t xml:space="preserve">total project </w:t>
      </w:r>
      <w:r w:rsidRPr="00C72F8D">
        <w:rPr>
          <w:szCs w:val="24"/>
        </w:rPr>
        <w:t>costs</w:t>
      </w:r>
      <w:r>
        <w:rPr>
          <w:szCs w:val="24"/>
        </w:rPr>
        <w:t xml:space="preserve"> presented in </w:t>
      </w:r>
      <w:r w:rsidR="005A31F0">
        <w:rPr>
          <w:szCs w:val="24"/>
        </w:rPr>
        <w:t>Chapter 7 below</w:t>
      </w:r>
      <w:r>
        <w:rPr>
          <w:szCs w:val="24"/>
        </w:rPr>
        <w:t xml:space="preserve"> indicate </w:t>
      </w:r>
      <w:r w:rsidRPr="00C72F8D">
        <w:rPr>
          <w:szCs w:val="24"/>
        </w:rPr>
        <w:t xml:space="preserve">lower </w:t>
      </w:r>
      <w:r>
        <w:rPr>
          <w:szCs w:val="24"/>
        </w:rPr>
        <w:t xml:space="preserve">prices </w:t>
      </w:r>
      <w:r w:rsidRPr="00C72F8D">
        <w:rPr>
          <w:szCs w:val="24"/>
        </w:rPr>
        <w:t xml:space="preserve">in most cases than the predicted costs for each project. Although the underlying cause was not analysed, it is a likely conjecture that the market force of competition, tied to the strict rule of awarding work to the lowest bidder, plays a powerful role in keeping actual costs lower than predicted </w:t>
      </w:r>
      <w:r>
        <w:rPr>
          <w:szCs w:val="24"/>
        </w:rPr>
        <w:t xml:space="preserve">by the engineers </w:t>
      </w:r>
      <w:r w:rsidRPr="00C72F8D">
        <w:rPr>
          <w:szCs w:val="24"/>
        </w:rPr>
        <w:t xml:space="preserve">and </w:t>
      </w:r>
      <w:r>
        <w:rPr>
          <w:szCs w:val="24"/>
        </w:rPr>
        <w:t>lower</w:t>
      </w:r>
      <w:r w:rsidRPr="00C72F8D">
        <w:rPr>
          <w:szCs w:val="24"/>
        </w:rPr>
        <w:t xml:space="preserve"> than median component rates would suggest.</w:t>
      </w:r>
    </w:p>
    <w:p w14:paraId="66904DC0" w14:textId="27E1571F" w:rsidR="00253925" w:rsidRPr="00374E2B" w:rsidRDefault="00253925" w:rsidP="002D6002">
      <w:pPr>
        <w:pStyle w:val="Heading1"/>
      </w:pPr>
      <w:bookmarkStart w:id="574" w:name="_Toc501187377"/>
      <w:bookmarkStart w:id="575" w:name="_Toc501187422"/>
      <w:bookmarkStart w:id="576" w:name="_Toc501187702"/>
      <w:bookmarkStart w:id="577" w:name="_Toc501187745"/>
      <w:bookmarkStart w:id="578" w:name="_Toc505969205"/>
      <w:bookmarkStart w:id="579" w:name="_Toc505971227"/>
      <w:bookmarkStart w:id="580" w:name="_Toc505971932"/>
      <w:bookmarkStart w:id="581" w:name="_Toc505972000"/>
      <w:bookmarkStart w:id="582" w:name="_Toc506399066"/>
      <w:bookmarkStart w:id="583" w:name="_Toc506403314"/>
      <w:bookmarkStart w:id="584" w:name="_Toc506403787"/>
      <w:bookmarkStart w:id="585" w:name="_Toc506960845"/>
      <w:bookmarkStart w:id="586" w:name="_Toc507233540"/>
      <w:bookmarkStart w:id="587" w:name="_Toc507242354"/>
      <w:bookmarkStart w:id="588" w:name="_Toc505971228"/>
      <w:bookmarkStart w:id="589" w:name="_Toc505971933"/>
      <w:bookmarkStart w:id="590" w:name="_Toc505972001"/>
      <w:bookmarkStart w:id="591" w:name="_Toc506399067"/>
      <w:bookmarkStart w:id="592" w:name="_Toc506403315"/>
      <w:bookmarkStart w:id="593" w:name="_Toc506403788"/>
      <w:bookmarkStart w:id="594" w:name="_Toc506960846"/>
      <w:bookmarkStart w:id="595" w:name="_Toc507233541"/>
      <w:bookmarkStart w:id="596" w:name="_Toc507242355"/>
      <w:bookmarkStart w:id="597" w:name="_Toc505971229"/>
      <w:bookmarkStart w:id="598" w:name="_Toc505971934"/>
      <w:bookmarkStart w:id="599" w:name="_Toc505972002"/>
      <w:bookmarkStart w:id="600" w:name="_Toc506399068"/>
      <w:bookmarkStart w:id="601" w:name="_Toc506403316"/>
      <w:bookmarkStart w:id="602" w:name="_Toc506403789"/>
      <w:bookmarkStart w:id="603" w:name="_Toc506960847"/>
      <w:bookmarkStart w:id="604" w:name="_Toc507233542"/>
      <w:bookmarkStart w:id="605" w:name="_Toc507242356"/>
      <w:bookmarkStart w:id="606" w:name="_Toc505971230"/>
      <w:bookmarkStart w:id="607" w:name="_Toc505971935"/>
      <w:bookmarkStart w:id="608" w:name="_Toc505972003"/>
      <w:bookmarkStart w:id="609" w:name="_Toc506399069"/>
      <w:bookmarkStart w:id="610" w:name="_Toc506403317"/>
      <w:bookmarkStart w:id="611" w:name="_Toc506403790"/>
      <w:bookmarkStart w:id="612" w:name="_Toc506960848"/>
      <w:bookmarkStart w:id="613" w:name="_Toc507233543"/>
      <w:bookmarkStart w:id="614" w:name="_Toc507242357"/>
      <w:bookmarkStart w:id="615" w:name="_Toc505971231"/>
      <w:bookmarkStart w:id="616" w:name="_Toc505971936"/>
      <w:bookmarkStart w:id="617" w:name="_Toc505972004"/>
      <w:bookmarkStart w:id="618" w:name="_Toc506399070"/>
      <w:bookmarkStart w:id="619" w:name="_Toc506403318"/>
      <w:bookmarkStart w:id="620" w:name="_Toc506403791"/>
      <w:bookmarkStart w:id="621" w:name="_Toc506960849"/>
      <w:bookmarkStart w:id="622" w:name="_Toc507233544"/>
      <w:bookmarkStart w:id="623" w:name="_Toc507242358"/>
      <w:bookmarkStart w:id="624" w:name="_Toc507244170"/>
      <w:bookmarkStart w:id="625" w:name="_Toc507250062"/>
      <w:bookmarkStart w:id="626" w:name="_Toc507264711"/>
      <w:bookmarkStart w:id="627" w:name="_Toc507300870"/>
      <w:bookmarkStart w:id="628" w:name="_Toc507301036"/>
      <w:bookmarkStart w:id="629" w:name="_Toc507301296"/>
      <w:bookmarkStart w:id="630" w:name="_Toc507301357"/>
      <w:bookmarkStart w:id="631" w:name="_Toc507317985"/>
      <w:bookmarkStart w:id="632" w:name="_Toc507319034"/>
      <w:bookmarkStart w:id="633" w:name="_Toc507319098"/>
      <w:bookmarkStart w:id="634" w:name="_Toc507244171"/>
      <w:bookmarkStart w:id="635" w:name="_Toc507250063"/>
      <w:bookmarkStart w:id="636" w:name="_Toc507264712"/>
      <w:bookmarkStart w:id="637" w:name="_Toc507300871"/>
      <w:bookmarkStart w:id="638" w:name="_Toc507301037"/>
      <w:bookmarkStart w:id="639" w:name="_Toc507301297"/>
      <w:bookmarkStart w:id="640" w:name="_Toc507301358"/>
      <w:bookmarkStart w:id="641" w:name="_Toc507317986"/>
      <w:bookmarkStart w:id="642" w:name="_Toc507319035"/>
      <w:bookmarkStart w:id="643" w:name="_Toc507319099"/>
      <w:bookmarkStart w:id="644" w:name="_Toc507244172"/>
      <w:bookmarkStart w:id="645" w:name="_Toc507250064"/>
      <w:bookmarkStart w:id="646" w:name="_Toc507264713"/>
      <w:bookmarkStart w:id="647" w:name="_Toc507300872"/>
      <w:bookmarkStart w:id="648" w:name="_Toc507301038"/>
      <w:bookmarkStart w:id="649" w:name="_Toc507301298"/>
      <w:bookmarkStart w:id="650" w:name="_Toc507301359"/>
      <w:bookmarkStart w:id="651" w:name="_Toc507317987"/>
      <w:bookmarkStart w:id="652" w:name="_Toc507319036"/>
      <w:bookmarkStart w:id="653" w:name="_Toc507319100"/>
      <w:bookmarkStart w:id="654" w:name="_Toc507244173"/>
      <w:bookmarkStart w:id="655" w:name="_Toc507250065"/>
      <w:bookmarkStart w:id="656" w:name="_Toc507264714"/>
      <w:bookmarkStart w:id="657" w:name="_Toc507300873"/>
      <w:bookmarkStart w:id="658" w:name="_Toc507301039"/>
      <w:bookmarkStart w:id="659" w:name="_Toc507301299"/>
      <w:bookmarkStart w:id="660" w:name="_Toc507301360"/>
      <w:bookmarkStart w:id="661" w:name="_Toc507317988"/>
      <w:bookmarkStart w:id="662" w:name="_Toc507319037"/>
      <w:bookmarkStart w:id="663" w:name="_Toc507319101"/>
      <w:bookmarkStart w:id="664" w:name="_Toc507244174"/>
      <w:bookmarkStart w:id="665" w:name="_Toc507250066"/>
      <w:bookmarkStart w:id="666" w:name="_Toc507264715"/>
      <w:bookmarkStart w:id="667" w:name="_Toc507300874"/>
      <w:bookmarkStart w:id="668" w:name="_Toc507301040"/>
      <w:bookmarkStart w:id="669" w:name="_Toc507301300"/>
      <w:bookmarkStart w:id="670" w:name="_Toc507301361"/>
      <w:bookmarkStart w:id="671" w:name="_Toc507317989"/>
      <w:bookmarkStart w:id="672" w:name="_Toc507319038"/>
      <w:bookmarkStart w:id="673" w:name="_Toc507319102"/>
      <w:bookmarkStart w:id="674" w:name="_Toc519445734"/>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Pr="00374E2B">
        <w:lastRenderedPageBreak/>
        <w:t>Conclusion</w:t>
      </w:r>
      <w:bookmarkEnd w:id="674"/>
      <w:r w:rsidRPr="00374E2B">
        <w:t xml:space="preserve"> </w:t>
      </w:r>
    </w:p>
    <w:p w14:paraId="55E82D51" w14:textId="1950E12D" w:rsidR="00141679" w:rsidRPr="00141679" w:rsidRDefault="00141679" w:rsidP="00AE71A0">
      <w:pPr>
        <w:rPr>
          <w:szCs w:val="24"/>
        </w:rPr>
      </w:pPr>
      <w:r w:rsidRPr="00141679">
        <w:rPr>
          <w:szCs w:val="24"/>
        </w:rPr>
        <w:t>It must be realised that the use of a mine’s financial provision, or state funds, for that matter, to rehabilitate an abandoned mine or a mine where the owner has failed to rehabilitate for whatever reason, presents the worst-case scenario for all role-players concerned. It implies that all systems that are currently legislated and regulated to ensure the proper, planned closure of a mine, have failed. The analysis conducted in this research report, using actual tender data from past mine rehabilitation project</w:t>
      </w:r>
      <w:r w:rsidR="005D5AFA">
        <w:rPr>
          <w:szCs w:val="24"/>
        </w:rPr>
        <w:t>s</w:t>
      </w:r>
      <w:r w:rsidRPr="00141679">
        <w:rPr>
          <w:szCs w:val="24"/>
        </w:rPr>
        <w:t xml:space="preserve"> conducted by the State in the interest of ensuring a safer and healthier environment for the people of South Africa, illustrate</w:t>
      </w:r>
      <w:r w:rsidR="005D5AFA">
        <w:rPr>
          <w:szCs w:val="24"/>
        </w:rPr>
        <w:t>s</w:t>
      </w:r>
      <w:r w:rsidRPr="00141679">
        <w:rPr>
          <w:szCs w:val="24"/>
        </w:rPr>
        <w:t xml:space="preserve"> the rates of change in the cost of these projects. </w:t>
      </w:r>
    </w:p>
    <w:p w14:paraId="6FE5B035" w14:textId="70ACE8BE" w:rsidR="00745799" w:rsidRPr="00141679" w:rsidRDefault="00141679" w:rsidP="00AE71A0">
      <w:r w:rsidRPr="00141679">
        <w:t xml:space="preserve">To return to the stated objectives of this research report, </w:t>
      </w:r>
      <w:r w:rsidR="00745799" w:rsidRPr="00141679">
        <w:t xml:space="preserve">the guideline values published by the DME in 2004 </w:t>
      </w:r>
      <w:r w:rsidRPr="00141679">
        <w:t xml:space="preserve">seem to have failed to </w:t>
      </w:r>
      <w:r w:rsidR="00745799" w:rsidRPr="00141679">
        <w:t>provide useful guidance to calculate mine rehabilitation costs when compared to actual tender data</w:t>
      </w:r>
      <w:r w:rsidRPr="00141679">
        <w:t xml:space="preserve">. The guideline values deviate significantly from the </w:t>
      </w:r>
      <w:r w:rsidR="00745799" w:rsidRPr="00141679">
        <w:t>actual mine closure costs</w:t>
      </w:r>
      <w:r w:rsidRPr="00141679">
        <w:t xml:space="preserve"> as evidenced by the responses to mine rehabilitation project tenders in several areas and for several years. As a result</w:t>
      </w:r>
      <w:r>
        <w:t>,</w:t>
      </w:r>
      <w:r w:rsidRPr="00141679">
        <w:t xml:space="preserve"> it is very likely that </w:t>
      </w:r>
      <w:r w:rsidR="00745799" w:rsidRPr="00141679">
        <w:t>mines which used the DME guidelines in the period from 2005 to 2016</w:t>
      </w:r>
      <w:r w:rsidRPr="00141679">
        <w:t xml:space="preserve"> have significantly </w:t>
      </w:r>
      <w:r w:rsidR="00745799" w:rsidRPr="00141679">
        <w:t>underfunded</w:t>
      </w:r>
      <w:r w:rsidRPr="00141679">
        <w:t xml:space="preserve"> their closure and rehabilitation provisions. </w:t>
      </w:r>
    </w:p>
    <w:p w14:paraId="7A2A04AC" w14:textId="622127B9" w:rsidR="006F1C00" w:rsidRPr="00203170" w:rsidRDefault="006C58C6" w:rsidP="00AE71A0">
      <w:pPr>
        <w:rPr>
          <w:szCs w:val="24"/>
        </w:rPr>
      </w:pPr>
      <w:r w:rsidRPr="00203170">
        <w:rPr>
          <w:szCs w:val="24"/>
        </w:rPr>
        <w:t>These</w:t>
      </w:r>
      <w:r w:rsidR="006F1C00" w:rsidRPr="00203170">
        <w:rPr>
          <w:szCs w:val="24"/>
        </w:rPr>
        <w:t xml:space="preserve"> rates of change outstrip CPI and fell out of alignment with the master rates </w:t>
      </w:r>
      <w:r w:rsidRPr="00203170">
        <w:rPr>
          <w:szCs w:val="24"/>
        </w:rPr>
        <w:t>prescribed</w:t>
      </w:r>
      <w:r w:rsidR="006F1C00" w:rsidRPr="00203170">
        <w:rPr>
          <w:szCs w:val="24"/>
        </w:rPr>
        <w:t xml:space="preserve"> by th</w:t>
      </w:r>
      <w:r w:rsidRPr="00203170">
        <w:rPr>
          <w:szCs w:val="24"/>
        </w:rPr>
        <w:t>e</w:t>
      </w:r>
      <w:r w:rsidR="006F1C00" w:rsidRPr="00203170">
        <w:rPr>
          <w:szCs w:val="24"/>
        </w:rPr>
        <w:t xml:space="preserve"> DME rather quickly. In addition, new requirement</w:t>
      </w:r>
      <w:r w:rsidR="00FC6CAA" w:rsidRPr="00203170">
        <w:rPr>
          <w:szCs w:val="24"/>
        </w:rPr>
        <w:t>s</w:t>
      </w:r>
      <w:r w:rsidR="006F1C00" w:rsidRPr="00203170">
        <w:rPr>
          <w:szCs w:val="24"/>
        </w:rPr>
        <w:t xml:space="preserve"> for </w:t>
      </w:r>
      <w:r w:rsidR="00FC6CAA" w:rsidRPr="00203170">
        <w:rPr>
          <w:szCs w:val="24"/>
        </w:rPr>
        <w:t>S</w:t>
      </w:r>
      <w:r w:rsidR="006F1C00" w:rsidRPr="00203170">
        <w:rPr>
          <w:szCs w:val="24"/>
        </w:rPr>
        <w:t xml:space="preserve">tate projects in the form of preferential </w:t>
      </w:r>
      <w:r w:rsidRPr="00203170">
        <w:rPr>
          <w:szCs w:val="24"/>
        </w:rPr>
        <w:t>procurement</w:t>
      </w:r>
      <w:r w:rsidR="006F1C00" w:rsidRPr="00203170">
        <w:rPr>
          <w:szCs w:val="24"/>
        </w:rPr>
        <w:t xml:space="preserve"> and community participation or developmenta</w:t>
      </w:r>
      <w:r w:rsidRPr="00203170">
        <w:rPr>
          <w:szCs w:val="24"/>
        </w:rPr>
        <w:t>l</w:t>
      </w:r>
      <w:r w:rsidR="006F1C00" w:rsidRPr="00203170">
        <w:rPr>
          <w:szCs w:val="24"/>
        </w:rPr>
        <w:t xml:space="preserve"> </w:t>
      </w:r>
      <w:r w:rsidRPr="00203170">
        <w:rPr>
          <w:szCs w:val="24"/>
        </w:rPr>
        <w:t>initiatives</w:t>
      </w:r>
      <w:r w:rsidR="006F1C00" w:rsidRPr="00203170">
        <w:rPr>
          <w:szCs w:val="24"/>
        </w:rPr>
        <w:t xml:space="preserve"> have </w:t>
      </w:r>
      <w:r w:rsidRPr="00203170">
        <w:rPr>
          <w:szCs w:val="24"/>
        </w:rPr>
        <w:t>exacerbated</w:t>
      </w:r>
      <w:r w:rsidR="006F1C00" w:rsidRPr="00203170">
        <w:rPr>
          <w:szCs w:val="24"/>
        </w:rPr>
        <w:t xml:space="preserve"> this problem </w:t>
      </w:r>
      <w:r w:rsidRPr="00203170">
        <w:rPr>
          <w:szCs w:val="24"/>
        </w:rPr>
        <w:t xml:space="preserve">that the </w:t>
      </w:r>
      <w:r w:rsidR="006F1C00" w:rsidRPr="00203170">
        <w:rPr>
          <w:szCs w:val="24"/>
        </w:rPr>
        <w:t>rates published are further removed from</w:t>
      </w:r>
      <w:r w:rsidRPr="00203170">
        <w:rPr>
          <w:szCs w:val="24"/>
        </w:rPr>
        <w:t xml:space="preserve"> the</w:t>
      </w:r>
      <w:r w:rsidR="006F1C00" w:rsidRPr="00203170">
        <w:rPr>
          <w:szCs w:val="24"/>
        </w:rPr>
        <w:t xml:space="preserve"> real rate </w:t>
      </w:r>
      <w:r w:rsidRPr="00203170">
        <w:rPr>
          <w:szCs w:val="24"/>
        </w:rPr>
        <w:t>of cost increases introduced by contractors</w:t>
      </w:r>
      <w:r w:rsidR="005D5AFA">
        <w:rPr>
          <w:szCs w:val="24"/>
        </w:rPr>
        <w:t xml:space="preserve"> in seeking compliance with new legislation</w:t>
      </w:r>
      <w:r w:rsidRPr="00203170">
        <w:rPr>
          <w:szCs w:val="24"/>
        </w:rPr>
        <w:t xml:space="preserve">. </w:t>
      </w:r>
    </w:p>
    <w:p w14:paraId="30E85A49" w14:textId="7D5EEB16" w:rsidR="001D3861" w:rsidRPr="00203170" w:rsidRDefault="00253925" w:rsidP="00AE71A0">
      <w:pPr>
        <w:rPr>
          <w:szCs w:val="24"/>
        </w:rPr>
      </w:pPr>
      <w:r w:rsidRPr="00203170">
        <w:rPr>
          <w:szCs w:val="24"/>
        </w:rPr>
        <w:t>In con</w:t>
      </w:r>
      <w:r w:rsidR="001C42DE" w:rsidRPr="00203170">
        <w:rPr>
          <w:szCs w:val="24"/>
        </w:rPr>
        <w:t xml:space="preserve">clusion, </w:t>
      </w:r>
      <w:bookmarkStart w:id="675" w:name="_Toc443556946"/>
      <w:r w:rsidR="00EB5A03" w:rsidRPr="00203170">
        <w:rPr>
          <w:szCs w:val="24"/>
        </w:rPr>
        <w:t xml:space="preserve">the data obtained from the actual tenders for mine </w:t>
      </w:r>
      <w:r w:rsidR="00F13F44" w:rsidRPr="00203170">
        <w:rPr>
          <w:szCs w:val="24"/>
        </w:rPr>
        <w:t>rehabilitation</w:t>
      </w:r>
      <w:r w:rsidR="00EB5A03" w:rsidRPr="00203170">
        <w:rPr>
          <w:szCs w:val="24"/>
        </w:rPr>
        <w:t xml:space="preserve"> </w:t>
      </w:r>
      <w:r w:rsidR="00F13F44" w:rsidRPr="00203170">
        <w:rPr>
          <w:szCs w:val="24"/>
        </w:rPr>
        <w:t>projects</w:t>
      </w:r>
      <w:r w:rsidR="00E855A8" w:rsidRPr="00203170">
        <w:rPr>
          <w:szCs w:val="24"/>
        </w:rPr>
        <w:t xml:space="preserve"> provide</w:t>
      </w:r>
      <w:r w:rsidR="006F4F70">
        <w:rPr>
          <w:szCs w:val="24"/>
        </w:rPr>
        <w:t xml:space="preserve">d only a limited </w:t>
      </w:r>
      <w:r w:rsidR="00E855A8" w:rsidRPr="00203170">
        <w:rPr>
          <w:szCs w:val="24"/>
        </w:rPr>
        <w:t xml:space="preserve">insight to the </w:t>
      </w:r>
      <w:r w:rsidR="006F4F70">
        <w:rPr>
          <w:szCs w:val="24"/>
        </w:rPr>
        <w:t xml:space="preserve">probable </w:t>
      </w:r>
      <w:r w:rsidR="00E855A8" w:rsidRPr="00203170">
        <w:rPr>
          <w:szCs w:val="24"/>
        </w:rPr>
        <w:t xml:space="preserve">rates for </w:t>
      </w:r>
      <w:r w:rsidR="00F13F44" w:rsidRPr="00203170">
        <w:rPr>
          <w:szCs w:val="24"/>
        </w:rPr>
        <w:t>rehabilitation</w:t>
      </w:r>
      <w:r w:rsidR="00E855A8" w:rsidRPr="00203170">
        <w:rPr>
          <w:szCs w:val="24"/>
        </w:rPr>
        <w:t xml:space="preserve"> project cost </w:t>
      </w:r>
      <w:r w:rsidR="00F13F44" w:rsidRPr="00203170">
        <w:rPr>
          <w:szCs w:val="24"/>
        </w:rPr>
        <w:t>components</w:t>
      </w:r>
      <w:r w:rsidR="00E855A8" w:rsidRPr="00203170">
        <w:rPr>
          <w:szCs w:val="24"/>
        </w:rPr>
        <w:t xml:space="preserve">. </w:t>
      </w:r>
      <w:r w:rsidR="006F4F70">
        <w:rPr>
          <w:szCs w:val="24"/>
        </w:rPr>
        <w:t xml:space="preserve">The statistical analysis and use of median of all rates tendered, while useful, hides the final project overall costs, which are subject to other forces. </w:t>
      </w:r>
      <w:r w:rsidR="00E855A8" w:rsidRPr="00203170">
        <w:rPr>
          <w:szCs w:val="24"/>
        </w:rPr>
        <w:t>In many cases the</w:t>
      </w:r>
      <w:r w:rsidR="006F4F70">
        <w:rPr>
          <w:szCs w:val="24"/>
        </w:rPr>
        <w:t xml:space="preserve"> median </w:t>
      </w:r>
      <w:r w:rsidR="00E855A8" w:rsidRPr="00203170">
        <w:rPr>
          <w:szCs w:val="24"/>
        </w:rPr>
        <w:t>rates are much higher</w:t>
      </w:r>
      <w:r w:rsidR="00A83243">
        <w:rPr>
          <w:szCs w:val="24"/>
        </w:rPr>
        <w:t xml:space="preserve"> (in some cases up to 10 times) </w:t>
      </w:r>
      <w:r w:rsidR="00E855A8" w:rsidRPr="00203170">
        <w:rPr>
          <w:szCs w:val="24"/>
        </w:rPr>
        <w:t xml:space="preserve">than the </w:t>
      </w:r>
      <w:r w:rsidR="006F4F70">
        <w:rPr>
          <w:szCs w:val="24"/>
        </w:rPr>
        <w:t xml:space="preserve">rates </w:t>
      </w:r>
      <w:r w:rsidR="00E855A8" w:rsidRPr="00203170">
        <w:rPr>
          <w:szCs w:val="24"/>
        </w:rPr>
        <w:t xml:space="preserve">predicted by the guideline. In </w:t>
      </w:r>
      <w:r w:rsidR="00F13F44" w:rsidRPr="00203170">
        <w:rPr>
          <w:szCs w:val="24"/>
        </w:rPr>
        <w:t>other</w:t>
      </w:r>
      <w:r w:rsidR="00E855A8" w:rsidRPr="00203170">
        <w:rPr>
          <w:szCs w:val="24"/>
        </w:rPr>
        <w:t xml:space="preserve"> </w:t>
      </w:r>
      <w:r w:rsidR="00F13F44" w:rsidRPr="00203170">
        <w:rPr>
          <w:szCs w:val="24"/>
        </w:rPr>
        <w:t>instances</w:t>
      </w:r>
      <w:r w:rsidR="00E855A8" w:rsidRPr="00203170">
        <w:rPr>
          <w:szCs w:val="24"/>
        </w:rPr>
        <w:t xml:space="preserve">, the actual tender costs closely trace the predicted </w:t>
      </w:r>
      <w:r w:rsidR="00F13F44" w:rsidRPr="00203170">
        <w:rPr>
          <w:szCs w:val="24"/>
        </w:rPr>
        <w:t>guideline</w:t>
      </w:r>
      <w:r w:rsidR="00E855A8" w:rsidRPr="00203170">
        <w:rPr>
          <w:szCs w:val="24"/>
        </w:rPr>
        <w:t xml:space="preserve"> values </w:t>
      </w:r>
      <w:r w:rsidR="00F13F44" w:rsidRPr="00203170">
        <w:rPr>
          <w:szCs w:val="24"/>
        </w:rPr>
        <w:t>and</w:t>
      </w:r>
      <w:r w:rsidR="00E855A8" w:rsidRPr="00203170">
        <w:rPr>
          <w:szCs w:val="24"/>
        </w:rPr>
        <w:t xml:space="preserve"> </w:t>
      </w:r>
      <w:r w:rsidR="00F13F44" w:rsidRPr="00203170">
        <w:rPr>
          <w:szCs w:val="24"/>
        </w:rPr>
        <w:t>then</w:t>
      </w:r>
      <w:r w:rsidR="00E855A8" w:rsidRPr="00203170">
        <w:rPr>
          <w:szCs w:val="24"/>
        </w:rPr>
        <w:t xml:space="preserve"> spike massively in later years. </w:t>
      </w:r>
      <w:r w:rsidR="006F4F70">
        <w:rPr>
          <w:szCs w:val="24"/>
        </w:rPr>
        <w:t xml:space="preserve">In either event, the real tender award prices are most often lower than predicted and lower than the average of all bids submitted. It is surmised that the median values analysis may point to industry cost trends but not necessarily </w:t>
      </w:r>
      <w:r w:rsidR="006F4F70">
        <w:rPr>
          <w:szCs w:val="24"/>
        </w:rPr>
        <w:lastRenderedPageBreak/>
        <w:t xml:space="preserve">predict actual tender costs ion final award. </w:t>
      </w:r>
      <w:r w:rsidR="00E855A8" w:rsidRPr="00203170">
        <w:rPr>
          <w:szCs w:val="24"/>
        </w:rPr>
        <w:t xml:space="preserve">There are no clear </w:t>
      </w:r>
      <w:r w:rsidR="00F13F44" w:rsidRPr="00203170">
        <w:rPr>
          <w:szCs w:val="24"/>
        </w:rPr>
        <w:t>explanations</w:t>
      </w:r>
      <w:r w:rsidR="00E855A8" w:rsidRPr="00203170">
        <w:rPr>
          <w:szCs w:val="24"/>
        </w:rPr>
        <w:t xml:space="preserve"> for the</w:t>
      </w:r>
      <w:r w:rsidR="006F4F70">
        <w:rPr>
          <w:szCs w:val="24"/>
        </w:rPr>
        <w:t xml:space="preserve"> noted </w:t>
      </w:r>
      <w:r w:rsidR="00E855A8" w:rsidRPr="00203170">
        <w:rPr>
          <w:szCs w:val="24"/>
        </w:rPr>
        <w:t xml:space="preserve">anomalies </w:t>
      </w:r>
      <w:r w:rsidR="00F13F44" w:rsidRPr="00203170">
        <w:rPr>
          <w:szCs w:val="24"/>
        </w:rPr>
        <w:t>from</w:t>
      </w:r>
      <w:r w:rsidR="00E855A8" w:rsidRPr="00203170">
        <w:rPr>
          <w:szCs w:val="24"/>
        </w:rPr>
        <w:t xml:space="preserve"> </w:t>
      </w:r>
      <w:r w:rsidR="00F13F44" w:rsidRPr="00203170">
        <w:rPr>
          <w:szCs w:val="24"/>
        </w:rPr>
        <w:t>the</w:t>
      </w:r>
      <w:r w:rsidR="00E855A8" w:rsidRPr="00203170">
        <w:rPr>
          <w:szCs w:val="24"/>
        </w:rPr>
        <w:t xml:space="preserve"> research conducted and further work will be </w:t>
      </w:r>
      <w:r w:rsidR="00F13F44" w:rsidRPr="00203170">
        <w:rPr>
          <w:szCs w:val="24"/>
        </w:rPr>
        <w:t>required</w:t>
      </w:r>
      <w:r w:rsidR="00E855A8" w:rsidRPr="00203170">
        <w:rPr>
          <w:szCs w:val="24"/>
        </w:rPr>
        <w:t xml:space="preserve"> to find the root cause of these price increases. </w:t>
      </w:r>
    </w:p>
    <w:p w14:paraId="571F6626" w14:textId="3A5DE655" w:rsidR="006B741D" w:rsidRPr="00203170" w:rsidRDefault="00FC6CAA" w:rsidP="00AE71A0">
      <w:pPr>
        <w:rPr>
          <w:szCs w:val="24"/>
        </w:rPr>
      </w:pPr>
      <w:r w:rsidRPr="00203170">
        <w:rPr>
          <w:szCs w:val="24"/>
        </w:rPr>
        <w:t xml:space="preserve">With regards to the regulatory environment to make financial provision, the replacement of the </w:t>
      </w:r>
      <w:r w:rsidR="007C04B5">
        <w:rPr>
          <w:szCs w:val="24"/>
        </w:rPr>
        <w:t>DME</w:t>
      </w:r>
      <w:r w:rsidRPr="00203170">
        <w:rPr>
          <w:szCs w:val="24"/>
        </w:rPr>
        <w:t xml:space="preserve"> guideline has left the </w:t>
      </w:r>
      <w:r w:rsidR="0063454F" w:rsidRPr="00203170">
        <w:rPr>
          <w:szCs w:val="24"/>
        </w:rPr>
        <w:t>S</w:t>
      </w:r>
      <w:r w:rsidR="006B741D" w:rsidRPr="00203170">
        <w:rPr>
          <w:szCs w:val="24"/>
        </w:rPr>
        <w:t xml:space="preserve">tate </w:t>
      </w:r>
      <w:r w:rsidR="0063454F" w:rsidRPr="00203170">
        <w:rPr>
          <w:szCs w:val="24"/>
        </w:rPr>
        <w:t xml:space="preserve">without its own </w:t>
      </w:r>
      <w:r w:rsidR="006B741D" w:rsidRPr="00203170">
        <w:rPr>
          <w:szCs w:val="24"/>
        </w:rPr>
        <w:t xml:space="preserve">mechanism for assessing the quantum of financial provision </w:t>
      </w:r>
      <w:r w:rsidR="0063454F" w:rsidRPr="00203170">
        <w:rPr>
          <w:szCs w:val="24"/>
        </w:rPr>
        <w:t xml:space="preserve">for mine closure – deficient or not. </w:t>
      </w:r>
      <w:r w:rsidR="006B741D" w:rsidRPr="00203170">
        <w:rPr>
          <w:szCs w:val="24"/>
        </w:rPr>
        <w:t>Th</w:t>
      </w:r>
      <w:r w:rsidR="0063454F" w:rsidRPr="00203170">
        <w:rPr>
          <w:szCs w:val="24"/>
        </w:rPr>
        <w:t>is report has borne out similar results to those found by Hewitson</w:t>
      </w:r>
      <w:r w:rsidR="0088341A">
        <w:rPr>
          <w:szCs w:val="24"/>
        </w:rPr>
        <w:t xml:space="preserve">, </w:t>
      </w:r>
      <w:r w:rsidR="0063454F" w:rsidRPr="00203170">
        <w:rPr>
          <w:szCs w:val="24"/>
        </w:rPr>
        <w:t>Brent and Du Plessis</w:t>
      </w:r>
      <w:r w:rsidR="0088341A">
        <w:rPr>
          <w:szCs w:val="24"/>
        </w:rPr>
        <w:t xml:space="preserve"> and van Zyl </w:t>
      </w:r>
      <w:r w:rsidR="0088341A" w:rsidRPr="0088341A">
        <w:rPr>
          <w:i/>
          <w:szCs w:val="24"/>
        </w:rPr>
        <w:t>et al</w:t>
      </w:r>
      <w:r w:rsidR="0063454F" w:rsidRPr="00203170">
        <w:rPr>
          <w:szCs w:val="24"/>
        </w:rPr>
        <w:t xml:space="preserve">, namely that the </w:t>
      </w:r>
      <w:r w:rsidR="007C04B5">
        <w:rPr>
          <w:szCs w:val="24"/>
        </w:rPr>
        <w:t>DME</w:t>
      </w:r>
      <w:r w:rsidR="0063454F" w:rsidRPr="00203170">
        <w:rPr>
          <w:szCs w:val="24"/>
        </w:rPr>
        <w:t xml:space="preserve"> guid</w:t>
      </w:r>
      <w:r w:rsidR="006B741D" w:rsidRPr="00203170">
        <w:rPr>
          <w:szCs w:val="24"/>
        </w:rPr>
        <w:t>e</w:t>
      </w:r>
      <w:r w:rsidR="0063454F" w:rsidRPr="00203170">
        <w:rPr>
          <w:szCs w:val="24"/>
        </w:rPr>
        <w:t>line was perhaps not an accurate predictor of closure costs. However, there are other points that relate to the new financial provision regulations which are very relevant for future consi</w:t>
      </w:r>
      <w:r w:rsidR="00284156" w:rsidRPr="00203170">
        <w:rPr>
          <w:szCs w:val="24"/>
        </w:rPr>
        <w:t>de</w:t>
      </w:r>
      <w:r w:rsidR="0063454F" w:rsidRPr="00203170">
        <w:rPr>
          <w:szCs w:val="24"/>
        </w:rPr>
        <w:t xml:space="preserve">ration: </w:t>
      </w:r>
    </w:p>
    <w:p w14:paraId="6A9EA674" w14:textId="0C99C61C" w:rsidR="006B741D" w:rsidRPr="00203170" w:rsidRDefault="006B741D" w:rsidP="00564565">
      <w:pPr>
        <w:ind w:left="426" w:hanging="426"/>
        <w:rPr>
          <w:szCs w:val="24"/>
        </w:rPr>
      </w:pPr>
      <w:r w:rsidRPr="00203170">
        <w:rPr>
          <w:szCs w:val="24"/>
        </w:rPr>
        <w:t>1.</w:t>
      </w:r>
      <w:r w:rsidRPr="00203170">
        <w:rPr>
          <w:szCs w:val="24"/>
        </w:rPr>
        <w:tab/>
      </w:r>
      <w:r w:rsidR="00284156" w:rsidRPr="00203170">
        <w:rPr>
          <w:szCs w:val="24"/>
        </w:rPr>
        <w:t xml:space="preserve">Firstly, </w:t>
      </w:r>
      <w:r w:rsidRPr="00203170">
        <w:rPr>
          <w:szCs w:val="24"/>
        </w:rPr>
        <w:t>by totally doing away with a</w:t>
      </w:r>
      <w:r w:rsidR="007E24A5">
        <w:rPr>
          <w:szCs w:val="24"/>
        </w:rPr>
        <w:t xml:space="preserve">n internal, stand-alone </w:t>
      </w:r>
      <w:r w:rsidRPr="00203170">
        <w:rPr>
          <w:szCs w:val="24"/>
        </w:rPr>
        <w:t xml:space="preserve">guideline to determine or at least gauge overall closure costs, the State is </w:t>
      </w:r>
      <w:r w:rsidR="007E24A5">
        <w:rPr>
          <w:szCs w:val="24"/>
        </w:rPr>
        <w:t xml:space="preserve">placing heavy reliance </w:t>
      </w:r>
      <w:r w:rsidRPr="00203170">
        <w:rPr>
          <w:szCs w:val="24"/>
        </w:rPr>
        <w:t>on independent assessors</w:t>
      </w:r>
      <w:r w:rsidR="007E24A5">
        <w:rPr>
          <w:szCs w:val="24"/>
        </w:rPr>
        <w:t xml:space="preserve">, </w:t>
      </w:r>
      <w:r w:rsidRPr="00203170">
        <w:rPr>
          <w:szCs w:val="24"/>
        </w:rPr>
        <w:t>auditors</w:t>
      </w:r>
      <w:r w:rsidR="007E24A5">
        <w:rPr>
          <w:szCs w:val="24"/>
        </w:rPr>
        <w:t xml:space="preserve"> and a support</w:t>
      </w:r>
      <w:r w:rsidR="008B6D3B">
        <w:rPr>
          <w:szCs w:val="24"/>
        </w:rPr>
        <w:t>ing</w:t>
      </w:r>
      <w:r w:rsidR="007E24A5">
        <w:rPr>
          <w:szCs w:val="24"/>
        </w:rPr>
        <w:t xml:space="preserve"> network of quantity surveyors and civil engineers.</w:t>
      </w:r>
      <w:r w:rsidR="00284156" w:rsidRPr="00203170">
        <w:rPr>
          <w:szCs w:val="24"/>
        </w:rPr>
        <w:t xml:space="preserve"> Th</w:t>
      </w:r>
      <w:r w:rsidR="008B6D3B">
        <w:rPr>
          <w:szCs w:val="24"/>
        </w:rPr>
        <w:t>e removal of the guideline also</w:t>
      </w:r>
      <w:r w:rsidR="00284156" w:rsidRPr="00203170">
        <w:rPr>
          <w:szCs w:val="24"/>
        </w:rPr>
        <w:t xml:space="preserve"> </w:t>
      </w:r>
      <w:r w:rsidRPr="00203170">
        <w:rPr>
          <w:szCs w:val="24"/>
        </w:rPr>
        <w:t xml:space="preserve">removes the ability of </w:t>
      </w:r>
      <w:r w:rsidR="008B6D3B">
        <w:rPr>
          <w:szCs w:val="24"/>
        </w:rPr>
        <w:t xml:space="preserve">the State to conduct </w:t>
      </w:r>
      <w:r w:rsidRPr="00203170">
        <w:rPr>
          <w:szCs w:val="24"/>
        </w:rPr>
        <w:t>an independent r</w:t>
      </w:r>
      <w:r w:rsidR="008B6D3B">
        <w:rPr>
          <w:szCs w:val="24"/>
        </w:rPr>
        <w:t>e</w:t>
      </w:r>
      <w:r w:rsidRPr="00203170">
        <w:rPr>
          <w:szCs w:val="24"/>
        </w:rPr>
        <w:t xml:space="preserve">view </w:t>
      </w:r>
      <w:r w:rsidR="008B6D3B">
        <w:rPr>
          <w:szCs w:val="24"/>
        </w:rPr>
        <w:t xml:space="preserve">of potential or estimated closure costs </w:t>
      </w:r>
      <w:r w:rsidRPr="00203170">
        <w:rPr>
          <w:szCs w:val="24"/>
        </w:rPr>
        <w:t xml:space="preserve">and </w:t>
      </w:r>
      <w:r w:rsidR="00284156" w:rsidRPr="00203170">
        <w:rPr>
          <w:szCs w:val="24"/>
        </w:rPr>
        <w:t xml:space="preserve">no doubt </w:t>
      </w:r>
      <w:r w:rsidRPr="00203170">
        <w:rPr>
          <w:szCs w:val="24"/>
        </w:rPr>
        <w:t xml:space="preserve">serves to improve business conditions for the </w:t>
      </w:r>
      <w:r w:rsidR="008B6D3B">
        <w:rPr>
          <w:szCs w:val="24"/>
        </w:rPr>
        <w:t xml:space="preserve">independent </w:t>
      </w:r>
      <w:r w:rsidRPr="00203170">
        <w:rPr>
          <w:szCs w:val="24"/>
        </w:rPr>
        <w:t xml:space="preserve">auditors. </w:t>
      </w:r>
    </w:p>
    <w:p w14:paraId="6364AA7F" w14:textId="06272C8E" w:rsidR="006B741D" w:rsidRPr="00203170" w:rsidRDefault="006B741D" w:rsidP="00564565">
      <w:pPr>
        <w:ind w:left="426" w:hanging="426"/>
        <w:rPr>
          <w:szCs w:val="24"/>
        </w:rPr>
      </w:pPr>
      <w:r w:rsidRPr="00203170">
        <w:rPr>
          <w:szCs w:val="24"/>
        </w:rPr>
        <w:t>2.</w:t>
      </w:r>
      <w:r w:rsidRPr="00203170">
        <w:rPr>
          <w:szCs w:val="24"/>
        </w:rPr>
        <w:tab/>
        <w:t>Th</w:t>
      </w:r>
      <w:r w:rsidR="00284156" w:rsidRPr="00203170">
        <w:rPr>
          <w:szCs w:val="24"/>
        </w:rPr>
        <w:t xml:space="preserve">e results presented in this </w:t>
      </w:r>
      <w:r w:rsidR="009C1091">
        <w:rPr>
          <w:szCs w:val="24"/>
        </w:rPr>
        <w:t>research report</w:t>
      </w:r>
      <w:r w:rsidR="00284156" w:rsidRPr="00203170">
        <w:rPr>
          <w:szCs w:val="24"/>
        </w:rPr>
        <w:t xml:space="preserve"> supports the findings of Du Plessis, Brent and Hewitson as well as</w:t>
      </w:r>
      <w:r w:rsidR="0088341A">
        <w:rPr>
          <w:szCs w:val="24"/>
        </w:rPr>
        <w:t xml:space="preserve"> van Zyl and </w:t>
      </w:r>
      <w:r w:rsidR="00284156" w:rsidRPr="00203170">
        <w:rPr>
          <w:szCs w:val="24"/>
        </w:rPr>
        <w:t xml:space="preserve">the CIDB that the escalation of closure costs, however calculated, by </w:t>
      </w:r>
      <w:r w:rsidRPr="00203170">
        <w:rPr>
          <w:szCs w:val="24"/>
        </w:rPr>
        <w:t xml:space="preserve">CPI </w:t>
      </w:r>
      <w:r w:rsidR="00284156" w:rsidRPr="00203170">
        <w:rPr>
          <w:szCs w:val="24"/>
        </w:rPr>
        <w:t xml:space="preserve">on an annual basis </w:t>
      </w:r>
      <w:r w:rsidRPr="00203170">
        <w:rPr>
          <w:szCs w:val="24"/>
        </w:rPr>
        <w:t xml:space="preserve">is not sufficient. </w:t>
      </w:r>
    </w:p>
    <w:p w14:paraId="6830FD80" w14:textId="35EEC536" w:rsidR="006B741D" w:rsidRPr="00203170" w:rsidRDefault="006B741D" w:rsidP="00564565">
      <w:pPr>
        <w:ind w:left="426" w:hanging="426"/>
        <w:rPr>
          <w:szCs w:val="24"/>
        </w:rPr>
      </w:pPr>
      <w:r w:rsidRPr="00203170">
        <w:rPr>
          <w:szCs w:val="24"/>
        </w:rPr>
        <w:t>3.</w:t>
      </w:r>
      <w:r w:rsidRPr="00203170">
        <w:rPr>
          <w:szCs w:val="24"/>
        </w:rPr>
        <w:tab/>
        <w:t>The exclusion of P</w:t>
      </w:r>
      <w:r w:rsidR="00284156" w:rsidRPr="00203170">
        <w:rPr>
          <w:szCs w:val="24"/>
        </w:rPr>
        <w:t xml:space="preserve">reliminary and </w:t>
      </w:r>
      <w:r w:rsidRPr="00203170">
        <w:rPr>
          <w:szCs w:val="24"/>
        </w:rPr>
        <w:t>G</w:t>
      </w:r>
      <w:r w:rsidR="00284156" w:rsidRPr="00203170">
        <w:rPr>
          <w:szCs w:val="24"/>
        </w:rPr>
        <w:t xml:space="preserve">eneral </w:t>
      </w:r>
      <w:r w:rsidRPr="00203170">
        <w:rPr>
          <w:szCs w:val="24"/>
        </w:rPr>
        <w:t>cost</w:t>
      </w:r>
      <w:r w:rsidR="00284156" w:rsidRPr="00203170">
        <w:rPr>
          <w:szCs w:val="24"/>
        </w:rPr>
        <w:t xml:space="preserve"> elements from the new financial provision regulations </w:t>
      </w:r>
      <w:r w:rsidRPr="00203170">
        <w:rPr>
          <w:szCs w:val="24"/>
        </w:rPr>
        <w:t>is nonsensical</w:t>
      </w:r>
      <w:r w:rsidR="00284156" w:rsidRPr="00203170">
        <w:rPr>
          <w:szCs w:val="24"/>
        </w:rPr>
        <w:t xml:space="preserve">. The preliminary and general costs on </w:t>
      </w:r>
      <w:r w:rsidRPr="00203170">
        <w:rPr>
          <w:szCs w:val="24"/>
        </w:rPr>
        <w:t>State rehab</w:t>
      </w:r>
      <w:r w:rsidR="00284156" w:rsidRPr="00203170">
        <w:rPr>
          <w:szCs w:val="24"/>
        </w:rPr>
        <w:t xml:space="preserve">ilitation </w:t>
      </w:r>
      <w:r w:rsidRPr="00203170">
        <w:rPr>
          <w:szCs w:val="24"/>
        </w:rPr>
        <w:t xml:space="preserve">projects are proven </w:t>
      </w:r>
      <w:r w:rsidR="00284156" w:rsidRPr="00203170">
        <w:rPr>
          <w:szCs w:val="24"/>
        </w:rPr>
        <w:t xml:space="preserve">from historical data presented </w:t>
      </w:r>
      <w:r w:rsidRPr="00203170">
        <w:rPr>
          <w:szCs w:val="24"/>
        </w:rPr>
        <w:t xml:space="preserve">in this </w:t>
      </w:r>
      <w:r w:rsidR="009C1091">
        <w:rPr>
          <w:szCs w:val="24"/>
        </w:rPr>
        <w:t>research report</w:t>
      </w:r>
      <w:r w:rsidRPr="00203170">
        <w:rPr>
          <w:szCs w:val="24"/>
        </w:rPr>
        <w:t xml:space="preserve"> to be </w:t>
      </w:r>
      <w:r w:rsidR="00284156" w:rsidRPr="00203170">
        <w:rPr>
          <w:szCs w:val="24"/>
        </w:rPr>
        <w:t>between 10 and 26</w:t>
      </w:r>
      <w:r w:rsidRPr="00203170">
        <w:rPr>
          <w:szCs w:val="24"/>
        </w:rPr>
        <w:t>% of project costs</w:t>
      </w:r>
      <w:r w:rsidR="00284156" w:rsidRPr="00203170">
        <w:rPr>
          <w:szCs w:val="24"/>
        </w:rPr>
        <w:t xml:space="preserve"> as an average of several projects sampled for this r</w:t>
      </w:r>
      <w:r w:rsidR="001E063D">
        <w:rPr>
          <w:szCs w:val="24"/>
        </w:rPr>
        <w:t>esearch report</w:t>
      </w:r>
      <w:r w:rsidR="00284156" w:rsidRPr="00203170">
        <w:rPr>
          <w:szCs w:val="24"/>
        </w:rPr>
        <w:t xml:space="preserve">. </w:t>
      </w:r>
      <w:r w:rsidRPr="00203170">
        <w:rPr>
          <w:szCs w:val="24"/>
        </w:rPr>
        <w:t>If a third party is used</w:t>
      </w:r>
      <w:r w:rsidR="00284156" w:rsidRPr="00203170">
        <w:rPr>
          <w:szCs w:val="24"/>
        </w:rPr>
        <w:t xml:space="preserve"> to conduct the rehabilitation</w:t>
      </w:r>
      <w:r w:rsidRPr="00203170">
        <w:rPr>
          <w:szCs w:val="24"/>
        </w:rPr>
        <w:t>, these costs will have to be incurred.</w:t>
      </w:r>
      <w:r w:rsidR="00284156" w:rsidRPr="00203170">
        <w:rPr>
          <w:szCs w:val="24"/>
        </w:rPr>
        <w:t xml:space="preserve"> Likewise, the </w:t>
      </w:r>
      <w:r w:rsidRPr="00203170">
        <w:rPr>
          <w:szCs w:val="24"/>
        </w:rPr>
        <w:t>exclu</w:t>
      </w:r>
      <w:r w:rsidR="00284156" w:rsidRPr="00203170">
        <w:rPr>
          <w:szCs w:val="24"/>
        </w:rPr>
        <w:t>sion of VAT</w:t>
      </w:r>
      <w:r w:rsidRPr="00203170">
        <w:rPr>
          <w:szCs w:val="24"/>
        </w:rPr>
        <w:t xml:space="preserve"> </w:t>
      </w:r>
      <w:r w:rsidR="00284156" w:rsidRPr="00203170">
        <w:rPr>
          <w:szCs w:val="24"/>
        </w:rPr>
        <w:t xml:space="preserve">from the market rate in </w:t>
      </w:r>
      <w:r w:rsidRPr="00203170">
        <w:rPr>
          <w:szCs w:val="24"/>
        </w:rPr>
        <w:t xml:space="preserve">the </w:t>
      </w:r>
      <w:r w:rsidR="00284156" w:rsidRPr="00203170">
        <w:rPr>
          <w:szCs w:val="24"/>
        </w:rPr>
        <w:t xml:space="preserve">new </w:t>
      </w:r>
      <w:r w:rsidRPr="00203170">
        <w:rPr>
          <w:szCs w:val="24"/>
        </w:rPr>
        <w:t xml:space="preserve">regulation is a nonsensical step as VAT would </w:t>
      </w:r>
      <w:r w:rsidR="00284156" w:rsidRPr="00203170">
        <w:rPr>
          <w:szCs w:val="24"/>
        </w:rPr>
        <w:t xml:space="preserve">certainly </w:t>
      </w:r>
      <w:r w:rsidRPr="00203170">
        <w:rPr>
          <w:szCs w:val="24"/>
        </w:rPr>
        <w:t>have to be paid for a third party to do the</w:t>
      </w:r>
      <w:r w:rsidR="00284156" w:rsidRPr="00203170">
        <w:rPr>
          <w:szCs w:val="24"/>
        </w:rPr>
        <w:t xml:space="preserve"> rehabilitation</w:t>
      </w:r>
      <w:r w:rsidRPr="00203170">
        <w:rPr>
          <w:szCs w:val="24"/>
        </w:rPr>
        <w:t xml:space="preserve"> work. </w:t>
      </w:r>
    </w:p>
    <w:p w14:paraId="6F50ED32" w14:textId="37317247" w:rsidR="00867448" w:rsidRPr="00203170" w:rsidRDefault="00F13F44" w:rsidP="00AE71A0">
      <w:pPr>
        <w:rPr>
          <w:szCs w:val="24"/>
        </w:rPr>
      </w:pPr>
      <w:r w:rsidRPr="00203170">
        <w:rPr>
          <w:szCs w:val="24"/>
        </w:rPr>
        <w:t xml:space="preserve">The philosophy of the South African system of making provision for mine closure is not to act as deterrent by elevating the risk of loss versus the decision to rehabilitate the mine. However, the logical choice must always be to reduce the amount of outstanding closure cost </w:t>
      </w:r>
      <w:r w:rsidRPr="00203170">
        <w:rPr>
          <w:szCs w:val="24"/>
        </w:rPr>
        <w:lastRenderedPageBreak/>
        <w:t xml:space="preserve">by performing concurrent rehabilitation from operating expenditure. The simple provision for third part preliminary and general cost, and site establishment already adds 25% to any provision made. </w:t>
      </w:r>
      <w:r w:rsidR="00E855A8" w:rsidRPr="00203170">
        <w:rPr>
          <w:szCs w:val="24"/>
        </w:rPr>
        <w:t xml:space="preserve">While the mine has operating capital and </w:t>
      </w:r>
      <w:r w:rsidRPr="00203170">
        <w:rPr>
          <w:szCs w:val="24"/>
        </w:rPr>
        <w:t>eq</w:t>
      </w:r>
      <w:r w:rsidR="00E855A8" w:rsidRPr="00203170">
        <w:rPr>
          <w:szCs w:val="24"/>
        </w:rPr>
        <w:t>uipment,</w:t>
      </w:r>
      <w:r w:rsidRPr="00203170">
        <w:rPr>
          <w:szCs w:val="24"/>
        </w:rPr>
        <w:t xml:space="preserve"> </w:t>
      </w:r>
      <w:r w:rsidR="005D5AFA">
        <w:rPr>
          <w:szCs w:val="24"/>
        </w:rPr>
        <w:t xml:space="preserve">it </w:t>
      </w:r>
      <w:r w:rsidR="00E855A8" w:rsidRPr="00203170">
        <w:rPr>
          <w:szCs w:val="24"/>
        </w:rPr>
        <w:t xml:space="preserve">is </w:t>
      </w:r>
      <w:r w:rsidRPr="00203170">
        <w:rPr>
          <w:szCs w:val="24"/>
        </w:rPr>
        <w:t>still</w:t>
      </w:r>
      <w:r w:rsidR="00E855A8" w:rsidRPr="00203170">
        <w:rPr>
          <w:szCs w:val="24"/>
        </w:rPr>
        <w:t xml:space="preserve"> the most </w:t>
      </w:r>
      <w:r w:rsidRPr="00203170">
        <w:rPr>
          <w:szCs w:val="24"/>
        </w:rPr>
        <w:t>cost-effective</w:t>
      </w:r>
      <w:r w:rsidR="00E855A8" w:rsidRPr="00203170">
        <w:rPr>
          <w:szCs w:val="24"/>
        </w:rPr>
        <w:t xml:space="preserve"> </w:t>
      </w:r>
      <w:r w:rsidR="00615C31" w:rsidRPr="00203170">
        <w:rPr>
          <w:szCs w:val="24"/>
        </w:rPr>
        <w:t>way</w:t>
      </w:r>
      <w:r w:rsidR="00E855A8" w:rsidRPr="00203170">
        <w:rPr>
          <w:szCs w:val="24"/>
        </w:rPr>
        <w:t xml:space="preserve"> t</w:t>
      </w:r>
      <w:r w:rsidRPr="00203170">
        <w:rPr>
          <w:szCs w:val="24"/>
        </w:rPr>
        <w:t>o</w:t>
      </w:r>
      <w:r w:rsidR="00E855A8" w:rsidRPr="00203170">
        <w:rPr>
          <w:szCs w:val="24"/>
        </w:rPr>
        <w:t xml:space="preserve"> </w:t>
      </w:r>
      <w:r w:rsidRPr="00203170">
        <w:rPr>
          <w:szCs w:val="24"/>
        </w:rPr>
        <w:t>concurrently</w:t>
      </w:r>
      <w:r w:rsidR="00E855A8" w:rsidRPr="00203170">
        <w:rPr>
          <w:szCs w:val="24"/>
        </w:rPr>
        <w:t xml:space="preserve"> rehabilitate. The question is, </w:t>
      </w:r>
      <w:r w:rsidRPr="00203170">
        <w:rPr>
          <w:szCs w:val="24"/>
        </w:rPr>
        <w:t>however</w:t>
      </w:r>
      <w:r w:rsidR="00E855A8" w:rsidRPr="00203170">
        <w:rPr>
          <w:szCs w:val="24"/>
        </w:rPr>
        <w:t xml:space="preserve">, what rates the </w:t>
      </w:r>
      <w:r w:rsidRPr="00203170">
        <w:rPr>
          <w:szCs w:val="24"/>
        </w:rPr>
        <w:t>consultant</w:t>
      </w:r>
      <w:r w:rsidR="00E855A8" w:rsidRPr="00203170">
        <w:rPr>
          <w:szCs w:val="24"/>
        </w:rPr>
        <w:t xml:space="preserve"> </w:t>
      </w:r>
      <w:r w:rsidRPr="00203170">
        <w:rPr>
          <w:szCs w:val="24"/>
        </w:rPr>
        <w:t>provided</w:t>
      </w:r>
      <w:r w:rsidR="00E855A8" w:rsidRPr="00203170">
        <w:rPr>
          <w:szCs w:val="24"/>
        </w:rPr>
        <w:t xml:space="preserve"> </w:t>
      </w:r>
      <w:r w:rsidRPr="00203170">
        <w:rPr>
          <w:szCs w:val="24"/>
        </w:rPr>
        <w:t>f</w:t>
      </w:r>
      <w:r w:rsidR="00284156" w:rsidRPr="00203170">
        <w:rPr>
          <w:szCs w:val="24"/>
        </w:rPr>
        <w:t>or</w:t>
      </w:r>
      <w:r w:rsidR="00E855A8" w:rsidRPr="00203170">
        <w:rPr>
          <w:szCs w:val="24"/>
        </w:rPr>
        <w:t xml:space="preserve"> in the new </w:t>
      </w:r>
      <w:r w:rsidRPr="00203170">
        <w:rPr>
          <w:szCs w:val="24"/>
        </w:rPr>
        <w:t>regulations under</w:t>
      </w:r>
      <w:r w:rsidR="00E855A8" w:rsidRPr="00203170">
        <w:rPr>
          <w:szCs w:val="24"/>
        </w:rPr>
        <w:t xml:space="preserve"> NE</w:t>
      </w:r>
      <w:r w:rsidR="00284156" w:rsidRPr="00203170">
        <w:rPr>
          <w:szCs w:val="24"/>
        </w:rPr>
        <w:t>M</w:t>
      </w:r>
      <w:r w:rsidR="00E855A8" w:rsidRPr="00203170">
        <w:rPr>
          <w:szCs w:val="24"/>
        </w:rPr>
        <w:t xml:space="preserve">A will use. If mines </w:t>
      </w:r>
      <w:r w:rsidR="00284156" w:rsidRPr="00203170">
        <w:rPr>
          <w:szCs w:val="24"/>
        </w:rPr>
        <w:t>have bee</w:t>
      </w:r>
      <w:r w:rsidR="00E265DC" w:rsidRPr="00203170">
        <w:rPr>
          <w:szCs w:val="24"/>
        </w:rPr>
        <w:t>n</w:t>
      </w:r>
      <w:r w:rsidR="00284156" w:rsidRPr="00203170">
        <w:rPr>
          <w:szCs w:val="24"/>
        </w:rPr>
        <w:t xml:space="preserve"> diligently using </w:t>
      </w:r>
      <w:r w:rsidRPr="00203170">
        <w:rPr>
          <w:szCs w:val="24"/>
        </w:rPr>
        <w:t>the</w:t>
      </w:r>
      <w:r w:rsidR="00E855A8" w:rsidRPr="00203170">
        <w:rPr>
          <w:szCs w:val="24"/>
        </w:rPr>
        <w:t xml:space="preserve"> </w:t>
      </w:r>
      <w:r w:rsidRPr="00203170">
        <w:rPr>
          <w:szCs w:val="24"/>
        </w:rPr>
        <w:t>guideline</w:t>
      </w:r>
      <w:r w:rsidR="00E855A8" w:rsidRPr="00203170">
        <w:rPr>
          <w:szCs w:val="24"/>
        </w:rPr>
        <w:t xml:space="preserve"> rates set by the </w:t>
      </w:r>
      <w:r w:rsidR="007C04B5">
        <w:rPr>
          <w:szCs w:val="24"/>
        </w:rPr>
        <w:t>DME</w:t>
      </w:r>
      <w:r w:rsidR="00284156" w:rsidRPr="00203170">
        <w:rPr>
          <w:szCs w:val="24"/>
        </w:rPr>
        <w:t xml:space="preserve"> in the guideline</w:t>
      </w:r>
      <w:r w:rsidR="00E855A8" w:rsidRPr="00203170">
        <w:rPr>
          <w:szCs w:val="24"/>
        </w:rPr>
        <w:t xml:space="preserve">, </w:t>
      </w:r>
      <w:r w:rsidRPr="00203170">
        <w:rPr>
          <w:szCs w:val="24"/>
        </w:rPr>
        <w:t>their</w:t>
      </w:r>
      <w:r w:rsidR="00E855A8" w:rsidRPr="00203170">
        <w:rPr>
          <w:szCs w:val="24"/>
        </w:rPr>
        <w:t xml:space="preserve"> overall cost </w:t>
      </w:r>
      <w:r w:rsidR="00284156" w:rsidRPr="00203170">
        <w:rPr>
          <w:szCs w:val="24"/>
        </w:rPr>
        <w:t xml:space="preserve">estimate and hence amount of provision </w:t>
      </w:r>
      <w:r w:rsidR="00E855A8" w:rsidRPr="00203170">
        <w:rPr>
          <w:szCs w:val="24"/>
        </w:rPr>
        <w:t>will be out</w:t>
      </w:r>
      <w:r w:rsidR="00284156" w:rsidRPr="00203170">
        <w:rPr>
          <w:szCs w:val="24"/>
        </w:rPr>
        <w:t xml:space="preserve">; </w:t>
      </w:r>
      <w:r w:rsidR="00E855A8" w:rsidRPr="00203170">
        <w:rPr>
          <w:szCs w:val="24"/>
        </w:rPr>
        <w:t xml:space="preserve">higher in some cost </w:t>
      </w:r>
      <w:r w:rsidRPr="00203170">
        <w:rPr>
          <w:szCs w:val="24"/>
        </w:rPr>
        <w:t>elements</w:t>
      </w:r>
      <w:r w:rsidR="00E855A8" w:rsidRPr="00203170">
        <w:rPr>
          <w:szCs w:val="24"/>
        </w:rPr>
        <w:t xml:space="preserve"> and lower in others. The individual situation will differ amongst mines. </w:t>
      </w:r>
      <w:r w:rsidR="00041F53" w:rsidRPr="00203170">
        <w:rPr>
          <w:szCs w:val="24"/>
        </w:rPr>
        <w:t>Certainly, the mine rehabilitating for itself is a much more cost-effective option and the intention of all legislation that governs mine rehabilitation.</w:t>
      </w:r>
    </w:p>
    <w:p w14:paraId="4A6AE40F" w14:textId="5BEBA01F" w:rsidR="00C74997" w:rsidRDefault="00041F53" w:rsidP="00AE71A0">
      <w:pPr>
        <w:rPr>
          <w:szCs w:val="24"/>
        </w:rPr>
      </w:pPr>
      <w:r w:rsidRPr="00203170">
        <w:rPr>
          <w:szCs w:val="24"/>
        </w:rPr>
        <w:t xml:space="preserve">The results of the research presented in this report has </w:t>
      </w:r>
      <w:r w:rsidR="00DB1448">
        <w:rPr>
          <w:szCs w:val="24"/>
        </w:rPr>
        <w:t xml:space="preserve">highlights the risks at looking at the available data from one perspective only. </w:t>
      </w:r>
      <w:r w:rsidR="00C72F8D">
        <w:rPr>
          <w:szCs w:val="24"/>
        </w:rPr>
        <w:t xml:space="preserve">When </w:t>
      </w:r>
      <w:r w:rsidR="00DB1448">
        <w:rPr>
          <w:szCs w:val="24"/>
        </w:rPr>
        <w:t xml:space="preserve">considering only </w:t>
      </w:r>
      <w:r w:rsidR="00C72F8D">
        <w:rPr>
          <w:szCs w:val="24"/>
        </w:rPr>
        <w:t xml:space="preserve">the statistical data from the master rates, one could surmise that </w:t>
      </w:r>
      <w:r w:rsidRPr="00203170">
        <w:rPr>
          <w:szCs w:val="24"/>
        </w:rPr>
        <w:t xml:space="preserve">the State </w:t>
      </w:r>
      <w:r w:rsidR="00C72F8D">
        <w:rPr>
          <w:szCs w:val="24"/>
        </w:rPr>
        <w:t xml:space="preserve">is </w:t>
      </w:r>
      <w:r w:rsidR="00DB1448">
        <w:rPr>
          <w:szCs w:val="24"/>
        </w:rPr>
        <w:t xml:space="preserve">potentially </w:t>
      </w:r>
      <w:r w:rsidRPr="00203170">
        <w:rPr>
          <w:szCs w:val="24"/>
        </w:rPr>
        <w:t xml:space="preserve">paying a </w:t>
      </w:r>
      <w:r w:rsidR="00DB1448">
        <w:rPr>
          <w:szCs w:val="24"/>
        </w:rPr>
        <w:t xml:space="preserve">steep </w:t>
      </w:r>
      <w:r w:rsidRPr="00203170">
        <w:rPr>
          <w:szCs w:val="24"/>
        </w:rPr>
        <w:t>premium for mine rehabilitation projects</w:t>
      </w:r>
      <w:r w:rsidR="00C72F8D">
        <w:rPr>
          <w:szCs w:val="24"/>
        </w:rPr>
        <w:t xml:space="preserve">. </w:t>
      </w:r>
      <w:r w:rsidR="00DB1448">
        <w:rPr>
          <w:szCs w:val="24"/>
        </w:rPr>
        <w:t>A</w:t>
      </w:r>
      <w:r w:rsidR="005D5AFA">
        <w:rPr>
          <w:szCs w:val="24"/>
        </w:rPr>
        <w:t xml:space="preserve">dditional data on the total awarded tender prices </w:t>
      </w:r>
      <w:r w:rsidR="00DB1448">
        <w:rPr>
          <w:szCs w:val="24"/>
        </w:rPr>
        <w:t xml:space="preserve">compared to </w:t>
      </w:r>
      <w:r w:rsidR="005D5AFA">
        <w:rPr>
          <w:szCs w:val="24"/>
        </w:rPr>
        <w:t>the engineers</w:t>
      </w:r>
      <w:r w:rsidR="00DB1448">
        <w:rPr>
          <w:szCs w:val="24"/>
        </w:rPr>
        <w:t>’</w:t>
      </w:r>
      <w:r w:rsidR="005D5AFA">
        <w:rPr>
          <w:szCs w:val="24"/>
        </w:rPr>
        <w:t xml:space="preserve"> estimates </w:t>
      </w:r>
      <w:r w:rsidR="00DB1448">
        <w:rPr>
          <w:szCs w:val="24"/>
        </w:rPr>
        <w:t xml:space="preserve">and average price of bids received suggest otherwise. The overall cost data seem to indicate that </w:t>
      </w:r>
      <w:r w:rsidR="005D5AFA">
        <w:rPr>
          <w:szCs w:val="24"/>
        </w:rPr>
        <w:t xml:space="preserve">the </w:t>
      </w:r>
      <w:r w:rsidR="00DB1448">
        <w:rPr>
          <w:szCs w:val="24"/>
        </w:rPr>
        <w:t xml:space="preserve">State Procurement </w:t>
      </w:r>
      <w:r w:rsidR="005D5AFA">
        <w:rPr>
          <w:szCs w:val="24"/>
        </w:rPr>
        <w:t>formula</w:t>
      </w:r>
      <w:r w:rsidR="00DB1448">
        <w:rPr>
          <w:szCs w:val="24"/>
        </w:rPr>
        <w:t>e</w:t>
      </w:r>
      <w:r w:rsidR="005D5AFA">
        <w:rPr>
          <w:szCs w:val="24"/>
        </w:rPr>
        <w:t xml:space="preserve"> that enforce award</w:t>
      </w:r>
      <w:r w:rsidR="00DB1448">
        <w:rPr>
          <w:szCs w:val="24"/>
        </w:rPr>
        <w:t xml:space="preserve"> of the work </w:t>
      </w:r>
      <w:r w:rsidR="005D5AFA">
        <w:rPr>
          <w:szCs w:val="24"/>
        </w:rPr>
        <w:t>to the lowest bidder is working</w:t>
      </w:r>
      <w:r w:rsidR="00DB1448">
        <w:rPr>
          <w:szCs w:val="24"/>
        </w:rPr>
        <w:t xml:space="preserve">, </w:t>
      </w:r>
      <w:r w:rsidR="005D5AFA">
        <w:rPr>
          <w:szCs w:val="24"/>
        </w:rPr>
        <w:t>along with compet</w:t>
      </w:r>
      <w:r w:rsidR="00C72F8D">
        <w:rPr>
          <w:szCs w:val="24"/>
        </w:rPr>
        <w:t>it</w:t>
      </w:r>
      <w:r w:rsidR="005D5AFA">
        <w:rPr>
          <w:szCs w:val="24"/>
        </w:rPr>
        <w:t>ion</w:t>
      </w:r>
      <w:r w:rsidR="00DB1448">
        <w:rPr>
          <w:szCs w:val="24"/>
        </w:rPr>
        <w:t xml:space="preserve"> for work in the market,</w:t>
      </w:r>
      <w:r w:rsidR="005D5AFA">
        <w:rPr>
          <w:szCs w:val="24"/>
        </w:rPr>
        <w:t xml:space="preserve"> to drive costs</w:t>
      </w:r>
      <w:r w:rsidR="00DB1448">
        <w:rPr>
          <w:szCs w:val="24"/>
        </w:rPr>
        <w:t xml:space="preserve"> </w:t>
      </w:r>
      <w:r w:rsidR="005D5AFA">
        <w:rPr>
          <w:szCs w:val="24"/>
        </w:rPr>
        <w:t xml:space="preserve">lower than predicted. </w:t>
      </w:r>
      <w:r w:rsidR="00DB1448">
        <w:rPr>
          <w:szCs w:val="24"/>
        </w:rPr>
        <w:t>T</w:t>
      </w:r>
      <w:r w:rsidRPr="00203170">
        <w:rPr>
          <w:szCs w:val="24"/>
        </w:rPr>
        <w:t>he reasons behind some of the massive cost variations observed in some years and for some cost elements</w:t>
      </w:r>
      <w:r w:rsidR="00DB1448">
        <w:rPr>
          <w:szCs w:val="24"/>
        </w:rPr>
        <w:t xml:space="preserve"> remains an untested phenomenon.</w:t>
      </w:r>
      <w:r w:rsidRPr="00203170">
        <w:rPr>
          <w:szCs w:val="24"/>
        </w:rPr>
        <w:t xml:space="preserve"> The population of tender data only provided an insight into the costs of </w:t>
      </w:r>
      <w:r w:rsidR="00615C31" w:rsidRPr="00203170">
        <w:rPr>
          <w:szCs w:val="24"/>
        </w:rPr>
        <w:t>small</w:t>
      </w:r>
      <w:r w:rsidRPr="00203170">
        <w:rPr>
          <w:szCs w:val="24"/>
        </w:rPr>
        <w:t xml:space="preserve"> and simple opencast mining operations</w:t>
      </w:r>
      <w:r w:rsidR="00DB1448">
        <w:rPr>
          <w:szCs w:val="24"/>
        </w:rPr>
        <w:t xml:space="preserve"> and it a fair question if these </w:t>
      </w:r>
      <w:r w:rsidRPr="00203170">
        <w:rPr>
          <w:szCs w:val="24"/>
        </w:rPr>
        <w:t>results</w:t>
      </w:r>
      <w:r w:rsidR="00DB1448">
        <w:rPr>
          <w:szCs w:val="24"/>
        </w:rPr>
        <w:t xml:space="preserve"> will </w:t>
      </w:r>
      <w:r w:rsidRPr="00203170">
        <w:rPr>
          <w:szCs w:val="24"/>
        </w:rPr>
        <w:t>be the same for other elements of other form</w:t>
      </w:r>
      <w:r w:rsidR="00DB1448">
        <w:rPr>
          <w:szCs w:val="24"/>
        </w:rPr>
        <w:t>s</w:t>
      </w:r>
      <w:r w:rsidRPr="00203170">
        <w:rPr>
          <w:szCs w:val="24"/>
        </w:rPr>
        <w:t xml:space="preserve"> of mine or underground operations? These </w:t>
      </w:r>
      <w:r w:rsidR="00DB1448">
        <w:rPr>
          <w:szCs w:val="24"/>
        </w:rPr>
        <w:t xml:space="preserve">aspects </w:t>
      </w:r>
      <w:r w:rsidRPr="00203170">
        <w:rPr>
          <w:szCs w:val="24"/>
        </w:rPr>
        <w:t xml:space="preserve">will require much more extensive research and more in-depth data collection to develop better insights into the underlying causes of the observed patterns.  </w:t>
      </w:r>
    </w:p>
    <w:p w14:paraId="3A2F204F" w14:textId="77777777" w:rsidR="00BF5A60" w:rsidRDefault="00BF5A60" w:rsidP="00AE71A0">
      <w:pPr>
        <w:rPr>
          <w:szCs w:val="24"/>
        </w:rPr>
        <w:sectPr w:rsidR="00BF5A60" w:rsidSect="004321A7">
          <w:pgSz w:w="11906" w:h="16838"/>
          <w:pgMar w:top="1440" w:right="1440" w:bottom="1440" w:left="1440" w:header="709" w:footer="709" w:gutter="0"/>
          <w:cols w:space="708"/>
          <w:docGrid w:linePitch="360"/>
        </w:sectPr>
      </w:pPr>
    </w:p>
    <w:p w14:paraId="48573D3F" w14:textId="02AC9EE1" w:rsidR="00287502" w:rsidRPr="00287502" w:rsidRDefault="00BF5A60" w:rsidP="00287502">
      <w:pPr>
        <w:pStyle w:val="Heading1"/>
      </w:pPr>
      <w:bookmarkStart w:id="676" w:name="_Toc519445735"/>
      <w:r>
        <w:lastRenderedPageBreak/>
        <w:t>Postscript</w:t>
      </w:r>
      <w:r w:rsidR="00AB17F5">
        <w:t xml:space="preserve">: further </w:t>
      </w:r>
      <w:r w:rsidR="00D7687F">
        <w:t>i</w:t>
      </w:r>
      <w:r w:rsidR="00AB17F5">
        <w:t>nsights from tender prices</w:t>
      </w:r>
      <w:bookmarkEnd w:id="676"/>
      <w:r w:rsidR="00AB17F5">
        <w:t xml:space="preserve"> </w:t>
      </w:r>
    </w:p>
    <w:p w14:paraId="4BC23015" w14:textId="0A973999" w:rsidR="00BF5A60" w:rsidRDefault="00BF5A60" w:rsidP="00AE71A0">
      <w:pPr>
        <w:rPr>
          <w:szCs w:val="24"/>
        </w:rPr>
      </w:pPr>
      <w:r>
        <w:rPr>
          <w:szCs w:val="24"/>
        </w:rPr>
        <w:t>During the course of making the final amendment</w:t>
      </w:r>
      <w:r w:rsidR="00B27782">
        <w:rPr>
          <w:szCs w:val="24"/>
        </w:rPr>
        <w:t>s</w:t>
      </w:r>
      <w:r>
        <w:rPr>
          <w:szCs w:val="24"/>
        </w:rPr>
        <w:t xml:space="preserve"> to this research report, after </w:t>
      </w:r>
      <w:r w:rsidR="00B27782">
        <w:rPr>
          <w:szCs w:val="24"/>
        </w:rPr>
        <w:t>evaluation and grading</w:t>
      </w:r>
      <w:r>
        <w:rPr>
          <w:szCs w:val="24"/>
        </w:rPr>
        <w:t xml:space="preserve"> by both internal and external examiners, the author realised that the </w:t>
      </w:r>
      <w:r w:rsidRPr="00B27782">
        <w:rPr>
          <w:i/>
          <w:szCs w:val="24"/>
        </w:rPr>
        <w:t>line item</w:t>
      </w:r>
      <w:r>
        <w:rPr>
          <w:szCs w:val="24"/>
        </w:rPr>
        <w:t xml:space="preserve"> values of tenders, as expounded in this paper, do not match the </w:t>
      </w:r>
      <w:r w:rsidRPr="00B27782">
        <w:rPr>
          <w:i/>
          <w:szCs w:val="24"/>
        </w:rPr>
        <w:t>overall</w:t>
      </w:r>
      <w:r>
        <w:rPr>
          <w:szCs w:val="24"/>
        </w:rPr>
        <w:t xml:space="preserve"> project costs as awarded to bidders. This discrepancy does not make sense at first glance – how could the underlying line items be proven to cost more than the estimate, yet overall project costs are almost always much lower than predicted? There is, of course, a perfectly logical explanation for this. </w:t>
      </w:r>
    </w:p>
    <w:p w14:paraId="7E9CEF9C" w14:textId="5BFCBDA3" w:rsidR="00BF5A60" w:rsidRDefault="00BF5A60" w:rsidP="00BF5A60">
      <w:r>
        <w:t xml:space="preserve">The analysis performed in </w:t>
      </w:r>
      <w:r w:rsidR="00B27782">
        <w:t>Chapter</w:t>
      </w:r>
      <w:r>
        <w:t xml:space="preserve"> 4.3 above on a line item basis for the various cost elements, </w:t>
      </w:r>
      <w:r w:rsidR="00B27782">
        <w:t xml:space="preserve">clearly </w:t>
      </w:r>
      <w:r>
        <w:t xml:space="preserve">indicate higher than anticipated costs of the various closure elements. The noted discrepancy with overall project costs forced the author to take another perspective on total costs per project completed and thus to see how the </w:t>
      </w:r>
      <w:r w:rsidRPr="00FA2961">
        <w:rPr>
          <w:i/>
        </w:rPr>
        <w:t>overall</w:t>
      </w:r>
      <w:r>
        <w:t xml:space="preserve"> project costs compare to professional estimates. Various role players in the mine rehabilitation process have different objectives for the mine rehabilitation projects and this affects their pricing philosophy. It is generally considered that the design engineers would hedge their reputational risk in their cost estimates and thus make conservative allowances in the project pricing estimate. The contractors, on the other hand, compete for projects on the open market, but must also make profit. As Mintek is a state-owned enterprise, the procurement practitioners are bound by strict rules that favour the lowest bidder. </w:t>
      </w:r>
    </w:p>
    <w:p w14:paraId="65A13D9D" w14:textId="7C4336AC" w:rsidR="00BF5A60" w:rsidRDefault="00BF5A60" w:rsidP="00BF5A60">
      <w:r>
        <w:t xml:space="preserve">It follows that each project has three comparable values or estimates of cost even before it starts. The engineer provides the first (usually conservative) cost estimate. The average of all bids received at tender phase is probably a good indication of the real market value for the project cost and here it would be reasonable to assume that a normal </w:t>
      </w:r>
      <w:r w:rsidR="00937CCA">
        <w:t xml:space="preserve">distribution </w:t>
      </w:r>
      <w:r>
        <w:t xml:space="preserve">curve would fit the distribution of total project costs received from all bidders. The procurement rules, however, force the project owner to select the lowest bidder.  </w:t>
      </w:r>
    </w:p>
    <w:p w14:paraId="75C5994E" w14:textId="0E06F7FD" w:rsidR="00BF5A60" w:rsidRDefault="00BF5A60" w:rsidP="00BF5A60">
      <w:r>
        <w:t xml:space="preserve">This additional data illustrates that the use of medians of the actual tendered prices, as was done in 4.3 above, might hide the reality of tender awards: That markets operate in a competitive environment. While median item cost analysis per line item may be a statistically </w:t>
      </w:r>
      <w:r>
        <w:lastRenderedPageBreak/>
        <w:t>sound endeavour, it annuls the fact that the prescribed formula</w:t>
      </w:r>
      <w:r>
        <w:rPr>
          <w:rStyle w:val="FootnoteReference"/>
        </w:rPr>
        <w:footnoteReference w:id="14"/>
      </w:r>
      <w:r>
        <w:t xml:space="preserve"> to award competitive bids, always favours the lowest bidder. The purely statistical analysis of the data points to a given result on a per-line item level, but other factors point to more reasonable costs on an overall project cost basis. Overall project execution costs, when compared to the engineer’s cost estimate and even the average of bids submitted, is almost always lower. (See Figure </w:t>
      </w:r>
      <w:r w:rsidR="00937CCA">
        <w:t>7</w:t>
      </w:r>
      <w:r>
        <w:t>.</w:t>
      </w:r>
      <w:r w:rsidR="00937CCA">
        <w:t>1</w:t>
      </w:r>
      <w:r>
        <w:t xml:space="preserve"> below)</w:t>
      </w:r>
    </w:p>
    <w:p w14:paraId="38974D68" w14:textId="77777777" w:rsidR="00BF5A60" w:rsidRDefault="00BF5A60" w:rsidP="00BF5A60">
      <w:pPr>
        <w:keepNext/>
      </w:pPr>
      <w:r>
        <w:rPr>
          <w:noProof/>
          <w:lang w:eastAsia="en-ZA"/>
        </w:rPr>
        <w:drawing>
          <wp:inline distT="0" distB="0" distL="0" distR="0" wp14:anchorId="42804C96" wp14:editId="4F06F01B">
            <wp:extent cx="5731510" cy="3738245"/>
            <wp:effectExtent l="0" t="0" r="2540" b="14605"/>
            <wp:docPr id="7" name="Chart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F81633A" w14:textId="3C646C8B" w:rsidR="00BF5A60" w:rsidRDefault="00BF5A60" w:rsidP="00BF5A60">
      <w:pPr>
        <w:pStyle w:val="Caption"/>
      </w:pPr>
      <w:bookmarkStart w:id="677" w:name="_Toc517372964"/>
      <w:bookmarkStart w:id="678" w:name="_Toc517373119"/>
      <w:bookmarkStart w:id="679" w:name="_Toc519445882"/>
      <w:bookmarkStart w:id="680" w:name="_Toc519445919"/>
      <w:r>
        <w:t>Figure 7.1 Comparison of total awarded project cost with engineer’s estimate and average of all bids submitted for selected projects</w:t>
      </w:r>
      <w:bookmarkEnd w:id="677"/>
      <w:bookmarkEnd w:id="678"/>
      <w:bookmarkEnd w:id="679"/>
      <w:bookmarkEnd w:id="680"/>
    </w:p>
    <w:p w14:paraId="73A4DCD8" w14:textId="77777777" w:rsidR="00937CCA" w:rsidRPr="00937CCA" w:rsidRDefault="00937CCA" w:rsidP="00937CCA"/>
    <w:p w14:paraId="41C876BF" w14:textId="71412E20" w:rsidR="00BF5A60" w:rsidRDefault="00BF5A60" w:rsidP="00BF5A60">
      <w:r>
        <w:t xml:space="preserve">Figure 7.1 offers a comparison of actual tender award prices with the engineer’s cost estimate and the average of all bids submitted for selected projects which are the subject of the analyses conducted in 4.3 above. As can be seen, the projects are usually awarded for a lower value than the engineer estimates, with only Project M being the exception from this norm.  </w:t>
      </w:r>
      <w:r>
        <w:lastRenderedPageBreak/>
        <w:t xml:space="preserve">Additionally, projects are usually awarded to the lowest bidder and the project cost is thus typically less than the average of all bids submitted. From the sample reflected in Figure 4.26, only Projects O and P were exceptions to this general observation. </w:t>
      </w:r>
    </w:p>
    <w:p w14:paraId="25BF3B07" w14:textId="175B476D" w:rsidR="00BF5A60" w:rsidRDefault="00BF5A60" w:rsidP="00BF5A60">
      <w:pPr>
        <w:rPr>
          <w:szCs w:val="24"/>
        </w:rPr>
        <w:sectPr w:rsidR="00BF5A60" w:rsidSect="004321A7">
          <w:pgSz w:w="11906" w:h="16838"/>
          <w:pgMar w:top="1440" w:right="1440" w:bottom="1440" w:left="1440" w:header="709" w:footer="709" w:gutter="0"/>
          <w:cols w:space="708"/>
          <w:docGrid w:linePitch="360"/>
        </w:sectPr>
      </w:pPr>
      <w:r>
        <w:rPr>
          <w:szCs w:val="24"/>
        </w:rPr>
        <w:t>This insight into the relative values of project prices does not necessarily distract from</w:t>
      </w:r>
      <w:r w:rsidR="00937CCA">
        <w:rPr>
          <w:szCs w:val="24"/>
        </w:rPr>
        <w:t xml:space="preserve"> </w:t>
      </w:r>
      <w:r>
        <w:rPr>
          <w:szCs w:val="24"/>
        </w:rPr>
        <w:t>t</w:t>
      </w:r>
      <w:r w:rsidR="00937CCA">
        <w:rPr>
          <w:szCs w:val="24"/>
        </w:rPr>
        <w:t>h</w:t>
      </w:r>
      <w:r>
        <w:rPr>
          <w:szCs w:val="24"/>
        </w:rPr>
        <w:t xml:space="preserve">e findings of the research report. The research report looked at general trends in industry prices </w:t>
      </w:r>
      <w:r w:rsidR="00B27782">
        <w:rPr>
          <w:szCs w:val="24"/>
        </w:rPr>
        <w:t xml:space="preserve">versus the predicted costs of the DME guideline. The comparison to median values is a </w:t>
      </w:r>
      <w:r w:rsidR="00FA2961">
        <w:rPr>
          <w:szCs w:val="24"/>
        </w:rPr>
        <w:t>sound</w:t>
      </w:r>
      <w:r w:rsidR="00B27782">
        <w:rPr>
          <w:szCs w:val="24"/>
        </w:rPr>
        <w:t xml:space="preserve"> approach to analyse trends in the industry pricing and the method followed is capable of</w:t>
      </w:r>
      <w:r w:rsidR="00937CCA">
        <w:rPr>
          <w:szCs w:val="24"/>
        </w:rPr>
        <w:t xml:space="preserve"> </w:t>
      </w:r>
      <w:r w:rsidR="00B27782">
        <w:rPr>
          <w:szCs w:val="24"/>
        </w:rPr>
        <w:t>drawing robust conclusions. What this final insight shows is that, while one can be aware with certainty of underlying trends in the industry in terms of pricing, the overall project co</w:t>
      </w:r>
      <w:r w:rsidR="00B309E0">
        <w:rPr>
          <w:szCs w:val="24"/>
        </w:rPr>
        <w:t>s</w:t>
      </w:r>
      <w:r w:rsidR="00B27782">
        <w:rPr>
          <w:szCs w:val="24"/>
        </w:rPr>
        <w:t>ts are artificially forced to award the project to the lowest bidder in a competitive market. In hindsight, one must therefore not look at median tendered values to get a good indication of probable project costs when compared to the DME guideline values, but rather at the first quartile values. The comparison of the first quartile values rather than</w:t>
      </w:r>
      <w:r w:rsidR="008D426B">
        <w:rPr>
          <w:szCs w:val="24"/>
        </w:rPr>
        <w:t xml:space="preserve"> </w:t>
      </w:r>
      <w:r w:rsidR="00B27782">
        <w:rPr>
          <w:szCs w:val="24"/>
        </w:rPr>
        <w:t>median</w:t>
      </w:r>
      <w:r w:rsidR="008D426B">
        <w:rPr>
          <w:szCs w:val="24"/>
        </w:rPr>
        <w:t>s</w:t>
      </w:r>
      <w:r w:rsidR="00B27782">
        <w:rPr>
          <w:szCs w:val="24"/>
        </w:rPr>
        <w:t xml:space="preserve"> would potentially give a vastly different outcome to the data analysed </w:t>
      </w:r>
      <w:r w:rsidR="008D426B">
        <w:rPr>
          <w:szCs w:val="24"/>
        </w:rPr>
        <w:t>but</w:t>
      </w:r>
      <w:r w:rsidR="00B27782">
        <w:rPr>
          <w:szCs w:val="24"/>
        </w:rPr>
        <w:t xml:space="preserve"> could not be performed within the timelines required to submit the final research report. This is </w:t>
      </w:r>
      <w:r w:rsidR="00AB17F5">
        <w:rPr>
          <w:szCs w:val="24"/>
        </w:rPr>
        <w:t xml:space="preserve">considered </w:t>
      </w:r>
      <w:r w:rsidR="00B27782">
        <w:rPr>
          <w:szCs w:val="24"/>
        </w:rPr>
        <w:t xml:space="preserve">a </w:t>
      </w:r>
      <w:r w:rsidR="001569DE">
        <w:rPr>
          <w:szCs w:val="24"/>
        </w:rPr>
        <w:t xml:space="preserve">logical next step and a potentially </w:t>
      </w:r>
      <w:r w:rsidR="00B27782">
        <w:rPr>
          <w:szCs w:val="24"/>
        </w:rPr>
        <w:t xml:space="preserve">fertile area for further work in this field. </w:t>
      </w:r>
    </w:p>
    <w:p w14:paraId="76B3DDB7" w14:textId="79FB6276" w:rsidR="00443D2B" w:rsidRPr="00374E2B" w:rsidRDefault="00443D2B" w:rsidP="002D6002">
      <w:pPr>
        <w:pStyle w:val="Heading1"/>
      </w:pPr>
      <w:bookmarkStart w:id="681" w:name="_Toc519445736"/>
      <w:r w:rsidRPr="00374E2B">
        <w:lastRenderedPageBreak/>
        <w:t>References</w:t>
      </w:r>
      <w:bookmarkEnd w:id="675"/>
      <w:bookmarkEnd w:id="681"/>
    </w:p>
    <w:p w14:paraId="536709FF" w14:textId="77777777" w:rsidR="0025496D" w:rsidRPr="00414E5B" w:rsidRDefault="0025496D" w:rsidP="0025496D">
      <w:pPr>
        <w:jc w:val="left"/>
      </w:pPr>
      <w:r w:rsidRPr="00414E5B">
        <w:t>Alberts</w:t>
      </w:r>
      <w:r>
        <w:t>,</w:t>
      </w:r>
      <w:r w:rsidRPr="00414E5B">
        <w:t xml:space="preserve"> A</w:t>
      </w:r>
      <w:r>
        <w:t>.</w:t>
      </w:r>
      <w:r w:rsidRPr="00414E5B">
        <w:t>, Wessels</w:t>
      </w:r>
      <w:r>
        <w:t>,</w:t>
      </w:r>
      <w:r w:rsidRPr="00414E5B">
        <w:t xml:space="preserve"> J.A., Morrison-Saunders</w:t>
      </w:r>
      <w:r>
        <w:t>,</w:t>
      </w:r>
      <w:r w:rsidRPr="00414E5B">
        <w:t xml:space="preserve"> A., McHenry</w:t>
      </w:r>
      <w:r>
        <w:t>,</w:t>
      </w:r>
      <w:r w:rsidRPr="00414E5B">
        <w:t xml:space="preserve"> M.P., Rita Sequeira</w:t>
      </w:r>
      <w:r>
        <w:t>,</w:t>
      </w:r>
      <w:r w:rsidRPr="00414E5B">
        <w:t xml:space="preserve"> A., Mtegha H. &amp; Doepel D. </w:t>
      </w:r>
      <w:r>
        <w:t>(</w:t>
      </w:r>
      <w:r w:rsidRPr="00414E5B">
        <w:t>2017</w:t>
      </w:r>
      <w:r>
        <w:t xml:space="preserve">). </w:t>
      </w:r>
      <w:r w:rsidRPr="00414E5B">
        <w:t xml:space="preserve">Complexities with extractive industries regulation on the African Continent: What has ‘best practice’ legislation delivered in South Africa? The </w:t>
      </w:r>
      <w:r>
        <w:t>E</w:t>
      </w:r>
      <w:r w:rsidRPr="00414E5B">
        <w:t xml:space="preserve">xtractive </w:t>
      </w:r>
      <w:r>
        <w:t>I</w:t>
      </w:r>
      <w:r w:rsidRPr="00414E5B">
        <w:t xml:space="preserve">ndustries and </w:t>
      </w:r>
      <w:r>
        <w:t>S</w:t>
      </w:r>
      <w:r w:rsidRPr="00414E5B">
        <w:t>ociety</w:t>
      </w:r>
      <w:r>
        <w:t>,</w:t>
      </w:r>
      <w:r w:rsidRPr="00CF4225">
        <w:t xml:space="preserve"> </w:t>
      </w:r>
      <w:r>
        <w:t xml:space="preserve">4(2017) pp </w:t>
      </w:r>
      <w:r w:rsidRPr="00414E5B">
        <w:t xml:space="preserve">267-277. </w:t>
      </w:r>
      <w:r>
        <w:t xml:space="preserve">Available at:  </w:t>
      </w:r>
      <w:hyperlink r:id="rId41" w:history="1">
        <w:r w:rsidRPr="00C7682D">
          <w:rPr>
            <w:rStyle w:val="Hyperlink"/>
          </w:rPr>
          <w:t>https://www.sciencedirect.com/science/article/pii/S2214790X16301010</w:t>
        </w:r>
      </w:hyperlink>
      <w:r>
        <w:t>. Date accessed: 10 February 2018.</w:t>
      </w:r>
    </w:p>
    <w:p w14:paraId="32F76D9B" w14:textId="77777777" w:rsidR="0025496D" w:rsidRPr="00414E5B" w:rsidRDefault="0025496D" w:rsidP="0025496D">
      <w:pPr>
        <w:jc w:val="left"/>
      </w:pPr>
      <w:r w:rsidRPr="00414E5B">
        <w:t xml:space="preserve">Allwood, C.M. </w:t>
      </w:r>
      <w:r>
        <w:t>(</w:t>
      </w:r>
      <w:r w:rsidRPr="00414E5B">
        <w:t>2012</w:t>
      </w:r>
      <w:r>
        <w:t>)</w:t>
      </w:r>
      <w:r w:rsidRPr="00414E5B">
        <w:t>.</w:t>
      </w:r>
      <w:r>
        <w:t xml:space="preserve"> </w:t>
      </w:r>
      <w:r w:rsidRPr="00414E5B">
        <w:t xml:space="preserve">The distinction between qualitative and quantitative research methods is problematic. </w:t>
      </w:r>
      <w:r>
        <w:t xml:space="preserve">Quality and Quantity: International </w:t>
      </w:r>
      <w:r w:rsidRPr="00414E5B">
        <w:t xml:space="preserve">Journal of </w:t>
      </w:r>
      <w:r>
        <w:t xml:space="preserve">Methodology, </w:t>
      </w:r>
      <w:r w:rsidRPr="00414E5B">
        <w:t xml:space="preserve"> 46</w:t>
      </w:r>
      <w:r>
        <w:t>(5)</w:t>
      </w:r>
      <w:r w:rsidRPr="00414E5B">
        <w:t xml:space="preserve"> </w:t>
      </w:r>
      <w:r>
        <w:t>pp</w:t>
      </w:r>
      <w:r w:rsidRPr="00414E5B">
        <w:t xml:space="preserve"> 1417 - 1429. </w:t>
      </w:r>
      <w:r>
        <w:t>Available at:</w:t>
      </w:r>
      <w:r w:rsidRPr="003658FB">
        <w:t xml:space="preserve"> </w:t>
      </w:r>
      <w:hyperlink r:id="rId42" w:history="1">
        <w:r w:rsidRPr="00C7682D">
          <w:rPr>
            <w:rStyle w:val="Hyperlink"/>
          </w:rPr>
          <w:t>https://link.springer.com/article/10.1007/s11135-011-9455-8</w:t>
        </w:r>
      </w:hyperlink>
      <w:r>
        <w:t>. Date accessed: 9 February 2018.</w:t>
      </w:r>
    </w:p>
    <w:p w14:paraId="59349159" w14:textId="77777777" w:rsidR="0025496D" w:rsidRPr="00203170" w:rsidRDefault="0025496D" w:rsidP="0025496D">
      <w:pPr>
        <w:jc w:val="left"/>
      </w:pPr>
      <w:r w:rsidRPr="00203170">
        <w:t>Anglo American.</w:t>
      </w:r>
      <w:r w:rsidRPr="00CF4225">
        <w:t xml:space="preserve"> </w:t>
      </w:r>
      <w:r>
        <w:t>(</w:t>
      </w:r>
      <w:r w:rsidRPr="00203170">
        <w:t>2013</w:t>
      </w:r>
      <w:r>
        <w:t>).</w:t>
      </w:r>
      <w:r w:rsidRPr="00203170">
        <w:t xml:space="preserve"> </w:t>
      </w:r>
      <w:r w:rsidRPr="00F508A8">
        <w:t xml:space="preserve">Mine Closure Toolbox: </w:t>
      </w:r>
      <w:r>
        <w:t>E</w:t>
      </w:r>
      <w:r w:rsidRPr="00F508A8">
        <w:t>xamples.</w:t>
      </w:r>
      <w:r w:rsidRPr="00203170">
        <w:t xml:space="preserve"> Version 2</w:t>
      </w:r>
      <w:r>
        <w:t>:</w:t>
      </w:r>
      <w:r w:rsidRPr="00203170">
        <w:t xml:space="preserve"> 2013</w:t>
      </w:r>
      <w:r>
        <w:t>.</w:t>
      </w:r>
      <w:r w:rsidRPr="00203170">
        <w:t xml:space="preserve"> </w:t>
      </w:r>
      <w:r>
        <w:t>Available at</w:t>
      </w:r>
      <w:r w:rsidRPr="00203170">
        <w:t xml:space="preserve">: </w:t>
      </w:r>
      <w:hyperlink r:id="rId43" w:history="1">
        <w:r w:rsidRPr="00203170">
          <w:rPr>
            <w:color w:val="0000FF" w:themeColor="hyperlink"/>
            <w:u w:val="single"/>
          </w:rPr>
          <w:t>www.angloamerican.com/.../Anglo-American.../toolbox-main-brochure</w:t>
        </w:r>
      </w:hyperlink>
      <w:r w:rsidRPr="00203170">
        <w:t>. Date accessed: 06 February 2016</w:t>
      </w:r>
      <w:r>
        <w:t>.</w:t>
      </w:r>
    </w:p>
    <w:p w14:paraId="50B8EC75" w14:textId="77777777" w:rsidR="0025496D" w:rsidRPr="00203170" w:rsidRDefault="0025496D" w:rsidP="0025496D">
      <w:pPr>
        <w:jc w:val="left"/>
      </w:pPr>
      <w:r w:rsidRPr="00203170">
        <w:t>Auditor-General of the Republic of South Africa</w:t>
      </w:r>
      <w:r>
        <w:t>. (</w:t>
      </w:r>
      <w:r w:rsidRPr="00203170">
        <w:t>2009</w:t>
      </w:r>
      <w:r>
        <w:t>)</w:t>
      </w:r>
      <w:r w:rsidRPr="00203170">
        <w:t xml:space="preserve">. </w:t>
      </w:r>
      <w:r w:rsidRPr="00997AEA">
        <w:t>Report of the Auditor-General to Parliament on a performance audit of the rehabilitation of abandoned mines at the Department of Minerals and Energy</w:t>
      </w:r>
      <w:r w:rsidRPr="00F508A8">
        <w:rPr>
          <w:i/>
        </w:rPr>
        <w:t>.</w:t>
      </w:r>
      <w:r w:rsidRPr="00203170">
        <w:t xml:space="preserve"> </w:t>
      </w:r>
      <w:r>
        <w:t>Available at:</w:t>
      </w:r>
      <w:r w:rsidRPr="00203170">
        <w:t xml:space="preserve"> </w:t>
      </w:r>
      <w:hyperlink r:id="rId44" w:history="1">
        <w:r w:rsidRPr="00203170">
          <w:rPr>
            <w:color w:val="0000FF" w:themeColor="hyperlink"/>
            <w:u w:val="single"/>
          </w:rPr>
          <w:t>www.cer.org.za/wp-content/.../AG_Report_on_abandoned_mines-Oct-2009.pdf</w:t>
        </w:r>
      </w:hyperlink>
      <w:r w:rsidRPr="00203170">
        <w:t>. Date accessed: 29 January 2016</w:t>
      </w:r>
      <w:r>
        <w:t>.</w:t>
      </w:r>
    </w:p>
    <w:p w14:paraId="61541846" w14:textId="77777777" w:rsidR="0025496D" w:rsidRPr="00414E5B" w:rsidRDefault="0025496D" w:rsidP="0025496D">
      <w:pPr>
        <w:jc w:val="left"/>
      </w:pPr>
      <w:r w:rsidRPr="00414E5B">
        <w:t xml:space="preserve">Brown, R.V. &amp; Lindley, D.V. </w:t>
      </w:r>
      <w:r>
        <w:t>(</w:t>
      </w:r>
      <w:r w:rsidRPr="00414E5B">
        <w:t>1986</w:t>
      </w:r>
      <w:r>
        <w:t xml:space="preserve">). </w:t>
      </w:r>
      <w:r w:rsidRPr="00414E5B">
        <w:t xml:space="preserve">Plural analysis: Multiple approaches to quantitative research. </w:t>
      </w:r>
      <w:r w:rsidRPr="003658FB">
        <w:t>Theory and Decision</w:t>
      </w:r>
      <w:r>
        <w:t xml:space="preserve">: </w:t>
      </w:r>
      <w:r w:rsidRPr="003658FB">
        <w:t>An International Journal for Multidisciplinary Advances in Decision Science</w:t>
      </w:r>
      <w:r>
        <w:t>,</w:t>
      </w:r>
      <w:r w:rsidRPr="00414E5B">
        <w:t xml:space="preserve"> 20</w:t>
      </w:r>
      <w:r>
        <w:t>(2)</w:t>
      </w:r>
      <w:r w:rsidRPr="00414E5B">
        <w:t xml:space="preserve"> </w:t>
      </w:r>
      <w:r>
        <w:t>pp</w:t>
      </w:r>
      <w:r w:rsidRPr="00414E5B">
        <w:t xml:space="preserve">. 133-154. </w:t>
      </w:r>
      <w:r>
        <w:t>Available at:</w:t>
      </w:r>
      <w:r w:rsidRPr="003658FB">
        <w:t xml:space="preserve"> </w:t>
      </w:r>
      <w:hyperlink r:id="rId45" w:history="1">
        <w:r w:rsidRPr="00C7682D">
          <w:rPr>
            <w:rStyle w:val="Hyperlink"/>
          </w:rPr>
          <w:t>https://link.springer.com/journal/11238</w:t>
        </w:r>
      </w:hyperlink>
      <w:r>
        <w:t>. Date accessed: 10 February 2018.</w:t>
      </w:r>
    </w:p>
    <w:p w14:paraId="7234121D" w14:textId="77777777" w:rsidR="0025496D" w:rsidRDefault="0025496D" w:rsidP="0025496D">
      <w:pPr>
        <w:jc w:val="left"/>
      </w:pPr>
      <w:r w:rsidRPr="00203170">
        <w:t>Cheng</w:t>
      </w:r>
      <w:r>
        <w:t>,</w:t>
      </w:r>
      <w:r w:rsidRPr="00203170">
        <w:t xml:space="preserve"> L</w:t>
      </w:r>
      <w:r>
        <w:t>.</w:t>
      </w:r>
      <w:r w:rsidRPr="00203170">
        <w:t xml:space="preserve"> &amp; Skousen</w:t>
      </w:r>
      <w:r>
        <w:t>,</w:t>
      </w:r>
      <w:r w:rsidRPr="00203170">
        <w:t xml:space="preserve"> J</w:t>
      </w:r>
      <w:r>
        <w:t>.</w:t>
      </w:r>
      <w:r w:rsidRPr="00203170">
        <w:t>G.</w:t>
      </w:r>
      <w:r w:rsidRPr="00460DA7">
        <w:rPr>
          <w:i/>
        </w:rPr>
        <w:t xml:space="preserve"> </w:t>
      </w:r>
      <w:r w:rsidRPr="00997AEA">
        <w:rPr>
          <w:i/>
        </w:rPr>
        <w:t>(</w:t>
      </w:r>
      <w:r w:rsidRPr="00203170">
        <w:t>2017)</w:t>
      </w:r>
      <w:r>
        <w:t>.</w:t>
      </w:r>
      <w:r w:rsidRPr="00203170">
        <w:t xml:space="preserve">  </w:t>
      </w:r>
      <w:r w:rsidRPr="00F74744">
        <w:t>Comparison of international mine reclamation bonding systems with recommendations for China</w:t>
      </w:r>
      <w:r>
        <w:t>.</w:t>
      </w:r>
      <w:r w:rsidRPr="00F270BB">
        <w:t xml:space="preserve"> International Journal of Coal Science &amp; Technology</w:t>
      </w:r>
      <w:r>
        <w:t xml:space="preserve">, </w:t>
      </w:r>
      <w:r w:rsidRPr="00203170">
        <w:t xml:space="preserve">4(2) </w:t>
      </w:r>
      <w:r>
        <w:t>pp</w:t>
      </w:r>
      <w:r w:rsidRPr="00203170">
        <w:t>. 67–79</w:t>
      </w:r>
      <w:r>
        <w:t>.</w:t>
      </w:r>
      <w:r w:rsidRPr="00203170">
        <w:t xml:space="preserve"> </w:t>
      </w:r>
      <w:r>
        <w:t>Available at:</w:t>
      </w:r>
      <w:r w:rsidRPr="00203170">
        <w:t xml:space="preserve"> </w:t>
      </w:r>
      <w:hyperlink r:id="rId46" w:history="1">
        <w:r w:rsidRPr="00203170">
          <w:rPr>
            <w:rStyle w:val="Hyperlink"/>
          </w:rPr>
          <w:t>http://www.wmc.org.pl/sites/default/files/WMD2017.pdf</w:t>
        </w:r>
      </w:hyperlink>
      <w:r w:rsidRPr="00203170">
        <w:t xml:space="preserve"> </w:t>
      </w:r>
      <w:r>
        <w:br/>
      </w:r>
      <w:r w:rsidRPr="00203170">
        <w:t>Date accessed: 8 January 2018</w:t>
      </w:r>
      <w:r>
        <w:t>.</w:t>
      </w:r>
    </w:p>
    <w:p w14:paraId="52A7D6D3" w14:textId="77777777" w:rsidR="0025496D" w:rsidRPr="00414E5B" w:rsidRDefault="0025496D" w:rsidP="0025496D">
      <w:pPr>
        <w:jc w:val="left"/>
      </w:pPr>
      <w:r w:rsidRPr="00414E5B">
        <w:lastRenderedPageBreak/>
        <w:t>Chu, H</w:t>
      </w:r>
      <w:r>
        <w:t>.</w:t>
      </w:r>
      <w:r w:rsidRPr="00414E5B">
        <w:t xml:space="preserve"> &amp; Ke, Q. </w:t>
      </w:r>
      <w:r>
        <w:t>(</w:t>
      </w:r>
      <w:r w:rsidRPr="00414E5B">
        <w:t>2017</w:t>
      </w:r>
      <w:r>
        <w:t xml:space="preserve">). </w:t>
      </w:r>
      <w:r w:rsidRPr="00414E5B">
        <w:t>Research methods: What’s in the name? Library and Information Science Research</w:t>
      </w:r>
      <w:r>
        <w:t>, 3</w:t>
      </w:r>
      <w:r w:rsidRPr="00414E5B">
        <w:t>9</w:t>
      </w:r>
      <w:r>
        <w:t>(4)</w:t>
      </w:r>
      <w:r w:rsidRPr="00414E5B">
        <w:t xml:space="preserve"> </w:t>
      </w:r>
      <w:r>
        <w:t xml:space="preserve">pp. </w:t>
      </w:r>
      <w:r w:rsidRPr="00414E5B">
        <w:t xml:space="preserve">284-294. </w:t>
      </w:r>
      <w:r>
        <w:t>Available at:</w:t>
      </w:r>
      <w:hyperlink r:id="rId47" w:history="1">
        <w:r w:rsidRPr="00C7682D">
          <w:rPr>
            <w:rStyle w:val="Hyperlink"/>
          </w:rPr>
          <w:t>https://www.sciencedirect.com/science/article/abs/pii/S0740818816302274</w:t>
        </w:r>
      </w:hyperlink>
      <w:r>
        <w:t>. Date accessed: 11 February 2018.</w:t>
      </w:r>
    </w:p>
    <w:p w14:paraId="0BE932E6" w14:textId="77777777" w:rsidR="0025496D" w:rsidRPr="00414E5B" w:rsidRDefault="0025496D" w:rsidP="0025496D">
      <w:pPr>
        <w:jc w:val="left"/>
      </w:pPr>
      <w:r w:rsidRPr="00414E5B">
        <w:t>De Vos</w:t>
      </w:r>
      <w:r>
        <w:t>,</w:t>
      </w:r>
      <w:r w:rsidRPr="00414E5B">
        <w:t xml:space="preserve"> A.S</w:t>
      </w:r>
      <w:r>
        <w:t>.</w:t>
      </w:r>
      <w:r w:rsidRPr="00414E5B">
        <w:t>, Strydom</w:t>
      </w:r>
      <w:r>
        <w:t>,</w:t>
      </w:r>
      <w:r w:rsidRPr="00414E5B">
        <w:t xml:space="preserve"> H</w:t>
      </w:r>
      <w:r>
        <w:t>.</w:t>
      </w:r>
      <w:r w:rsidRPr="00414E5B">
        <w:t>, Fouché</w:t>
      </w:r>
      <w:r>
        <w:t xml:space="preserve">, </w:t>
      </w:r>
      <w:r w:rsidRPr="00414E5B">
        <w:t>C.B. &amp; Delport</w:t>
      </w:r>
      <w:r>
        <w:t>,</w:t>
      </w:r>
      <w:r w:rsidRPr="00414E5B">
        <w:t xml:space="preserve"> C.S.L. </w:t>
      </w:r>
      <w:r>
        <w:t>(</w:t>
      </w:r>
      <w:r w:rsidRPr="00414E5B">
        <w:t>2011</w:t>
      </w:r>
      <w:r>
        <w:t xml:space="preserve">). </w:t>
      </w:r>
      <w:r w:rsidRPr="00414E5B">
        <w:t>Research at grassroots for the social sciences and human service professions. Fourth Edition. Van Schaik</w:t>
      </w:r>
      <w:r>
        <w:t>:</w:t>
      </w:r>
      <w:r w:rsidRPr="00414E5B">
        <w:t xml:space="preserve"> Pretoria. </w:t>
      </w:r>
    </w:p>
    <w:p w14:paraId="0C5257A8" w14:textId="77777777" w:rsidR="0025496D" w:rsidRPr="00203170" w:rsidRDefault="0025496D" w:rsidP="0025496D">
      <w:pPr>
        <w:jc w:val="left"/>
      </w:pPr>
      <w:r w:rsidRPr="00203170">
        <w:t>Department of Environmental Affairs.</w:t>
      </w:r>
      <w:r>
        <w:t xml:space="preserve"> (2017).</w:t>
      </w:r>
      <w:r w:rsidRPr="00203170">
        <w:t xml:space="preserve"> </w:t>
      </w:r>
      <w:r w:rsidRPr="00F508A8">
        <w:t>National Environmental Management Act, 1998 (Act no. 107 of 1998)</w:t>
      </w:r>
      <w:r>
        <w:t>.</w:t>
      </w:r>
      <w:r w:rsidRPr="00F508A8">
        <w:t xml:space="preserve"> Proposed regulations pertaining to the financial provision for prospecting, exploration, mining or production operations.</w:t>
      </w:r>
      <w:r w:rsidRPr="00203170">
        <w:t xml:space="preserve"> Government Gazette 41236. 2017. Vol 629. Regulation Gazette No 10778. 10 November 2017. Pretoria</w:t>
      </w:r>
      <w:r>
        <w:t>.</w:t>
      </w:r>
    </w:p>
    <w:p w14:paraId="4DF9810D" w14:textId="77777777" w:rsidR="0025496D" w:rsidRPr="00203170" w:rsidRDefault="0025496D" w:rsidP="0025496D">
      <w:pPr>
        <w:jc w:val="left"/>
      </w:pPr>
      <w:r w:rsidRPr="00203170">
        <w:t>Department of Minerals and Energy.</w:t>
      </w:r>
      <w:r>
        <w:t xml:space="preserve"> (</w:t>
      </w:r>
      <w:r w:rsidRPr="00203170">
        <w:t>2004</w:t>
      </w:r>
      <w:r>
        <w:t>)</w:t>
      </w:r>
      <w:r w:rsidRPr="00203170">
        <w:t xml:space="preserve">. </w:t>
      </w:r>
      <w:r w:rsidRPr="00F508A8">
        <w:t>Guideline document for the evaluation of the quantum of closure-related financial provision provided by a mine.</w:t>
      </w:r>
      <w:r w:rsidRPr="00203170">
        <w:t xml:space="preserve"> </w:t>
      </w:r>
      <w:r>
        <w:t>Pretoria</w:t>
      </w:r>
      <w:r w:rsidRPr="00203170">
        <w:t xml:space="preserve">. </w:t>
      </w:r>
    </w:p>
    <w:p w14:paraId="77D8B253" w14:textId="77777777" w:rsidR="0025496D" w:rsidRPr="00203170" w:rsidRDefault="0025496D" w:rsidP="0025496D">
      <w:pPr>
        <w:jc w:val="left"/>
      </w:pPr>
      <w:r w:rsidRPr="00203170">
        <w:t xml:space="preserve">Department of Public Works. </w:t>
      </w:r>
      <w:r>
        <w:t>(</w:t>
      </w:r>
      <w:r w:rsidRPr="00203170">
        <w:t>2017</w:t>
      </w:r>
      <w:r>
        <w:t xml:space="preserve">). </w:t>
      </w:r>
      <w:r w:rsidRPr="00F508A8">
        <w:t>The drivers of the cost of Public Sector construction: Assessment and recommendations.</w:t>
      </w:r>
      <w:r w:rsidRPr="00203170">
        <w:t xml:space="preserve"> Draft for Discussion. </w:t>
      </w:r>
      <w:r>
        <w:t>[Online] Available at</w:t>
      </w:r>
      <w:r w:rsidRPr="00203170">
        <w:t xml:space="preserve">: </w:t>
      </w:r>
      <w:hyperlink r:id="rId48" w:history="1">
        <w:r w:rsidRPr="00203170">
          <w:rPr>
            <w:rStyle w:val="Hyperlink"/>
          </w:rPr>
          <w:t>http://www.cidb.org.za/publications/Documents/Drivers%20of%20Cost%20of%20Construction%20Assessment%20and%20Recommendations.pdf</w:t>
        </w:r>
      </w:hyperlink>
      <w:r w:rsidRPr="00203170">
        <w:t xml:space="preserve"> Date Accessed: 14 November 2017. </w:t>
      </w:r>
    </w:p>
    <w:p w14:paraId="4F3E1BDA" w14:textId="77777777" w:rsidR="0025496D" w:rsidRPr="00203170" w:rsidRDefault="0025496D" w:rsidP="0025496D">
      <w:pPr>
        <w:jc w:val="left"/>
      </w:pPr>
      <w:r w:rsidRPr="00203170">
        <w:t>Du Plessis</w:t>
      </w:r>
      <w:r>
        <w:t>,</w:t>
      </w:r>
      <w:r w:rsidRPr="00203170">
        <w:t xml:space="preserve"> A</w:t>
      </w:r>
      <w:r>
        <w:t>.</w:t>
      </w:r>
      <w:r w:rsidRPr="00203170">
        <w:t xml:space="preserve"> &amp; Brent</w:t>
      </w:r>
      <w:r>
        <w:t>,</w:t>
      </w:r>
      <w:r w:rsidRPr="00203170">
        <w:t xml:space="preserve"> A.C. </w:t>
      </w:r>
      <w:r>
        <w:t>(</w:t>
      </w:r>
      <w:r w:rsidRPr="00203170">
        <w:t>2006</w:t>
      </w:r>
      <w:r>
        <w:t>)</w:t>
      </w:r>
      <w:r w:rsidRPr="00203170">
        <w:t xml:space="preserve">. </w:t>
      </w:r>
      <w:r w:rsidRPr="00F508A8">
        <w:t>Development of a risk-based closure cost calculation model.</w:t>
      </w:r>
      <w:r w:rsidRPr="00203170">
        <w:t xml:space="preserve"> </w:t>
      </w:r>
      <w:r>
        <w:t xml:space="preserve"> </w:t>
      </w:r>
      <w:r w:rsidRPr="00997AEA">
        <w:t>Journal of the South African Institute of Mining and Metallurgy</w:t>
      </w:r>
      <w:r>
        <w:t>,</w:t>
      </w:r>
      <w:r w:rsidRPr="00203170">
        <w:t xml:space="preserve"> 106</w:t>
      </w:r>
      <w:r>
        <w:t xml:space="preserve"> (June)</w:t>
      </w:r>
      <w:r w:rsidRPr="00203170">
        <w:t xml:space="preserve">. </w:t>
      </w:r>
    </w:p>
    <w:p w14:paraId="1CBF6439" w14:textId="77777777" w:rsidR="0025496D" w:rsidRPr="00203170" w:rsidRDefault="0025496D" w:rsidP="0025496D">
      <w:pPr>
        <w:jc w:val="left"/>
      </w:pPr>
      <w:r w:rsidRPr="00203170">
        <w:t>Fourie</w:t>
      </w:r>
      <w:r>
        <w:t>,</w:t>
      </w:r>
      <w:r w:rsidRPr="00203170">
        <w:t xml:space="preserve"> A</w:t>
      </w:r>
      <w:r>
        <w:t>.</w:t>
      </w:r>
      <w:r w:rsidRPr="00203170">
        <w:t xml:space="preserve"> &amp; Brent</w:t>
      </w:r>
      <w:r>
        <w:t>,</w:t>
      </w:r>
      <w:r w:rsidRPr="00203170">
        <w:t xml:space="preserve"> A.C. </w:t>
      </w:r>
      <w:r>
        <w:t>(</w:t>
      </w:r>
      <w:r w:rsidRPr="00203170">
        <w:t>2005</w:t>
      </w:r>
      <w:r>
        <w:t xml:space="preserve">). </w:t>
      </w:r>
      <w:r w:rsidRPr="00F508A8">
        <w:t>A project-based Mine Closure Model (MCM) for sustainable asset Life Cycle Management.</w:t>
      </w:r>
      <w:r w:rsidRPr="00203170">
        <w:t xml:space="preserve"> </w:t>
      </w:r>
      <w:r w:rsidRPr="00997AEA">
        <w:t>Journal of Cleaner Production</w:t>
      </w:r>
      <w:r>
        <w:t>,</w:t>
      </w:r>
      <w:r w:rsidRPr="00D57B15">
        <w:t xml:space="preserve"> 14</w:t>
      </w:r>
      <w:r>
        <w:t>(</w:t>
      </w:r>
      <w:r w:rsidRPr="00D57B15">
        <w:t>12–13</w:t>
      </w:r>
      <w:r>
        <w:t>) pp.</w:t>
      </w:r>
      <w:r w:rsidRPr="00D57B15">
        <w:t xml:space="preserve"> 1085-1095</w:t>
      </w:r>
      <w:r>
        <w:rPr>
          <w:rStyle w:val="size-m"/>
        </w:rPr>
        <w:t xml:space="preserve">. </w:t>
      </w:r>
      <w:r>
        <w:t>Available at</w:t>
      </w:r>
      <w:r w:rsidRPr="00203170">
        <w:t xml:space="preserve">: </w:t>
      </w:r>
      <w:hyperlink r:id="rId49" w:history="1">
        <w:r w:rsidRPr="00203170">
          <w:rPr>
            <w:color w:val="0000FF" w:themeColor="hyperlink"/>
            <w:u w:val="single"/>
          </w:rPr>
          <w:t>www.sciencedirect.com/science/article/pii/S0959652605000533</w:t>
        </w:r>
      </w:hyperlink>
      <w:r w:rsidRPr="00203170">
        <w:t>. Date accessed: 01 February 2016</w:t>
      </w:r>
      <w:r>
        <w:t>.</w:t>
      </w:r>
    </w:p>
    <w:p w14:paraId="75749301" w14:textId="77777777" w:rsidR="0025496D" w:rsidRPr="00414E5B" w:rsidRDefault="0025496D" w:rsidP="0025496D">
      <w:pPr>
        <w:jc w:val="left"/>
      </w:pPr>
      <w:r w:rsidRPr="00414E5B">
        <w:t xml:space="preserve">Goertzen, M.J. </w:t>
      </w:r>
      <w:r>
        <w:t>(</w:t>
      </w:r>
      <w:r w:rsidRPr="00414E5B">
        <w:t>2017</w:t>
      </w:r>
      <w:r>
        <w:t xml:space="preserve">). </w:t>
      </w:r>
      <w:r w:rsidRPr="00414E5B">
        <w:t>Applying quantitative methods to e-book collections</w:t>
      </w:r>
      <w:r>
        <w:t xml:space="preserve"> </w:t>
      </w:r>
      <w:r w:rsidRPr="00807E03">
        <w:rPr>
          <w:i/>
        </w:rPr>
        <w:t>in</w:t>
      </w:r>
      <w:r w:rsidRPr="00414E5B">
        <w:t xml:space="preserve"> Introduction to quantitative research and data. Library Technology Reports</w:t>
      </w:r>
      <w:r>
        <w:t xml:space="preserve">, 53(4). [Online] Available at: </w:t>
      </w:r>
      <w:r w:rsidRPr="00414E5B">
        <w:t xml:space="preserve"> </w:t>
      </w:r>
      <w:hyperlink r:id="rId50" w:history="1">
        <w:r w:rsidRPr="00C7682D">
          <w:rPr>
            <w:rStyle w:val="Hyperlink"/>
          </w:rPr>
          <w:t>https://www.questia.com/library/journal/1G1-508425359/applying-quantitative-methods-to-e-book-collections</w:t>
        </w:r>
      </w:hyperlink>
      <w:r>
        <w:t>. Date accessed: 10 February 2018.</w:t>
      </w:r>
    </w:p>
    <w:p w14:paraId="14388554" w14:textId="77777777" w:rsidR="0025496D" w:rsidRPr="00203170" w:rsidRDefault="0025496D" w:rsidP="0025496D">
      <w:pPr>
        <w:jc w:val="left"/>
      </w:pPr>
      <w:r w:rsidRPr="00203170">
        <w:t xml:space="preserve">Golder Associates. </w:t>
      </w:r>
      <w:r>
        <w:t>(</w:t>
      </w:r>
      <w:r w:rsidRPr="00203170">
        <w:t>2012</w:t>
      </w:r>
      <w:r>
        <w:t xml:space="preserve">). </w:t>
      </w:r>
      <w:r w:rsidRPr="00F508A8">
        <w:t>Closure Objectives and Associated Closure Costs for the Planned New Liberty Gold Mine as at May 2012.</w:t>
      </w:r>
      <w:r w:rsidRPr="00203170">
        <w:t xml:space="preserve"> Report Number. 10612898 for Aureus Mining Inc.</w:t>
      </w:r>
      <w:r>
        <w:t xml:space="preserve"> </w:t>
      </w:r>
      <w:r>
        <w:lastRenderedPageBreak/>
        <w:t>[Online]</w:t>
      </w:r>
      <w:r w:rsidRPr="00203170">
        <w:t xml:space="preserve"> </w:t>
      </w:r>
      <w:r>
        <w:t>Available at</w:t>
      </w:r>
      <w:r w:rsidRPr="00203170">
        <w:t xml:space="preserve">: </w:t>
      </w:r>
      <w:hyperlink r:id="rId51" w:history="1">
        <w:r w:rsidRPr="00203170">
          <w:rPr>
            <w:color w:val="0000FF" w:themeColor="hyperlink"/>
            <w:u w:val="single"/>
          </w:rPr>
          <w:t>www.golder.com/gh/modules.php?name=Documents</w:t>
        </w:r>
      </w:hyperlink>
      <w:r w:rsidRPr="00203170">
        <w:t>. Date accessed: 1 February 2016</w:t>
      </w:r>
      <w:r>
        <w:t>.</w:t>
      </w:r>
    </w:p>
    <w:p w14:paraId="08B0209F" w14:textId="77777777" w:rsidR="0025496D" w:rsidRPr="00203170" w:rsidRDefault="0025496D" w:rsidP="0025496D">
      <w:pPr>
        <w:jc w:val="left"/>
      </w:pPr>
      <w:r w:rsidRPr="00203170">
        <w:t xml:space="preserve">Hartzer-Marais, S. </w:t>
      </w:r>
      <w:r>
        <w:t>(</w:t>
      </w:r>
      <w:r w:rsidRPr="00203170">
        <w:t>2016</w:t>
      </w:r>
      <w:r>
        <w:t xml:space="preserve">). </w:t>
      </w:r>
      <w:r w:rsidRPr="00F508A8">
        <w:t>DEA clarification note on financial provision regulations published</w:t>
      </w:r>
      <w:r w:rsidRPr="00203170">
        <w:t xml:space="preserve">. </w:t>
      </w:r>
      <w:r>
        <w:t>[</w:t>
      </w:r>
      <w:r w:rsidRPr="00203170">
        <w:t>Online</w:t>
      </w:r>
      <w:r>
        <w:t xml:space="preserve">]. Available at: </w:t>
      </w:r>
      <w:hyperlink r:id="rId52" w:history="1">
        <w:r w:rsidRPr="00203170">
          <w:rPr>
            <w:rStyle w:val="Hyperlink"/>
          </w:rPr>
          <w:t>http://www.shangoni.co.za/draft-policy-on-sustainable-hydropower-generation</w:t>
        </w:r>
      </w:hyperlink>
      <w:r w:rsidRPr="00203170">
        <w:t xml:space="preserve"> Date accessed: 5 December 2017. </w:t>
      </w:r>
    </w:p>
    <w:p w14:paraId="67E03B04" w14:textId="77777777" w:rsidR="0025496D" w:rsidRPr="00203170" w:rsidRDefault="0025496D" w:rsidP="0025496D">
      <w:pPr>
        <w:jc w:val="left"/>
      </w:pPr>
      <w:r w:rsidRPr="00203170">
        <w:t xml:space="preserve">Hewitson, S.B. </w:t>
      </w:r>
      <w:r>
        <w:t>(</w:t>
      </w:r>
      <w:r w:rsidRPr="00203170">
        <w:t>2012</w:t>
      </w:r>
      <w:r>
        <w:t xml:space="preserve">). </w:t>
      </w:r>
      <w:r w:rsidRPr="00F508A8">
        <w:t>An assessment of the quantum for financial provision of mine closures: A Monte Carlo approach</w:t>
      </w:r>
      <w:r w:rsidRPr="00203170">
        <w:t xml:space="preserve">. </w:t>
      </w:r>
      <w:r>
        <w:t xml:space="preserve">Unpublished Masters of Commerce </w:t>
      </w:r>
      <w:r w:rsidRPr="00203170">
        <w:t>Dissertation</w:t>
      </w:r>
      <w:r>
        <w:t>.</w:t>
      </w:r>
      <w:r w:rsidRPr="00203170">
        <w:t xml:space="preserve"> School of Economics</w:t>
      </w:r>
      <w:r>
        <w:t>:</w:t>
      </w:r>
      <w:r w:rsidRPr="00203170">
        <w:t xml:space="preserve">  University of Cape Town. </w:t>
      </w:r>
      <w:r>
        <w:t xml:space="preserve">[Online]. Available at: </w:t>
      </w:r>
      <w:hyperlink r:id="rId53" w:history="1">
        <w:r>
          <w:rPr>
            <w:rStyle w:val="Hyperlink"/>
          </w:rPr>
          <w:t>http://hdl.handle.net/11427/12190</w:t>
        </w:r>
      </w:hyperlink>
      <w:r>
        <w:t>. Date accessed: 01 February 2018.</w:t>
      </w:r>
      <w:r w:rsidRPr="00203170">
        <w:t xml:space="preserve"> </w:t>
      </w:r>
    </w:p>
    <w:p w14:paraId="2044FEB1" w14:textId="77777777" w:rsidR="0025496D" w:rsidRPr="00203170" w:rsidRDefault="0025496D" w:rsidP="0025496D">
      <w:pPr>
        <w:jc w:val="left"/>
      </w:pPr>
      <w:r w:rsidRPr="00414E5B">
        <w:t>Humby</w:t>
      </w:r>
      <w:r>
        <w:t>,</w:t>
      </w:r>
      <w:r w:rsidRPr="00414E5B">
        <w:t xml:space="preserve"> T. </w:t>
      </w:r>
      <w:r>
        <w:t>(</w:t>
      </w:r>
      <w:r w:rsidRPr="003658FB">
        <w:t>2014</w:t>
      </w:r>
      <w:r>
        <w:t xml:space="preserve">). </w:t>
      </w:r>
      <w:r w:rsidRPr="00414E5B">
        <w:t xml:space="preserve">Facilitating dereliction? How the South African legal regulatory framework enables mining companies to circumvent closure duties. </w:t>
      </w:r>
      <w:r w:rsidRPr="003658FB">
        <w:t>Conference paper for Mine Closure</w:t>
      </w:r>
      <w:r>
        <w:t>,</w:t>
      </w:r>
      <w:r w:rsidRPr="003658FB">
        <w:t xml:space="preserve"> October 2014.</w:t>
      </w:r>
      <w:r>
        <w:t xml:space="preserve"> </w:t>
      </w:r>
      <w:r w:rsidRPr="00414E5B">
        <w:t xml:space="preserve">University of the Witwatersrand. </w:t>
      </w:r>
      <w:r>
        <w:t>[</w:t>
      </w:r>
      <w:r w:rsidRPr="003658FB">
        <w:t>Online</w:t>
      </w:r>
      <w:r>
        <w:t>]. Available at</w:t>
      </w:r>
      <w:r w:rsidRPr="003658FB">
        <w:t xml:space="preserve">: </w:t>
      </w:r>
      <w:hyperlink r:id="rId54" w:history="1">
        <w:r w:rsidRPr="00C7682D">
          <w:rPr>
            <w:rStyle w:val="Hyperlink"/>
          </w:rPr>
          <w:t>http://www.academia.edu/8621292/Facilitating_dereliction_How_the_South_African_regulatory_framework_enables_mining_companies_to_circumvent_closure_duties</w:t>
        </w:r>
      </w:hyperlink>
      <w:r>
        <w:t>. Date accessed: 10 February 2018.</w:t>
      </w:r>
    </w:p>
    <w:p w14:paraId="11EB97E8" w14:textId="77777777" w:rsidR="0025496D" w:rsidRPr="00203170" w:rsidRDefault="0025496D" w:rsidP="0025496D">
      <w:pPr>
        <w:jc w:val="left"/>
      </w:pPr>
      <w:r w:rsidRPr="00203170">
        <w:t xml:space="preserve">Laurence, D. </w:t>
      </w:r>
      <w:r>
        <w:t>(</w:t>
      </w:r>
      <w:r w:rsidRPr="00203170">
        <w:t>2006</w:t>
      </w:r>
      <w:r>
        <w:t xml:space="preserve">). </w:t>
      </w:r>
      <w:r w:rsidRPr="00F508A8">
        <w:t>Optimisation of the mine closure process</w:t>
      </w:r>
      <w:r w:rsidRPr="00203170">
        <w:t xml:space="preserve">. </w:t>
      </w:r>
      <w:r w:rsidRPr="00F270BB">
        <w:t>Journal of Cleaner Production</w:t>
      </w:r>
      <w:r w:rsidRPr="00203170">
        <w:t xml:space="preserve"> 14</w:t>
      </w:r>
      <w:r>
        <w:t>(3-4)</w:t>
      </w:r>
      <w:r w:rsidRPr="00203170">
        <w:t xml:space="preserve"> </w:t>
      </w:r>
      <w:r>
        <w:t xml:space="preserve">pp. </w:t>
      </w:r>
      <w:r w:rsidRPr="00203170">
        <w:t>285</w:t>
      </w:r>
      <w:r>
        <w:t>-</w:t>
      </w:r>
      <w:r w:rsidRPr="00203170">
        <w:t xml:space="preserve">298. </w:t>
      </w:r>
      <w:r>
        <w:t>Available at</w:t>
      </w:r>
      <w:r w:rsidRPr="00203170">
        <w:t xml:space="preserve">: </w:t>
      </w:r>
      <w:hyperlink r:id="rId55" w:history="1">
        <w:r w:rsidRPr="00203170">
          <w:rPr>
            <w:color w:val="0000FF" w:themeColor="hyperlink"/>
            <w:u w:val="single"/>
          </w:rPr>
          <w:t>www.sciencedirect.com/science/article/pii/S0959652605000399</w:t>
        </w:r>
      </w:hyperlink>
      <w:r w:rsidRPr="00203170">
        <w:t>. Date accessed: 1 February 2016.</w:t>
      </w:r>
    </w:p>
    <w:p w14:paraId="162F5D53" w14:textId="77777777" w:rsidR="0025496D" w:rsidRPr="00414E5B" w:rsidRDefault="0025496D" w:rsidP="0025496D">
      <w:pPr>
        <w:jc w:val="left"/>
      </w:pPr>
      <w:r w:rsidRPr="00414E5B">
        <w:t xml:space="preserve">Leppink, J. </w:t>
      </w:r>
      <w:r>
        <w:t>(</w:t>
      </w:r>
      <w:r w:rsidRPr="00414E5B">
        <w:t>2017</w:t>
      </w:r>
      <w:r>
        <w:t>)</w:t>
      </w:r>
      <w:r w:rsidRPr="00414E5B">
        <w:t>.</w:t>
      </w:r>
      <w:r>
        <w:t xml:space="preserve"> </w:t>
      </w:r>
      <w:r w:rsidRPr="00414E5B">
        <w:t>Revisiting the quantitative-qualitative – mixed methods labels: Research questions, developments, and the ne</w:t>
      </w:r>
      <w:r>
        <w:t>e</w:t>
      </w:r>
      <w:r w:rsidRPr="00414E5B">
        <w:t xml:space="preserve">d for replication. </w:t>
      </w:r>
      <w:r>
        <w:t xml:space="preserve"> </w:t>
      </w:r>
      <w:r w:rsidRPr="00414E5B">
        <w:t xml:space="preserve">Journal of Taibah University Medical Sciences. 12 (2) </w:t>
      </w:r>
      <w:r>
        <w:t xml:space="preserve">pp. </w:t>
      </w:r>
      <w:r w:rsidRPr="00414E5B">
        <w:t>97-101.</w:t>
      </w:r>
      <w:r>
        <w:t xml:space="preserve"> Available at:  </w:t>
      </w:r>
      <w:hyperlink r:id="rId56" w:history="1">
        <w:r w:rsidRPr="00C7682D">
          <w:rPr>
            <w:rStyle w:val="Hyperlink"/>
          </w:rPr>
          <w:t>https://www.sciencedirect.com/science/article/pii/S1658361216301482</w:t>
        </w:r>
      </w:hyperlink>
      <w:r>
        <w:t>. Date accessed: 10 February 2018.</w:t>
      </w:r>
    </w:p>
    <w:p w14:paraId="321BFBEA" w14:textId="77777777" w:rsidR="0025496D" w:rsidRDefault="0025496D" w:rsidP="0025496D">
      <w:pPr>
        <w:jc w:val="left"/>
      </w:pPr>
      <w:r w:rsidRPr="00414E5B">
        <w:t>Milaras</w:t>
      </w:r>
      <w:r>
        <w:t>,</w:t>
      </w:r>
      <w:r w:rsidRPr="00414E5B">
        <w:t xml:space="preserve"> M</w:t>
      </w:r>
      <w:r>
        <w:t>.</w:t>
      </w:r>
      <w:r w:rsidRPr="00414E5B">
        <w:t>, Ahmed</w:t>
      </w:r>
      <w:r>
        <w:t>,</w:t>
      </w:r>
      <w:r w:rsidRPr="00414E5B">
        <w:t xml:space="preserve"> F</w:t>
      </w:r>
      <w:r>
        <w:t>.</w:t>
      </w:r>
      <w:r w:rsidRPr="00414E5B">
        <w:t xml:space="preserve"> &amp; McKay</w:t>
      </w:r>
      <w:r>
        <w:t>,</w:t>
      </w:r>
      <w:r w:rsidRPr="00414E5B">
        <w:t xml:space="preserve"> T.J.M. </w:t>
      </w:r>
      <w:r>
        <w:t>(</w:t>
      </w:r>
      <w:r w:rsidRPr="00414E5B">
        <w:t>2014</w:t>
      </w:r>
      <w:r>
        <w:t xml:space="preserve">). </w:t>
      </w:r>
      <w:r w:rsidRPr="00414E5B">
        <w:t>Mine closure in South Africa: A survey of current professional thinking and practice. Conference paper for Mine Closure</w:t>
      </w:r>
      <w:r>
        <w:t>,</w:t>
      </w:r>
      <w:r w:rsidRPr="00414E5B">
        <w:t xml:space="preserve"> October 2014. University of the Witwatersrand. </w:t>
      </w:r>
      <w:r>
        <w:t>Available at:</w:t>
      </w:r>
      <w:r w:rsidRPr="00414E5B">
        <w:t xml:space="preserve"> </w:t>
      </w:r>
      <w:hyperlink r:id="rId57" w:history="1">
        <w:r w:rsidRPr="00C7682D">
          <w:rPr>
            <w:rStyle w:val="Hyperlink"/>
          </w:rPr>
          <w:t>https://www.researchgate.net/publication/278035528_Mine_closure_in_South_Africa_A_survey_of_current_professional_thinking_and_practice</w:t>
        </w:r>
      </w:hyperlink>
      <w:r>
        <w:t>. Date accessed: 10 February 2018.</w:t>
      </w:r>
    </w:p>
    <w:p w14:paraId="769C13C6" w14:textId="77777777" w:rsidR="0025496D" w:rsidRPr="00203170" w:rsidRDefault="0025496D" w:rsidP="0025496D">
      <w:pPr>
        <w:jc w:val="left"/>
      </w:pPr>
      <w:r w:rsidRPr="00203170">
        <w:lastRenderedPageBreak/>
        <w:t>Park, J</w:t>
      </w:r>
      <w:r>
        <w:t>.</w:t>
      </w:r>
      <w:r w:rsidRPr="00203170">
        <w:t xml:space="preserve"> &amp; Brorson</w:t>
      </w:r>
      <w:r>
        <w:t>,</w:t>
      </w:r>
      <w:r w:rsidRPr="00203170">
        <w:t xml:space="preserve"> T. </w:t>
      </w:r>
      <w:r>
        <w:t>(</w:t>
      </w:r>
      <w:r w:rsidRPr="00203170">
        <w:t>2005</w:t>
      </w:r>
      <w:r>
        <w:t xml:space="preserve">). </w:t>
      </w:r>
      <w:r w:rsidRPr="00F508A8">
        <w:t>Experiences of and views on third-party assurance of corporate environmental and sustainability reports</w:t>
      </w:r>
      <w:r w:rsidRPr="00203170">
        <w:t xml:space="preserve">. </w:t>
      </w:r>
      <w:r w:rsidRPr="003277ED">
        <w:t>Journal of Cleaner Production</w:t>
      </w:r>
      <w:r w:rsidRPr="00203170">
        <w:t xml:space="preserve"> 13</w:t>
      </w:r>
      <w:r>
        <w:t>(10-11)</w:t>
      </w:r>
      <w:r w:rsidRPr="00203170">
        <w:t xml:space="preserve"> </w:t>
      </w:r>
      <w:r>
        <w:t xml:space="preserve">pp. </w:t>
      </w:r>
      <w:r w:rsidRPr="00203170">
        <w:t>1095</w:t>
      </w:r>
      <w:r>
        <w:t>-</w:t>
      </w:r>
      <w:r w:rsidRPr="00203170">
        <w:t xml:space="preserve">1106. </w:t>
      </w:r>
      <w:r>
        <w:t>Available at</w:t>
      </w:r>
      <w:r w:rsidRPr="00203170">
        <w:t xml:space="preserve">: </w:t>
      </w:r>
      <w:hyperlink r:id="rId58" w:history="1">
        <w:r w:rsidRPr="00203170">
          <w:rPr>
            <w:color w:val="0000FF" w:themeColor="hyperlink"/>
            <w:u w:val="single"/>
          </w:rPr>
          <w:t>www.sciencedirect.com/science/article/pii/S0959652604002604</w:t>
        </w:r>
      </w:hyperlink>
      <w:r w:rsidRPr="00203170">
        <w:t>. Date accessed: 1 February 2016</w:t>
      </w:r>
      <w:r>
        <w:t>.</w:t>
      </w:r>
    </w:p>
    <w:p w14:paraId="5CAF95FA" w14:textId="77777777" w:rsidR="0025496D" w:rsidRPr="00203170" w:rsidRDefault="0025496D" w:rsidP="0025496D">
      <w:pPr>
        <w:jc w:val="left"/>
      </w:pPr>
      <w:r w:rsidRPr="00203170">
        <w:t xml:space="preserve">Plan African Mining Consultants. </w:t>
      </w:r>
      <w:r>
        <w:t>(</w:t>
      </w:r>
      <w:r w:rsidRPr="00203170">
        <w:t>2007</w:t>
      </w:r>
      <w:r>
        <w:t xml:space="preserve">). </w:t>
      </w:r>
      <w:r w:rsidRPr="00F508A8">
        <w:t>Environmental Adjustment Plan for Kalukundi Copper-Cobalt Project: Mine Site closure and rehabilitation costs</w:t>
      </w:r>
      <w:r w:rsidRPr="00203170">
        <w:t xml:space="preserve">. </w:t>
      </w:r>
      <w:r>
        <w:t>Available at</w:t>
      </w:r>
      <w:r w:rsidRPr="00203170">
        <w:t xml:space="preserve">: </w:t>
      </w:r>
      <w:hyperlink r:id="rId59" w:history="1">
        <w:r w:rsidRPr="00203170">
          <w:rPr>
            <w:color w:val="0000FF" w:themeColor="hyperlink"/>
            <w:u w:val="single"/>
          </w:rPr>
          <w:t>www.ifcextapps.ifc.org/ifcext/spiwebsite1.nsf/0/.../EAP%20Chapter%208.pdf</w:t>
        </w:r>
      </w:hyperlink>
      <w:r w:rsidRPr="00203170">
        <w:t>. Date accessed: 1 February 2016</w:t>
      </w:r>
      <w:r>
        <w:t>.</w:t>
      </w:r>
    </w:p>
    <w:p w14:paraId="57198C2F" w14:textId="77777777" w:rsidR="0025496D" w:rsidRPr="00203170" w:rsidRDefault="0025496D" w:rsidP="0025496D">
      <w:pPr>
        <w:jc w:val="left"/>
      </w:pPr>
      <w:r w:rsidRPr="00203170">
        <w:t>Reichl</w:t>
      </w:r>
      <w:r>
        <w:t>,</w:t>
      </w:r>
      <w:r w:rsidRPr="00203170">
        <w:t xml:space="preserve"> C</w:t>
      </w:r>
      <w:r>
        <w:t>.</w:t>
      </w:r>
      <w:r w:rsidRPr="00203170">
        <w:t>, Schatz</w:t>
      </w:r>
      <w:r>
        <w:t>,</w:t>
      </w:r>
      <w:r w:rsidRPr="00203170">
        <w:t xml:space="preserve"> M</w:t>
      </w:r>
      <w:r>
        <w:t>.</w:t>
      </w:r>
      <w:r w:rsidRPr="00203170">
        <w:t xml:space="preserve"> &amp; Zcak</w:t>
      </w:r>
      <w:r>
        <w:t>,</w:t>
      </w:r>
      <w:r w:rsidRPr="00203170">
        <w:t xml:space="preserve"> G. </w:t>
      </w:r>
      <w:r>
        <w:t xml:space="preserve">(2017). </w:t>
      </w:r>
      <w:r w:rsidRPr="00F74744">
        <w:t>World Mining Data</w:t>
      </w:r>
      <w:r w:rsidRPr="00203170">
        <w:t>. World Mining Congress</w:t>
      </w:r>
      <w:r>
        <w:t>,</w:t>
      </w:r>
      <w:r w:rsidRPr="00203170">
        <w:t xml:space="preserve"> Vienna 2017. </w:t>
      </w:r>
      <w:r>
        <w:t>[Online] Available at:</w:t>
      </w:r>
      <w:r w:rsidRPr="00203170">
        <w:t xml:space="preserve"> </w:t>
      </w:r>
      <w:hyperlink r:id="rId60" w:history="1">
        <w:r w:rsidRPr="00203170">
          <w:rPr>
            <w:rStyle w:val="Hyperlink"/>
          </w:rPr>
          <w:t>http://www.wmc.org.pl/sites/default/files/WMD2017.pdf</w:t>
        </w:r>
      </w:hyperlink>
    </w:p>
    <w:p w14:paraId="0A23C44A" w14:textId="77777777" w:rsidR="0025496D" w:rsidRPr="00203170" w:rsidRDefault="0025496D" w:rsidP="0025496D">
      <w:pPr>
        <w:jc w:val="left"/>
      </w:pPr>
      <w:r>
        <w:t xml:space="preserve">Republic of </w:t>
      </w:r>
      <w:r w:rsidRPr="00203170">
        <w:t xml:space="preserve">South Africa.  </w:t>
      </w:r>
      <w:r>
        <w:t xml:space="preserve">(1998). </w:t>
      </w:r>
      <w:r w:rsidRPr="00F74744">
        <w:t>National Environmental Management Act, 1998 (Act 107 of 1998) Regulations pertaining to the financial provision for prospecting, exploration, mining or production operations.</w:t>
      </w:r>
      <w:r>
        <w:t>[Online].</w:t>
      </w:r>
      <w:r w:rsidRPr="00203170">
        <w:t xml:space="preserve"> Government Gazette No. 39425</w:t>
      </w:r>
      <w:r>
        <w:t xml:space="preserve">, </w:t>
      </w:r>
      <w:r w:rsidRPr="00203170">
        <w:t xml:space="preserve">20 November 2015. </w:t>
      </w:r>
      <w:r>
        <w:t>Available at</w:t>
      </w:r>
      <w:r w:rsidRPr="00203170">
        <w:t xml:space="preserve">: </w:t>
      </w:r>
      <w:hyperlink r:id="rId61" w:history="1">
        <w:r w:rsidRPr="00203170">
          <w:rPr>
            <w:color w:val="0000FF" w:themeColor="hyperlink"/>
            <w:u w:val="single"/>
          </w:rPr>
          <w:t>www.gov.za/sites/www.gov.za/files/39425_rg10526_gon1147.pdf</w:t>
        </w:r>
      </w:hyperlink>
      <w:r w:rsidRPr="00203170">
        <w:t>. Date accessed: 2 February 2016</w:t>
      </w:r>
      <w:r>
        <w:t>.</w:t>
      </w:r>
    </w:p>
    <w:p w14:paraId="192DFCDD" w14:textId="77777777" w:rsidR="0025496D" w:rsidRPr="00203170" w:rsidRDefault="0025496D" w:rsidP="0025496D">
      <w:pPr>
        <w:jc w:val="left"/>
      </w:pPr>
      <w:r>
        <w:t xml:space="preserve">Republic of South Africa. </w:t>
      </w:r>
      <w:r w:rsidRPr="00203170">
        <w:t>Statistics South Africa.</w:t>
      </w:r>
      <w:r>
        <w:t xml:space="preserve"> (2008).</w:t>
      </w:r>
      <w:r w:rsidRPr="00203170">
        <w:t xml:space="preserve"> Transition to the 2009 CPI. </w:t>
      </w:r>
      <w:hyperlink r:id="rId62" w:history="1">
        <w:r w:rsidRPr="00203170">
          <w:rPr>
            <w:rStyle w:val="Hyperlink"/>
          </w:rPr>
          <w:t>https://www.statssa.gov.za/cpi/documents/Transition%20to%20the%202009%201%20July%2008%20final.pdf</w:t>
        </w:r>
      </w:hyperlink>
      <w:r w:rsidRPr="005D5C8A">
        <w:rPr>
          <w:rStyle w:val="Hyperlink"/>
          <w:u w:val="none"/>
        </w:rPr>
        <w:t xml:space="preserve">  </w:t>
      </w:r>
      <w:r w:rsidRPr="00203170">
        <w:t>Date Accessed: 05 December 2017.</w:t>
      </w:r>
    </w:p>
    <w:p w14:paraId="144A63AF" w14:textId="77777777" w:rsidR="0025496D" w:rsidRPr="00203170" w:rsidRDefault="0025496D" w:rsidP="0025496D">
      <w:pPr>
        <w:jc w:val="left"/>
      </w:pPr>
      <w:r>
        <w:t xml:space="preserve">Republic of South Africa. </w:t>
      </w:r>
      <w:r w:rsidRPr="003277ED">
        <w:t>Statistics South Africa</w:t>
      </w:r>
      <w:r>
        <w:t xml:space="preserve">. (2017). </w:t>
      </w:r>
      <w:r w:rsidRPr="00203170">
        <w:t xml:space="preserve">South African Historical CPI Rates Tables. </w:t>
      </w:r>
      <w:r w:rsidRPr="00F74744">
        <w:t>Table B2 – CPI headline year-on-year rates</w:t>
      </w:r>
      <w:r>
        <w:t>. [Online]. Available at:</w:t>
      </w:r>
      <w:r w:rsidRPr="00203170">
        <w:t xml:space="preserve"> </w:t>
      </w:r>
      <w:hyperlink r:id="rId63" w:history="1">
        <w:r w:rsidRPr="00203170">
          <w:rPr>
            <w:rStyle w:val="Hyperlink"/>
          </w:rPr>
          <w:t>http://www.statssa.gov.za/publications/P0141/CPIHistory.pdf</w:t>
        </w:r>
      </w:hyperlink>
      <w:r>
        <w:rPr>
          <w:rStyle w:val="Hyperlink"/>
        </w:rPr>
        <w:t xml:space="preserve">. </w:t>
      </w:r>
      <w:r w:rsidRPr="00203170">
        <w:t>Date Accessed: 05 December 2017.</w:t>
      </w:r>
    </w:p>
    <w:p w14:paraId="04DEE94D" w14:textId="77777777" w:rsidR="0025496D" w:rsidRPr="00203170" w:rsidRDefault="0025496D" w:rsidP="0025496D">
      <w:pPr>
        <w:jc w:val="left"/>
      </w:pPr>
      <w:r>
        <w:t xml:space="preserve">Republic of South Africa. </w:t>
      </w:r>
      <w:r w:rsidRPr="00203170">
        <w:t xml:space="preserve">Statistics South Africa. </w:t>
      </w:r>
      <w:r>
        <w:t>(</w:t>
      </w:r>
      <w:r w:rsidRPr="00203170">
        <w:t>2017</w:t>
      </w:r>
      <w:r>
        <w:t>)</w:t>
      </w:r>
      <w:r w:rsidRPr="00203170">
        <w:t>.</w:t>
      </w:r>
      <w:r>
        <w:t xml:space="preserve"> </w:t>
      </w:r>
      <w:r w:rsidRPr="00203170">
        <w:t>Statistical release P0142.1 Producer Price Index</w:t>
      </w:r>
      <w:r>
        <w:t>. [Online]. Available at:</w:t>
      </w:r>
      <w:r w:rsidRPr="00203170">
        <w:t xml:space="preserve">  </w:t>
      </w:r>
      <w:hyperlink r:id="rId64" w:history="1">
        <w:r w:rsidRPr="00203170">
          <w:rPr>
            <w:rStyle w:val="Hyperlink"/>
          </w:rPr>
          <w:t>http://www.statssa.gov.za/publications/P01421/P01421October2017.pdf</w:t>
        </w:r>
      </w:hyperlink>
      <w:r w:rsidRPr="00203170">
        <w:t>. Date Accessed: 05 December 2017.</w:t>
      </w:r>
    </w:p>
    <w:p w14:paraId="76A8CF57" w14:textId="77777777" w:rsidR="0025496D" w:rsidRPr="00203170" w:rsidRDefault="0025496D" w:rsidP="0025496D">
      <w:pPr>
        <w:jc w:val="left"/>
      </w:pPr>
      <w:r>
        <w:t xml:space="preserve">Republic of South Africa. </w:t>
      </w:r>
      <w:r w:rsidRPr="00203170">
        <w:t xml:space="preserve">Statistics South Africa. </w:t>
      </w:r>
      <w:r>
        <w:t>(</w:t>
      </w:r>
      <w:r w:rsidRPr="00203170">
        <w:t>2017</w:t>
      </w:r>
      <w:r>
        <w:t xml:space="preserve">). </w:t>
      </w:r>
      <w:r w:rsidRPr="00203170">
        <w:t>Statistical release P0151. Contract Price Adjustment Provisions (CPAP) Work Groups and Selected Materials Indices</w:t>
      </w:r>
      <w:r>
        <w:t xml:space="preserve">. [Online]. Available at: </w:t>
      </w:r>
      <w:hyperlink r:id="rId65" w:history="1">
        <w:r w:rsidRPr="00203170">
          <w:rPr>
            <w:rStyle w:val="Hyperlink"/>
          </w:rPr>
          <w:t>http://www.statssa.gov.za/publications/P0151/P0151October2017.pdf</w:t>
        </w:r>
      </w:hyperlink>
      <w:r w:rsidRPr="00554916">
        <w:t xml:space="preserve"> </w:t>
      </w:r>
      <w:r w:rsidRPr="00203170">
        <w:t>Date Accessed: 05 December 2017.</w:t>
      </w:r>
    </w:p>
    <w:p w14:paraId="4527286D" w14:textId="77777777" w:rsidR="0025496D" w:rsidRDefault="0025496D" w:rsidP="0025496D">
      <w:pPr>
        <w:jc w:val="left"/>
      </w:pPr>
      <w:r w:rsidRPr="00FB54E7">
        <w:lastRenderedPageBreak/>
        <w:t>Sassoon, M. 2009. Financial Surety : Guidelines for the Implementation of Financial Surety for Mine Closure. Extractive in</w:t>
      </w:r>
      <w:r>
        <w:t>dustries and development series. N</w:t>
      </w:r>
      <w:r w:rsidRPr="00FB54E7">
        <w:t>o. 7. World Ban</w:t>
      </w:r>
      <w:r>
        <w:t xml:space="preserve">k, Washington, DC. [Online] Available at: </w:t>
      </w:r>
      <w:hyperlink r:id="rId66" w:history="1">
        <w:r w:rsidRPr="00D615B3">
          <w:rPr>
            <w:rStyle w:val="Hyperlink"/>
          </w:rPr>
          <w:t>https://openknowledge.worldbank.org/handle/10986/18386</w:t>
        </w:r>
      </w:hyperlink>
    </w:p>
    <w:p w14:paraId="0A46C620" w14:textId="77777777" w:rsidR="0025496D" w:rsidRPr="00414E5B" w:rsidRDefault="0025496D" w:rsidP="0025496D">
      <w:pPr>
        <w:jc w:val="left"/>
      </w:pPr>
      <w:r w:rsidRPr="00414E5B">
        <w:t>Saunders</w:t>
      </w:r>
      <w:r>
        <w:t>,</w:t>
      </w:r>
      <w:r w:rsidRPr="00414E5B">
        <w:t xml:space="preserve"> M</w:t>
      </w:r>
      <w:r>
        <w:t>.</w:t>
      </w:r>
      <w:r w:rsidRPr="00414E5B">
        <w:t>, Lewis</w:t>
      </w:r>
      <w:r>
        <w:t>,</w:t>
      </w:r>
      <w:r w:rsidRPr="00414E5B">
        <w:t xml:space="preserve"> P</w:t>
      </w:r>
      <w:r>
        <w:t>.</w:t>
      </w:r>
      <w:r w:rsidRPr="00414E5B">
        <w:t xml:space="preserve"> &amp; Thornhill, A. </w:t>
      </w:r>
      <w:r>
        <w:t>(</w:t>
      </w:r>
      <w:r w:rsidRPr="00414E5B">
        <w:t>2012</w:t>
      </w:r>
      <w:r>
        <w:t>)</w:t>
      </w:r>
      <w:r w:rsidRPr="00414E5B">
        <w:t>.</w:t>
      </w:r>
      <w:r>
        <w:t xml:space="preserve"> </w:t>
      </w:r>
      <w:r w:rsidRPr="00414E5B">
        <w:t xml:space="preserve">Research methods for business students. 6th edition. Pearson Education </w:t>
      </w:r>
      <w:r>
        <w:t>:</w:t>
      </w:r>
      <w:r w:rsidRPr="00414E5B">
        <w:t xml:space="preserve"> Essex. </w:t>
      </w:r>
    </w:p>
    <w:p w14:paraId="582B7C03" w14:textId="77777777" w:rsidR="0025496D" w:rsidRDefault="0025496D" w:rsidP="0025496D">
      <w:pPr>
        <w:jc w:val="left"/>
      </w:pPr>
      <w:r w:rsidRPr="00203170">
        <w:t>Sheldon</w:t>
      </w:r>
      <w:r>
        <w:t>,</w:t>
      </w:r>
      <w:r w:rsidRPr="00203170">
        <w:t xml:space="preserve"> C.G</w:t>
      </w:r>
      <w:r>
        <w:t>.</w:t>
      </w:r>
      <w:r w:rsidRPr="00203170">
        <w:t>, Strongman</w:t>
      </w:r>
      <w:r>
        <w:t>,</w:t>
      </w:r>
      <w:r w:rsidRPr="00203170">
        <w:t xml:space="preserve"> J.E., Weber-Fahr</w:t>
      </w:r>
      <w:r>
        <w:t>,</w:t>
      </w:r>
      <w:r w:rsidRPr="00203170">
        <w:t xml:space="preserve"> M</w:t>
      </w:r>
      <w:r>
        <w:t>.</w:t>
      </w:r>
      <w:r w:rsidRPr="00203170">
        <w:t>, Mekharat</w:t>
      </w:r>
      <w:r>
        <w:t>,</w:t>
      </w:r>
      <w:r w:rsidRPr="00203170">
        <w:t xml:space="preserve"> N</w:t>
      </w:r>
      <w:r>
        <w:t>.</w:t>
      </w:r>
      <w:r w:rsidRPr="00203170">
        <w:t xml:space="preserve"> &amp; Tall</w:t>
      </w:r>
      <w:r>
        <w:t>,</w:t>
      </w:r>
      <w:r w:rsidRPr="00203170">
        <w:t xml:space="preserve"> M. </w:t>
      </w:r>
      <w:r>
        <w:t>(</w:t>
      </w:r>
      <w:r w:rsidRPr="00203170">
        <w:t>2002</w:t>
      </w:r>
      <w:r>
        <w:t>)</w:t>
      </w:r>
      <w:r w:rsidRPr="00203170">
        <w:t xml:space="preserve">. </w:t>
      </w:r>
      <w:r>
        <w:rPr>
          <w:rStyle w:val="st"/>
        </w:rPr>
        <w:t xml:space="preserve">It’s Not Over When It’s Over: Mine Closure around the World. The World Bank and the International Finance Corporation [Online]. Available at:  </w:t>
      </w:r>
      <w:hyperlink r:id="rId67" w:history="1">
        <w:r>
          <w:rPr>
            <w:rStyle w:val="Hyperlink"/>
          </w:rPr>
          <w:t>http://siteresources.worldbank.org/INTOGMC/Resources/notoverwhenover.pdf</w:t>
        </w:r>
      </w:hyperlink>
      <w:r w:rsidRPr="00203170">
        <w:t xml:space="preserve"> Date accessed: 1 February 2016</w:t>
      </w:r>
      <w:r>
        <w:t>.</w:t>
      </w:r>
    </w:p>
    <w:p w14:paraId="17415662" w14:textId="77777777" w:rsidR="0025496D" w:rsidRPr="00203170" w:rsidRDefault="0025496D" w:rsidP="0025496D">
      <w:pPr>
        <w:jc w:val="left"/>
      </w:pPr>
      <w:r w:rsidRPr="00203170">
        <w:t xml:space="preserve">Swart, E. </w:t>
      </w:r>
      <w:r>
        <w:t>(</w:t>
      </w:r>
      <w:r w:rsidRPr="00203170">
        <w:t>2003</w:t>
      </w:r>
      <w:r>
        <w:t>)</w:t>
      </w:r>
      <w:r w:rsidRPr="00203170">
        <w:t xml:space="preserve">. </w:t>
      </w:r>
      <w:r w:rsidRPr="00F74744">
        <w:t>The South African legislative framework for mine closure.</w:t>
      </w:r>
      <w:r w:rsidRPr="00203170">
        <w:t xml:space="preserve"> </w:t>
      </w:r>
      <w:r w:rsidRPr="003277ED">
        <w:t>The Journal of The South African Institute of Mining and Metallurgy</w:t>
      </w:r>
      <w:r w:rsidRPr="00F74744">
        <w:rPr>
          <w:i/>
        </w:rPr>
        <w:t>.</w:t>
      </w:r>
      <w:r w:rsidRPr="00203170">
        <w:t xml:space="preserve"> October</w:t>
      </w:r>
      <w:r>
        <w:t>,</w:t>
      </w:r>
      <w:r w:rsidRPr="00203170">
        <w:t xml:space="preserve"> </w:t>
      </w:r>
      <w:r>
        <w:t>p</w:t>
      </w:r>
      <w:r w:rsidRPr="00203170">
        <w:t xml:space="preserve">p. 489. </w:t>
      </w:r>
      <w:r>
        <w:t>Available at</w:t>
      </w:r>
      <w:r w:rsidRPr="00203170">
        <w:t xml:space="preserve">: </w:t>
      </w:r>
      <w:hyperlink r:id="rId68" w:history="1">
        <w:r w:rsidRPr="00203170">
          <w:rPr>
            <w:color w:val="0000FF" w:themeColor="hyperlink"/>
            <w:u w:val="single"/>
          </w:rPr>
          <w:t>www.saimm.co.za/Journal/v103n08p489.pdf</w:t>
        </w:r>
      </w:hyperlink>
      <w:r w:rsidRPr="00203170">
        <w:t>. Date accessed: 2 February 2016</w:t>
      </w:r>
    </w:p>
    <w:p w14:paraId="4D2D48C8" w14:textId="67CED087" w:rsidR="00F85A35" w:rsidRDefault="00F85A35" w:rsidP="0025496D">
      <w:pPr>
        <w:jc w:val="left"/>
      </w:pPr>
      <w:r>
        <w:t xml:space="preserve">Unknown author. Online source: </w:t>
      </w:r>
      <w:hyperlink r:id="rId69" w:history="1">
        <w:r w:rsidRPr="00644D39">
          <w:rPr>
            <w:rStyle w:val="Hyperlink"/>
          </w:rPr>
          <w:t>https://www.usinflationcalculator.com/inflation/current-inflation-rates/73/</w:t>
        </w:r>
      </w:hyperlink>
      <w:r>
        <w:t xml:space="preserve"> Date accessed: 6 July 2018</w:t>
      </w:r>
    </w:p>
    <w:p w14:paraId="0422B6F2" w14:textId="1566CD98" w:rsidR="00F85A35" w:rsidRDefault="00F85A35" w:rsidP="0025496D">
      <w:pPr>
        <w:jc w:val="left"/>
      </w:pPr>
      <w:r>
        <w:t xml:space="preserve">Unknown author. </w:t>
      </w:r>
      <w:r w:rsidR="00E2591A">
        <w:t xml:space="preserve">Investing. Com. Online source: </w:t>
      </w:r>
      <w:hyperlink r:id="rId70" w:history="1">
        <w:r w:rsidR="00E2591A" w:rsidRPr="00644D39">
          <w:rPr>
            <w:rStyle w:val="Hyperlink"/>
          </w:rPr>
          <w:t>https://za.investing.com/currencies/zar-usd</w:t>
        </w:r>
      </w:hyperlink>
      <w:r w:rsidR="00E2591A">
        <w:t xml:space="preserve"> Date accessed: 6 July 2018</w:t>
      </w:r>
    </w:p>
    <w:p w14:paraId="409BB888" w14:textId="477ACD93" w:rsidR="0025496D" w:rsidRPr="00414E5B" w:rsidRDefault="0025496D" w:rsidP="0025496D">
      <w:pPr>
        <w:jc w:val="left"/>
      </w:pPr>
      <w:r w:rsidRPr="00414E5B">
        <w:t>Va</w:t>
      </w:r>
      <w:r>
        <w:t>n</w:t>
      </w:r>
      <w:r w:rsidRPr="00414E5B">
        <w:t xml:space="preserve"> Druten</w:t>
      </w:r>
      <w:r>
        <w:t>,</w:t>
      </w:r>
      <w:r w:rsidRPr="00414E5B">
        <w:t xml:space="preserve"> E.S. &amp; Bekker</w:t>
      </w:r>
      <w:r>
        <w:t>,</w:t>
      </w:r>
      <w:r w:rsidRPr="00414E5B">
        <w:t xml:space="preserve"> M.C. </w:t>
      </w:r>
      <w:r>
        <w:t>(</w:t>
      </w:r>
      <w:r w:rsidRPr="00414E5B">
        <w:t>2017</w:t>
      </w:r>
      <w:r>
        <w:t>)</w:t>
      </w:r>
      <w:r w:rsidRPr="00414E5B">
        <w:t>.</w:t>
      </w:r>
      <w:r>
        <w:t xml:space="preserve"> </w:t>
      </w:r>
      <w:r w:rsidRPr="00414E5B">
        <w:t>Towards an inclusive model to address unsuccessful mine closures in South Africa. Journal of the South African Institute of Mining and Metallurgy</w:t>
      </w:r>
      <w:r>
        <w:t xml:space="preserve">, </w:t>
      </w:r>
      <w:r w:rsidRPr="00414E5B">
        <w:t>117</w:t>
      </w:r>
      <w:r>
        <w:t>(5)</w:t>
      </w:r>
      <w:r w:rsidRPr="00414E5B">
        <w:t xml:space="preserve"> </w:t>
      </w:r>
      <w:r>
        <w:t>pp</w:t>
      </w:r>
      <w:r w:rsidRPr="00414E5B">
        <w:t xml:space="preserve">. 485-490. </w:t>
      </w:r>
      <w:r>
        <w:t xml:space="preserve">Available at: </w:t>
      </w:r>
      <w:hyperlink r:id="rId71" w:history="1">
        <w:r w:rsidRPr="00C7682D">
          <w:rPr>
            <w:rStyle w:val="Hyperlink"/>
          </w:rPr>
          <w:t>http://www.scielo.org.za/scielo.php?script=sci_arttext&amp;pid=S2225-62532017000500012</w:t>
        </w:r>
      </w:hyperlink>
      <w:r>
        <w:t>. Date accessed: 10 February 2018.</w:t>
      </w:r>
    </w:p>
    <w:p w14:paraId="31030576" w14:textId="77777777" w:rsidR="0025496D" w:rsidRPr="00203170" w:rsidRDefault="0025496D" w:rsidP="0025496D">
      <w:pPr>
        <w:jc w:val="left"/>
      </w:pPr>
      <w:r w:rsidRPr="00203170">
        <w:t>Van Eeden E.S., Liefferink</w:t>
      </w:r>
      <w:r>
        <w:t>,</w:t>
      </w:r>
      <w:r w:rsidRPr="00203170">
        <w:t xml:space="preserve"> M</w:t>
      </w:r>
      <w:r>
        <w:t>.</w:t>
      </w:r>
      <w:r w:rsidRPr="00203170">
        <w:t>, &amp; Durand</w:t>
      </w:r>
      <w:r>
        <w:t>,</w:t>
      </w:r>
      <w:r w:rsidRPr="00203170">
        <w:t xml:space="preserve"> J.F. </w:t>
      </w:r>
      <w:r>
        <w:t>(</w:t>
      </w:r>
      <w:r w:rsidRPr="00203170">
        <w:t>2009</w:t>
      </w:r>
      <w:r>
        <w:t>)</w:t>
      </w:r>
      <w:r w:rsidRPr="00203170">
        <w:t>.</w:t>
      </w:r>
      <w:r>
        <w:t xml:space="preserve"> </w:t>
      </w:r>
      <w:r w:rsidRPr="00F74744">
        <w:t>Legal issues concerning mine closure and social responsibility on the West Rand.</w:t>
      </w:r>
      <w:r w:rsidRPr="00F74744">
        <w:rPr>
          <w:i/>
        </w:rPr>
        <w:t xml:space="preserve"> </w:t>
      </w:r>
      <w:r w:rsidRPr="003277ED">
        <w:t>The Journal for Transdisciplinary Research in Southern Africa</w:t>
      </w:r>
      <w:r>
        <w:t xml:space="preserve">, </w:t>
      </w:r>
      <w:r w:rsidRPr="00203170">
        <w:t>5</w:t>
      </w:r>
      <w:r>
        <w:t>(</w:t>
      </w:r>
      <w:r w:rsidRPr="00203170">
        <w:t>1</w:t>
      </w:r>
      <w:r>
        <w:t>)</w:t>
      </w:r>
      <w:r w:rsidRPr="00203170">
        <w:t xml:space="preserve"> pp. 51-71. </w:t>
      </w:r>
      <w:r>
        <w:t>Available at</w:t>
      </w:r>
      <w:r w:rsidRPr="00203170">
        <w:t xml:space="preserve">: </w:t>
      </w:r>
      <w:hyperlink r:id="rId72" w:history="1">
        <w:r w:rsidRPr="00203170">
          <w:rPr>
            <w:color w:val="0000FF" w:themeColor="hyperlink"/>
            <w:u w:val="single"/>
          </w:rPr>
          <w:t>www.earthlife.org.za/.../Van-Eeden-Liefferink-and-Durand-2009-AMD-and_social-responsibility-on-the-west-rand.pdf</w:t>
        </w:r>
      </w:hyperlink>
      <w:r w:rsidRPr="00203170">
        <w:t>. Date accessed: 2 February 2016</w:t>
      </w:r>
      <w:r>
        <w:t>.</w:t>
      </w:r>
    </w:p>
    <w:p w14:paraId="5BF5415A" w14:textId="77777777" w:rsidR="0025496D" w:rsidRPr="00203170" w:rsidRDefault="0025496D" w:rsidP="0025496D">
      <w:pPr>
        <w:jc w:val="left"/>
      </w:pPr>
      <w:r>
        <w:lastRenderedPageBreak/>
        <w:t>V</w:t>
      </w:r>
      <w:r w:rsidRPr="00203170">
        <w:t>an Zyl</w:t>
      </w:r>
      <w:r>
        <w:t>,</w:t>
      </w:r>
      <w:r w:rsidRPr="00203170">
        <w:t xml:space="preserve"> H</w:t>
      </w:r>
      <w:r>
        <w:t>.</w:t>
      </w:r>
      <w:r w:rsidRPr="00203170">
        <w:t>, Bond-Smith</w:t>
      </w:r>
      <w:r>
        <w:t>,</w:t>
      </w:r>
      <w:r w:rsidRPr="00203170">
        <w:t xml:space="preserve"> M</w:t>
      </w:r>
      <w:r>
        <w:t>.</w:t>
      </w:r>
      <w:r w:rsidRPr="00203170">
        <w:t>, Minter</w:t>
      </w:r>
      <w:r>
        <w:t>,</w:t>
      </w:r>
      <w:r w:rsidRPr="00203170">
        <w:t xml:space="preserve"> T</w:t>
      </w:r>
      <w:r>
        <w:t>.</w:t>
      </w:r>
      <w:r w:rsidRPr="00203170">
        <w:t>, Botha</w:t>
      </w:r>
      <w:r>
        <w:t>,</w:t>
      </w:r>
      <w:r w:rsidRPr="00203170">
        <w:t xml:space="preserve"> M</w:t>
      </w:r>
      <w:r>
        <w:t>.</w:t>
      </w:r>
      <w:r w:rsidRPr="00203170">
        <w:t xml:space="preserve"> &amp; Leiman</w:t>
      </w:r>
      <w:r>
        <w:t>,</w:t>
      </w:r>
      <w:r w:rsidRPr="00203170">
        <w:t xml:space="preserve"> A. 2012. </w:t>
      </w:r>
      <w:r w:rsidRPr="003277ED">
        <w:t>F</w:t>
      </w:r>
      <w:r w:rsidRPr="00F74744">
        <w:t>inancial Provisions for Rehabilitation and Closure in South African Mining: Discussion Document on Challenges and Recommended Improvements</w:t>
      </w:r>
      <w:r w:rsidRPr="00203170">
        <w:t>. World</w:t>
      </w:r>
      <w:r>
        <w:t xml:space="preserve"> </w:t>
      </w:r>
      <w:r w:rsidRPr="00203170">
        <w:t>Wi</w:t>
      </w:r>
      <w:r>
        <w:t>ldlife</w:t>
      </w:r>
      <w:r w:rsidRPr="00203170">
        <w:t xml:space="preserve"> Fund for Nature (WWF)</w:t>
      </w:r>
      <w:r>
        <w:t>:</w:t>
      </w:r>
      <w:r w:rsidRPr="00203170">
        <w:t xml:space="preserve"> Cape Town</w:t>
      </w:r>
      <w:r>
        <w:t>. Available at</w:t>
      </w:r>
      <w:r w:rsidRPr="00203170">
        <w:t xml:space="preserve">: </w:t>
      </w:r>
      <w:hyperlink r:id="rId73" w:history="1">
        <w:r w:rsidRPr="00203170">
          <w:rPr>
            <w:color w:val="0000FF" w:themeColor="hyperlink"/>
            <w:u w:val="single"/>
          </w:rPr>
          <w:t>www.awsassets.wwf.org.za/downloads/wwf_mining_8_august_low_res.pdf</w:t>
        </w:r>
      </w:hyperlink>
      <w:r w:rsidRPr="00203170">
        <w:t xml:space="preserve"> Date accessed: 1 February 2016</w:t>
      </w:r>
      <w:r>
        <w:t>.</w:t>
      </w:r>
    </w:p>
    <w:p w14:paraId="6AD91074" w14:textId="0C5A923D" w:rsidR="0025496D" w:rsidRDefault="0025496D" w:rsidP="0025496D">
      <w:pPr>
        <w:jc w:val="left"/>
      </w:pPr>
      <w:r w:rsidRPr="00414E5B">
        <w:t xml:space="preserve">Welman, Kruger, </w:t>
      </w:r>
      <w:r>
        <w:t xml:space="preserve">&amp; </w:t>
      </w:r>
      <w:r w:rsidRPr="00414E5B">
        <w:t xml:space="preserve">Mitchell. </w:t>
      </w:r>
      <w:r>
        <w:t>(</w:t>
      </w:r>
      <w:r w:rsidRPr="00414E5B">
        <w:t>2005</w:t>
      </w:r>
      <w:r>
        <w:t>)</w:t>
      </w:r>
      <w:r w:rsidRPr="00414E5B">
        <w:t>.</w:t>
      </w:r>
      <w:r>
        <w:t xml:space="preserve"> </w:t>
      </w:r>
      <w:r w:rsidRPr="00414E5B">
        <w:t xml:space="preserve">Research methodology. Third edition. Oxford University Press </w:t>
      </w:r>
      <w:r>
        <w:t>:</w:t>
      </w:r>
      <w:r w:rsidRPr="00414E5B">
        <w:t xml:space="preserve"> Cape Town. </w:t>
      </w:r>
    </w:p>
    <w:p w14:paraId="3074EC68" w14:textId="77777777" w:rsidR="0025496D" w:rsidRDefault="0025496D" w:rsidP="0025496D">
      <w:pPr>
        <w:jc w:val="left"/>
        <w:sectPr w:rsidR="0025496D" w:rsidSect="004321A7">
          <w:pgSz w:w="11906" w:h="16838"/>
          <w:pgMar w:top="1440" w:right="1440" w:bottom="1440" w:left="1440" w:header="709" w:footer="709" w:gutter="0"/>
          <w:cols w:space="708"/>
          <w:docGrid w:linePitch="360"/>
        </w:sectPr>
      </w:pPr>
    </w:p>
    <w:p w14:paraId="3193FCFB" w14:textId="2858DC3F" w:rsidR="0025496D" w:rsidRDefault="0025496D" w:rsidP="0025496D">
      <w:pPr>
        <w:pStyle w:val="Heading1"/>
      </w:pPr>
      <w:bookmarkStart w:id="682" w:name="_Toc519445737"/>
      <w:r>
        <w:lastRenderedPageBreak/>
        <w:t>Bibliography</w:t>
      </w:r>
      <w:bookmarkEnd w:id="682"/>
    </w:p>
    <w:p w14:paraId="5AB3E627" w14:textId="6B9A25CC" w:rsidR="0025496D" w:rsidRDefault="0025496D" w:rsidP="0025496D">
      <w:pPr>
        <w:jc w:val="left"/>
      </w:pPr>
      <w:r w:rsidRPr="0025496D">
        <w:t>Graham, A. (2010). Understand Statistics. Hodder Education: London.</w:t>
      </w:r>
    </w:p>
    <w:p w14:paraId="155CE8BA" w14:textId="77777777" w:rsidR="0025496D" w:rsidRPr="00414E5B" w:rsidRDefault="0025496D" w:rsidP="0025496D">
      <w:pPr>
        <w:jc w:val="left"/>
      </w:pPr>
    </w:p>
    <w:p w14:paraId="34C1AD92" w14:textId="77777777" w:rsidR="002C4039" w:rsidRDefault="002C4039" w:rsidP="00AE71A0"/>
    <w:p w14:paraId="46BE57D5" w14:textId="77777777" w:rsidR="00EE0456" w:rsidRPr="00443D2B" w:rsidRDefault="00EE0456" w:rsidP="00AE71A0"/>
    <w:p w14:paraId="642774C8" w14:textId="2072EF2B" w:rsidR="0077188A" w:rsidRPr="005D5C8A" w:rsidRDefault="001D3861" w:rsidP="002D6002">
      <w:pPr>
        <w:pStyle w:val="Heading1"/>
        <w:numPr>
          <w:ilvl w:val="0"/>
          <w:numId w:val="0"/>
        </w:numPr>
        <w:rPr>
          <w:lang w:val="en-GB"/>
        </w:rPr>
      </w:pPr>
      <w:bookmarkStart w:id="683" w:name="_Ref499613083"/>
      <w:bookmarkStart w:id="684" w:name="_Toc519445738"/>
      <w:r w:rsidRPr="002D6002">
        <w:lastRenderedPageBreak/>
        <w:t>AN</w:t>
      </w:r>
      <w:r w:rsidR="0077188A" w:rsidRPr="002D6002">
        <w:t>NEXURE A:</w:t>
      </w:r>
      <w:r w:rsidR="0077188A" w:rsidRPr="005D5C8A">
        <w:rPr>
          <w:lang w:val="en-GB"/>
        </w:rPr>
        <w:t xml:space="preserve"> Master Rates table escalated to 2017</w:t>
      </w:r>
      <w:bookmarkEnd w:id="683"/>
      <w:bookmarkEnd w:id="684"/>
    </w:p>
    <w:p w14:paraId="2D9498A6" w14:textId="385CC00A" w:rsidR="0077188A" w:rsidRDefault="0077188A" w:rsidP="00AE71A0">
      <w:pPr>
        <w:rPr>
          <w:b/>
          <w:szCs w:val="24"/>
          <w:lang w:val="en-GB"/>
        </w:rPr>
      </w:pPr>
      <w:r w:rsidRPr="00092BB7">
        <w:rPr>
          <w:noProof/>
          <w:sz w:val="20"/>
          <w:lang w:eastAsia="en-ZA"/>
        </w:rPr>
        <w:drawing>
          <wp:inline distT="0" distB="0" distL="0" distR="0" wp14:anchorId="2C5C1C61" wp14:editId="3443F8A7">
            <wp:extent cx="8450672" cy="5552440"/>
            <wp:effectExtent l="127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rot="16200000">
                      <a:off x="0" y="0"/>
                      <a:ext cx="8476008" cy="5569087"/>
                    </a:xfrm>
                    <a:prstGeom prst="rect">
                      <a:avLst/>
                    </a:prstGeom>
                    <a:noFill/>
                    <a:ln>
                      <a:noFill/>
                    </a:ln>
                  </pic:spPr>
                </pic:pic>
              </a:graphicData>
            </a:graphic>
          </wp:inline>
        </w:drawing>
      </w:r>
    </w:p>
    <w:p w14:paraId="59402370" w14:textId="206C2827" w:rsidR="00466190" w:rsidRPr="00374E2B" w:rsidRDefault="00466190" w:rsidP="00AE71A0">
      <w:pPr>
        <w:rPr>
          <w:sz w:val="28"/>
          <w:lang w:val="en-GB"/>
        </w:rPr>
      </w:pPr>
      <w:bookmarkStart w:id="685" w:name="_Toc519445739"/>
      <w:r w:rsidRPr="00B3563B">
        <w:rPr>
          <w:rStyle w:val="Heading1Char"/>
        </w:rPr>
        <w:lastRenderedPageBreak/>
        <w:t xml:space="preserve">ANNEXURE B: Closure cost elements used as base assumptions for certain master rates in the </w:t>
      </w:r>
      <w:r w:rsidR="007C04B5" w:rsidRPr="00B3563B">
        <w:rPr>
          <w:rStyle w:val="Heading1Char"/>
        </w:rPr>
        <w:t>DME</w:t>
      </w:r>
      <w:r w:rsidRPr="00B3563B">
        <w:rPr>
          <w:rStyle w:val="Heading1Char"/>
        </w:rPr>
        <w:t xml:space="preserve"> guideline</w:t>
      </w:r>
      <w:bookmarkEnd w:id="685"/>
      <w:r w:rsidRPr="005D5C8A">
        <w:rPr>
          <w:b/>
          <w:sz w:val="28"/>
          <w:lang w:val="en-GB"/>
        </w:rPr>
        <w:t>:</w:t>
      </w:r>
      <w:r w:rsidRPr="00374E2B">
        <w:rPr>
          <w:sz w:val="28"/>
          <w:lang w:val="en-GB"/>
        </w:rPr>
        <w:t xml:space="preserve"> (</w:t>
      </w:r>
      <w:r w:rsidR="002C4068" w:rsidRPr="00374E2B">
        <w:rPr>
          <w:sz w:val="28"/>
          <w:lang w:val="en-GB"/>
        </w:rPr>
        <w:t xml:space="preserve">verbatim </w:t>
      </w:r>
      <w:r w:rsidRPr="00374E2B">
        <w:rPr>
          <w:sz w:val="28"/>
          <w:lang w:val="en-GB"/>
        </w:rPr>
        <w:t>from the DME guideline 2004: Appendix C.3)</w:t>
      </w:r>
    </w:p>
    <w:tbl>
      <w:tblPr>
        <w:tblStyle w:val="TableGrid"/>
        <w:tblW w:w="0" w:type="auto"/>
        <w:tblLook w:val="04A0" w:firstRow="1" w:lastRow="0" w:firstColumn="1" w:lastColumn="0" w:noHBand="0" w:noVBand="1"/>
      </w:tblPr>
      <w:tblGrid>
        <w:gridCol w:w="2263"/>
        <w:gridCol w:w="6753"/>
      </w:tblGrid>
      <w:tr w:rsidR="00466190" w:rsidRPr="00203170" w14:paraId="08B154AB" w14:textId="77777777" w:rsidTr="002839FB">
        <w:trPr>
          <w:tblHeader/>
        </w:trPr>
        <w:tc>
          <w:tcPr>
            <w:tcW w:w="2263" w:type="dxa"/>
          </w:tcPr>
          <w:p w14:paraId="0E4554CF" w14:textId="3C6DE352" w:rsidR="00466190" w:rsidRPr="00203170" w:rsidRDefault="00466190" w:rsidP="00AE71A0">
            <w:pPr>
              <w:rPr>
                <w:b/>
                <w:szCs w:val="24"/>
              </w:rPr>
            </w:pPr>
            <w:r w:rsidRPr="00203170">
              <w:rPr>
                <w:b/>
                <w:szCs w:val="24"/>
              </w:rPr>
              <w:t>Master rate items</w:t>
            </w:r>
          </w:p>
        </w:tc>
        <w:tc>
          <w:tcPr>
            <w:tcW w:w="6753" w:type="dxa"/>
          </w:tcPr>
          <w:p w14:paraId="14D34957" w14:textId="40B2DF60" w:rsidR="00466190" w:rsidRPr="00203170" w:rsidRDefault="00466190" w:rsidP="00AE71A0">
            <w:pPr>
              <w:rPr>
                <w:b/>
                <w:szCs w:val="24"/>
              </w:rPr>
            </w:pPr>
            <w:r w:rsidRPr="00203170">
              <w:rPr>
                <w:b/>
                <w:szCs w:val="24"/>
              </w:rPr>
              <w:t>Details of costing consideration/ units of measurement</w:t>
            </w:r>
          </w:p>
        </w:tc>
      </w:tr>
      <w:tr w:rsidR="00466190" w:rsidRPr="00203170" w14:paraId="2280A04C" w14:textId="77777777" w:rsidTr="002839FB">
        <w:tc>
          <w:tcPr>
            <w:tcW w:w="2263" w:type="dxa"/>
          </w:tcPr>
          <w:p w14:paraId="3B58AB71" w14:textId="77777777" w:rsidR="00466190" w:rsidRPr="00203170" w:rsidRDefault="00466190" w:rsidP="00AE71A0">
            <w:pPr>
              <w:rPr>
                <w:szCs w:val="24"/>
              </w:rPr>
            </w:pPr>
            <w:r w:rsidRPr="00203170">
              <w:rPr>
                <w:szCs w:val="24"/>
              </w:rPr>
              <w:t>2.5 Component 7: Sealing of shafts, adits and inclines</w:t>
            </w:r>
          </w:p>
          <w:p w14:paraId="1609D13B" w14:textId="77777777" w:rsidR="00466190" w:rsidRPr="00203170" w:rsidRDefault="00466190" w:rsidP="00AE71A0">
            <w:pPr>
              <w:rPr>
                <w:szCs w:val="24"/>
              </w:rPr>
            </w:pPr>
          </w:p>
        </w:tc>
        <w:tc>
          <w:tcPr>
            <w:tcW w:w="6753" w:type="dxa"/>
          </w:tcPr>
          <w:p w14:paraId="65A608FB" w14:textId="6E379501" w:rsidR="00466190" w:rsidRPr="00203170" w:rsidRDefault="00466190" w:rsidP="00AE71A0">
            <w:pPr>
              <w:rPr>
                <w:szCs w:val="24"/>
              </w:rPr>
            </w:pPr>
            <w:r w:rsidRPr="00203170">
              <w:rPr>
                <w:szCs w:val="24"/>
              </w:rPr>
              <w:t xml:space="preserve">The sealing of vertical and incline shafts </w:t>
            </w:r>
            <w:r w:rsidR="00D0211C" w:rsidRPr="00203170">
              <w:rPr>
                <w:szCs w:val="24"/>
              </w:rPr>
              <w:t>is</w:t>
            </w:r>
            <w:r w:rsidRPr="00203170">
              <w:rPr>
                <w:szCs w:val="24"/>
              </w:rPr>
              <w:t xml:space="preserve"> primarily a safety consideration and this should be conducted in such a manner that potential safety risks are largely obviated.</w:t>
            </w:r>
          </w:p>
          <w:p w14:paraId="2DB36D7C" w14:textId="77777777" w:rsidR="00466190" w:rsidRPr="00203170" w:rsidRDefault="00466190" w:rsidP="00AE71A0">
            <w:pPr>
              <w:rPr>
                <w:szCs w:val="24"/>
              </w:rPr>
            </w:pPr>
            <w:r w:rsidRPr="00203170">
              <w:rPr>
                <w:szCs w:val="24"/>
              </w:rPr>
              <w:t>Normally, inert building rubble arising from the demolition of surface infrastructure should be deposited into the shafts. A mass concrete cap of 1 000 mm thickness is placed onto the building rubble deposited into the shaft. It should be noted that, in specific circumstances, dedicated engineering design and specification of these caps could be required.</w:t>
            </w:r>
          </w:p>
          <w:p w14:paraId="577C01E4" w14:textId="77777777" w:rsidR="00466190" w:rsidRPr="00203170" w:rsidRDefault="00466190" w:rsidP="00AE71A0">
            <w:pPr>
              <w:rPr>
                <w:szCs w:val="24"/>
              </w:rPr>
            </w:pPr>
            <w:r w:rsidRPr="00203170">
              <w:rPr>
                <w:szCs w:val="24"/>
              </w:rPr>
              <w:t>Allowance should also be made for methane venting of the underground mine workings with a methane formation potential by means of strategically placed venting boreholes.</w:t>
            </w:r>
          </w:p>
          <w:p w14:paraId="4B616B7B" w14:textId="77777777" w:rsidR="00466190" w:rsidRPr="00203170" w:rsidRDefault="00466190" w:rsidP="00AE71A0">
            <w:pPr>
              <w:rPr>
                <w:szCs w:val="24"/>
              </w:rPr>
            </w:pPr>
            <w:r w:rsidRPr="00203170">
              <w:rPr>
                <w:szCs w:val="24"/>
              </w:rPr>
              <w:t>The unit cost is based on filling and capping of both vertical and inclined shafts of dimensions 12,5 m diameter and 5,5 x 5,5 m respectively. The Master rate allows for the average cost of rendering both vertical and an incline shafts safe.</w:t>
            </w:r>
          </w:p>
          <w:p w14:paraId="73653DD9" w14:textId="77777777" w:rsidR="00466190" w:rsidRPr="00203170" w:rsidRDefault="00466190" w:rsidP="00AE71A0">
            <w:pPr>
              <w:rPr>
                <w:szCs w:val="24"/>
              </w:rPr>
            </w:pPr>
            <w:r w:rsidRPr="00203170">
              <w:rPr>
                <w:szCs w:val="24"/>
              </w:rPr>
              <w:t>The costs of geotechnical investigations and surveying were fixed at R50 000 and R20 000 respectively. Professional fees were taken at 2.5 % of the rehabilitation cost. Supervision fees were not included.</w:t>
            </w:r>
          </w:p>
          <w:p w14:paraId="11AC8540" w14:textId="77777777" w:rsidR="00466190" w:rsidRPr="00203170" w:rsidRDefault="00466190" w:rsidP="00AE71A0">
            <w:pPr>
              <w:rPr>
                <w:szCs w:val="24"/>
              </w:rPr>
            </w:pPr>
          </w:p>
        </w:tc>
      </w:tr>
      <w:tr w:rsidR="00466190" w:rsidRPr="00203170" w14:paraId="57D6B29A" w14:textId="77777777" w:rsidTr="002839FB">
        <w:tc>
          <w:tcPr>
            <w:tcW w:w="2263" w:type="dxa"/>
          </w:tcPr>
          <w:p w14:paraId="78F0DD8D" w14:textId="77777777" w:rsidR="00466190" w:rsidRPr="00203170" w:rsidRDefault="00466190" w:rsidP="00AE71A0">
            <w:pPr>
              <w:rPr>
                <w:szCs w:val="24"/>
              </w:rPr>
            </w:pPr>
            <w:r w:rsidRPr="00203170">
              <w:rPr>
                <w:szCs w:val="24"/>
              </w:rPr>
              <w:t xml:space="preserve">2.6 Components 8 (A), 8 (B) and 8 (C): Overburden and spoils, Process plant </w:t>
            </w:r>
            <w:r w:rsidRPr="00203170">
              <w:rPr>
                <w:szCs w:val="24"/>
              </w:rPr>
              <w:lastRenderedPageBreak/>
              <w:t>waste: basic, salt-producing and Process plant waste: acidic, metal-rich.</w:t>
            </w:r>
          </w:p>
          <w:p w14:paraId="4B7056A5" w14:textId="77777777" w:rsidR="00466190" w:rsidRPr="00203170" w:rsidRDefault="00466190" w:rsidP="00AE71A0">
            <w:pPr>
              <w:rPr>
                <w:szCs w:val="24"/>
              </w:rPr>
            </w:pPr>
            <w:r w:rsidRPr="00203170">
              <w:rPr>
                <w:szCs w:val="24"/>
              </w:rPr>
              <w:t>2.6.1 Component 8A: Overburden and spoils</w:t>
            </w:r>
          </w:p>
          <w:p w14:paraId="3B92585B" w14:textId="77777777" w:rsidR="00466190" w:rsidRPr="00203170" w:rsidRDefault="00466190" w:rsidP="00AE71A0">
            <w:pPr>
              <w:rPr>
                <w:szCs w:val="24"/>
              </w:rPr>
            </w:pPr>
          </w:p>
        </w:tc>
        <w:tc>
          <w:tcPr>
            <w:tcW w:w="6753" w:type="dxa"/>
          </w:tcPr>
          <w:p w14:paraId="1EA0B380" w14:textId="77777777" w:rsidR="00466190" w:rsidRPr="00203170" w:rsidRDefault="00466190" w:rsidP="00AE71A0">
            <w:pPr>
              <w:rPr>
                <w:szCs w:val="24"/>
              </w:rPr>
            </w:pPr>
            <w:r w:rsidRPr="00203170">
              <w:rPr>
                <w:szCs w:val="24"/>
              </w:rPr>
              <w:lastRenderedPageBreak/>
              <w:t>Overburden and spoils normally have a low pollution potential and hence only need to be shaped to create a stable landform.</w:t>
            </w:r>
          </w:p>
          <w:p w14:paraId="1612EDD9" w14:textId="77777777" w:rsidR="00466190" w:rsidRPr="00203170" w:rsidRDefault="00466190" w:rsidP="00AE71A0">
            <w:pPr>
              <w:rPr>
                <w:szCs w:val="24"/>
              </w:rPr>
            </w:pPr>
            <w:r w:rsidRPr="00203170">
              <w:rPr>
                <w:szCs w:val="24"/>
              </w:rPr>
              <w:t>The Master rate thus includes shaping and grassing/vegetation of the overburden and spoils.</w:t>
            </w:r>
          </w:p>
          <w:p w14:paraId="78545F3D" w14:textId="77777777" w:rsidR="00466190" w:rsidRPr="00203170" w:rsidRDefault="00466190" w:rsidP="00AE71A0">
            <w:pPr>
              <w:rPr>
                <w:szCs w:val="24"/>
              </w:rPr>
            </w:pPr>
          </w:p>
        </w:tc>
      </w:tr>
      <w:tr w:rsidR="00466190" w:rsidRPr="00203170" w14:paraId="6AC390B8" w14:textId="77777777" w:rsidTr="002839FB">
        <w:tc>
          <w:tcPr>
            <w:tcW w:w="2263" w:type="dxa"/>
          </w:tcPr>
          <w:p w14:paraId="7E0224E5" w14:textId="77777777" w:rsidR="00466190" w:rsidRPr="00203170" w:rsidRDefault="00466190" w:rsidP="00AE71A0">
            <w:pPr>
              <w:rPr>
                <w:szCs w:val="24"/>
              </w:rPr>
            </w:pPr>
            <w:r w:rsidRPr="00203170">
              <w:rPr>
                <w:szCs w:val="24"/>
              </w:rPr>
              <w:lastRenderedPageBreak/>
              <w:t>2.6.4 Closure elements</w:t>
            </w:r>
          </w:p>
          <w:p w14:paraId="334E4EEB" w14:textId="77777777" w:rsidR="00466190" w:rsidRPr="00203170" w:rsidRDefault="00466190" w:rsidP="00AE71A0">
            <w:pPr>
              <w:rPr>
                <w:szCs w:val="24"/>
              </w:rPr>
            </w:pPr>
            <w:r w:rsidRPr="00203170">
              <w:rPr>
                <w:szCs w:val="24"/>
              </w:rPr>
              <w:t>2.6.4.1 Slope modification</w:t>
            </w:r>
          </w:p>
          <w:p w14:paraId="628E9922" w14:textId="77777777" w:rsidR="00466190" w:rsidRPr="00203170" w:rsidRDefault="00466190" w:rsidP="00AE71A0">
            <w:pPr>
              <w:rPr>
                <w:szCs w:val="24"/>
              </w:rPr>
            </w:pPr>
          </w:p>
        </w:tc>
        <w:tc>
          <w:tcPr>
            <w:tcW w:w="6753" w:type="dxa"/>
          </w:tcPr>
          <w:p w14:paraId="0104481D" w14:textId="77777777" w:rsidR="00466190" w:rsidRPr="00203170" w:rsidRDefault="00466190" w:rsidP="00AE71A0">
            <w:pPr>
              <w:rPr>
                <w:szCs w:val="24"/>
              </w:rPr>
            </w:pPr>
            <w:r w:rsidRPr="00203170">
              <w:rPr>
                <w:szCs w:val="24"/>
              </w:rPr>
              <w:t>Slope modification is enforced by the Department of Minerals and Energy to achieve residue deposit stabilisation. Generally, average modified outer slopes of 1:3 (18°) are required.</w:t>
            </w:r>
          </w:p>
          <w:p w14:paraId="1C4F22EE" w14:textId="77777777" w:rsidR="00466190" w:rsidRPr="00203170" w:rsidRDefault="00466190" w:rsidP="00AE71A0">
            <w:pPr>
              <w:rPr>
                <w:szCs w:val="24"/>
              </w:rPr>
            </w:pPr>
            <w:r w:rsidRPr="00203170">
              <w:rPr>
                <w:szCs w:val="24"/>
              </w:rPr>
              <w:t>Experience indicates that mine residue deposits are normally formed by end-tipping, either by truck and/or overland conveyor. This results in outer slope at the natural angle of repose of the deposited material. This could vary between 25° to 35° and even steeper for more rocky material. Residue deposits normally vary between 10 and 40 m in height. Heights even up to 80 to 120 m are also encountered.</w:t>
            </w:r>
          </w:p>
          <w:p w14:paraId="22FBC640" w14:textId="77777777" w:rsidR="00466190" w:rsidRPr="00203170" w:rsidRDefault="00466190" w:rsidP="00AE71A0">
            <w:pPr>
              <w:rPr>
                <w:szCs w:val="24"/>
              </w:rPr>
            </w:pPr>
            <w:r w:rsidRPr="00203170">
              <w:rPr>
                <w:szCs w:val="24"/>
              </w:rPr>
              <w:t>The Master rate was based on a typical ellipse formed dump 30 m high, with unmodified outer slopes of 35°, covering a footprint area of 12 ha. In this case the sectional cut-and-fill volume to reduce this slope to 18° would equate to approximately 170 m</w:t>
            </w:r>
            <w:r w:rsidRPr="00203170">
              <w:rPr>
                <w:szCs w:val="24"/>
                <w:vertAlign w:val="superscript"/>
              </w:rPr>
              <w:t>3</w:t>
            </w:r>
            <w:r w:rsidRPr="00203170">
              <w:rPr>
                <w:szCs w:val="24"/>
              </w:rPr>
              <w:t>/m. The creation of the required outer slope of 18° would require the movement of about 185 000 m</w:t>
            </w:r>
            <w:r w:rsidRPr="00203170">
              <w:rPr>
                <w:szCs w:val="24"/>
                <w:vertAlign w:val="superscript"/>
              </w:rPr>
              <w:t>3</w:t>
            </w:r>
            <w:r w:rsidRPr="00203170">
              <w:rPr>
                <w:szCs w:val="24"/>
              </w:rPr>
              <w:t xml:space="preserve"> of material and would increase the footprint area to approximately 15 ha. The total outer slope area of the shaped residue deposit amounts to about 18 ha.</w:t>
            </w:r>
          </w:p>
          <w:p w14:paraId="2FF156A9" w14:textId="77777777" w:rsidR="00466190" w:rsidRPr="00203170" w:rsidRDefault="00466190" w:rsidP="00AE71A0">
            <w:pPr>
              <w:rPr>
                <w:szCs w:val="24"/>
              </w:rPr>
            </w:pPr>
            <w:r w:rsidRPr="00203170">
              <w:rPr>
                <w:szCs w:val="24"/>
              </w:rPr>
              <w:t>Covers fulfilling the above functions could be of varying nature, comprising of natural and/or synthetic material.</w:t>
            </w:r>
          </w:p>
          <w:p w14:paraId="58966593" w14:textId="5B6C7C9A" w:rsidR="00466190" w:rsidRPr="00203170" w:rsidRDefault="00466190" w:rsidP="00AE71A0">
            <w:pPr>
              <w:rPr>
                <w:szCs w:val="24"/>
              </w:rPr>
            </w:pPr>
            <w:r w:rsidRPr="00203170">
              <w:rPr>
                <w:szCs w:val="24"/>
              </w:rPr>
              <w:lastRenderedPageBreak/>
              <w:t xml:space="preserve">If natural materials are to be used, current practice allows for an evaporative cover, varying in thickness between 750 and 1 000 mm, with an outer cover layer of 300 m thickness of armouring or topsoil with vegetation. The armouring also requires vegetation, but this is not essential for the long-term integrity of the outer cover layer. Depending on the nature of the deposited material covered, </w:t>
            </w:r>
            <w:r w:rsidR="00D0211C" w:rsidRPr="00203170">
              <w:rPr>
                <w:szCs w:val="24"/>
              </w:rPr>
              <w:t>capillary</w:t>
            </w:r>
            <w:r w:rsidRPr="00203170">
              <w:rPr>
                <w:szCs w:val="24"/>
              </w:rPr>
              <w:t xml:space="preserve"> breaker layers between the evaporative cover and the deposited material could also be required.</w:t>
            </w:r>
          </w:p>
          <w:p w14:paraId="1CC3A83C" w14:textId="77777777" w:rsidR="00466190" w:rsidRPr="00203170" w:rsidRDefault="00466190" w:rsidP="00AE71A0">
            <w:pPr>
              <w:rPr>
                <w:szCs w:val="24"/>
              </w:rPr>
            </w:pPr>
            <w:r w:rsidRPr="00203170">
              <w:rPr>
                <w:szCs w:val="24"/>
              </w:rPr>
              <w:t>Seepage modelling is normally required to optimise cover thickness.</w:t>
            </w:r>
          </w:p>
          <w:p w14:paraId="1919D047" w14:textId="50EEC1D2" w:rsidR="00466190" w:rsidRPr="00203170" w:rsidRDefault="00466190" w:rsidP="00AE71A0">
            <w:pPr>
              <w:rPr>
                <w:szCs w:val="24"/>
              </w:rPr>
            </w:pPr>
            <w:r w:rsidRPr="00203170">
              <w:rPr>
                <w:szCs w:val="24"/>
              </w:rPr>
              <w:t>The Master rate allows for an evaporative cover of sandy/loam material. It has been assumed that material of this nature is available within free haul distance from the residue deposit to be rehabilitated or has been stockpiled in close proximity of the residue deposit. The unit cost allows for the establishment of a borrow-pit to source evaporative cover material. Ideally, the established borrow-</w:t>
            </w:r>
            <w:r w:rsidR="00D0211C" w:rsidRPr="00203170">
              <w:rPr>
                <w:szCs w:val="24"/>
              </w:rPr>
              <w:t>pit can</w:t>
            </w:r>
            <w:r w:rsidRPr="00203170">
              <w:rPr>
                <w:szCs w:val="24"/>
              </w:rPr>
              <w:t xml:space="preserve"> be converted into a pollution control dam to collect and evaporate possible contaminated seepage arising from the rehabilitated residue deposit.</w:t>
            </w:r>
          </w:p>
          <w:p w14:paraId="0E57FC67" w14:textId="77777777" w:rsidR="00466190" w:rsidRPr="00203170" w:rsidRDefault="00466190" w:rsidP="00AE71A0">
            <w:pPr>
              <w:rPr>
                <w:szCs w:val="24"/>
              </w:rPr>
            </w:pPr>
            <w:r w:rsidRPr="00203170">
              <w:rPr>
                <w:szCs w:val="24"/>
              </w:rPr>
              <w:t>The volume of material required to create an evaporative cover of 750 mm thickness on the hypothetical residue deposit with modified outer slopes, amounts to 135 000 m</w:t>
            </w:r>
            <w:r w:rsidRPr="00203170">
              <w:rPr>
                <w:szCs w:val="24"/>
                <w:vertAlign w:val="superscript"/>
              </w:rPr>
              <w:t>3</w:t>
            </w:r>
            <w:r w:rsidRPr="00203170">
              <w:rPr>
                <w:szCs w:val="24"/>
              </w:rPr>
              <w:t>. The associated armouring material for the outer layer of 300 mm thickness amounts to 55 500 m</w:t>
            </w:r>
            <w:r w:rsidRPr="00203170">
              <w:rPr>
                <w:szCs w:val="24"/>
                <w:vertAlign w:val="superscript"/>
              </w:rPr>
              <w:t>3</w:t>
            </w:r>
            <w:r w:rsidRPr="00203170">
              <w:rPr>
                <w:szCs w:val="24"/>
              </w:rPr>
              <w:t>. It has also been assumed that the armouring material can be obtained within a reasonable haul distance.</w:t>
            </w:r>
          </w:p>
          <w:p w14:paraId="607AAF44" w14:textId="77777777" w:rsidR="00466190" w:rsidRPr="00203170" w:rsidRDefault="00466190" w:rsidP="00AE71A0">
            <w:pPr>
              <w:rPr>
                <w:szCs w:val="24"/>
              </w:rPr>
            </w:pPr>
            <w:r w:rsidRPr="00203170">
              <w:rPr>
                <w:szCs w:val="24"/>
              </w:rPr>
              <w:t>Vegetation will have to be provided over an area of about 18 ha, including the upper surface of the residue deposit</w:t>
            </w:r>
          </w:p>
          <w:p w14:paraId="1395895E" w14:textId="77777777" w:rsidR="00466190" w:rsidRPr="00203170" w:rsidRDefault="00466190" w:rsidP="00AE71A0">
            <w:pPr>
              <w:rPr>
                <w:szCs w:val="24"/>
              </w:rPr>
            </w:pPr>
          </w:p>
        </w:tc>
      </w:tr>
      <w:tr w:rsidR="00466190" w:rsidRPr="00203170" w14:paraId="1DA4CA7B" w14:textId="77777777" w:rsidTr="002839FB">
        <w:tc>
          <w:tcPr>
            <w:tcW w:w="2263" w:type="dxa"/>
          </w:tcPr>
          <w:p w14:paraId="6775B266" w14:textId="77777777" w:rsidR="00466190" w:rsidRPr="00203170" w:rsidRDefault="00466190" w:rsidP="00AE71A0">
            <w:pPr>
              <w:rPr>
                <w:szCs w:val="24"/>
              </w:rPr>
            </w:pPr>
            <w:r w:rsidRPr="00203170">
              <w:rPr>
                <w:szCs w:val="24"/>
              </w:rPr>
              <w:lastRenderedPageBreak/>
              <w:t>2.7 Component 10: General surface rehabilitation</w:t>
            </w:r>
          </w:p>
          <w:p w14:paraId="6B93DE2C" w14:textId="77777777" w:rsidR="00466190" w:rsidRPr="00203170" w:rsidRDefault="00466190" w:rsidP="00AE71A0">
            <w:pPr>
              <w:rPr>
                <w:szCs w:val="24"/>
              </w:rPr>
            </w:pPr>
          </w:p>
        </w:tc>
        <w:tc>
          <w:tcPr>
            <w:tcW w:w="6753" w:type="dxa"/>
          </w:tcPr>
          <w:p w14:paraId="7F533DA3" w14:textId="77777777" w:rsidR="00466190" w:rsidRPr="00203170" w:rsidRDefault="00466190" w:rsidP="00AE71A0">
            <w:pPr>
              <w:rPr>
                <w:szCs w:val="24"/>
              </w:rPr>
            </w:pPr>
            <w:r w:rsidRPr="00203170">
              <w:rPr>
                <w:szCs w:val="24"/>
              </w:rPr>
              <w:t>Final surface rehabilitation of areas disturbed by mining and related activities should be aligned to the selected final land use.</w:t>
            </w:r>
          </w:p>
          <w:p w14:paraId="3770991E" w14:textId="77777777" w:rsidR="00466190" w:rsidRPr="00203170" w:rsidRDefault="00466190" w:rsidP="00AE71A0">
            <w:pPr>
              <w:rPr>
                <w:szCs w:val="24"/>
              </w:rPr>
            </w:pPr>
            <w:r w:rsidRPr="00203170">
              <w:rPr>
                <w:szCs w:val="24"/>
              </w:rPr>
              <w:t>Irrespective of the final land use, general surface rehabilitation normally should ensure the following:</w:t>
            </w:r>
          </w:p>
          <w:p w14:paraId="75AED3F6" w14:textId="77777777" w:rsidR="00466190" w:rsidRPr="00203170" w:rsidRDefault="00466190" w:rsidP="00AE71A0">
            <w:pPr>
              <w:rPr>
                <w:szCs w:val="24"/>
              </w:rPr>
            </w:pPr>
            <w:r w:rsidRPr="00203170">
              <w:rPr>
                <w:szCs w:val="24"/>
              </w:rPr>
              <w:t>• Surface topography that emulates the surrounding areas and aligned to the general landscape character. Steep slopes in excess of 6 percent should also be avoided if possible.</w:t>
            </w:r>
          </w:p>
          <w:p w14:paraId="4F0669D2" w14:textId="77777777" w:rsidR="00466190" w:rsidRPr="00203170" w:rsidRDefault="00466190" w:rsidP="00AE71A0">
            <w:pPr>
              <w:rPr>
                <w:szCs w:val="24"/>
              </w:rPr>
            </w:pPr>
            <w:r w:rsidRPr="00203170">
              <w:rPr>
                <w:szCs w:val="24"/>
              </w:rPr>
              <w:t>• Landscaping that would facilitate surface runoff and result in free draining areas. If possible, the drainage lines should be reinstated.</w:t>
            </w:r>
          </w:p>
          <w:p w14:paraId="44167508" w14:textId="77777777" w:rsidR="00466190" w:rsidRPr="00203170" w:rsidRDefault="00466190" w:rsidP="00AE71A0">
            <w:pPr>
              <w:rPr>
                <w:szCs w:val="24"/>
              </w:rPr>
            </w:pPr>
            <w:r w:rsidRPr="00203170">
              <w:rPr>
                <w:szCs w:val="24"/>
              </w:rPr>
              <w:t>• An area without unnecessary remnants of structures and surface infrastructure to give the rehabilitated area a “neat” appearance. Special attention must be given to shape and/or removal of heaps of excess material being the legacy of prolonged mining and related activity.</w:t>
            </w:r>
          </w:p>
          <w:p w14:paraId="02E04B77" w14:textId="77777777" w:rsidR="002839FB" w:rsidRPr="00203170" w:rsidRDefault="00466190" w:rsidP="00AE71A0">
            <w:pPr>
              <w:rPr>
                <w:szCs w:val="24"/>
              </w:rPr>
            </w:pPr>
            <w:r w:rsidRPr="00203170">
              <w:rPr>
                <w:szCs w:val="24"/>
              </w:rPr>
              <w:t>• An area suitable for revegetation.</w:t>
            </w:r>
            <w:r w:rsidR="002839FB" w:rsidRPr="00203170">
              <w:rPr>
                <w:szCs w:val="24"/>
              </w:rPr>
              <w:t xml:space="preserve"> </w:t>
            </w:r>
          </w:p>
          <w:p w14:paraId="22BF3D71" w14:textId="2EDCF769" w:rsidR="00466190" w:rsidRPr="00203170" w:rsidRDefault="002839FB" w:rsidP="00AE71A0">
            <w:pPr>
              <w:rPr>
                <w:szCs w:val="24"/>
              </w:rPr>
            </w:pPr>
            <w:r w:rsidRPr="00203170">
              <w:rPr>
                <w:szCs w:val="24"/>
              </w:rPr>
              <w:t>The unit cost for general rehabilitation allows for shaping and landscaping of disturbed areas. The Master rate allows for the shaping of material to a depth/thickness of about 500 mm. An extra over allowance in the unit cost of 50 percent has been made to cover the removal and/or destruction of surface infrastructure remnants and/or other undesirable objects such as trees, foundations, concrete slabs, etc.</w:t>
            </w:r>
          </w:p>
        </w:tc>
      </w:tr>
    </w:tbl>
    <w:p w14:paraId="66113585" w14:textId="77777777" w:rsidR="005D5C8A" w:rsidRDefault="005D5C8A" w:rsidP="00AE71A0">
      <w:pPr>
        <w:rPr>
          <w:sz w:val="28"/>
        </w:rPr>
      </w:pPr>
    </w:p>
    <w:p w14:paraId="3A376833" w14:textId="77777777" w:rsidR="005D5C8A" w:rsidRDefault="005D5C8A">
      <w:pPr>
        <w:spacing w:after="200" w:line="276" w:lineRule="auto"/>
        <w:jc w:val="left"/>
        <w:rPr>
          <w:sz w:val="28"/>
        </w:rPr>
      </w:pPr>
      <w:r>
        <w:rPr>
          <w:sz w:val="28"/>
        </w:rPr>
        <w:br w:type="page"/>
      </w:r>
    </w:p>
    <w:p w14:paraId="169AC969" w14:textId="216EBDA0" w:rsidR="006C7D97" w:rsidRDefault="00092BB7" w:rsidP="002D6002">
      <w:pPr>
        <w:pStyle w:val="Heading1"/>
        <w:numPr>
          <w:ilvl w:val="0"/>
          <w:numId w:val="0"/>
        </w:numPr>
      </w:pPr>
      <w:bookmarkStart w:id="686" w:name="_Toc519445740"/>
      <w:r w:rsidRPr="005D5C8A">
        <w:lastRenderedPageBreak/>
        <w:t xml:space="preserve">ANNEXURE C: </w:t>
      </w:r>
      <w:r w:rsidR="006C7D97">
        <w:t>Explanatory notes on applied closure methods and standards</w:t>
      </w:r>
      <w:bookmarkEnd w:id="686"/>
    </w:p>
    <w:p w14:paraId="306D6F8E" w14:textId="54D5180D" w:rsidR="00C94D1A" w:rsidRPr="00C94D1A" w:rsidRDefault="00C94D1A" w:rsidP="00C94D1A">
      <w:r>
        <w:t xml:space="preserve">The following are </w:t>
      </w:r>
      <w:r w:rsidR="003021A6">
        <w:t xml:space="preserve">examples </w:t>
      </w:r>
      <w:r>
        <w:t xml:space="preserve">of the actual site conditions, </w:t>
      </w:r>
      <w:r w:rsidR="00B20A4E">
        <w:t xml:space="preserve">brief descriptions </w:t>
      </w:r>
      <w:r>
        <w:t xml:space="preserve">methods employed and practical implementation considerations during the rehabilitation of asbestos mines. These notes provide more information on the master rates and components for which data is analysed in Chapter 4.3 of this research report. </w:t>
      </w:r>
    </w:p>
    <w:p w14:paraId="339E8776" w14:textId="7A7067A6" w:rsidR="009C1AEF" w:rsidRPr="009C1AEF" w:rsidRDefault="009C1AEF" w:rsidP="009C1AEF">
      <w:pPr>
        <w:rPr>
          <w:b/>
        </w:rPr>
      </w:pPr>
      <w:r w:rsidRPr="009C1AEF">
        <w:rPr>
          <w:b/>
        </w:rPr>
        <w:t xml:space="preserve">Master rate (2): Demolition of concrete structures </w:t>
      </w:r>
      <w:r>
        <w:rPr>
          <w:b/>
        </w:rPr>
        <w:t>(</w:t>
      </w:r>
      <w:r w:rsidR="00B20A4E">
        <w:rPr>
          <w:b/>
        </w:rPr>
        <w:t>4.3.1</w:t>
      </w:r>
      <w:r>
        <w:rPr>
          <w:b/>
        </w:rPr>
        <w:t>, Page</w:t>
      </w:r>
      <w:r w:rsidR="00B20A4E">
        <w:rPr>
          <w:b/>
        </w:rPr>
        <w:t xml:space="preserve"> 50</w:t>
      </w:r>
      <w:r>
        <w:rPr>
          <w:b/>
        </w:rPr>
        <w:t>)</w:t>
      </w:r>
    </w:p>
    <w:p w14:paraId="6793AFA5" w14:textId="2D38E0D6" w:rsidR="006C7D97" w:rsidRDefault="009C1AEF" w:rsidP="009C1AEF">
      <w:r>
        <w:t>It is rare to find concrete structures of the size and structural integrity that require demolition other than normal surface rehabilitation methods on an abandoned asbestos mine. These types of structures do occur, however. The DME guideline provides a master rate for the demolition of these structures that includes demolition to below ground level and then covering of the area while the rubble is buried, usually on the site.</w:t>
      </w:r>
    </w:p>
    <w:p w14:paraId="7A163B18" w14:textId="2CFF5B85" w:rsidR="009C1AEF" w:rsidRPr="009C1AEF" w:rsidRDefault="009C1AEF" w:rsidP="009C1AEF">
      <w:pPr>
        <w:rPr>
          <w:b/>
        </w:rPr>
      </w:pPr>
      <w:r w:rsidRPr="009C1AEF">
        <w:rPr>
          <w:b/>
        </w:rPr>
        <w:t>Access roads</w:t>
      </w:r>
      <w:r w:rsidR="00B20A4E">
        <w:rPr>
          <w:b/>
        </w:rPr>
        <w:t xml:space="preserve"> </w:t>
      </w:r>
      <w:r w:rsidRPr="009C1AEF">
        <w:rPr>
          <w:b/>
        </w:rPr>
        <w:t>(</w:t>
      </w:r>
      <w:r w:rsidR="00B20A4E">
        <w:rPr>
          <w:b/>
        </w:rPr>
        <w:t>4.3.2</w:t>
      </w:r>
      <w:r w:rsidRPr="009C1AEF">
        <w:rPr>
          <w:b/>
        </w:rPr>
        <w:t>, Page</w:t>
      </w:r>
      <w:r w:rsidR="00B20A4E">
        <w:rPr>
          <w:b/>
        </w:rPr>
        <w:t xml:space="preserve"> 51</w:t>
      </w:r>
      <w:r w:rsidRPr="009C1AEF">
        <w:rPr>
          <w:b/>
        </w:rPr>
        <w:t>)</w:t>
      </w:r>
    </w:p>
    <w:p w14:paraId="48DFD3FC" w14:textId="77777777" w:rsidR="009C1AEF" w:rsidRPr="00203170" w:rsidRDefault="009C1AEF" w:rsidP="009C1AEF">
      <w:pPr>
        <w:rPr>
          <w:szCs w:val="24"/>
          <w:vertAlign w:val="superscript"/>
        </w:rPr>
      </w:pPr>
      <w:r w:rsidRPr="00203170">
        <w:rPr>
          <w:szCs w:val="24"/>
        </w:rPr>
        <w:t xml:space="preserve">In the case of abandoned asbestos mines, most access roads are found in conditions where they have not been maintained for several decades. These roads usually require being rebuilt or constructed where they do not exist such as where the majority of operations were historically done by hand and </w:t>
      </w:r>
      <w:r>
        <w:rPr>
          <w:szCs w:val="24"/>
        </w:rPr>
        <w:t xml:space="preserve">mechanical </w:t>
      </w:r>
      <w:r w:rsidRPr="00203170">
        <w:rPr>
          <w:szCs w:val="24"/>
        </w:rPr>
        <w:t>equipment now require access to the site to rehabilitate. The DM</w:t>
      </w:r>
      <w:r>
        <w:rPr>
          <w:szCs w:val="24"/>
        </w:rPr>
        <w:t>E</w:t>
      </w:r>
      <w:r w:rsidRPr="00203170">
        <w:rPr>
          <w:szCs w:val="24"/>
        </w:rPr>
        <w:t xml:space="preserve"> guideline allows for a master rate calculated based on the grading of the road surface, placing of suitable wear layers and compaction to a specific hardness to convey equipment to the project site. This road is usually broken up and revegetated after rehabilitation is complete to enable vegetation to grow over the area again, along with the general surface rehabilitation. (Appendix C.3) The unit of measurement that the DM</w:t>
      </w:r>
      <w:r>
        <w:rPr>
          <w:szCs w:val="24"/>
        </w:rPr>
        <w:t>E</w:t>
      </w:r>
      <w:r w:rsidRPr="00203170">
        <w:rPr>
          <w:szCs w:val="24"/>
        </w:rPr>
        <w:t xml:space="preserve"> Master rate is based on, is square metres (m</w:t>
      </w:r>
      <w:r w:rsidRPr="00203170">
        <w:rPr>
          <w:szCs w:val="24"/>
          <w:vertAlign w:val="superscript"/>
        </w:rPr>
        <w:t>2</w:t>
      </w:r>
      <w:r w:rsidRPr="00203170">
        <w:rPr>
          <w:szCs w:val="24"/>
        </w:rPr>
        <w:t>)</w:t>
      </w:r>
    </w:p>
    <w:p w14:paraId="4DD451A6" w14:textId="77777777" w:rsidR="009C1AEF" w:rsidRPr="00203170" w:rsidRDefault="009C1AEF" w:rsidP="009C1AEF">
      <w:pPr>
        <w:rPr>
          <w:szCs w:val="24"/>
        </w:rPr>
      </w:pPr>
      <w:r w:rsidRPr="00203170">
        <w:rPr>
          <w:b/>
          <w:i/>
          <w:noProof/>
          <w:szCs w:val="24"/>
          <w:lang w:eastAsia="en-ZA"/>
        </w:rPr>
        <w:lastRenderedPageBreak/>
        <w:drawing>
          <wp:inline distT="0" distB="0" distL="0" distR="0" wp14:anchorId="5B878C40" wp14:editId="7A1C5D6C">
            <wp:extent cx="5730160" cy="1943100"/>
            <wp:effectExtent l="19050" t="19050" r="2349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2620" cy="1943934"/>
                    </a:xfrm>
                    <a:prstGeom prst="rect">
                      <a:avLst/>
                    </a:prstGeom>
                    <a:noFill/>
                    <a:ln>
                      <a:solidFill>
                        <a:sysClr val="windowText" lastClr="000000"/>
                      </a:solidFill>
                    </a:ln>
                  </pic:spPr>
                </pic:pic>
              </a:graphicData>
            </a:graphic>
          </wp:inline>
        </w:drawing>
      </w:r>
    </w:p>
    <w:p w14:paraId="654D24BE" w14:textId="366D7D46" w:rsidR="009C1AEF" w:rsidRDefault="009C1AEF" w:rsidP="009C1AEF">
      <w:pPr>
        <w:pStyle w:val="Caption"/>
      </w:pPr>
      <w:bookmarkStart w:id="687" w:name="_Toc507336574"/>
      <w:bookmarkStart w:id="688" w:name="_Toc507336687"/>
      <w:bookmarkStart w:id="689" w:name="_Toc517372940"/>
      <w:bookmarkStart w:id="690" w:name="_Toc517373095"/>
      <w:bookmarkStart w:id="691" w:name="_Toc519445883"/>
      <w:bookmarkStart w:id="692" w:name="_Toc519445920"/>
      <w:r>
        <w:t xml:space="preserve">Figure </w:t>
      </w:r>
      <w:r w:rsidR="00B20A4E">
        <w:t>A-3</w:t>
      </w:r>
      <w:r>
        <w:t>.</w:t>
      </w:r>
      <w:r w:rsidR="00B20A4E">
        <w:t>1</w:t>
      </w:r>
      <w:r>
        <w:t xml:space="preserve">: </w:t>
      </w:r>
      <w:r w:rsidRPr="0010396E">
        <w:t>Typical cross-section of access road rehabilitation details as specified in modern asbestos rehabilitation projects</w:t>
      </w:r>
      <w:r w:rsidRPr="0010396E">
        <w:rPr>
          <w:sz w:val="36"/>
          <w:szCs w:val="24"/>
        </w:rPr>
        <w:t xml:space="preserve"> </w:t>
      </w:r>
      <w:r w:rsidRPr="00EE00F1">
        <w:rPr>
          <w:szCs w:val="24"/>
        </w:rPr>
        <w:t>(Source: Mintek)</w:t>
      </w:r>
      <w:bookmarkEnd w:id="687"/>
      <w:bookmarkEnd w:id="688"/>
      <w:bookmarkEnd w:id="689"/>
      <w:bookmarkEnd w:id="690"/>
      <w:bookmarkEnd w:id="691"/>
      <w:bookmarkEnd w:id="692"/>
      <w:r>
        <w:t xml:space="preserve"> </w:t>
      </w:r>
    </w:p>
    <w:p w14:paraId="13C6264B" w14:textId="77777777" w:rsidR="00B20A4E" w:rsidRPr="00B20A4E" w:rsidRDefault="00B20A4E" w:rsidP="00B20A4E"/>
    <w:p w14:paraId="235C1923" w14:textId="650AD462" w:rsidR="009C1AEF" w:rsidRPr="00D7687F" w:rsidRDefault="009C1AEF" w:rsidP="00D7687F">
      <w:pPr>
        <w:rPr>
          <w:b/>
        </w:rPr>
      </w:pPr>
      <w:r w:rsidRPr="00D7687F">
        <w:rPr>
          <w:b/>
        </w:rPr>
        <w:t>Master rate (7): Sealing of shafts, adits and inclines (</w:t>
      </w:r>
      <w:r w:rsidR="00B20A4E" w:rsidRPr="00D7687F">
        <w:rPr>
          <w:b/>
        </w:rPr>
        <w:t xml:space="preserve">4.3.3 </w:t>
      </w:r>
      <w:r w:rsidRPr="00D7687F">
        <w:rPr>
          <w:b/>
        </w:rPr>
        <w:t>, Page</w:t>
      </w:r>
      <w:r w:rsidR="00B20A4E" w:rsidRPr="00D7687F">
        <w:rPr>
          <w:b/>
        </w:rPr>
        <w:t xml:space="preserve"> 52</w:t>
      </w:r>
      <w:r w:rsidRPr="00D7687F">
        <w:rPr>
          <w:b/>
        </w:rPr>
        <w:t>)</w:t>
      </w:r>
    </w:p>
    <w:p w14:paraId="1F3D1282" w14:textId="77777777" w:rsidR="009C1AEF" w:rsidRPr="00203170" w:rsidRDefault="009C1AEF" w:rsidP="009C1AEF">
      <w:pPr>
        <w:rPr>
          <w:szCs w:val="24"/>
        </w:rPr>
      </w:pPr>
      <w:r w:rsidRPr="00203170">
        <w:rPr>
          <w:szCs w:val="24"/>
        </w:rPr>
        <w:t xml:space="preserve">Many abandoned asbestos mine sites contain several open adits or vertical shafts. These adits are often overgrown with vegetation. In practice, these are usually closed by backfilling with waste rock available on site and then capped with concrete and/ or a gabion in the mouth of the structure before finally being covered with rocky material and soil to hide the entrance. Such sites are thus sealed physically and aesthetically. </w:t>
      </w:r>
    </w:p>
    <w:p w14:paraId="04FBC0F3" w14:textId="77777777" w:rsidR="009C1AEF" w:rsidRDefault="009C1AEF" w:rsidP="009C1AEF">
      <w:pPr>
        <w:jc w:val="center"/>
      </w:pPr>
      <w:r w:rsidRPr="00203170">
        <w:rPr>
          <w:noProof/>
          <w:szCs w:val="24"/>
          <w:lang w:eastAsia="en-ZA"/>
        </w:rPr>
        <w:drawing>
          <wp:inline distT="0" distB="0" distL="0" distR="0" wp14:anchorId="63B1FB45" wp14:editId="3E01726A">
            <wp:extent cx="3411415" cy="33012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3415883" cy="3305595"/>
                    </a:xfrm>
                    <a:prstGeom prst="rect">
                      <a:avLst/>
                    </a:prstGeom>
                    <a:noFill/>
                    <a:ln>
                      <a:noFill/>
                    </a:ln>
                  </pic:spPr>
                </pic:pic>
              </a:graphicData>
            </a:graphic>
          </wp:inline>
        </w:drawing>
      </w:r>
    </w:p>
    <w:p w14:paraId="4925D4D6" w14:textId="048D5E3F" w:rsidR="009C1AEF" w:rsidRPr="00EE00F1" w:rsidRDefault="009C1AEF" w:rsidP="009C1AEF">
      <w:pPr>
        <w:pStyle w:val="Caption"/>
        <w:rPr>
          <w:sz w:val="36"/>
          <w:szCs w:val="24"/>
        </w:rPr>
      </w:pPr>
      <w:bookmarkStart w:id="693" w:name="_Toc519445884"/>
      <w:bookmarkStart w:id="694" w:name="_Toc519445921"/>
      <w:r>
        <w:t xml:space="preserve">Figure </w:t>
      </w:r>
      <w:r w:rsidR="00B20A4E">
        <w:t>A-3</w:t>
      </w:r>
      <w:r>
        <w:t>.</w:t>
      </w:r>
      <w:r w:rsidR="00B20A4E">
        <w:t>2</w:t>
      </w:r>
      <w:r>
        <w:t xml:space="preserve">:  </w:t>
      </w:r>
      <w:r w:rsidRPr="0010396E">
        <w:t>Adits are small, usually hand-dug inclined or horizontal entrances to asbestos seams that are found on most project sites</w:t>
      </w:r>
      <w:r>
        <w:t xml:space="preserve"> (Source: Author)</w:t>
      </w:r>
      <w:bookmarkEnd w:id="693"/>
      <w:bookmarkEnd w:id="694"/>
      <w:r w:rsidRPr="00EE00F1">
        <w:rPr>
          <w:sz w:val="36"/>
          <w:szCs w:val="24"/>
        </w:rPr>
        <w:t xml:space="preserve"> </w:t>
      </w:r>
    </w:p>
    <w:p w14:paraId="4B62F62D" w14:textId="77777777" w:rsidR="009C1AEF" w:rsidRPr="00203170" w:rsidRDefault="009C1AEF" w:rsidP="009C1AEF">
      <w:pPr>
        <w:rPr>
          <w:b/>
          <w:i/>
          <w:szCs w:val="24"/>
          <w:vertAlign w:val="superscript"/>
        </w:rPr>
      </w:pPr>
      <w:r w:rsidRPr="00203170">
        <w:rPr>
          <w:szCs w:val="24"/>
        </w:rPr>
        <w:lastRenderedPageBreak/>
        <w:t xml:space="preserve">The general approach </w:t>
      </w:r>
      <w:r>
        <w:rPr>
          <w:szCs w:val="24"/>
        </w:rPr>
        <w:t xml:space="preserve">to adit closure </w:t>
      </w:r>
      <w:r w:rsidRPr="00203170">
        <w:rPr>
          <w:szCs w:val="24"/>
        </w:rPr>
        <w:t>aligns closely with the methodology described in the DM</w:t>
      </w:r>
      <w:r>
        <w:rPr>
          <w:szCs w:val="24"/>
        </w:rPr>
        <w:t>E</w:t>
      </w:r>
      <w:r w:rsidRPr="00203170">
        <w:rPr>
          <w:szCs w:val="24"/>
        </w:rPr>
        <w:t xml:space="preserve"> guideline and the master rate is considered directly applicable. The DM</w:t>
      </w:r>
      <w:r>
        <w:rPr>
          <w:szCs w:val="24"/>
        </w:rPr>
        <w:t>E</w:t>
      </w:r>
      <w:r w:rsidRPr="00203170">
        <w:rPr>
          <w:szCs w:val="24"/>
        </w:rPr>
        <w:t xml:space="preserve"> guideline prescribes that the rate is based on a closure method that uses the polluted material to first backfill the shaft or incline shaft and then provide a concrete cap over the shaft entrance. The unit of measurement </w:t>
      </w:r>
      <w:r>
        <w:rPr>
          <w:szCs w:val="24"/>
        </w:rPr>
        <w:t>as</w:t>
      </w:r>
      <w:r w:rsidRPr="00203170">
        <w:rPr>
          <w:szCs w:val="24"/>
        </w:rPr>
        <w:t xml:space="preserve"> prescribed in the DM</w:t>
      </w:r>
      <w:r>
        <w:rPr>
          <w:szCs w:val="24"/>
        </w:rPr>
        <w:t>E</w:t>
      </w:r>
      <w:r w:rsidRPr="00203170">
        <w:rPr>
          <w:szCs w:val="24"/>
        </w:rPr>
        <w:t xml:space="preserve"> master rate is cubic metres (m</w:t>
      </w:r>
      <w:r w:rsidRPr="00203170">
        <w:rPr>
          <w:szCs w:val="24"/>
          <w:vertAlign w:val="superscript"/>
        </w:rPr>
        <w:t>3</w:t>
      </w:r>
      <w:r w:rsidRPr="00203170">
        <w:rPr>
          <w:szCs w:val="24"/>
        </w:rPr>
        <w:t xml:space="preserve">) </w:t>
      </w:r>
      <w:r>
        <w:rPr>
          <w:szCs w:val="24"/>
        </w:rPr>
        <w:t xml:space="preserve">but </w:t>
      </w:r>
      <w:r w:rsidRPr="00203170">
        <w:rPr>
          <w:szCs w:val="24"/>
        </w:rPr>
        <w:t xml:space="preserve">this rate </w:t>
      </w:r>
      <w:r>
        <w:rPr>
          <w:szCs w:val="24"/>
        </w:rPr>
        <w:t>has two component costs, being backfilling of the shaft or adit and the installation of a concrete cap, that relates more closely to the source data obtained from tender BOQ’s.</w:t>
      </w:r>
    </w:p>
    <w:p w14:paraId="2E8AED6C" w14:textId="77777777" w:rsidR="009C1AEF" w:rsidRPr="00203170" w:rsidRDefault="009C1AEF" w:rsidP="009C1AEF">
      <w:pPr>
        <w:rPr>
          <w:szCs w:val="24"/>
        </w:rPr>
      </w:pPr>
      <w:r w:rsidRPr="00203170">
        <w:rPr>
          <w:noProof/>
          <w:szCs w:val="24"/>
          <w:lang w:eastAsia="en-ZA"/>
        </w:rPr>
        <w:drawing>
          <wp:inline distT="0" distB="0" distL="0" distR="0" wp14:anchorId="588F1902" wp14:editId="04BF4D07">
            <wp:extent cx="5729696" cy="2977662"/>
            <wp:effectExtent l="19050" t="19050" r="23495" b="133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haft closure drawing.jpg"/>
                    <pic:cNvPicPr/>
                  </pic:nvPicPr>
                  <pic:blipFill>
                    <a:blip r:embed="rId77">
                      <a:extLst>
                        <a:ext uri="{28A0092B-C50C-407E-A947-70E740481C1C}">
                          <a14:useLocalDpi xmlns:a14="http://schemas.microsoft.com/office/drawing/2010/main" val="0"/>
                        </a:ext>
                      </a:extLst>
                    </a:blip>
                    <a:stretch>
                      <a:fillRect/>
                    </a:stretch>
                  </pic:blipFill>
                  <pic:spPr>
                    <a:xfrm>
                      <a:off x="0" y="0"/>
                      <a:ext cx="5770634" cy="2998937"/>
                    </a:xfrm>
                    <a:prstGeom prst="rect">
                      <a:avLst/>
                    </a:prstGeom>
                    <a:ln>
                      <a:solidFill>
                        <a:schemeClr val="tx1"/>
                      </a:solidFill>
                    </a:ln>
                  </pic:spPr>
                </pic:pic>
              </a:graphicData>
            </a:graphic>
          </wp:inline>
        </w:drawing>
      </w:r>
    </w:p>
    <w:p w14:paraId="22C3103E" w14:textId="758A5EDB" w:rsidR="009C1AEF" w:rsidRDefault="009C1AEF" w:rsidP="009C1AEF">
      <w:pPr>
        <w:pStyle w:val="Caption"/>
      </w:pPr>
      <w:bookmarkStart w:id="695" w:name="_Toc519445885"/>
      <w:bookmarkStart w:id="696" w:name="_Toc519445922"/>
      <w:r>
        <w:t xml:space="preserve">Figure </w:t>
      </w:r>
      <w:r w:rsidR="00B20A4E">
        <w:t>A-3</w:t>
      </w:r>
      <w:r>
        <w:t>.</w:t>
      </w:r>
      <w:r w:rsidR="00B20A4E">
        <w:t>3</w:t>
      </w:r>
      <w:r>
        <w:t xml:space="preserve">: </w:t>
      </w:r>
      <w:r w:rsidRPr="0010396E">
        <w:t>Typical detail of how a vertical shaft is closed</w:t>
      </w:r>
      <w:r w:rsidRPr="0010396E">
        <w:rPr>
          <w:sz w:val="36"/>
          <w:szCs w:val="24"/>
        </w:rPr>
        <w:t xml:space="preserve"> </w:t>
      </w:r>
      <w:r w:rsidRPr="00EE00F1">
        <w:rPr>
          <w:szCs w:val="24"/>
        </w:rPr>
        <w:t>(Source: Mintek)</w:t>
      </w:r>
      <w:bookmarkEnd w:id="695"/>
      <w:bookmarkEnd w:id="696"/>
      <w:r>
        <w:t xml:space="preserve"> </w:t>
      </w:r>
    </w:p>
    <w:p w14:paraId="572A3043" w14:textId="77777777" w:rsidR="00B20A4E" w:rsidRDefault="00B20A4E" w:rsidP="009C1AEF">
      <w:pPr>
        <w:rPr>
          <w:szCs w:val="24"/>
        </w:rPr>
      </w:pPr>
    </w:p>
    <w:p w14:paraId="3052E35B" w14:textId="5865DF09" w:rsidR="009C1AEF" w:rsidRPr="00203170" w:rsidRDefault="009C1AEF" w:rsidP="009C1AEF">
      <w:pPr>
        <w:rPr>
          <w:szCs w:val="24"/>
        </w:rPr>
      </w:pPr>
      <w:r w:rsidRPr="00203170">
        <w:rPr>
          <w:szCs w:val="24"/>
        </w:rPr>
        <w:t>Vertical shafts are typically closed by first backfilling the shaft with the polluted material. In the case of asbestos, the shaft provides a handy place to dispose of the polluted material safely – back into the shaft. If the volumes of material allow, backfilling the shaft completely also allows a reduction in the potential future risk of a shaft cap failing and subsidence of the surface occurring. The backfilled shaft is then first capped with a light concrete binding layer which is followed by a strong concrete cap and finally covered along with the rest of the surface rehabilitation.</w:t>
      </w:r>
    </w:p>
    <w:p w14:paraId="76E8E2D0" w14:textId="77777777" w:rsidR="009C1AEF" w:rsidRPr="00203170" w:rsidRDefault="009C1AEF" w:rsidP="009C1AEF">
      <w:pPr>
        <w:rPr>
          <w:szCs w:val="24"/>
        </w:rPr>
      </w:pPr>
      <w:r w:rsidRPr="00203170">
        <w:rPr>
          <w:noProof/>
          <w:szCs w:val="24"/>
          <w:lang w:eastAsia="en-ZA"/>
        </w:rPr>
        <w:lastRenderedPageBreak/>
        <w:drawing>
          <wp:inline distT="0" distB="0" distL="0" distR="0" wp14:anchorId="39FABD37" wp14:editId="6339BF3F">
            <wp:extent cx="5731510" cy="2209800"/>
            <wp:effectExtent l="19050" t="19050" r="2159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dit closure.jpg"/>
                    <pic:cNvPicPr/>
                  </pic:nvPicPr>
                  <pic:blipFill>
                    <a:blip r:embed="rId78">
                      <a:extLst>
                        <a:ext uri="{28A0092B-C50C-407E-A947-70E740481C1C}">
                          <a14:useLocalDpi xmlns:a14="http://schemas.microsoft.com/office/drawing/2010/main" val="0"/>
                        </a:ext>
                      </a:extLst>
                    </a:blip>
                    <a:stretch>
                      <a:fillRect/>
                    </a:stretch>
                  </pic:blipFill>
                  <pic:spPr>
                    <a:xfrm>
                      <a:off x="0" y="0"/>
                      <a:ext cx="5752918" cy="2218054"/>
                    </a:xfrm>
                    <a:prstGeom prst="rect">
                      <a:avLst/>
                    </a:prstGeom>
                    <a:ln>
                      <a:solidFill>
                        <a:schemeClr val="tx1"/>
                      </a:solidFill>
                    </a:ln>
                  </pic:spPr>
                </pic:pic>
              </a:graphicData>
            </a:graphic>
          </wp:inline>
        </w:drawing>
      </w:r>
    </w:p>
    <w:p w14:paraId="5F522DB6" w14:textId="27F8B802" w:rsidR="009C1AEF" w:rsidRPr="00C60D96" w:rsidRDefault="009C1AEF" w:rsidP="009C1AEF">
      <w:pPr>
        <w:pStyle w:val="Caption"/>
        <w:rPr>
          <w:szCs w:val="24"/>
        </w:rPr>
      </w:pPr>
      <w:bookmarkStart w:id="697" w:name="_Toc519445886"/>
      <w:bookmarkStart w:id="698" w:name="_Toc519445923"/>
      <w:r>
        <w:t xml:space="preserve">Figure </w:t>
      </w:r>
      <w:r w:rsidR="00B20A4E">
        <w:t>A-3</w:t>
      </w:r>
      <w:r>
        <w:t>.</w:t>
      </w:r>
      <w:r w:rsidR="00B20A4E">
        <w:t>4</w:t>
      </w:r>
      <w:r>
        <w:t xml:space="preserve">: </w:t>
      </w:r>
      <w:r w:rsidRPr="0010396E">
        <w:t>Typical detail of how an adit is closed</w:t>
      </w:r>
      <w:r w:rsidRPr="0010396E">
        <w:rPr>
          <w:sz w:val="36"/>
          <w:szCs w:val="24"/>
        </w:rPr>
        <w:t xml:space="preserve"> </w:t>
      </w:r>
      <w:r w:rsidRPr="00C60D96">
        <w:rPr>
          <w:szCs w:val="24"/>
        </w:rPr>
        <w:t>(Source: Mintek)</w:t>
      </w:r>
      <w:bookmarkEnd w:id="697"/>
      <w:bookmarkEnd w:id="698"/>
      <w:r w:rsidRPr="00C60D96">
        <w:rPr>
          <w:szCs w:val="24"/>
        </w:rPr>
        <w:t xml:space="preserve"> </w:t>
      </w:r>
    </w:p>
    <w:p w14:paraId="6EB08B89" w14:textId="77777777" w:rsidR="009C1AEF" w:rsidRDefault="009C1AEF" w:rsidP="009C1AEF">
      <w:pPr>
        <w:rPr>
          <w:szCs w:val="24"/>
        </w:rPr>
      </w:pPr>
    </w:p>
    <w:p w14:paraId="05E6009B" w14:textId="25ED2B57" w:rsidR="009C1AEF" w:rsidRDefault="009C1AEF" w:rsidP="009C1AEF">
      <w:pPr>
        <w:rPr>
          <w:szCs w:val="24"/>
        </w:rPr>
      </w:pPr>
      <w:r w:rsidRPr="00203170">
        <w:rPr>
          <w:szCs w:val="24"/>
        </w:rPr>
        <w:t xml:space="preserve">Incline shafts and adits, which are very often encountered on asbestos mine sites, are also backfilled as far as possible with the discard or polluted waste material. A concrete cap </w:t>
      </w:r>
      <w:r>
        <w:rPr>
          <w:szCs w:val="24"/>
        </w:rPr>
        <w:t xml:space="preserve">or gabion </w:t>
      </w:r>
      <w:r w:rsidRPr="00203170">
        <w:rPr>
          <w:szCs w:val="24"/>
        </w:rPr>
        <w:t xml:space="preserve">is installed to seal off the backfilled adit and the opening left is also backfilled with clean material before the area is covered. </w:t>
      </w:r>
    </w:p>
    <w:p w14:paraId="583067D8" w14:textId="3C3E7F38" w:rsidR="00804BFD" w:rsidRPr="00D7687F" w:rsidRDefault="00B20A4E" w:rsidP="00D7687F">
      <w:pPr>
        <w:rPr>
          <w:b/>
        </w:rPr>
      </w:pPr>
      <w:r w:rsidRPr="00D7687F">
        <w:rPr>
          <w:b/>
        </w:rPr>
        <w:t>M</w:t>
      </w:r>
      <w:r w:rsidR="00804BFD" w:rsidRPr="00D7687F">
        <w:rPr>
          <w:b/>
        </w:rPr>
        <w:t>aster rate (8C):  Processing waste deposits and evaporation ponds (acid, metal)</w:t>
      </w:r>
      <w:r w:rsidRPr="00D7687F">
        <w:rPr>
          <w:b/>
        </w:rPr>
        <w:t xml:space="preserve"> (4.3.4, Page 53)</w:t>
      </w:r>
    </w:p>
    <w:p w14:paraId="540CBD15" w14:textId="77777777" w:rsidR="00804BFD" w:rsidRDefault="00804BFD" w:rsidP="00804BFD">
      <w:pPr>
        <w:rPr>
          <w:szCs w:val="24"/>
        </w:rPr>
      </w:pPr>
      <w:r w:rsidRPr="00203170">
        <w:rPr>
          <w:szCs w:val="24"/>
        </w:rPr>
        <w:t>The generally accepted closure methods in the DM</w:t>
      </w:r>
      <w:r>
        <w:rPr>
          <w:szCs w:val="24"/>
        </w:rPr>
        <w:t>E</w:t>
      </w:r>
      <w:r w:rsidRPr="00203170">
        <w:rPr>
          <w:szCs w:val="24"/>
        </w:rPr>
        <w:t xml:space="preserve"> guideline places asbestos mines under the category of acidic, metal rich residue deposits. (item 2.7.3 of the Generally accepted closure methods) The objective of the rehabilitation of these types of residue deposits is closely aligned with the approach followed on most asbestos mine projects where waste rock deposits rich in asbestos fibre or fine fibre dumps are encountered and is already described in the generally accepted closure methods. </w:t>
      </w:r>
    </w:p>
    <w:p w14:paraId="07BEB2E3" w14:textId="77777777" w:rsidR="00804BFD" w:rsidRPr="00203170" w:rsidRDefault="00804BFD" w:rsidP="00804BFD">
      <w:pPr>
        <w:jc w:val="center"/>
        <w:rPr>
          <w:szCs w:val="24"/>
        </w:rPr>
      </w:pPr>
      <w:r w:rsidRPr="00203170">
        <w:rPr>
          <w:b/>
          <w:noProof/>
          <w:szCs w:val="24"/>
          <w:lang w:eastAsia="en-ZA"/>
        </w:rPr>
        <w:lastRenderedPageBreak/>
        <w:drawing>
          <wp:inline distT="0" distB="0" distL="0" distR="0" wp14:anchorId="36A05857" wp14:editId="4069C15F">
            <wp:extent cx="4627344" cy="3470467"/>
            <wp:effectExtent l="0" t="0" r="1905" b="0"/>
            <wp:docPr id="25" name="Picture 25" descr="F:\Work info\D &amp; O 2013 onward\Pictures\Streatham\Site Walkover with SRK 16July 2015\DSCF4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Work info\D &amp; O 2013 onward\Pictures\Streatham\Site Walkover with SRK 16July 2015\DSCF4034.JPG"/>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4630170" cy="3472586"/>
                    </a:xfrm>
                    <a:prstGeom prst="rect">
                      <a:avLst/>
                    </a:prstGeom>
                    <a:noFill/>
                    <a:ln>
                      <a:noFill/>
                    </a:ln>
                  </pic:spPr>
                </pic:pic>
              </a:graphicData>
            </a:graphic>
          </wp:inline>
        </w:drawing>
      </w:r>
    </w:p>
    <w:p w14:paraId="39E1634A" w14:textId="7B1CC2E3" w:rsidR="00804BFD" w:rsidRDefault="00804BFD" w:rsidP="00804BFD">
      <w:pPr>
        <w:pStyle w:val="Caption"/>
      </w:pPr>
      <w:bookmarkStart w:id="699" w:name="_Toc519445887"/>
      <w:bookmarkStart w:id="700" w:name="_Toc519445924"/>
      <w:r>
        <w:t xml:space="preserve">Figure </w:t>
      </w:r>
      <w:r w:rsidR="00B20A4E">
        <w:t>A-3</w:t>
      </w:r>
      <w:r>
        <w:t>.</w:t>
      </w:r>
      <w:r w:rsidR="00B20A4E">
        <w:t>5</w:t>
      </w:r>
      <w:r>
        <w:t xml:space="preserve">: </w:t>
      </w:r>
      <w:r w:rsidRPr="0010396E">
        <w:t>Asbestos waste and fine fibrous material was often end-tipped at steep elevations just outside shaft entrances</w:t>
      </w:r>
      <w:r w:rsidRPr="0010396E">
        <w:rPr>
          <w:sz w:val="36"/>
          <w:szCs w:val="24"/>
        </w:rPr>
        <w:t xml:space="preserve"> </w:t>
      </w:r>
      <w:r w:rsidRPr="00C60D96">
        <w:rPr>
          <w:szCs w:val="24"/>
        </w:rPr>
        <w:t>(Source: Author)</w:t>
      </w:r>
      <w:bookmarkEnd w:id="699"/>
      <w:bookmarkEnd w:id="700"/>
      <w:r>
        <w:t xml:space="preserve"> </w:t>
      </w:r>
    </w:p>
    <w:p w14:paraId="16AAE9E6" w14:textId="77777777" w:rsidR="00804BFD" w:rsidRDefault="00804BFD" w:rsidP="00804BFD">
      <w:pPr>
        <w:rPr>
          <w:szCs w:val="24"/>
        </w:rPr>
      </w:pPr>
    </w:p>
    <w:p w14:paraId="35DBD221" w14:textId="77777777" w:rsidR="00804BFD" w:rsidRDefault="00804BFD" w:rsidP="00804BFD">
      <w:pPr>
        <w:rPr>
          <w:szCs w:val="24"/>
        </w:rPr>
      </w:pPr>
      <w:r w:rsidRPr="00203170">
        <w:rPr>
          <w:szCs w:val="24"/>
        </w:rPr>
        <w:t>In all cases, whether the original mine incline shaft was larger to allow the entrance of mining equipment or hand-dug, the waste material and unwanted fines were most often end-tipped. The material spoil dumps are usually difficult to access in order to consolidate and reshape them as part of the rehabilitation plan and often require significant earthworks and protection berms to prevent future erosion on the steep slopes where they are located.</w:t>
      </w:r>
    </w:p>
    <w:p w14:paraId="4D1910F5" w14:textId="77777777" w:rsidR="00804BFD" w:rsidRPr="00203170" w:rsidRDefault="00804BFD" w:rsidP="00804BFD">
      <w:pPr>
        <w:rPr>
          <w:szCs w:val="24"/>
        </w:rPr>
      </w:pPr>
      <w:r w:rsidRPr="00203170">
        <w:rPr>
          <w:szCs w:val="24"/>
        </w:rPr>
        <w:t xml:space="preserve"> </w:t>
      </w:r>
    </w:p>
    <w:p w14:paraId="55AC6018" w14:textId="77777777" w:rsidR="00804BFD" w:rsidRPr="00203170" w:rsidRDefault="00804BFD" w:rsidP="00804BFD">
      <w:pPr>
        <w:jc w:val="center"/>
        <w:rPr>
          <w:szCs w:val="24"/>
        </w:rPr>
      </w:pPr>
      <w:r w:rsidRPr="00203170">
        <w:rPr>
          <w:noProof/>
          <w:szCs w:val="24"/>
          <w:lang w:eastAsia="en-ZA"/>
        </w:rPr>
        <w:lastRenderedPageBreak/>
        <w:drawing>
          <wp:inline distT="0" distB="0" distL="0" distR="0" wp14:anchorId="342C2318" wp14:editId="1C4B116F">
            <wp:extent cx="4167554" cy="2986193"/>
            <wp:effectExtent l="0" t="0" r="4445"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a:ext>
                      </a:extLst>
                    </a:blip>
                    <a:srcRect/>
                    <a:stretch>
                      <a:fillRect/>
                    </a:stretch>
                  </pic:blipFill>
                  <pic:spPr bwMode="auto">
                    <a:xfrm>
                      <a:off x="0" y="0"/>
                      <a:ext cx="4182891" cy="2997183"/>
                    </a:xfrm>
                    <a:prstGeom prst="rect">
                      <a:avLst/>
                    </a:prstGeom>
                    <a:noFill/>
                    <a:ln>
                      <a:noFill/>
                    </a:ln>
                  </pic:spPr>
                </pic:pic>
              </a:graphicData>
            </a:graphic>
          </wp:inline>
        </w:drawing>
      </w:r>
    </w:p>
    <w:p w14:paraId="50EF516F" w14:textId="196D6738" w:rsidR="00804BFD" w:rsidRDefault="00804BFD" w:rsidP="00804BFD">
      <w:pPr>
        <w:pStyle w:val="Caption"/>
        <w:rPr>
          <w:szCs w:val="24"/>
        </w:rPr>
      </w:pPr>
      <w:bookmarkStart w:id="701" w:name="_Toc519445888"/>
      <w:bookmarkStart w:id="702" w:name="_Toc519445925"/>
      <w:r>
        <w:t xml:space="preserve">Figure </w:t>
      </w:r>
      <w:r w:rsidR="00B20A4E">
        <w:t>A-3</w:t>
      </w:r>
      <w:r>
        <w:t>.</w:t>
      </w:r>
      <w:r w:rsidR="00B20A4E">
        <w:t>6</w:t>
      </w:r>
      <w:r>
        <w:t xml:space="preserve">: </w:t>
      </w:r>
      <w:r w:rsidRPr="0010396E">
        <w:t>Contaminated waste rock deposits often encountered at abandoned asbestos mines</w:t>
      </w:r>
      <w:r w:rsidRPr="0010396E">
        <w:rPr>
          <w:sz w:val="36"/>
          <w:szCs w:val="24"/>
        </w:rPr>
        <w:t xml:space="preserve"> </w:t>
      </w:r>
      <w:r>
        <w:rPr>
          <w:sz w:val="36"/>
          <w:szCs w:val="24"/>
        </w:rPr>
        <w:br/>
      </w:r>
      <w:r w:rsidRPr="00C60D96">
        <w:rPr>
          <w:szCs w:val="24"/>
        </w:rPr>
        <w:t>(Source: Author)</w:t>
      </w:r>
      <w:bookmarkEnd w:id="701"/>
      <w:bookmarkEnd w:id="702"/>
    </w:p>
    <w:p w14:paraId="4B4FB42F" w14:textId="77777777" w:rsidR="00B20A4E" w:rsidRPr="00B20A4E" w:rsidRDefault="00B20A4E" w:rsidP="00B20A4E"/>
    <w:p w14:paraId="0813EB91" w14:textId="77777777" w:rsidR="00804BFD" w:rsidRPr="00203170" w:rsidRDefault="00804BFD" w:rsidP="00804BFD">
      <w:pPr>
        <w:rPr>
          <w:szCs w:val="24"/>
        </w:rPr>
      </w:pPr>
      <w:r w:rsidRPr="00203170">
        <w:rPr>
          <w:szCs w:val="24"/>
        </w:rPr>
        <w:t xml:space="preserve">Most asbestos mines that are rehabilitated contain varying amounts of asbestos fibre and fibre-contaminated waste rock. The approach is usually to shape these dumps of contaminated material and cover it with clean material sourced locally (on site) or imported if required. </w:t>
      </w:r>
    </w:p>
    <w:p w14:paraId="7F40BDCA" w14:textId="77777777" w:rsidR="00804BFD" w:rsidRPr="00203170" w:rsidRDefault="00804BFD" w:rsidP="00804BFD">
      <w:pPr>
        <w:jc w:val="center"/>
        <w:rPr>
          <w:szCs w:val="24"/>
        </w:rPr>
      </w:pPr>
      <w:r w:rsidRPr="00203170">
        <w:rPr>
          <w:noProof/>
          <w:szCs w:val="24"/>
          <w:lang w:eastAsia="en-ZA"/>
        </w:rPr>
        <w:drawing>
          <wp:inline distT="0" distB="0" distL="0" distR="0" wp14:anchorId="06E88E45" wp14:editId="22A6905C">
            <wp:extent cx="4314092" cy="3234636"/>
            <wp:effectExtent l="0" t="0" r="0" b="4445"/>
            <wp:docPr id="27" name="Picture 27" descr="F:\Work info\D &amp; O 2013 onward\Pictures\Buisvlei May2013\100_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Work info\D &amp; O 2013 onward\Pictures\Buisvlei May2013\100_2241.JPG"/>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4330533" cy="3246963"/>
                    </a:xfrm>
                    <a:prstGeom prst="rect">
                      <a:avLst/>
                    </a:prstGeom>
                    <a:noFill/>
                    <a:ln>
                      <a:noFill/>
                    </a:ln>
                  </pic:spPr>
                </pic:pic>
              </a:graphicData>
            </a:graphic>
          </wp:inline>
        </w:drawing>
      </w:r>
    </w:p>
    <w:p w14:paraId="71BDDD59" w14:textId="796080F6" w:rsidR="00804BFD" w:rsidRPr="00C60D96" w:rsidRDefault="00804BFD" w:rsidP="00804BFD">
      <w:pPr>
        <w:pStyle w:val="Caption"/>
        <w:rPr>
          <w:szCs w:val="24"/>
        </w:rPr>
      </w:pPr>
      <w:bookmarkStart w:id="703" w:name="_Toc519445889"/>
      <w:bookmarkStart w:id="704" w:name="_Toc519445926"/>
      <w:r>
        <w:t xml:space="preserve">Figure </w:t>
      </w:r>
      <w:r w:rsidR="00B20A4E">
        <w:t>A-3</w:t>
      </w:r>
      <w:r>
        <w:t>.</w:t>
      </w:r>
      <w:r w:rsidR="00B20A4E">
        <w:t>7</w:t>
      </w:r>
      <w:r>
        <w:t xml:space="preserve">: </w:t>
      </w:r>
      <w:r w:rsidRPr="0010396E">
        <w:t>Some asbestos mines still contain very large dumps of fibre and waste rock</w:t>
      </w:r>
      <w:r w:rsidRPr="0010396E">
        <w:rPr>
          <w:sz w:val="36"/>
          <w:szCs w:val="24"/>
        </w:rPr>
        <w:t xml:space="preserve"> </w:t>
      </w:r>
      <w:r w:rsidRPr="00C60D96">
        <w:rPr>
          <w:szCs w:val="24"/>
        </w:rPr>
        <w:t>(Source: Author)</w:t>
      </w:r>
      <w:bookmarkEnd w:id="703"/>
      <w:bookmarkEnd w:id="704"/>
    </w:p>
    <w:p w14:paraId="1BE19FFD" w14:textId="77777777" w:rsidR="00804BFD" w:rsidRPr="00203170" w:rsidRDefault="00804BFD" w:rsidP="00804BFD">
      <w:pPr>
        <w:rPr>
          <w:szCs w:val="24"/>
        </w:rPr>
      </w:pPr>
      <w:r w:rsidRPr="00203170">
        <w:rPr>
          <w:szCs w:val="24"/>
        </w:rPr>
        <w:lastRenderedPageBreak/>
        <w:t xml:space="preserve">While waste rock and asbestos fibre dumps of smaller volumes are a feature of almost all project sites, these dumps can be of much more significant proportions where the mine in question has been exploited commercially over several years. </w:t>
      </w:r>
    </w:p>
    <w:p w14:paraId="16A34FA8" w14:textId="77777777" w:rsidR="00804BFD" w:rsidRPr="00203170" w:rsidRDefault="00804BFD" w:rsidP="00804BFD">
      <w:pPr>
        <w:rPr>
          <w:szCs w:val="24"/>
        </w:rPr>
      </w:pPr>
      <w:r w:rsidRPr="00203170">
        <w:rPr>
          <w:noProof/>
          <w:szCs w:val="24"/>
          <w:lang w:eastAsia="en-ZA"/>
        </w:rPr>
        <w:drawing>
          <wp:inline distT="0" distB="0" distL="0" distR="0" wp14:anchorId="6AFCE21A" wp14:editId="027AE0A2">
            <wp:extent cx="5731510" cy="2393315"/>
            <wp:effectExtent l="19050" t="19050" r="21590" b="260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rface rehab.jpg"/>
                    <pic:cNvPicPr/>
                  </pic:nvPicPr>
                  <pic:blipFill>
                    <a:blip r:embed="rId82">
                      <a:extLst>
                        <a:ext uri="{28A0092B-C50C-407E-A947-70E740481C1C}">
                          <a14:useLocalDpi xmlns:a14="http://schemas.microsoft.com/office/drawing/2010/main" val="0"/>
                        </a:ext>
                      </a:extLst>
                    </a:blip>
                    <a:stretch>
                      <a:fillRect/>
                    </a:stretch>
                  </pic:blipFill>
                  <pic:spPr>
                    <a:xfrm>
                      <a:off x="0" y="0"/>
                      <a:ext cx="5731510" cy="2393315"/>
                    </a:xfrm>
                    <a:prstGeom prst="rect">
                      <a:avLst/>
                    </a:prstGeom>
                    <a:ln>
                      <a:solidFill>
                        <a:schemeClr val="tx1"/>
                      </a:solidFill>
                    </a:ln>
                  </pic:spPr>
                </pic:pic>
              </a:graphicData>
            </a:graphic>
          </wp:inline>
        </w:drawing>
      </w:r>
    </w:p>
    <w:p w14:paraId="1233AC63" w14:textId="7F788C02" w:rsidR="00804BFD" w:rsidRPr="00C60D96" w:rsidRDefault="00804BFD" w:rsidP="00804BFD">
      <w:pPr>
        <w:pStyle w:val="Caption"/>
        <w:rPr>
          <w:szCs w:val="24"/>
        </w:rPr>
      </w:pPr>
      <w:bookmarkStart w:id="705" w:name="_Toc519445890"/>
      <w:bookmarkStart w:id="706" w:name="_Toc519445927"/>
      <w:r>
        <w:t xml:space="preserve">Figure </w:t>
      </w:r>
      <w:r w:rsidR="00B20A4E">
        <w:t>A-3</w:t>
      </w:r>
      <w:r>
        <w:t>.</w:t>
      </w:r>
      <w:r w:rsidR="00B20A4E">
        <w:t>8</w:t>
      </w:r>
      <w:r>
        <w:t xml:space="preserve">: </w:t>
      </w:r>
      <w:r w:rsidRPr="0010396E">
        <w:t>Typical detail of how general surface shaping of asbestos dumps and rehabilitation is conducted</w:t>
      </w:r>
      <w:r w:rsidRPr="0010396E">
        <w:rPr>
          <w:sz w:val="36"/>
          <w:szCs w:val="24"/>
        </w:rPr>
        <w:t xml:space="preserve"> </w:t>
      </w:r>
      <w:r w:rsidRPr="00C60D96">
        <w:rPr>
          <w:szCs w:val="24"/>
        </w:rPr>
        <w:t>(Source: Mintek)</w:t>
      </w:r>
      <w:bookmarkEnd w:id="705"/>
      <w:bookmarkEnd w:id="706"/>
    </w:p>
    <w:p w14:paraId="636908F6" w14:textId="77777777" w:rsidR="00804BFD" w:rsidRDefault="00804BFD" w:rsidP="00804BFD">
      <w:pPr>
        <w:rPr>
          <w:szCs w:val="24"/>
        </w:rPr>
      </w:pPr>
    </w:p>
    <w:p w14:paraId="4F89ABA5" w14:textId="77777777" w:rsidR="00804BFD" w:rsidRPr="00203170" w:rsidRDefault="00804BFD" w:rsidP="00804BFD">
      <w:pPr>
        <w:rPr>
          <w:szCs w:val="24"/>
        </w:rPr>
      </w:pPr>
      <w:r w:rsidRPr="00203170">
        <w:rPr>
          <w:szCs w:val="24"/>
        </w:rPr>
        <w:t>The guideline rate is quoted in R/ha but it is made up of several component rates that include the modification of the dump slope, shaping of the dump, placing two separate cover layers, and vegetation. This work is never described in tenders on a per hectare basis, as site differences necessitate specific instruction</w:t>
      </w:r>
      <w:r>
        <w:rPr>
          <w:szCs w:val="24"/>
        </w:rPr>
        <w:t>s</w:t>
      </w:r>
      <w:r w:rsidRPr="00203170">
        <w:rPr>
          <w:szCs w:val="24"/>
        </w:rPr>
        <w:t xml:space="preserve"> for each step in the proper rehabilitation of these dumps. The manner in which the bill of quantities describe</w:t>
      </w:r>
      <w:r>
        <w:rPr>
          <w:szCs w:val="24"/>
        </w:rPr>
        <w:t>s</w:t>
      </w:r>
      <w:r w:rsidRPr="00203170">
        <w:rPr>
          <w:szCs w:val="24"/>
        </w:rPr>
        <w:t xml:space="preserve"> the work component</w:t>
      </w:r>
      <w:r>
        <w:rPr>
          <w:szCs w:val="24"/>
        </w:rPr>
        <w:t>s</w:t>
      </w:r>
      <w:r w:rsidRPr="00203170">
        <w:rPr>
          <w:szCs w:val="24"/>
        </w:rPr>
        <w:t xml:space="preserve"> align closely with the steps and components of the master rate in the DM</w:t>
      </w:r>
      <w:r>
        <w:rPr>
          <w:szCs w:val="24"/>
        </w:rPr>
        <w:t>E</w:t>
      </w:r>
      <w:r w:rsidRPr="00203170">
        <w:rPr>
          <w:szCs w:val="24"/>
        </w:rPr>
        <w:t xml:space="preserve"> guideline. This r</w:t>
      </w:r>
      <w:r>
        <w:rPr>
          <w:szCs w:val="24"/>
        </w:rPr>
        <w:t>esearch report</w:t>
      </w:r>
      <w:r w:rsidRPr="00203170">
        <w:rPr>
          <w:szCs w:val="24"/>
        </w:rPr>
        <w:t xml:space="preserve"> therefore uses the approach of looking at the component rates that make up the master rate as more directly comparable to the data obtained from tenders. </w:t>
      </w:r>
    </w:p>
    <w:p w14:paraId="6F8AB074" w14:textId="2E846742" w:rsidR="00804BFD" w:rsidRDefault="00804BFD" w:rsidP="00804BFD">
      <w:pPr>
        <w:rPr>
          <w:szCs w:val="24"/>
        </w:rPr>
      </w:pPr>
      <w:r w:rsidRPr="00203170">
        <w:rPr>
          <w:szCs w:val="24"/>
        </w:rPr>
        <w:t xml:space="preserve">All these factors are very closely aligned with the objectives of the asbestos mine closure and the typical asbestos project therefore fits perfectly in this category. </w:t>
      </w:r>
      <w:r>
        <w:rPr>
          <w:szCs w:val="24"/>
        </w:rPr>
        <w:t>T</w:t>
      </w:r>
      <w:r w:rsidRPr="00203170">
        <w:rPr>
          <w:szCs w:val="24"/>
        </w:rPr>
        <w:t>he Master rate is based on certain volumetric and size assumptions of the dump typically encountered on this type of mine and the volumes of material that would be used to rehabilitate it to standard. The approach here will be to analyse trends in the underlying rates that comprise this master rate.</w:t>
      </w:r>
    </w:p>
    <w:p w14:paraId="5FBBE185" w14:textId="6DA531E0" w:rsidR="00B20A4E" w:rsidRPr="00B20A4E" w:rsidRDefault="00B20A4E" w:rsidP="00804BFD">
      <w:pPr>
        <w:rPr>
          <w:b/>
          <w:szCs w:val="24"/>
        </w:rPr>
      </w:pPr>
      <w:r w:rsidRPr="00B20A4E">
        <w:rPr>
          <w:b/>
          <w:szCs w:val="24"/>
        </w:rPr>
        <w:t>Slope modification to 18</w:t>
      </w:r>
      <w:r w:rsidRPr="00B20A4E">
        <w:rPr>
          <w:b/>
          <w:szCs w:val="24"/>
          <w:vertAlign w:val="superscript"/>
        </w:rPr>
        <w:t>o</w:t>
      </w:r>
      <w:r>
        <w:rPr>
          <w:b/>
          <w:szCs w:val="24"/>
          <w:vertAlign w:val="superscript"/>
        </w:rPr>
        <w:t xml:space="preserve"> </w:t>
      </w:r>
      <w:r w:rsidRPr="00B20A4E">
        <w:rPr>
          <w:b/>
          <w:szCs w:val="24"/>
        </w:rPr>
        <w:t>(4.3.4 (a)</w:t>
      </w:r>
      <w:r>
        <w:rPr>
          <w:b/>
          <w:szCs w:val="24"/>
        </w:rPr>
        <w:t>,</w:t>
      </w:r>
      <w:r w:rsidRPr="00B20A4E">
        <w:rPr>
          <w:b/>
          <w:szCs w:val="24"/>
        </w:rPr>
        <w:t xml:space="preserve"> Page</w:t>
      </w:r>
      <w:r>
        <w:rPr>
          <w:b/>
          <w:szCs w:val="24"/>
          <w:vertAlign w:val="superscript"/>
        </w:rPr>
        <w:t xml:space="preserve"> </w:t>
      </w:r>
      <w:r>
        <w:rPr>
          <w:b/>
          <w:szCs w:val="24"/>
        </w:rPr>
        <w:t>53)</w:t>
      </w:r>
    </w:p>
    <w:p w14:paraId="08599219" w14:textId="6CAB43E0" w:rsidR="00804BFD" w:rsidRDefault="00804BFD" w:rsidP="00804BFD">
      <w:pPr>
        <w:rPr>
          <w:szCs w:val="24"/>
        </w:rPr>
      </w:pPr>
      <w:r w:rsidRPr="00804BFD">
        <w:rPr>
          <w:szCs w:val="24"/>
        </w:rPr>
        <w:t xml:space="preserve">The first individual cost component that forms a component of the master rate in the DME guideline for the rehabilitation of processing waste deposits (of the type encountered on </w:t>
      </w:r>
      <w:r w:rsidRPr="00804BFD">
        <w:rPr>
          <w:szCs w:val="24"/>
        </w:rPr>
        <w:lastRenderedPageBreak/>
        <w:t>asbestos dumps) is slope modification. This process involves digging into the waste dump with the aim of moving the material usually dumped at angle of repose, to a slope angle of 18o maximum.</w:t>
      </w:r>
    </w:p>
    <w:p w14:paraId="0157D21A" w14:textId="32D69880" w:rsidR="00B20A4E" w:rsidRPr="00B20A4E" w:rsidRDefault="00B20A4E" w:rsidP="00804BFD">
      <w:pPr>
        <w:rPr>
          <w:b/>
          <w:szCs w:val="24"/>
        </w:rPr>
      </w:pPr>
      <w:r w:rsidRPr="00B20A4E">
        <w:rPr>
          <w:b/>
          <w:szCs w:val="24"/>
        </w:rPr>
        <w:t>Earthworks to shape dumps to the required angle of slope</w:t>
      </w:r>
      <w:r>
        <w:rPr>
          <w:b/>
          <w:szCs w:val="24"/>
        </w:rPr>
        <w:t xml:space="preserve"> (4.3.4 (b), Page 54)</w:t>
      </w:r>
    </w:p>
    <w:p w14:paraId="287A16C2" w14:textId="67CE0FF2" w:rsidR="00804BFD" w:rsidRDefault="00804BFD" w:rsidP="00804BFD">
      <w:pPr>
        <w:rPr>
          <w:szCs w:val="24"/>
        </w:rPr>
      </w:pPr>
      <w:r w:rsidRPr="00804BFD">
        <w:rPr>
          <w:szCs w:val="24"/>
        </w:rPr>
        <w:t>The next individual cost component that forms a part of the master rate in the DME guideline for the rehabilitation of processing waste deposits (of the type encountered on asbestos dumps) is the shaping of the dump. This process involves the smoothing and final shaping of the waste dump with the aim of preparing the surface for the placement of cover layers, water runoff management and erosion control as well as vegetation. This process happens after the desired dump slope angle has been attained.</w:t>
      </w:r>
    </w:p>
    <w:p w14:paraId="1BE3AE7E" w14:textId="2773607D" w:rsidR="00B309E0" w:rsidRPr="00B20A4E" w:rsidRDefault="00B309E0" w:rsidP="00B309E0">
      <w:pPr>
        <w:rPr>
          <w:szCs w:val="24"/>
        </w:rPr>
      </w:pPr>
      <w:r w:rsidRPr="00B20A4E">
        <w:rPr>
          <w:b/>
          <w:szCs w:val="24"/>
        </w:rPr>
        <w:t xml:space="preserve">The placement of dedicated covers over the dump </w:t>
      </w:r>
      <w:r w:rsidR="00B20A4E" w:rsidRPr="00B20A4E">
        <w:rPr>
          <w:b/>
          <w:szCs w:val="24"/>
        </w:rPr>
        <w:t xml:space="preserve">(4.3.4 (c), Page </w:t>
      </w:r>
      <w:r w:rsidR="00D7687F" w:rsidRPr="00D7687F">
        <w:rPr>
          <w:b/>
          <w:szCs w:val="24"/>
        </w:rPr>
        <w:t>56</w:t>
      </w:r>
      <w:r w:rsidR="00D7687F">
        <w:rPr>
          <w:szCs w:val="24"/>
        </w:rPr>
        <w:t>)</w:t>
      </w:r>
    </w:p>
    <w:p w14:paraId="08A9CAF4" w14:textId="4091326F" w:rsidR="00B309E0" w:rsidRDefault="00B309E0" w:rsidP="00B309E0">
      <w:pPr>
        <w:rPr>
          <w:szCs w:val="24"/>
        </w:rPr>
      </w:pPr>
      <w:r w:rsidRPr="00203170">
        <w:rPr>
          <w:szCs w:val="24"/>
        </w:rPr>
        <w:t>The proper rehabilitation of a waste deposit or dump involves, after the slope modification and shaping steps, the placement of specific cover layers over the dump. These serve to protect the stability of the modified dump slope, to limiting the ingress of water and air into the dump material, the separation of the mineral deposit from surface runoff that could contaminate water courses and facilitates an aesthetic appearance after closure</w:t>
      </w:r>
      <w:r>
        <w:rPr>
          <w:szCs w:val="24"/>
        </w:rPr>
        <w:t>.</w:t>
      </w:r>
      <w:r w:rsidRPr="00B309E0">
        <w:t xml:space="preserve"> </w:t>
      </w:r>
      <w:r w:rsidRPr="00B309E0">
        <w:rPr>
          <w:szCs w:val="24"/>
        </w:rPr>
        <w:t>The third individual cost component that the master rate in the DME guideline for the rehabilitation of processing waste deposits is composed of, is the placement of an armour covering over the reshaped and sloped dump. This process involves placing a cover of rocky material over the dump (usually around 150mm thick) and shaping it to merge with the profile of the underlying dump (now properly smoothed) and then compacting that layer to a given specification.</w:t>
      </w:r>
    </w:p>
    <w:p w14:paraId="06665315" w14:textId="52FE8FE9" w:rsidR="00B309E0" w:rsidRPr="00D7687F" w:rsidRDefault="00B309E0" w:rsidP="00B309E0">
      <w:pPr>
        <w:rPr>
          <w:b/>
          <w:szCs w:val="24"/>
        </w:rPr>
      </w:pPr>
      <w:r w:rsidRPr="00D7687F">
        <w:rPr>
          <w:b/>
          <w:szCs w:val="24"/>
        </w:rPr>
        <w:t xml:space="preserve">Placing a topsoil cover of 300mm </w:t>
      </w:r>
      <w:r w:rsidR="00D7687F" w:rsidRPr="00D7687F">
        <w:rPr>
          <w:b/>
          <w:szCs w:val="24"/>
        </w:rPr>
        <w:t>(4.3.4 (d), Page 57)</w:t>
      </w:r>
    </w:p>
    <w:p w14:paraId="6C29DCBD" w14:textId="4018EC48" w:rsidR="00B309E0" w:rsidRDefault="00B309E0" w:rsidP="00B309E0">
      <w:pPr>
        <w:rPr>
          <w:szCs w:val="24"/>
        </w:rPr>
      </w:pPr>
      <w:r w:rsidRPr="00203170">
        <w:rPr>
          <w:szCs w:val="24"/>
        </w:rPr>
        <w:t xml:space="preserve">The placement of an evaporative cover (soil layer) forms another component of the master rate in the </w:t>
      </w:r>
      <w:r>
        <w:rPr>
          <w:szCs w:val="24"/>
        </w:rPr>
        <w:t>DME</w:t>
      </w:r>
      <w:r w:rsidRPr="00203170">
        <w:rPr>
          <w:szCs w:val="24"/>
        </w:rPr>
        <w:t xml:space="preserve"> guideline for the rehabilitation of processing waste deposits. This step involves placing a layer of soil material (usually about 300mm thick) over the rock layer placed before to establish a suitable medium for vegetation in the following step.  </w:t>
      </w:r>
    </w:p>
    <w:p w14:paraId="4269AF94" w14:textId="3DC9A3F3" w:rsidR="00B309E0" w:rsidRPr="00D7687F" w:rsidRDefault="00B309E0" w:rsidP="00B309E0">
      <w:pPr>
        <w:rPr>
          <w:b/>
          <w:szCs w:val="24"/>
        </w:rPr>
      </w:pPr>
      <w:r w:rsidRPr="00D7687F">
        <w:rPr>
          <w:b/>
          <w:szCs w:val="24"/>
        </w:rPr>
        <w:t xml:space="preserve">Vegetation </w:t>
      </w:r>
      <w:r w:rsidR="00D7687F" w:rsidRPr="00D7687F">
        <w:rPr>
          <w:b/>
          <w:szCs w:val="24"/>
        </w:rPr>
        <w:t xml:space="preserve">(4.3.4 (e), Page </w:t>
      </w:r>
      <w:r w:rsidR="00D7687F">
        <w:rPr>
          <w:b/>
          <w:szCs w:val="24"/>
        </w:rPr>
        <w:t>58</w:t>
      </w:r>
      <w:r w:rsidR="00D7687F" w:rsidRPr="00D7687F">
        <w:rPr>
          <w:b/>
          <w:szCs w:val="24"/>
        </w:rPr>
        <w:t>)</w:t>
      </w:r>
    </w:p>
    <w:p w14:paraId="172D5D87" w14:textId="3D9C083F" w:rsidR="00B309E0" w:rsidRDefault="00B309E0" w:rsidP="00B309E0">
      <w:pPr>
        <w:rPr>
          <w:szCs w:val="24"/>
        </w:rPr>
      </w:pPr>
      <w:r w:rsidRPr="00203170">
        <w:rPr>
          <w:szCs w:val="24"/>
        </w:rPr>
        <w:t xml:space="preserve">The final individual cost component that comprises the master rate in the </w:t>
      </w:r>
      <w:r>
        <w:rPr>
          <w:szCs w:val="24"/>
        </w:rPr>
        <w:t>DME</w:t>
      </w:r>
      <w:r w:rsidRPr="00203170">
        <w:rPr>
          <w:szCs w:val="24"/>
        </w:rPr>
        <w:t xml:space="preserve"> guideline for the rehabilitation of processing waste deposits is vegetation of grassing. This process involves </w:t>
      </w:r>
      <w:r w:rsidRPr="00203170">
        <w:rPr>
          <w:szCs w:val="24"/>
        </w:rPr>
        <w:lastRenderedPageBreak/>
        <w:t>the placing of grass of a specified species mix, adding fertiliser and generally ensuring that the grass cover has every physical opportunity to establish over the dump. The rate is indicated per hectare of grass cover required (1ha = 10,000m</w:t>
      </w:r>
      <w:r w:rsidRPr="00203170">
        <w:rPr>
          <w:szCs w:val="24"/>
          <w:vertAlign w:val="superscript"/>
        </w:rPr>
        <w:t>2</w:t>
      </w:r>
      <w:r w:rsidRPr="00203170">
        <w:rPr>
          <w:szCs w:val="24"/>
        </w:rPr>
        <w:t>).</w:t>
      </w:r>
    </w:p>
    <w:p w14:paraId="4A2960EF" w14:textId="4EC7F890" w:rsidR="00C556C8" w:rsidRPr="00374E2B" w:rsidRDefault="00C556C8" w:rsidP="00C556C8">
      <w:pPr>
        <w:rPr>
          <w:b/>
          <w:i/>
          <w:szCs w:val="24"/>
        </w:rPr>
      </w:pPr>
      <w:r w:rsidRPr="00374E2B">
        <w:rPr>
          <w:rStyle w:val="Heading4Char"/>
          <w:rFonts w:asciiTheme="minorHAnsi" w:hAnsiTheme="minorHAnsi"/>
          <w:b/>
          <w:i w:val="0"/>
          <w:color w:val="auto"/>
          <w:szCs w:val="24"/>
        </w:rPr>
        <w:t xml:space="preserve">The establishment of a borrow pit to obtain cover and topsoil material </w:t>
      </w:r>
      <w:r>
        <w:rPr>
          <w:rStyle w:val="Heading4Char"/>
          <w:rFonts w:asciiTheme="minorHAnsi" w:hAnsiTheme="minorHAnsi"/>
          <w:b/>
          <w:i w:val="0"/>
          <w:color w:val="auto"/>
          <w:szCs w:val="24"/>
        </w:rPr>
        <w:br/>
      </w:r>
      <w:r w:rsidRPr="00374E2B">
        <w:rPr>
          <w:rStyle w:val="Heading4Char"/>
          <w:rFonts w:asciiTheme="minorHAnsi" w:hAnsiTheme="minorHAnsi"/>
          <w:b/>
          <w:i w:val="0"/>
          <w:color w:val="auto"/>
          <w:szCs w:val="24"/>
        </w:rPr>
        <w:t>near the dump</w:t>
      </w:r>
      <w:r w:rsidR="00D7687F">
        <w:rPr>
          <w:rStyle w:val="Heading4Char"/>
          <w:rFonts w:asciiTheme="minorHAnsi" w:hAnsiTheme="minorHAnsi"/>
          <w:b/>
          <w:i w:val="0"/>
          <w:color w:val="auto"/>
          <w:szCs w:val="24"/>
        </w:rPr>
        <w:t xml:space="preserve"> (</w:t>
      </w:r>
      <w:r w:rsidR="00D7687F" w:rsidRPr="00374E2B">
        <w:rPr>
          <w:rStyle w:val="Heading4Char"/>
          <w:rFonts w:asciiTheme="minorHAnsi" w:hAnsiTheme="minorHAnsi"/>
          <w:b/>
          <w:i w:val="0"/>
          <w:color w:val="auto"/>
          <w:szCs w:val="24"/>
        </w:rPr>
        <w:t>4.</w:t>
      </w:r>
      <w:r w:rsidR="00D7687F">
        <w:rPr>
          <w:rStyle w:val="Heading4Char"/>
          <w:rFonts w:asciiTheme="minorHAnsi" w:hAnsiTheme="minorHAnsi"/>
          <w:b/>
          <w:i w:val="0"/>
          <w:color w:val="auto"/>
          <w:szCs w:val="24"/>
        </w:rPr>
        <w:t>3.4</w:t>
      </w:r>
      <w:r w:rsidR="00D7687F" w:rsidRPr="00374E2B">
        <w:rPr>
          <w:rStyle w:val="Heading4Char"/>
          <w:rFonts w:asciiTheme="minorHAnsi" w:hAnsiTheme="minorHAnsi"/>
          <w:b/>
          <w:i w:val="0"/>
          <w:color w:val="auto"/>
          <w:szCs w:val="24"/>
        </w:rPr>
        <w:t xml:space="preserve"> (f)</w:t>
      </w:r>
      <w:r w:rsidR="00D7687F">
        <w:rPr>
          <w:rStyle w:val="Heading4Char"/>
          <w:rFonts w:asciiTheme="minorHAnsi" w:hAnsiTheme="minorHAnsi"/>
          <w:b/>
          <w:i w:val="0"/>
          <w:color w:val="auto"/>
          <w:szCs w:val="24"/>
        </w:rPr>
        <w:t>, Page 58)</w:t>
      </w:r>
    </w:p>
    <w:p w14:paraId="30787FBA" w14:textId="19D1BC3F" w:rsidR="00C556C8" w:rsidRDefault="00C556C8" w:rsidP="00C556C8">
      <w:pPr>
        <w:rPr>
          <w:szCs w:val="24"/>
        </w:rPr>
      </w:pPr>
      <w:r w:rsidRPr="00203170">
        <w:rPr>
          <w:szCs w:val="24"/>
        </w:rPr>
        <w:t xml:space="preserve">The </w:t>
      </w:r>
      <w:r>
        <w:rPr>
          <w:szCs w:val="24"/>
        </w:rPr>
        <w:t>DME</w:t>
      </w:r>
      <w:r w:rsidRPr="00203170">
        <w:rPr>
          <w:szCs w:val="24"/>
        </w:rPr>
        <w:t xml:space="preserve"> guideline rate provides for the establishment of a borrow pit to obtain material to place on the dump. This is a very specific rate component as it assumes that the borrow pit will be established on the project site itself. This borrow pit will not require further licensing as it is part of an existing mining right if the mine rehabilitates concurrently to its operations. However, in the case of an abandoned mine, the borrow pit cannot be assumed to exist and the rock or aggregate material must be obtained from commercial, licensed sources. Where these are located far away from the mine, the transport costs increase the price of sourcing these materials dramatically. It is simple yet practical considerations like these that require very careful consideration of the third-party rehabilitation assumption. It must always be borne in mind that, if any mine fails to rehabilitate themselves, and the State must take over and fund rehabilitation, the process of obtaining a mining right just to source borrow pits material might be too onerous for a short-term rehabilitation project. These legal technicalities, e.g.: not having a mining right to exploit borrow pit material on site and thus having to source commercially, has significant cost implications.</w:t>
      </w:r>
      <w:r w:rsidRPr="00C556C8">
        <w:t xml:space="preserve"> </w:t>
      </w:r>
      <w:r w:rsidRPr="00C556C8">
        <w:rPr>
          <w:szCs w:val="24"/>
        </w:rPr>
        <w:t>One of the specific material cost components included in the master rate in the DME guideline for the rehabilitation of processing waste deposits is the sourcing of aggregate for the covering of the dump and placing that material over the dump. In this instance, the master rate allows for the opening of a borrow pit close to the dump while the practical implementation is that this material is usually rather sourced from commercial sources.</w:t>
      </w:r>
    </w:p>
    <w:p w14:paraId="1E2F874B" w14:textId="326C2D32" w:rsidR="00FA2961" w:rsidRPr="00FA2961" w:rsidRDefault="00FA2961" w:rsidP="00C556C8">
      <w:pPr>
        <w:rPr>
          <w:b/>
          <w:szCs w:val="24"/>
        </w:rPr>
      </w:pPr>
      <w:r w:rsidRPr="00FA2961">
        <w:rPr>
          <w:b/>
          <w:szCs w:val="24"/>
        </w:rPr>
        <w:t>Geotextile</w:t>
      </w:r>
      <w:r w:rsidR="00D7687F">
        <w:rPr>
          <w:b/>
          <w:szCs w:val="24"/>
        </w:rPr>
        <w:t xml:space="preserve"> (Page 59)</w:t>
      </w:r>
    </w:p>
    <w:p w14:paraId="2C61A90E" w14:textId="20FC60BB" w:rsidR="00FA2961" w:rsidRDefault="00FA2961" w:rsidP="00C556C8">
      <w:pPr>
        <w:rPr>
          <w:szCs w:val="24"/>
        </w:rPr>
      </w:pPr>
      <w:r w:rsidRPr="00FA2961">
        <w:rPr>
          <w:szCs w:val="24"/>
        </w:rPr>
        <w:t>Another specific material cost component included in the master rate in the DME guideline for the rehabilitation of processing waste deposits is the purchase and placing of geotextile used in the covering of the dump and stabilisation of the soil for protection against erosion. This material is a specialised membrane used to stabilise soil and protect against erosion and several standard varieties are available from suppliers.</w:t>
      </w:r>
    </w:p>
    <w:p w14:paraId="41CB79DF" w14:textId="7ACD991A" w:rsidR="00FA2961" w:rsidRPr="00FA2961" w:rsidRDefault="00FA2961" w:rsidP="00FA2961">
      <w:pPr>
        <w:rPr>
          <w:szCs w:val="24"/>
        </w:rPr>
      </w:pPr>
      <w:r w:rsidRPr="00FA2961">
        <w:rPr>
          <w:b/>
          <w:szCs w:val="24"/>
        </w:rPr>
        <w:lastRenderedPageBreak/>
        <w:t>Master Rate (10): General surface rehab and grassing</w:t>
      </w:r>
      <w:r w:rsidRPr="00FA2961">
        <w:rPr>
          <w:szCs w:val="24"/>
        </w:rPr>
        <w:t xml:space="preserve">  </w:t>
      </w:r>
      <w:r w:rsidR="00D7687F" w:rsidRPr="00D7687F">
        <w:rPr>
          <w:b/>
          <w:szCs w:val="24"/>
        </w:rPr>
        <w:t>(4.3.5, Page 60)</w:t>
      </w:r>
    </w:p>
    <w:p w14:paraId="0D17BCB4" w14:textId="3589C392" w:rsidR="00FA2961" w:rsidRDefault="00FA2961" w:rsidP="00FA2961">
      <w:pPr>
        <w:rPr>
          <w:szCs w:val="24"/>
        </w:rPr>
      </w:pPr>
      <w:r w:rsidRPr="00FA2961">
        <w:rPr>
          <w:szCs w:val="24"/>
        </w:rPr>
        <w:t>While the master rate for item 8C already includes most of the cost elements that constitute the majority of the work on a typical asbestos rehabilitation project, general surface rehabilitation and grassing is a rate addressed in item 2.7 of the generally accepted closure methods in the DME guideline for areas which are not covered elsewhere. The generally accepted closure methods, in 2.7, prescribe that this work should ensure surface topography that matches the surrounding areas, landscaping to ensure proper surface water runoff, removal of unnecessary surface infrastructure and provide for a suitable landscape for vegetation. The master rate allows for shaping to a depth of 500mm and includes removal of concrete slabs or other surface features which could have been built temporarily to establish plant and maintain the project site. In the terms of practical implementation, this item can be compared to the rehabilitation, usually close to project completion, of the site establishment areas, site decommissioning and closure and general repair of the lay-down areas, clearing of temporary site offices and infrastructure, ripping up of the temporary access roads, etc. The intention of this category of unit rates is not bulk earthmoving but generally shallower general surface workings to achieve a final surface topography that is free-draining and aesthetically merges with the surrounding landscape.</w:t>
      </w:r>
      <w:r w:rsidRPr="00FA2961">
        <w:t xml:space="preserve"> </w:t>
      </w:r>
      <w:r w:rsidRPr="00FA2961">
        <w:rPr>
          <w:szCs w:val="24"/>
        </w:rPr>
        <w:t>The master rate for surface rehab and grassing in the DME guideline involves general levelling of the surface and compaction where required as well fertiliser application and the planting of grass species selected for the area.</w:t>
      </w:r>
    </w:p>
    <w:p w14:paraId="471FBD60" w14:textId="2660DD12" w:rsidR="00FA2961" w:rsidRPr="00FA2961" w:rsidRDefault="00FA2961" w:rsidP="00FA2961">
      <w:pPr>
        <w:rPr>
          <w:szCs w:val="24"/>
        </w:rPr>
      </w:pPr>
      <w:r w:rsidRPr="00FA2961">
        <w:rPr>
          <w:b/>
          <w:szCs w:val="24"/>
        </w:rPr>
        <w:t>Master Rate (12): Fencing</w:t>
      </w:r>
      <w:r w:rsidR="00D7687F">
        <w:rPr>
          <w:b/>
          <w:szCs w:val="24"/>
        </w:rPr>
        <w:t xml:space="preserve"> (</w:t>
      </w:r>
      <w:r w:rsidR="00D7687F" w:rsidRPr="00D7687F">
        <w:rPr>
          <w:b/>
          <w:szCs w:val="24"/>
        </w:rPr>
        <w:t>4</w:t>
      </w:r>
      <w:r w:rsidR="00D7687F" w:rsidRPr="00FA2961">
        <w:rPr>
          <w:szCs w:val="24"/>
        </w:rPr>
        <w:t>.</w:t>
      </w:r>
      <w:r w:rsidR="00D7687F" w:rsidRPr="00FA2961">
        <w:rPr>
          <w:b/>
          <w:szCs w:val="24"/>
        </w:rPr>
        <w:t>3.6</w:t>
      </w:r>
      <w:r w:rsidR="00D7687F">
        <w:rPr>
          <w:b/>
          <w:szCs w:val="24"/>
        </w:rPr>
        <w:t>, Page 61)</w:t>
      </w:r>
      <w:r w:rsidR="00D7687F" w:rsidRPr="00FA2961">
        <w:rPr>
          <w:b/>
          <w:szCs w:val="24"/>
        </w:rPr>
        <w:tab/>
      </w:r>
    </w:p>
    <w:p w14:paraId="27B0F7D9" w14:textId="77777777" w:rsidR="00FA2961" w:rsidRPr="00FA2961" w:rsidRDefault="00FA2961" w:rsidP="00FA2961">
      <w:pPr>
        <w:rPr>
          <w:szCs w:val="24"/>
        </w:rPr>
      </w:pPr>
      <w:r w:rsidRPr="00FA2961">
        <w:rPr>
          <w:szCs w:val="24"/>
        </w:rPr>
        <w:t xml:space="preserve">The final master rate in the DME guideline and considered in this report is the erection of fencing to protect the works and restrict access after rehabilitation is completed. The fencing standard is as specified for stock fences in the ARC guideline. </w:t>
      </w:r>
    </w:p>
    <w:p w14:paraId="4B210FDB" w14:textId="77777777" w:rsidR="00FA2961" w:rsidRPr="00FA2961" w:rsidRDefault="00FA2961" w:rsidP="00FA2961">
      <w:pPr>
        <w:rPr>
          <w:szCs w:val="24"/>
        </w:rPr>
      </w:pPr>
      <w:r w:rsidRPr="00FA2961">
        <w:rPr>
          <w:szCs w:val="24"/>
        </w:rPr>
        <w:t xml:space="preserve">The generally accepted closure methods in the DME guideline did not prescribe any specific methodology or approach for constructing fences on rehabilitated mine lands. In this instance, the norm is to provide standard stock fences as specified in the publication “Farm Fences” by J.F. la G Mathee and revised by W.G.S. Grobler. This ARC Agricultural Research Document was published by the Institute for Agricultural Engineering in 2005 with ISBN no.: 1-919849-81-5. This specification is referenced in all asbestos rehabilitation projects where fencing is required. Because the generally accepted methods published in the DME guideline </w:t>
      </w:r>
      <w:r w:rsidRPr="00FA2961">
        <w:rPr>
          <w:szCs w:val="24"/>
        </w:rPr>
        <w:lastRenderedPageBreak/>
        <w:t xml:space="preserve">does not provide specific details about these fences, it is assumed that the master rate includes material and labour to erect these fences. </w:t>
      </w:r>
    </w:p>
    <w:p w14:paraId="012088E4" w14:textId="0BA7C6A4" w:rsidR="00FA2961" w:rsidRDefault="00FA2961" w:rsidP="00FA2961">
      <w:pPr>
        <w:rPr>
          <w:szCs w:val="24"/>
        </w:rPr>
      </w:pPr>
      <w:r w:rsidRPr="00FA2961">
        <w:rPr>
          <w:szCs w:val="24"/>
        </w:rPr>
        <w:t>The rates for provision of the material and labour to erect these fences are readily available from the tendered values and are used to analyse trends over time for this item to compare with the master rate. The unit of measurement in DME guideline for the erection of fences is the metre (m) and this correlates directly to the units used in the tender specification.</w:t>
      </w:r>
    </w:p>
    <w:p w14:paraId="40DDAB4C" w14:textId="77777777" w:rsidR="00FA2961" w:rsidRPr="00203170" w:rsidRDefault="00FA2961" w:rsidP="00FA2961">
      <w:pPr>
        <w:rPr>
          <w:szCs w:val="24"/>
        </w:rPr>
      </w:pPr>
      <w:r w:rsidRPr="00203170">
        <w:rPr>
          <w:b/>
          <w:i/>
          <w:noProof/>
          <w:szCs w:val="24"/>
          <w:lang w:eastAsia="en-ZA"/>
        </w:rPr>
        <w:drawing>
          <wp:inline distT="0" distB="0" distL="0" distR="0" wp14:anchorId="3669D7C5" wp14:editId="15876AC0">
            <wp:extent cx="5731510" cy="1844120"/>
            <wp:effectExtent l="19050" t="19050" r="21590" b="228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1844120"/>
                    </a:xfrm>
                    <a:prstGeom prst="rect">
                      <a:avLst/>
                    </a:prstGeom>
                    <a:noFill/>
                    <a:ln>
                      <a:solidFill>
                        <a:sysClr val="windowText" lastClr="000000"/>
                      </a:solidFill>
                    </a:ln>
                  </pic:spPr>
                </pic:pic>
              </a:graphicData>
            </a:graphic>
          </wp:inline>
        </w:drawing>
      </w:r>
    </w:p>
    <w:p w14:paraId="13015D6D" w14:textId="556FB6F4" w:rsidR="00FA2961" w:rsidRPr="00D44B27" w:rsidRDefault="00FA2961" w:rsidP="00FA2961">
      <w:pPr>
        <w:pStyle w:val="Caption"/>
        <w:rPr>
          <w:szCs w:val="24"/>
        </w:rPr>
      </w:pPr>
      <w:bookmarkStart w:id="707" w:name="_Toc507336593"/>
      <w:bookmarkStart w:id="708" w:name="_Toc507336706"/>
      <w:bookmarkStart w:id="709" w:name="_Toc517372959"/>
      <w:bookmarkStart w:id="710" w:name="_Toc517373114"/>
      <w:bookmarkStart w:id="711" w:name="_Toc519445891"/>
      <w:bookmarkStart w:id="712" w:name="_Toc519445928"/>
      <w:r>
        <w:t xml:space="preserve">Figure </w:t>
      </w:r>
      <w:r w:rsidR="00D7687F">
        <w:t>A-3</w:t>
      </w:r>
      <w:r>
        <w:t>.</w:t>
      </w:r>
      <w:r w:rsidR="00D7687F">
        <w:t>9</w:t>
      </w:r>
      <w:r>
        <w:t xml:space="preserve">: </w:t>
      </w:r>
      <w:r w:rsidRPr="0010396E">
        <w:t>Typical detail of stock fence installed after rehabilitation projects</w:t>
      </w:r>
      <w:r w:rsidRPr="0010396E">
        <w:rPr>
          <w:sz w:val="36"/>
          <w:szCs w:val="24"/>
        </w:rPr>
        <w:t xml:space="preserve"> </w:t>
      </w:r>
      <w:r w:rsidRPr="00D44B27">
        <w:rPr>
          <w:szCs w:val="24"/>
        </w:rPr>
        <w:t>(Source: Mintek)</w:t>
      </w:r>
      <w:bookmarkEnd w:id="707"/>
      <w:bookmarkEnd w:id="708"/>
      <w:bookmarkEnd w:id="709"/>
      <w:bookmarkEnd w:id="710"/>
      <w:bookmarkEnd w:id="711"/>
      <w:bookmarkEnd w:id="712"/>
    </w:p>
    <w:p w14:paraId="3E7C47DC" w14:textId="77777777" w:rsidR="00FA2961" w:rsidRDefault="00FA2961" w:rsidP="00FA2961">
      <w:pPr>
        <w:rPr>
          <w:szCs w:val="24"/>
        </w:rPr>
      </w:pPr>
    </w:p>
    <w:p w14:paraId="196BE16E" w14:textId="77777777" w:rsidR="00FA2961" w:rsidRPr="00203170" w:rsidRDefault="00FA2961" w:rsidP="00C556C8">
      <w:pPr>
        <w:rPr>
          <w:szCs w:val="24"/>
        </w:rPr>
      </w:pPr>
    </w:p>
    <w:p w14:paraId="25F52F6E" w14:textId="77777777" w:rsidR="00C556C8" w:rsidRPr="00203170" w:rsidRDefault="00C556C8" w:rsidP="00B309E0">
      <w:pPr>
        <w:rPr>
          <w:szCs w:val="24"/>
        </w:rPr>
      </w:pPr>
    </w:p>
    <w:p w14:paraId="1D48A172" w14:textId="77777777" w:rsidR="00B309E0" w:rsidRPr="00203170" w:rsidRDefault="00B309E0" w:rsidP="00B309E0">
      <w:pPr>
        <w:rPr>
          <w:szCs w:val="24"/>
        </w:rPr>
      </w:pPr>
    </w:p>
    <w:p w14:paraId="6746A2E2" w14:textId="77777777" w:rsidR="00B309E0" w:rsidRPr="00203170" w:rsidRDefault="00B309E0" w:rsidP="00804BFD">
      <w:pPr>
        <w:rPr>
          <w:szCs w:val="24"/>
        </w:rPr>
      </w:pPr>
    </w:p>
    <w:p w14:paraId="16A48179" w14:textId="77777777" w:rsidR="00804BFD" w:rsidRPr="00203170" w:rsidRDefault="00804BFD" w:rsidP="009C1AEF">
      <w:pPr>
        <w:rPr>
          <w:szCs w:val="24"/>
        </w:rPr>
      </w:pPr>
    </w:p>
    <w:p w14:paraId="05FF047E" w14:textId="77777777" w:rsidR="009C1AEF" w:rsidRPr="009C1AEF" w:rsidRDefault="009C1AEF" w:rsidP="009C1AEF"/>
    <w:p w14:paraId="5D1C6A5A" w14:textId="77777777" w:rsidR="009C1AEF" w:rsidRPr="009C1AEF" w:rsidRDefault="009C1AEF" w:rsidP="009C1AEF"/>
    <w:p w14:paraId="0B15F147" w14:textId="77777777" w:rsidR="009C1AEF" w:rsidRDefault="009C1AEF" w:rsidP="009C1AEF"/>
    <w:p w14:paraId="543809E1" w14:textId="77777777" w:rsidR="009C1AEF" w:rsidRPr="006C7D97" w:rsidRDefault="009C1AEF" w:rsidP="009C1AEF"/>
    <w:p w14:paraId="73B7B177" w14:textId="30F8B5DE" w:rsidR="00092BB7" w:rsidRPr="005D5C8A" w:rsidRDefault="006C7D97" w:rsidP="002D6002">
      <w:pPr>
        <w:pStyle w:val="Heading1"/>
        <w:numPr>
          <w:ilvl w:val="0"/>
          <w:numId w:val="0"/>
        </w:numPr>
      </w:pPr>
      <w:bookmarkStart w:id="713" w:name="_Toc519445741"/>
      <w:r>
        <w:lastRenderedPageBreak/>
        <w:t xml:space="preserve">ANNEXURE D: </w:t>
      </w:r>
      <w:r w:rsidR="00092BB7" w:rsidRPr="005D5C8A">
        <w:t>Permission to use Mintek data in Research report</w:t>
      </w:r>
      <w:bookmarkEnd w:id="713"/>
    </w:p>
    <w:p w14:paraId="1EC7924D" w14:textId="7725BF7F" w:rsidR="00092BB7" w:rsidRPr="00203170" w:rsidRDefault="00092BB7" w:rsidP="00AE71A0">
      <w:pPr>
        <w:rPr>
          <w:szCs w:val="24"/>
        </w:rPr>
      </w:pPr>
      <w:r>
        <w:rPr>
          <w:noProof/>
          <w:szCs w:val="24"/>
          <w:lang w:eastAsia="en-ZA"/>
        </w:rPr>
        <w:drawing>
          <wp:inline distT="0" distB="0" distL="0" distR="0" wp14:anchorId="7E307381" wp14:editId="4229CD03">
            <wp:extent cx="5731510" cy="8370277"/>
            <wp:effectExtent l="19050" t="19050" r="2159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tek permission letter Feb2018.jpg"/>
                    <pic:cNvPicPr/>
                  </pic:nvPicPr>
                  <pic:blipFill>
                    <a:blip r:embed="rId84"/>
                    <a:stretch>
                      <a:fillRect/>
                    </a:stretch>
                  </pic:blipFill>
                  <pic:spPr>
                    <a:xfrm>
                      <a:off x="0" y="0"/>
                      <a:ext cx="5732223" cy="8371318"/>
                    </a:xfrm>
                    <a:prstGeom prst="rect">
                      <a:avLst/>
                    </a:prstGeom>
                    <a:ln>
                      <a:solidFill>
                        <a:schemeClr val="tx1"/>
                      </a:solidFill>
                    </a:ln>
                  </pic:spPr>
                </pic:pic>
              </a:graphicData>
            </a:graphic>
          </wp:inline>
        </w:drawing>
      </w:r>
    </w:p>
    <w:sectPr w:rsidR="00092BB7" w:rsidRPr="00203170" w:rsidSect="004321A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8C28E" w14:textId="77777777" w:rsidR="00E5109D" w:rsidRDefault="00E5109D" w:rsidP="00AC794F">
      <w:pPr>
        <w:spacing w:after="0" w:line="240" w:lineRule="auto"/>
      </w:pPr>
      <w:r>
        <w:separator/>
      </w:r>
    </w:p>
  </w:endnote>
  <w:endnote w:type="continuationSeparator" w:id="0">
    <w:p w14:paraId="31A12DBC" w14:textId="77777777" w:rsidR="00E5109D" w:rsidRDefault="00E5109D" w:rsidP="00AC7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6E024" w14:textId="77777777" w:rsidR="00B1706E" w:rsidRDefault="00B170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073131"/>
      <w:docPartObj>
        <w:docPartGallery w:val="Page Numbers (Bottom of Page)"/>
        <w:docPartUnique/>
      </w:docPartObj>
    </w:sdtPr>
    <w:sdtEndPr>
      <w:rPr>
        <w:noProof/>
      </w:rPr>
    </w:sdtEndPr>
    <w:sdtContent>
      <w:p w14:paraId="78EF192B" w14:textId="55B2F22D" w:rsidR="00B1706E" w:rsidRDefault="00B1706E">
        <w:pPr>
          <w:pStyle w:val="Footer"/>
          <w:jc w:val="right"/>
        </w:pPr>
        <w:r>
          <w:fldChar w:fldCharType="begin"/>
        </w:r>
        <w:r>
          <w:instrText xml:space="preserve"> PAGE   \* MERGEFORMAT </w:instrText>
        </w:r>
        <w:r>
          <w:fldChar w:fldCharType="separate"/>
        </w:r>
        <w:r w:rsidR="009A7398">
          <w:rPr>
            <w:noProof/>
          </w:rPr>
          <w:t>10</w:t>
        </w:r>
        <w:r>
          <w:rPr>
            <w:noProof/>
          </w:rPr>
          <w:fldChar w:fldCharType="end"/>
        </w:r>
      </w:p>
    </w:sdtContent>
  </w:sdt>
  <w:p w14:paraId="07A58554" w14:textId="77777777" w:rsidR="00B1706E" w:rsidRDefault="00B170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4B4B2" w14:textId="77777777" w:rsidR="00B1706E" w:rsidRDefault="00B170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21690" w14:textId="77777777" w:rsidR="00E5109D" w:rsidRDefault="00E5109D" w:rsidP="00AC794F">
      <w:pPr>
        <w:spacing w:after="0" w:line="240" w:lineRule="auto"/>
      </w:pPr>
      <w:r>
        <w:separator/>
      </w:r>
    </w:p>
  </w:footnote>
  <w:footnote w:type="continuationSeparator" w:id="0">
    <w:p w14:paraId="0EC358DB" w14:textId="77777777" w:rsidR="00E5109D" w:rsidRDefault="00E5109D" w:rsidP="00AC794F">
      <w:pPr>
        <w:spacing w:after="0" w:line="240" w:lineRule="auto"/>
      </w:pPr>
      <w:r>
        <w:continuationSeparator/>
      </w:r>
    </w:p>
  </w:footnote>
  <w:footnote w:id="1">
    <w:p w14:paraId="038358E2" w14:textId="535C6630" w:rsidR="00B1706E" w:rsidRDefault="00B1706E" w:rsidP="00812F54">
      <w:pPr>
        <w:pStyle w:val="FootnoteText"/>
      </w:pPr>
      <w:r w:rsidRPr="00946703">
        <w:rPr>
          <w:rStyle w:val="FootnoteReference"/>
          <w:sz w:val="18"/>
        </w:rPr>
        <w:footnoteRef/>
      </w:r>
      <w:r w:rsidRPr="00946703">
        <w:rPr>
          <w:sz w:val="18"/>
        </w:rPr>
        <w:t xml:space="preserve"> The </w:t>
      </w:r>
      <w:r>
        <w:rPr>
          <w:sz w:val="18"/>
        </w:rPr>
        <w:t xml:space="preserve">financial provision </w:t>
      </w:r>
      <w:r w:rsidRPr="00946703">
        <w:rPr>
          <w:sz w:val="18"/>
        </w:rPr>
        <w:t xml:space="preserve">guideline </w:t>
      </w:r>
      <w:r>
        <w:rPr>
          <w:sz w:val="18"/>
        </w:rPr>
        <w:t xml:space="preserve">that is the main subject of this report </w:t>
      </w:r>
      <w:r w:rsidRPr="00946703">
        <w:rPr>
          <w:sz w:val="18"/>
        </w:rPr>
        <w:t xml:space="preserve">was published </w:t>
      </w:r>
      <w:r>
        <w:rPr>
          <w:sz w:val="18"/>
        </w:rPr>
        <w:t xml:space="preserve">by </w:t>
      </w:r>
      <w:r w:rsidRPr="00946703">
        <w:rPr>
          <w:sz w:val="18"/>
        </w:rPr>
        <w:t>the Department of Minerals and Energy</w:t>
      </w:r>
      <w:r>
        <w:rPr>
          <w:sz w:val="18"/>
        </w:rPr>
        <w:t xml:space="preserve"> (DME) </w:t>
      </w:r>
      <w:r w:rsidRPr="00946703">
        <w:rPr>
          <w:sz w:val="18"/>
        </w:rPr>
        <w:t>Th</w:t>
      </w:r>
      <w:r>
        <w:rPr>
          <w:sz w:val="18"/>
        </w:rPr>
        <w:t>at</w:t>
      </w:r>
      <w:r w:rsidRPr="00946703">
        <w:rPr>
          <w:sz w:val="18"/>
        </w:rPr>
        <w:t xml:space="preserve"> Department has since changed its name to the Department of Mineral Resources </w:t>
      </w:r>
      <w:r>
        <w:rPr>
          <w:sz w:val="18"/>
        </w:rPr>
        <w:t xml:space="preserve">(DMR) </w:t>
      </w:r>
      <w:r w:rsidRPr="00946703">
        <w:rPr>
          <w:sz w:val="18"/>
        </w:rPr>
        <w:t xml:space="preserve">following the split </w:t>
      </w:r>
      <w:r>
        <w:rPr>
          <w:sz w:val="18"/>
        </w:rPr>
        <w:t>from</w:t>
      </w:r>
      <w:r w:rsidRPr="00946703">
        <w:rPr>
          <w:sz w:val="18"/>
        </w:rPr>
        <w:t xml:space="preserve"> the Department of Energy. The </w:t>
      </w:r>
      <w:r>
        <w:rPr>
          <w:sz w:val="18"/>
        </w:rPr>
        <w:t xml:space="preserve">financial provision </w:t>
      </w:r>
      <w:r w:rsidRPr="00946703">
        <w:rPr>
          <w:sz w:val="18"/>
        </w:rPr>
        <w:t>guideline w</w:t>
      </w:r>
      <w:r>
        <w:rPr>
          <w:sz w:val="18"/>
        </w:rPr>
        <w:t>ill be referred to as the “DME</w:t>
      </w:r>
      <w:r w:rsidRPr="00946703">
        <w:rPr>
          <w:sz w:val="18"/>
        </w:rPr>
        <w:t xml:space="preserve"> guideline” throughout this report</w:t>
      </w:r>
      <w:r>
        <w:rPr>
          <w:sz w:val="18"/>
        </w:rPr>
        <w:t xml:space="preserve"> as it was published when the Department was still officially called the DME</w:t>
      </w:r>
      <w:r w:rsidRPr="00946703">
        <w:rPr>
          <w:sz w:val="18"/>
        </w:rPr>
        <w:t xml:space="preserve">. </w:t>
      </w:r>
    </w:p>
  </w:footnote>
  <w:footnote w:id="2">
    <w:p w14:paraId="705F8E0F" w14:textId="7D518B72" w:rsidR="00B1706E" w:rsidRDefault="00B1706E" w:rsidP="00985EB4">
      <w:pPr>
        <w:pStyle w:val="FootnoteText"/>
      </w:pPr>
      <w:r>
        <w:rPr>
          <w:rStyle w:val="FootnoteReference"/>
        </w:rPr>
        <w:footnoteRef/>
      </w:r>
      <w:r>
        <w:t xml:space="preserve"> </w:t>
      </w:r>
      <w:r w:rsidRPr="00985EB4">
        <w:rPr>
          <w:sz w:val="20"/>
        </w:rPr>
        <w:t xml:space="preserve">In Australia, a distinction is made between the term </w:t>
      </w:r>
      <w:r w:rsidRPr="00985EB4">
        <w:rPr>
          <w:i/>
          <w:sz w:val="20"/>
        </w:rPr>
        <w:t>remediation</w:t>
      </w:r>
      <w:r w:rsidRPr="00985EB4">
        <w:rPr>
          <w:sz w:val="20"/>
        </w:rPr>
        <w:t>, being effectively stopping pollution fr</w:t>
      </w:r>
      <w:r>
        <w:rPr>
          <w:sz w:val="20"/>
        </w:rPr>
        <w:t>o</w:t>
      </w:r>
      <w:r w:rsidRPr="00985EB4">
        <w:rPr>
          <w:sz w:val="20"/>
        </w:rPr>
        <w:t xml:space="preserve">m a mine site, and </w:t>
      </w:r>
      <w:r w:rsidRPr="00985EB4">
        <w:rPr>
          <w:i/>
          <w:sz w:val="20"/>
        </w:rPr>
        <w:t>reclamation</w:t>
      </w:r>
      <w:r w:rsidRPr="00985EB4">
        <w:rPr>
          <w:sz w:val="20"/>
        </w:rPr>
        <w:t xml:space="preserve">, which is something more, and implies restoring the mined land to a more useful </w:t>
      </w:r>
      <w:r>
        <w:rPr>
          <w:sz w:val="20"/>
        </w:rPr>
        <w:t xml:space="preserve">or natural </w:t>
      </w:r>
      <w:r w:rsidRPr="00985EB4">
        <w:rPr>
          <w:sz w:val="20"/>
        </w:rPr>
        <w:t xml:space="preserve">end state. </w:t>
      </w:r>
    </w:p>
  </w:footnote>
  <w:footnote w:id="3">
    <w:p w14:paraId="442F195C" w14:textId="6BB7C8FF" w:rsidR="00B1706E" w:rsidRDefault="00B1706E">
      <w:pPr>
        <w:pStyle w:val="FootnoteText"/>
      </w:pPr>
      <w:r>
        <w:rPr>
          <w:rStyle w:val="FootnoteReference"/>
        </w:rPr>
        <w:footnoteRef/>
      </w:r>
      <w:r>
        <w:t xml:space="preserve"> </w:t>
      </w:r>
      <w:r w:rsidRPr="00464F24">
        <w:rPr>
          <w:sz w:val="20"/>
        </w:rPr>
        <w:t xml:space="preserve">The CIDB grading system of project values determines that projects </w:t>
      </w:r>
      <w:r>
        <w:rPr>
          <w:sz w:val="20"/>
        </w:rPr>
        <w:t>at</w:t>
      </w:r>
      <w:r w:rsidRPr="00464F24">
        <w:rPr>
          <w:sz w:val="20"/>
        </w:rPr>
        <w:t xml:space="preserve"> </w:t>
      </w:r>
      <w:r>
        <w:rPr>
          <w:sz w:val="20"/>
        </w:rPr>
        <w:t>G</w:t>
      </w:r>
      <w:r w:rsidRPr="00464F24">
        <w:rPr>
          <w:sz w:val="20"/>
        </w:rPr>
        <w:t>rade 5 could range up to R</w:t>
      </w:r>
      <w:r>
        <w:rPr>
          <w:sz w:val="20"/>
        </w:rPr>
        <w:t xml:space="preserve"> 6 500 000 </w:t>
      </w:r>
      <w:r w:rsidRPr="00464F24">
        <w:rPr>
          <w:sz w:val="20"/>
        </w:rPr>
        <w:t>in value. Grade 9 is the highest CIDB grading</w:t>
      </w:r>
      <w:r>
        <w:rPr>
          <w:sz w:val="20"/>
        </w:rPr>
        <w:t xml:space="preserve"> </w:t>
      </w:r>
      <w:r w:rsidRPr="00464F24">
        <w:rPr>
          <w:sz w:val="20"/>
        </w:rPr>
        <w:t>and has no upper limit</w:t>
      </w:r>
      <w:r>
        <w:rPr>
          <w:sz w:val="20"/>
        </w:rPr>
        <w:t xml:space="preserve"> on project value</w:t>
      </w:r>
      <w:r w:rsidRPr="00464F24">
        <w:rPr>
          <w:sz w:val="20"/>
        </w:rPr>
        <w:t xml:space="preserve">. </w:t>
      </w:r>
    </w:p>
  </w:footnote>
  <w:footnote w:id="4">
    <w:p w14:paraId="5599EDCC" w14:textId="06F40BC0" w:rsidR="00B1706E" w:rsidRDefault="00B1706E">
      <w:pPr>
        <w:pStyle w:val="FootnoteText"/>
      </w:pPr>
      <w:r w:rsidRPr="0006327E">
        <w:rPr>
          <w:rStyle w:val="FootnoteReference"/>
        </w:rPr>
        <w:footnoteRef/>
      </w:r>
      <w:r w:rsidRPr="0006327E">
        <w:t xml:space="preserve"> </w:t>
      </w:r>
      <w:r w:rsidRPr="0006327E">
        <w:rPr>
          <w:sz w:val="20"/>
        </w:rPr>
        <w:t>The</w:t>
      </w:r>
      <w:r>
        <w:rPr>
          <w:sz w:val="20"/>
        </w:rPr>
        <w:t xml:space="preserve"> new NEMA regulations provide</w:t>
      </w:r>
      <w:r w:rsidRPr="0006327E">
        <w:rPr>
          <w:sz w:val="20"/>
        </w:rPr>
        <w:t xml:space="preserve"> no mechanism </w:t>
      </w:r>
      <w:r>
        <w:rPr>
          <w:sz w:val="20"/>
        </w:rPr>
        <w:t>of guidance for</w:t>
      </w:r>
      <w:r w:rsidRPr="0006327E">
        <w:rPr>
          <w:sz w:val="20"/>
        </w:rPr>
        <w:t xml:space="preserve"> the Minister </w:t>
      </w:r>
      <w:r>
        <w:rPr>
          <w:sz w:val="20"/>
        </w:rPr>
        <w:t>of DMR to</w:t>
      </w:r>
      <w:r w:rsidRPr="0006327E">
        <w:rPr>
          <w:sz w:val="20"/>
        </w:rPr>
        <w:t xml:space="preserve"> determine the adequacy of the amount </w:t>
      </w:r>
      <w:r>
        <w:rPr>
          <w:sz w:val="20"/>
        </w:rPr>
        <w:t>of financial provision</w:t>
      </w:r>
      <w:r w:rsidRPr="0006327E">
        <w:rPr>
          <w:sz w:val="20"/>
        </w:rPr>
        <w:t>.</w:t>
      </w:r>
      <w:r>
        <w:rPr>
          <w:sz w:val="20"/>
        </w:rPr>
        <w:t xml:space="preserve"> (Refer to Footnote 6, page 41)</w:t>
      </w:r>
      <w:r w:rsidRPr="0006327E">
        <w:rPr>
          <w:sz w:val="20"/>
        </w:rPr>
        <w:t xml:space="preserve"> </w:t>
      </w:r>
    </w:p>
  </w:footnote>
  <w:footnote w:id="5">
    <w:p w14:paraId="0BB53C78" w14:textId="4FD67DB6" w:rsidR="00B1706E" w:rsidRPr="000D24CA" w:rsidRDefault="00B1706E" w:rsidP="0022300C">
      <w:pPr>
        <w:rPr>
          <w:sz w:val="20"/>
          <w:szCs w:val="24"/>
        </w:rPr>
      </w:pPr>
      <w:r>
        <w:rPr>
          <w:rStyle w:val="FootnoteReference"/>
        </w:rPr>
        <w:footnoteRef/>
      </w:r>
      <w:r>
        <w:t xml:space="preserve"> </w:t>
      </w:r>
      <w:r w:rsidRPr="000D24CA">
        <w:rPr>
          <w:sz w:val="20"/>
          <w:szCs w:val="24"/>
        </w:rPr>
        <w:t xml:space="preserve">Mintek gave permission for the use of the tender data in this research report (see </w:t>
      </w:r>
      <w:r w:rsidRPr="00484D70">
        <w:rPr>
          <w:b/>
          <w:sz w:val="20"/>
          <w:szCs w:val="24"/>
        </w:rPr>
        <w:t xml:space="preserve">ANNEXURE </w:t>
      </w:r>
      <w:r>
        <w:rPr>
          <w:b/>
          <w:sz w:val="20"/>
          <w:szCs w:val="24"/>
        </w:rPr>
        <w:t>D</w:t>
      </w:r>
      <w:r w:rsidRPr="000D24CA">
        <w:rPr>
          <w:sz w:val="20"/>
          <w:szCs w:val="24"/>
        </w:rPr>
        <w:t>)</w:t>
      </w:r>
    </w:p>
    <w:p w14:paraId="42DD70CE" w14:textId="77777777" w:rsidR="00B1706E" w:rsidRDefault="00B1706E" w:rsidP="0022300C">
      <w:pPr>
        <w:pStyle w:val="FootnoteText"/>
      </w:pPr>
    </w:p>
  </w:footnote>
  <w:footnote w:id="6">
    <w:p w14:paraId="1FA31537" w14:textId="5AF75B4B" w:rsidR="00B1706E" w:rsidRDefault="00B1706E">
      <w:pPr>
        <w:pStyle w:val="FootnoteText"/>
      </w:pPr>
      <w:r>
        <w:rPr>
          <w:rStyle w:val="FootnoteReference"/>
        </w:rPr>
        <w:footnoteRef/>
      </w:r>
      <w:r>
        <w:t xml:space="preserve"> </w:t>
      </w:r>
      <w:r w:rsidRPr="000E10D2">
        <w:rPr>
          <w:sz w:val="20"/>
        </w:rPr>
        <w:t>It is interesting to note that the guideline specifically requires of Regional Office personnel of the DMR to perform several of these steps</w:t>
      </w:r>
      <w:r>
        <w:rPr>
          <w:sz w:val="20"/>
        </w:rPr>
        <w:t>.</w:t>
      </w:r>
    </w:p>
  </w:footnote>
  <w:footnote w:id="7">
    <w:p w14:paraId="510BC1C2" w14:textId="51F917DE" w:rsidR="00B1706E" w:rsidRDefault="00B1706E" w:rsidP="00D8080C">
      <w:pPr>
        <w:pStyle w:val="FootnoteText"/>
      </w:pPr>
      <w:r>
        <w:rPr>
          <w:rStyle w:val="FootnoteReference"/>
        </w:rPr>
        <w:footnoteRef/>
      </w:r>
      <w:r>
        <w:t xml:space="preserve"> </w:t>
      </w:r>
      <w:r w:rsidRPr="00DC20D9">
        <w:rPr>
          <w:sz w:val="20"/>
        </w:rPr>
        <w:t>The guideline provides additional information on what assumptions and rehabilitation methods each master rate was based on. Th</w:t>
      </w:r>
      <w:r>
        <w:rPr>
          <w:sz w:val="20"/>
        </w:rPr>
        <w:t xml:space="preserve">is appears in Appendix C.3 to the guideline and </w:t>
      </w:r>
      <w:r w:rsidRPr="00DC20D9">
        <w:rPr>
          <w:sz w:val="20"/>
        </w:rPr>
        <w:t>are copied in ANNEXURE B of this report for reference. Additionally, a more detailed breakdown of the underlying values that each master rate is composed of, the element rates, are given i</w:t>
      </w:r>
      <w:r w:rsidRPr="00A7102F">
        <w:rPr>
          <w:sz w:val="20"/>
        </w:rPr>
        <w:t>n Appendix C.3.1 of the</w:t>
      </w:r>
      <w:r w:rsidRPr="00DC20D9">
        <w:rPr>
          <w:sz w:val="20"/>
        </w:rPr>
        <w:t xml:space="preserve"> guideline</w:t>
      </w:r>
      <w:r>
        <w:rPr>
          <w:sz w:val="20"/>
        </w:rPr>
        <w:t xml:space="preserve"> – from page 13 onwards</w:t>
      </w:r>
      <w:r w:rsidRPr="00DC20D9">
        <w:rPr>
          <w:sz w:val="20"/>
        </w:rPr>
        <w:t xml:space="preserve"> </w:t>
      </w:r>
    </w:p>
  </w:footnote>
  <w:footnote w:id="8">
    <w:p w14:paraId="4D187E58" w14:textId="3DCF04AF" w:rsidR="00B1706E" w:rsidRDefault="00B1706E" w:rsidP="00D8080C">
      <w:pPr>
        <w:pStyle w:val="FootnoteText"/>
      </w:pPr>
      <w:r>
        <w:rPr>
          <w:rStyle w:val="FootnoteReference"/>
        </w:rPr>
        <w:footnoteRef/>
      </w:r>
      <w:r>
        <w:t xml:space="preserve"> </w:t>
      </w:r>
      <w:r w:rsidRPr="0034009E">
        <w:rPr>
          <w:sz w:val="20"/>
        </w:rPr>
        <w:t xml:space="preserve">This step was performed in this research report as the projects in </w:t>
      </w:r>
      <w:r>
        <w:rPr>
          <w:sz w:val="20"/>
        </w:rPr>
        <w:t>most</w:t>
      </w:r>
      <w:r w:rsidRPr="0034009E">
        <w:rPr>
          <w:sz w:val="20"/>
        </w:rPr>
        <w:t xml:space="preserve"> year</w:t>
      </w:r>
      <w:r>
        <w:rPr>
          <w:sz w:val="20"/>
        </w:rPr>
        <w:t>s</w:t>
      </w:r>
      <w:r w:rsidRPr="0034009E">
        <w:rPr>
          <w:sz w:val="20"/>
        </w:rPr>
        <w:t xml:space="preserve"> were </w:t>
      </w:r>
      <w:r>
        <w:rPr>
          <w:sz w:val="20"/>
        </w:rPr>
        <w:t xml:space="preserve">located what would be termed ‘rugged’ terrain. </w:t>
      </w:r>
      <w:r w:rsidRPr="0034009E">
        <w:rPr>
          <w:sz w:val="20"/>
        </w:rPr>
        <w:t xml:space="preserve">The master rates </w:t>
      </w:r>
      <w:r>
        <w:rPr>
          <w:sz w:val="20"/>
        </w:rPr>
        <w:t xml:space="preserve">for all graphs used in this study were therefore adapted by the prescribed weighting factor of 1.20 (20%) increase over the base rate. </w:t>
      </w:r>
    </w:p>
  </w:footnote>
  <w:footnote w:id="9">
    <w:p w14:paraId="7A408F27" w14:textId="1230E7F2" w:rsidR="00B1706E" w:rsidRDefault="00B1706E">
      <w:pPr>
        <w:pStyle w:val="FootnoteText"/>
      </w:pPr>
      <w:r w:rsidRPr="001B2845">
        <w:rPr>
          <w:rStyle w:val="FootnoteReference"/>
        </w:rPr>
        <w:footnoteRef/>
      </w:r>
      <w:r w:rsidRPr="001B2845">
        <w:t xml:space="preserve"> </w:t>
      </w:r>
      <w:r w:rsidRPr="001B2845">
        <w:rPr>
          <w:sz w:val="20"/>
        </w:rPr>
        <w:t>Technically, the DME guideline required update of the master rates by CPIX annually. Statistics South Africa changed the naming and composition of headline CPI measures in January 2009, however</w:t>
      </w:r>
      <w:r>
        <w:rPr>
          <w:sz w:val="20"/>
        </w:rPr>
        <w:t>,</w:t>
      </w:r>
      <w:r w:rsidRPr="001B2845">
        <w:rPr>
          <w:sz w:val="20"/>
        </w:rPr>
        <w:t xml:space="preserve"> and this effectively replaced CPIX as the measure for government inflation targeting. Only CPI is used from 2009 onwards.</w:t>
      </w:r>
    </w:p>
  </w:footnote>
  <w:footnote w:id="10">
    <w:p w14:paraId="677ABB2C" w14:textId="37AF2B41" w:rsidR="00B1706E" w:rsidRDefault="00B1706E">
      <w:pPr>
        <w:pStyle w:val="FootnoteText"/>
      </w:pPr>
      <w:r>
        <w:rPr>
          <w:rStyle w:val="FootnoteReference"/>
        </w:rPr>
        <w:footnoteRef/>
      </w:r>
      <w:r>
        <w:t xml:space="preserve"> </w:t>
      </w:r>
      <w:r w:rsidRPr="00BB4414">
        <w:rPr>
          <w:sz w:val="20"/>
        </w:rPr>
        <w:t>Note that all DME master rates are escalated by an additional 20% over the DME value plus CPI due to most project sites being located in rugged terrain, as per the guideline, Step 4.4., Table B.6</w:t>
      </w:r>
    </w:p>
  </w:footnote>
  <w:footnote w:id="11">
    <w:p w14:paraId="606B6A8C" w14:textId="59338B04" w:rsidR="00B1706E" w:rsidRPr="000F09E8" w:rsidRDefault="00B1706E">
      <w:pPr>
        <w:pStyle w:val="FootnoteText"/>
        <w:rPr>
          <w:sz w:val="20"/>
        </w:rPr>
      </w:pPr>
      <w:r>
        <w:rPr>
          <w:rStyle w:val="FootnoteReference"/>
        </w:rPr>
        <w:footnoteRef/>
      </w:r>
      <w:r>
        <w:t xml:space="preserve"> </w:t>
      </w:r>
      <w:r w:rsidRPr="000F09E8">
        <w:rPr>
          <w:sz w:val="20"/>
        </w:rPr>
        <w:t xml:space="preserve">In a quick comparison, the rates for vegetation from the US are presented here: The </w:t>
      </w:r>
      <w:r>
        <w:rPr>
          <w:sz w:val="20"/>
        </w:rPr>
        <w:t>popular USA mine closure costing tool “</w:t>
      </w:r>
      <w:r w:rsidRPr="00A84E8C">
        <w:rPr>
          <w:sz w:val="20"/>
        </w:rPr>
        <w:t>Nevada Standardised Reclamation Cost Estimator</w:t>
      </w:r>
      <w:r>
        <w:rPr>
          <w:sz w:val="20"/>
        </w:rPr>
        <w:t>”</w:t>
      </w:r>
      <w:r w:rsidRPr="00A84E8C">
        <w:rPr>
          <w:sz w:val="20"/>
        </w:rPr>
        <w:t xml:space="preserve"> (</w:t>
      </w:r>
      <w:hyperlink r:id="rId1" w:history="1">
        <w:r w:rsidRPr="00644D39">
          <w:rPr>
            <w:rStyle w:val="Hyperlink"/>
            <w:sz w:val="20"/>
          </w:rPr>
          <w:t>http://nvbond.org</w:t>
        </w:r>
      </w:hyperlink>
      <w:r>
        <w:rPr>
          <w:sz w:val="20"/>
        </w:rPr>
        <w:t xml:space="preserve">) provides </w:t>
      </w:r>
      <w:r w:rsidRPr="000F09E8">
        <w:rPr>
          <w:sz w:val="20"/>
        </w:rPr>
        <w:t xml:space="preserve">an average rate of US$ 776.64 per hectare for seed mix (2008 values). </w:t>
      </w:r>
      <w:r>
        <w:rPr>
          <w:sz w:val="20"/>
        </w:rPr>
        <w:t>O</w:t>
      </w:r>
      <w:r w:rsidRPr="000F09E8">
        <w:rPr>
          <w:sz w:val="20"/>
        </w:rPr>
        <w:t>rganic and chemical soil ameliorants a</w:t>
      </w:r>
      <w:r>
        <w:rPr>
          <w:sz w:val="20"/>
        </w:rPr>
        <w:t xml:space="preserve">s well as </w:t>
      </w:r>
      <w:r w:rsidRPr="000F09E8">
        <w:rPr>
          <w:sz w:val="20"/>
        </w:rPr>
        <w:t>mulche</w:t>
      </w:r>
      <w:r>
        <w:rPr>
          <w:sz w:val="20"/>
        </w:rPr>
        <w:t>s should be added to the per hectare seed mix value but these latter elements are costed per kg and the ratio per hectare is not known, so only the seed mix value can be compared here. Allowing for escalation from 2008 and converting to SA Rand at 2013 &amp; 2015 exchange rates, this equals just over R 7,700 per hectare in 2013 and over R 10,100 in 2015. Because this value only relates to the seed mix, the results cannot be directly compared.</w:t>
      </w:r>
    </w:p>
  </w:footnote>
  <w:footnote w:id="12">
    <w:p w14:paraId="325F85DE" w14:textId="77777777" w:rsidR="00B1706E" w:rsidRDefault="00B1706E" w:rsidP="00236982">
      <w:pPr>
        <w:pStyle w:val="FootnoteText"/>
      </w:pPr>
      <w:r>
        <w:rPr>
          <w:rStyle w:val="FootnoteReference"/>
        </w:rPr>
        <w:footnoteRef/>
      </w:r>
      <w:r>
        <w:t xml:space="preserve"> </w:t>
      </w:r>
      <w:r w:rsidRPr="00B90042">
        <w:rPr>
          <w:sz w:val="18"/>
        </w:rPr>
        <w:t xml:space="preserve">Subtotal 1 in this instance being the sum of all project master rates, multiplied by their respective factors and quantities for the actual physical rehabilitation components of the specific project site, according to the </w:t>
      </w:r>
      <w:r>
        <w:rPr>
          <w:sz w:val="18"/>
        </w:rPr>
        <w:t>DME</w:t>
      </w:r>
      <w:r w:rsidRPr="00B90042">
        <w:rPr>
          <w:sz w:val="18"/>
        </w:rPr>
        <w:t xml:space="preserve"> guideline. </w:t>
      </w:r>
    </w:p>
  </w:footnote>
  <w:footnote w:id="13">
    <w:p w14:paraId="248729A0" w14:textId="43BF35B6" w:rsidR="00B1706E" w:rsidRDefault="00B1706E">
      <w:pPr>
        <w:pStyle w:val="FootnoteText"/>
      </w:pPr>
      <w:r>
        <w:rPr>
          <w:rStyle w:val="FootnoteReference"/>
        </w:rPr>
        <w:footnoteRef/>
      </w:r>
      <w:r>
        <w:t xml:space="preserve"> </w:t>
      </w:r>
      <w:r w:rsidRPr="005A31F0">
        <w:rPr>
          <w:sz w:val="20"/>
        </w:rPr>
        <w:t>Note here that the guideline allows up to 20% on all master rates for the ruggedness of terrain (Table B.6) and an additional 10% maximum on the Preliminary and General items only for remoteness factor</w:t>
      </w:r>
      <w:r>
        <w:rPr>
          <w:sz w:val="20"/>
        </w:rPr>
        <w:t xml:space="preserve"> </w:t>
      </w:r>
      <w:r w:rsidRPr="005A31F0">
        <w:rPr>
          <w:sz w:val="20"/>
        </w:rPr>
        <w:t>(Table B.7)</w:t>
      </w:r>
      <w:r>
        <w:rPr>
          <w:sz w:val="20"/>
        </w:rPr>
        <w:t xml:space="preserve"> While projects L, M and N are highlighted here, most projects evaluated are located in remote areas. </w:t>
      </w:r>
    </w:p>
  </w:footnote>
  <w:footnote w:id="14">
    <w:p w14:paraId="3A703BD9" w14:textId="1561794A" w:rsidR="00B1706E" w:rsidRPr="000B763B" w:rsidRDefault="00B1706E" w:rsidP="000B763B">
      <w:pPr>
        <w:pStyle w:val="FootnoteText"/>
        <w:jc w:val="left"/>
        <w:rPr>
          <w:rFonts w:eastAsiaTheme="minorEastAsia"/>
        </w:rPr>
      </w:pPr>
      <w:r w:rsidRPr="00BF5A60">
        <w:rPr>
          <w:rStyle w:val="FootnoteReference"/>
          <w:sz w:val="20"/>
        </w:rPr>
        <w:footnoteRef/>
      </w:r>
      <w:r w:rsidRPr="00BF5A60">
        <w:rPr>
          <w:sz w:val="20"/>
        </w:rPr>
        <w:t xml:space="preserve"> The formula prescribed by National Treasury in the </w:t>
      </w:r>
      <w:r w:rsidRPr="000B763B">
        <w:rPr>
          <w:sz w:val="20"/>
        </w:rPr>
        <w:t>P</w:t>
      </w:r>
      <w:r>
        <w:rPr>
          <w:sz w:val="20"/>
        </w:rPr>
        <w:t xml:space="preserve">referential </w:t>
      </w:r>
      <w:r w:rsidRPr="000B763B">
        <w:rPr>
          <w:sz w:val="20"/>
        </w:rPr>
        <w:t>P</w:t>
      </w:r>
      <w:r>
        <w:rPr>
          <w:sz w:val="20"/>
        </w:rPr>
        <w:t xml:space="preserve">rocurement </w:t>
      </w:r>
      <w:r w:rsidRPr="000B763B">
        <w:rPr>
          <w:sz w:val="20"/>
        </w:rPr>
        <w:t>R</w:t>
      </w:r>
      <w:r>
        <w:rPr>
          <w:sz w:val="20"/>
        </w:rPr>
        <w:t>egulations,</w:t>
      </w:r>
      <w:r w:rsidRPr="000B763B">
        <w:rPr>
          <w:sz w:val="20"/>
        </w:rPr>
        <w:t xml:space="preserve"> 2001</w:t>
      </w:r>
      <w:r>
        <w:rPr>
          <w:sz w:val="20"/>
        </w:rPr>
        <w:t xml:space="preserve"> and other Treasury </w:t>
      </w:r>
      <w:r w:rsidRPr="00BF5A60">
        <w:rPr>
          <w:sz w:val="20"/>
        </w:rPr>
        <w:t>Instructions applies to all government tender or tender awarded by State -owned enterprises, with little variation.</w:t>
      </w:r>
      <w:r>
        <w:rPr>
          <w:sz w:val="20"/>
        </w:rPr>
        <w:t xml:space="preserve"> This formula is: </w:t>
      </w:r>
      <m:oMath>
        <m:r>
          <w:rPr>
            <w:rFonts w:ascii="Cambria Math" w:hAnsi="Cambria Math"/>
            <w:sz w:val="18"/>
          </w:rPr>
          <m:t>Ps=90(1-(Pt-Pmin)/Pmin)</m:t>
        </m:r>
      </m:oMath>
      <w:r w:rsidRPr="000B763B">
        <w:rPr>
          <w:rFonts w:eastAsiaTheme="minorEastAsia"/>
          <w:sz w:val="20"/>
        </w:rPr>
        <w:t>The formula works out a percentage point score for price</w:t>
      </w:r>
      <w:r>
        <w:rPr>
          <w:rFonts w:eastAsiaTheme="minorEastAsia"/>
          <w:sz w:val="20"/>
        </w:rPr>
        <w:t xml:space="preserve"> that </w:t>
      </w:r>
      <w:r w:rsidRPr="000B763B">
        <w:rPr>
          <w:rFonts w:eastAsiaTheme="minorEastAsia"/>
          <w:sz w:val="20"/>
        </w:rPr>
        <w:t>normalis</w:t>
      </w:r>
      <w:r>
        <w:rPr>
          <w:rFonts w:eastAsiaTheme="minorEastAsia"/>
          <w:sz w:val="20"/>
        </w:rPr>
        <w:t xml:space="preserve">es all scores </w:t>
      </w:r>
      <w:r w:rsidRPr="000B763B">
        <w:rPr>
          <w:rFonts w:eastAsiaTheme="minorEastAsia"/>
          <w:sz w:val="20"/>
        </w:rPr>
        <w:t>on the lowest bidder, who scores 100%</w:t>
      </w:r>
      <w:r>
        <w:rPr>
          <w:rFonts w:eastAsiaTheme="minorEastAsia"/>
          <w:sz w:val="20"/>
        </w:rPr>
        <w:t>. A</w:t>
      </w:r>
      <w:r w:rsidRPr="000B763B">
        <w:rPr>
          <w:rFonts w:eastAsiaTheme="minorEastAsia"/>
          <w:sz w:val="20"/>
        </w:rPr>
        <w:t>ll other, higher bidders score less.</w:t>
      </w:r>
      <w:r>
        <w:rPr>
          <w:rFonts w:eastAsiaTheme="minorEastAsia"/>
          <w:sz w:val="20"/>
        </w:rPr>
        <w:t xml:space="preserve"> The formula can only change to base the score on 80 or 90 % for price. The rest is made up of a preferential procurement score based on the bidder’s BEE credentials, which are also prescribed. </w:t>
      </w:r>
      <w:r>
        <w:rPr>
          <w:sz w:val="20"/>
        </w:rPr>
        <w:t xml:space="preserve">It implies that the lowest bidder who qualifies to do the work, has the advantage and must be awarded the bid.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F40CC" w14:textId="77777777" w:rsidR="00B1706E" w:rsidRDefault="00B170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12620" w14:textId="3F5A0117" w:rsidR="00B1706E" w:rsidRDefault="00B170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980B0" w14:textId="77777777" w:rsidR="00B1706E" w:rsidRDefault="00B170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7CC"/>
    <w:multiLevelType w:val="multilevel"/>
    <w:tmpl w:val="CBBEE282"/>
    <w:styleLink w:val="Style1"/>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991C3E"/>
    <w:multiLevelType w:val="multilevel"/>
    <w:tmpl w:val="6226C08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B5906B2"/>
    <w:multiLevelType w:val="multilevel"/>
    <w:tmpl w:val="2B585E6C"/>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4B36F5"/>
    <w:multiLevelType w:val="multilevel"/>
    <w:tmpl w:val="B240D6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5630B53"/>
    <w:multiLevelType w:val="multilevel"/>
    <w:tmpl w:val="5E264B8C"/>
    <w:lvl w:ilvl="0">
      <w:start w:val="4"/>
      <w:numFmt w:val="decimal"/>
      <w:lvlText w:val="%1"/>
      <w:lvlJc w:val="left"/>
      <w:pPr>
        <w:ind w:left="492" w:hanging="492"/>
      </w:pPr>
      <w:rPr>
        <w:rFonts w:hint="default"/>
      </w:rPr>
    </w:lvl>
    <w:lvl w:ilvl="1">
      <w:start w:val="5"/>
      <w:numFmt w:val="decimal"/>
      <w:lvlText w:val="%1.%2"/>
      <w:lvlJc w:val="left"/>
      <w:pPr>
        <w:ind w:left="492" w:hanging="49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635F3"/>
    <w:multiLevelType w:val="multilevel"/>
    <w:tmpl w:val="4C886FB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FD41258"/>
    <w:multiLevelType w:val="multilevel"/>
    <w:tmpl w:val="6A2804A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4E022EA"/>
    <w:multiLevelType w:val="hybridMultilevel"/>
    <w:tmpl w:val="32BE1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A8552F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B3A4E2D"/>
    <w:multiLevelType w:val="multilevel"/>
    <w:tmpl w:val="C75A529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291A6A"/>
    <w:multiLevelType w:val="multilevel"/>
    <w:tmpl w:val="40D23D16"/>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1477BF5"/>
    <w:multiLevelType w:val="multilevel"/>
    <w:tmpl w:val="F86A9DAA"/>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3EA31DF"/>
    <w:multiLevelType w:val="hybridMultilevel"/>
    <w:tmpl w:val="D6E8353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45F051AF"/>
    <w:multiLevelType w:val="hybridMultilevel"/>
    <w:tmpl w:val="F4D2AA9E"/>
    <w:lvl w:ilvl="0" w:tplc="485430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72E70CA"/>
    <w:multiLevelType w:val="multilevel"/>
    <w:tmpl w:val="2EFCF164"/>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AF15579"/>
    <w:multiLevelType w:val="hybridMultilevel"/>
    <w:tmpl w:val="18E68858"/>
    <w:lvl w:ilvl="0" w:tplc="10D6428C">
      <w:start w:val="1"/>
      <w:numFmt w:val="lowerLetter"/>
      <w:lvlText w:val="%1."/>
      <w:lvlJc w:val="left"/>
      <w:pPr>
        <w:ind w:left="720" w:hanging="360"/>
      </w:pPr>
    </w:lvl>
    <w:lvl w:ilvl="1" w:tplc="82FCA434" w:tentative="1">
      <w:start w:val="1"/>
      <w:numFmt w:val="lowerLetter"/>
      <w:lvlText w:val="%2."/>
      <w:lvlJc w:val="left"/>
      <w:pPr>
        <w:ind w:left="1440" w:hanging="360"/>
      </w:pPr>
    </w:lvl>
    <w:lvl w:ilvl="2" w:tplc="0B4238C0" w:tentative="1">
      <w:start w:val="1"/>
      <w:numFmt w:val="lowerRoman"/>
      <w:lvlText w:val="%3."/>
      <w:lvlJc w:val="right"/>
      <w:pPr>
        <w:ind w:left="2160" w:hanging="180"/>
      </w:pPr>
    </w:lvl>
    <w:lvl w:ilvl="3" w:tplc="8FF05614" w:tentative="1">
      <w:start w:val="1"/>
      <w:numFmt w:val="decimal"/>
      <w:lvlText w:val="%4."/>
      <w:lvlJc w:val="left"/>
      <w:pPr>
        <w:ind w:left="2880" w:hanging="360"/>
      </w:pPr>
    </w:lvl>
    <w:lvl w:ilvl="4" w:tplc="9B7AFC0A" w:tentative="1">
      <w:start w:val="1"/>
      <w:numFmt w:val="lowerLetter"/>
      <w:lvlText w:val="%5."/>
      <w:lvlJc w:val="left"/>
      <w:pPr>
        <w:ind w:left="3600" w:hanging="360"/>
      </w:pPr>
    </w:lvl>
    <w:lvl w:ilvl="5" w:tplc="CC22E5FE" w:tentative="1">
      <w:start w:val="1"/>
      <w:numFmt w:val="lowerRoman"/>
      <w:lvlText w:val="%6."/>
      <w:lvlJc w:val="right"/>
      <w:pPr>
        <w:ind w:left="4320" w:hanging="180"/>
      </w:pPr>
    </w:lvl>
    <w:lvl w:ilvl="6" w:tplc="C9FEB232" w:tentative="1">
      <w:start w:val="1"/>
      <w:numFmt w:val="decimal"/>
      <w:lvlText w:val="%7."/>
      <w:lvlJc w:val="left"/>
      <w:pPr>
        <w:ind w:left="5040" w:hanging="360"/>
      </w:pPr>
    </w:lvl>
    <w:lvl w:ilvl="7" w:tplc="C0062FDA" w:tentative="1">
      <w:start w:val="1"/>
      <w:numFmt w:val="lowerLetter"/>
      <w:lvlText w:val="%8."/>
      <w:lvlJc w:val="left"/>
      <w:pPr>
        <w:ind w:left="5760" w:hanging="360"/>
      </w:pPr>
    </w:lvl>
    <w:lvl w:ilvl="8" w:tplc="19009CD2" w:tentative="1">
      <w:start w:val="1"/>
      <w:numFmt w:val="lowerRoman"/>
      <w:lvlText w:val="%9."/>
      <w:lvlJc w:val="right"/>
      <w:pPr>
        <w:ind w:left="6480" w:hanging="180"/>
      </w:pPr>
    </w:lvl>
  </w:abstractNum>
  <w:abstractNum w:abstractNumId="16" w15:restartNumberingAfterBreak="0">
    <w:nsid w:val="4ED75EAB"/>
    <w:multiLevelType w:val="hybridMultilevel"/>
    <w:tmpl w:val="0C98822E"/>
    <w:lvl w:ilvl="0" w:tplc="1C090001">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060699"/>
    <w:multiLevelType w:val="multilevel"/>
    <w:tmpl w:val="06E859D6"/>
    <w:lvl w:ilvl="0">
      <w:start w:val="1"/>
      <w:numFmt w:val="decimal"/>
      <w:lvlText w:val="%1"/>
      <w:lvlJc w:val="left"/>
      <w:pPr>
        <w:ind w:left="792" w:hanging="432"/>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2390F65"/>
    <w:multiLevelType w:val="hybridMultilevel"/>
    <w:tmpl w:val="915275D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3BF200A"/>
    <w:multiLevelType w:val="hybridMultilevel"/>
    <w:tmpl w:val="60561842"/>
    <w:lvl w:ilvl="0" w:tplc="1C090001">
      <w:start w:val="1"/>
      <w:numFmt w:val="lowerLetter"/>
      <w:lvlText w:val="(%1)"/>
      <w:lvlJc w:val="left"/>
      <w:pPr>
        <w:ind w:left="720" w:hanging="360"/>
      </w:pPr>
      <w:rPr>
        <w:rFonts w:hint="default"/>
      </w:r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20" w15:restartNumberingAfterBreak="0">
    <w:nsid w:val="53F77FC3"/>
    <w:multiLevelType w:val="multilevel"/>
    <w:tmpl w:val="537ADF1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B1F7597"/>
    <w:multiLevelType w:val="multilevel"/>
    <w:tmpl w:val="0ABE7D3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7C2F39"/>
    <w:multiLevelType w:val="hybridMultilevel"/>
    <w:tmpl w:val="BC221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F521A36"/>
    <w:multiLevelType w:val="multilevel"/>
    <w:tmpl w:val="7122C09E"/>
    <w:lvl w:ilvl="0">
      <w:start w:val="1"/>
      <w:numFmt w:val="decimal"/>
      <w:lvlText w:val="%1"/>
      <w:lvlJc w:val="left"/>
      <w:pPr>
        <w:ind w:left="502" w:hanging="360"/>
      </w:pPr>
      <w:rPr>
        <w:rFonts w:hint="default"/>
      </w:rPr>
    </w:lvl>
    <w:lvl w:ilvl="1">
      <w:start w:val="2"/>
      <w:numFmt w:val="decimal"/>
      <w:lvlRestart w:val="0"/>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0172A8E"/>
    <w:multiLevelType w:val="multilevel"/>
    <w:tmpl w:val="DC067FC2"/>
    <w:lvl w:ilvl="0">
      <w:start w:val="4"/>
      <w:numFmt w:val="decimal"/>
      <w:lvlText w:val="%1"/>
      <w:lvlJc w:val="left"/>
      <w:pPr>
        <w:ind w:left="552" w:hanging="552"/>
      </w:pPr>
      <w:rPr>
        <w:rFonts w:hint="default"/>
      </w:rPr>
    </w:lvl>
    <w:lvl w:ilvl="1">
      <w:start w:val="5"/>
      <w:numFmt w:val="decimal"/>
      <w:lvlText w:val="%1.%2"/>
      <w:lvlJc w:val="left"/>
      <w:pPr>
        <w:ind w:left="552" w:hanging="552"/>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4212B1"/>
    <w:multiLevelType w:val="multilevel"/>
    <w:tmpl w:val="AA62DEA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D65745"/>
    <w:multiLevelType w:val="multilevel"/>
    <w:tmpl w:val="86029D94"/>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B825B5"/>
    <w:multiLevelType w:val="multilevel"/>
    <w:tmpl w:val="4C886FB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71B574D2"/>
    <w:multiLevelType w:val="multilevel"/>
    <w:tmpl w:val="8FA2AA6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71B74AB6"/>
    <w:multiLevelType w:val="hybridMultilevel"/>
    <w:tmpl w:val="D29A02F2"/>
    <w:lvl w:ilvl="0" w:tplc="77E4DF48">
      <w:start w:val="3"/>
      <w:numFmt w:val="decimal"/>
      <w:lvlText w:val="%1."/>
      <w:lvlJc w:val="left"/>
      <w:pPr>
        <w:ind w:left="720" w:hanging="360"/>
      </w:pPr>
      <w:rPr>
        <w:rFonts w:hint="default"/>
      </w:rPr>
    </w:lvl>
    <w:lvl w:ilvl="1" w:tplc="912E13BA" w:tentative="1">
      <w:start w:val="1"/>
      <w:numFmt w:val="lowerLetter"/>
      <w:lvlText w:val="%2."/>
      <w:lvlJc w:val="left"/>
      <w:pPr>
        <w:ind w:left="1440" w:hanging="360"/>
      </w:pPr>
    </w:lvl>
    <w:lvl w:ilvl="2" w:tplc="476E9E66" w:tentative="1">
      <w:start w:val="1"/>
      <w:numFmt w:val="lowerRoman"/>
      <w:lvlText w:val="%3."/>
      <w:lvlJc w:val="right"/>
      <w:pPr>
        <w:ind w:left="2160" w:hanging="180"/>
      </w:pPr>
    </w:lvl>
    <w:lvl w:ilvl="3" w:tplc="5386C2F2" w:tentative="1">
      <w:start w:val="1"/>
      <w:numFmt w:val="decimal"/>
      <w:lvlText w:val="%4."/>
      <w:lvlJc w:val="left"/>
      <w:pPr>
        <w:ind w:left="2880" w:hanging="360"/>
      </w:pPr>
    </w:lvl>
    <w:lvl w:ilvl="4" w:tplc="42BCA752" w:tentative="1">
      <w:start w:val="1"/>
      <w:numFmt w:val="lowerLetter"/>
      <w:lvlText w:val="%5."/>
      <w:lvlJc w:val="left"/>
      <w:pPr>
        <w:ind w:left="3600" w:hanging="360"/>
      </w:pPr>
    </w:lvl>
    <w:lvl w:ilvl="5" w:tplc="71BE06D6" w:tentative="1">
      <w:start w:val="1"/>
      <w:numFmt w:val="lowerRoman"/>
      <w:lvlText w:val="%6."/>
      <w:lvlJc w:val="right"/>
      <w:pPr>
        <w:ind w:left="4320" w:hanging="180"/>
      </w:pPr>
    </w:lvl>
    <w:lvl w:ilvl="6" w:tplc="AFCE23E4" w:tentative="1">
      <w:start w:val="1"/>
      <w:numFmt w:val="decimal"/>
      <w:lvlText w:val="%7."/>
      <w:lvlJc w:val="left"/>
      <w:pPr>
        <w:ind w:left="5040" w:hanging="360"/>
      </w:pPr>
    </w:lvl>
    <w:lvl w:ilvl="7" w:tplc="2E327B2A" w:tentative="1">
      <w:start w:val="1"/>
      <w:numFmt w:val="lowerLetter"/>
      <w:lvlText w:val="%8."/>
      <w:lvlJc w:val="left"/>
      <w:pPr>
        <w:ind w:left="5760" w:hanging="360"/>
      </w:pPr>
    </w:lvl>
    <w:lvl w:ilvl="8" w:tplc="58540892" w:tentative="1">
      <w:start w:val="1"/>
      <w:numFmt w:val="lowerRoman"/>
      <w:lvlText w:val="%9."/>
      <w:lvlJc w:val="right"/>
      <w:pPr>
        <w:ind w:left="6480" w:hanging="180"/>
      </w:pPr>
    </w:lvl>
  </w:abstractNum>
  <w:abstractNum w:abstractNumId="30" w15:restartNumberingAfterBreak="0">
    <w:nsid w:val="76FE30C4"/>
    <w:multiLevelType w:val="multilevel"/>
    <w:tmpl w:val="B8C632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82274CC"/>
    <w:multiLevelType w:val="multilevel"/>
    <w:tmpl w:val="CBBEE282"/>
    <w:numStyleLink w:val="Style1"/>
  </w:abstractNum>
  <w:abstractNum w:abstractNumId="32" w15:restartNumberingAfterBreak="0">
    <w:nsid w:val="7F523254"/>
    <w:multiLevelType w:val="hybridMultilevel"/>
    <w:tmpl w:val="E5A69B86"/>
    <w:lvl w:ilvl="0" w:tplc="1C09000F">
      <w:start w:val="1"/>
      <w:numFmt w:val="bullet"/>
      <w:lvlText w:val=""/>
      <w:lvlJc w:val="left"/>
      <w:pPr>
        <w:ind w:left="720" w:hanging="360"/>
      </w:pPr>
      <w:rPr>
        <w:rFonts w:ascii="Symbol" w:hAnsi="Symbol" w:hint="default"/>
      </w:rPr>
    </w:lvl>
    <w:lvl w:ilvl="1" w:tplc="1C090019" w:tentative="1">
      <w:start w:val="1"/>
      <w:numFmt w:val="bullet"/>
      <w:lvlText w:val="o"/>
      <w:lvlJc w:val="left"/>
      <w:pPr>
        <w:ind w:left="1440" w:hanging="360"/>
      </w:pPr>
      <w:rPr>
        <w:rFonts w:ascii="Courier New" w:hAnsi="Courier New" w:cs="Courier New" w:hint="default"/>
      </w:rPr>
    </w:lvl>
    <w:lvl w:ilvl="2" w:tplc="1C09001B" w:tentative="1">
      <w:start w:val="1"/>
      <w:numFmt w:val="bullet"/>
      <w:lvlText w:val=""/>
      <w:lvlJc w:val="left"/>
      <w:pPr>
        <w:ind w:left="2160" w:hanging="360"/>
      </w:pPr>
      <w:rPr>
        <w:rFonts w:ascii="Wingdings" w:hAnsi="Wingdings" w:hint="default"/>
      </w:rPr>
    </w:lvl>
    <w:lvl w:ilvl="3" w:tplc="1C09000F" w:tentative="1">
      <w:start w:val="1"/>
      <w:numFmt w:val="bullet"/>
      <w:lvlText w:val=""/>
      <w:lvlJc w:val="left"/>
      <w:pPr>
        <w:ind w:left="2880" w:hanging="360"/>
      </w:pPr>
      <w:rPr>
        <w:rFonts w:ascii="Symbol" w:hAnsi="Symbol" w:hint="default"/>
      </w:rPr>
    </w:lvl>
    <w:lvl w:ilvl="4" w:tplc="1C090019" w:tentative="1">
      <w:start w:val="1"/>
      <w:numFmt w:val="bullet"/>
      <w:lvlText w:val="o"/>
      <w:lvlJc w:val="left"/>
      <w:pPr>
        <w:ind w:left="3600" w:hanging="360"/>
      </w:pPr>
      <w:rPr>
        <w:rFonts w:ascii="Courier New" w:hAnsi="Courier New" w:cs="Courier New" w:hint="default"/>
      </w:rPr>
    </w:lvl>
    <w:lvl w:ilvl="5" w:tplc="1C09001B" w:tentative="1">
      <w:start w:val="1"/>
      <w:numFmt w:val="bullet"/>
      <w:lvlText w:val=""/>
      <w:lvlJc w:val="left"/>
      <w:pPr>
        <w:ind w:left="4320" w:hanging="360"/>
      </w:pPr>
      <w:rPr>
        <w:rFonts w:ascii="Wingdings" w:hAnsi="Wingdings" w:hint="default"/>
      </w:rPr>
    </w:lvl>
    <w:lvl w:ilvl="6" w:tplc="1C09000F" w:tentative="1">
      <w:start w:val="1"/>
      <w:numFmt w:val="bullet"/>
      <w:lvlText w:val=""/>
      <w:lvlJc w:val="left"/>
      <w:pPr>
        <w:ind w:left="5040" w:hanging="360"/>
      </w:pPr>
      <w:rPr>
        <w:rFonts w:ascii="Symbol" w:hAnsi="Symbol" w:hint="default"/>
      </w:rPr>
    </w:lvl>
    <w:lvl w:ilvl="7" w:tplc="1C090019" w:tentative="1">
      <w:start w:val="1"/>
      <w:numFmt w:val="bullet"/>
      <w:lvlText w:val="o"/>
      <w:lvlJc w:val="left"/>
      <w:pPr>
        <w:ind w:left="5760" w:hanging="360"/>
      </w:pPr>
      <w:rPr>
        <w:rFonts w:ascii="Courier New" w:hAnsi="Courier New" w:cs="Courier New" w:hint="default"/>
      </w:rPr>
    </w:lvl>
    <w:lvl w:ilvl="8" w:tplc="1C09001B"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5"/>
  </w:num>
  <w:num w:numId="4">
    <w:abstractNumId w:val="12"/>
  </w:num>
  <w:num w:numId="5">
    <w:abstractNumId w:val="29"/>
  </w:num>
  <w:num w:numId="6">
    <w:abstractNumId w:val="7"/>
  </w:num>
  <w:num w:numId="7">
    <w:abstractNumId w:val="19"/>
  </w:num>
  <w:num w:numId="8">
    <w:abstractNumId w:val="17"/>
  </w:num>
  <w:num w:numId="9">
    <w:abstractNumId w:val="16"/>
  </w:num>
  <w:num w:numId="10">
    <w:abstractNumId w:val="32"/>
  </w:num>
  <w:num w:numId="11">
    <w:abstractNumId w:val="0"/>
  </w:num>
  <w:num w:numId="12">
    <w:abstractNumId w:val="31"/>
  </w:num>
  <w:num w:numId="13">
    <w:abstractNumId w:val="11"/>
  </w:num>
  <w:num w:numId="14">
    <w:abstractNumId w:val="9"/>
  </w:num>
  <w:num w:numId="15">
    <w:abstractNumId w:val="24"/>
  </w:num>
  <w:num w:numId="16">
    <w:abstractNumId w:val="4"/>
  </w:num>
  <w:num w:numId="17">
    <w:abstractNumId w:val="10"/>
  </w:num>
  <w:num w:numId="18">
    <w:abstractNumId w:val="1"/>
  </w:num>
  <w:num w:numId="19">
    <w:abstractNumId w:val="25"/>
  </w:num>
  <w:num w:numId="20">
    <w:abstractNumId w:val="20"/>
  </w:num>
  <w:num w:numId="21">
    <w:abstractNumId w:val="2"/>
  </w:num>
  <w:num w:numId="22">
    <w:abstractNumId w:val="14"/>
  </w:num>
  <w:num w:numId="23">
    <w:abstractNumId w:val="21"/>
  </w:num>
  <w:num w:numId="24">
    <w:abstractNumId w:val="26"/>
  </w:num>
  <w:num w:numId="25">
    <w:abstractNumId w:val="6"/>
  </w:num>
  <w:num w:numId="26">
    <w:abstractNumId w:val="28"/>
  </w:num>
  <w:num w:numId="27">
    <w:abstractNumId w:val="18"/>
  </w:num>
  <w:num w:numId="28">
    <w:abstractNumId w:val="22"/>
  </w:num>
  <w:num w:numId="29">
    <w:abstractNumId w:val="27"/>
  </w:num>
  <w:num w:numId="30">
    <w:abstractNumId w:val="23"/>
  </w:num>
  <w:num w:numId="31">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0"/>
  </w:num>
  <w:num w:numId="36">
    <w:abstractNumId w:val="13"/>
  </w:num>
  <w:num w:numId="37">
    <w:abstractNumId w:val="3"/>
    <w:lvlOverride w:ilvl="0">
      <w:startOverride w:val="4"/>
    </w:lvlOverride>
    <w:lvlOverride w:ilvl="1">
      <w:startOverride w:val="3"/>
    </w:lvlOverride>
    <w:lvlOverride w:ilvl="2">
      <w:startOverride w:val="4"/>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ZA" w:vendorID="64" w:dllVersion="4096" w:nlCheck="1" w:checkStyle="1"/>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ZA" w:vendorID="64" w:dllVersion="6" w:nlCheck="1" w:checkStyle="1"/>
  <w:activeWritingStyle w:appName="MSWord" w:lang="en-US" w:vendorID="64" w:dllVersion="6" w:nlCheck="1" w:checkStyle="1"/>
  <w:activeWritingStyle w:appName="MSWord" w:lang="en-ZA" w:vendorID="64" w:dllVersion="131078" w:nlCheck="1" w:checkStyle="1"/>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5E0"/>
    <w:rsid w:val="00000A2C"/>
    <w:rsid w:val="00002553"/>
    <w:rsid w:val="00002B28"/>
    <w:rsid w:val="000036C8"/>
    <w:rsid w:val="00003F88"/>
    <w:rsid w:val="000049EB"/>
    <w:rsid w:val="00006416"/>
    <w:rsid w:val="00006600"/>
    <w:rsid w:val="00006AEC"/>
    <w:rsid w:val="0001303D"/>
    <w:rsid w:val="00013354"/>
    <w:rsid w:val="000141D9"/>
    <w:rsid w:val="00016B30"/>
    <w:rsid w:val="00017836"/>
    <w:rsid w:val="000233CE"/>
    <w:rsid w:val="00025085"/>
    <w:rsid w:val="00030779"/>
    <w:rsid w:val="00030A3A"/>
    <w:rsid w:val="00032090"/>
    <w:rsid w:val="00032503"/>
    <w:rsid w:val="00032DA5"/>
    <w:rsid w:val="00034E1D"/>
    <w:rsid w:val="00037FF4"/>
    <w:rsid w:val="00041F53"/>
    <w:rsid w:val="00043A4A"/>
    <w:rsid w:val="00044C39"/>
    <w:rsid w:val="000451AF"/>
    <w:rsid w:val="00050A6E"/>
    <w:rsid w:val="000535EB"/>
    <w:rsid w:val="00060119"/>
    <w:rsid w:val="00062286"/>
    <w:rsid w:val="0006327E"/>
    <w:rsid w:val="00063C48"/>
    <w:rsid w:val="00064B35"/>
    <w:rsid w:val="00071FDA"/>
    <w:rsid w:val="00072B47"/>
    <w:rsid w:val="0007578A"/>
    <w:rsid w:val="00077525"/>
    <w:rsid w:val="000858C5"/>
    <w:rsid w:val="0008744D"/>
    <w:rsid w:val="00092BB7"/>
    <w:rsid w:val="000943FC"/>
    <w:rsid w:val="00095B94"/>
    <w:rsid w:val="00095C20"/>
    <w:rsid w:val="00095C6D"/>
    <w:rsid w:val="000A050E"/>
    <w:rsid w:val="000A143C"/>
    <w:rsid w:val="000A1F9A"/>
    <w:rsid w:val="000A4A74"/>
    <w:rsid w:val="000B3C0E"/>
    <w:rsid w:val="000B3E1F"/>
    <w:rsid w:val="000B763B"/>
    <w:rsid w:val="000C215A"/>
    <w:rsid w:val="000C2EDD"/>
    <w:rsid w:val="000C71DF"/>
    <w:rsid w:val="000C7643"/>
    <w:rsid w:val="000D24CA"/>
    <w:rsid w:val="000D3CCA"/>
    <w:rsid w:val="000E10D2"/>
    <w:rsid w:val="000E629B"/>
    <w:rsid w:val="000E6746"/>
    <w:rsid w:val="000F09E8"/>
    <w:rsid w:val="000F1987"/>
    <w:rsid w:val="000F617B"/>
    <w:rsid w:val="000F6334"/>
    <w:rsid w:val="000F6C5D"/>
    <w:rsid w:val="000F76F7"/>
    <w:rsid w:val="001019F5"/>
    <w:rsid w:val="00103040"/>
    <w:rsid w:val="00103407"/>
    <w:rsid w:val="0010396E"/>
    <w:rsid w:val="00107CF5"/>
    <w:rsid w:val="00110BDC"/>
    <w:rsid w:val="00117F90"/>
    <w:rsid w:val="00117FD6"/>
    <w:rsid w:val="00120371"/>
    <w:rsid w:val="001213B6"/>
    <w:rsid w:val="00121903"/>
    <w:rsid w:val="00123F89"/>
    <w:rsid w:val="001305EC"/>
    <w:rsid w:val="001327A2"/>
    <w:rsid w:val="00135AB9"/>
    <w:rsid w:val="00136A63"/>
    <w:rsid w:val="00140C99"/>
    <w:rsid w:val="00141679"/>
    <w:rsid w:val="00143768"/>
    <w:rsid w:val="0014778A"/>
    <w:rsid w:val="00154A39"/>
    <w:rsid w:val="001553EF"/>
    <w:rsid w:val="001557FD"/>
    <w:rsid w:val="00155958"/>
    <w:rsid w:val="001569DE"/>
    <w:rsid w:val="001624A8"/>
    <w:rsid w:val="00162D9A"/>
    <w:rsid w:val="00163E06"/>
    <w:rsid w:val="001644AB"/>
    <w:rsid w:val="001645B3"/>
    <w:rsid w:val="00166615"/>
    <w:rsid w:val="00166B90"/>
    <w:rsid w:val="001678D5"/>
    <w:rsid w:val="00170862"/>
    <w:rsid w:val="001734FA"/>
    <w:rsid w:val="00173B26"/>
    <w:rsid w:val="00173FF3"/>
    <w:rsid w:val="00176DFF"/>
    <w:rsid w:val="001811F9"/>
    <w:rsid w:val="00182002"/>
    <w:rsid w:val="00183078"/>
    <w:rsid w:val="00183484"/>
    <w:rsid w:val="00192479"/>
    <w:rsid w:val="0019261A"/>
    <w:rsid w:val="001A4A58"/>
    <w:rsid w:val="001A4F7F"/>
    <w:rsid w:val="001A5A8D"/>
    <w:rsid w:val="001A7708"/>
    <w:rsid w:val="001B1293"/>
    <w:rsid w:val="001B2845"/>
    <w:rsid w:val="001B2918"/>
    <w:rsid w:val="001B332F"/>
    <w:rsid w:val="001B3EC0"/>
    <w:rsid w:val="001B465D"/>
    <w:rsid w:val="001B5250"/>
    <w:rsid w:val="001B60D3"/>
    <w:rsid w:val="001B7758"/>
    <w:rsid w:val="001C2457"/>
    <w:rsid w:val="001C42DE"/>
    <w:rsid w:val="001C68A3"/>
    <w:rsid w:val="001C7FFC"/>
    <w:rsid w:val="001D3861"/>
    <w:rsid w:val="001D3A92"/>
    <w:rsid w:val="001D45AC"/>
    <w:rsid w:val="001D776A"/>
    <w:rsid w:val="001E063D"/>
    <w:rsid w:val="001E5814"/>
    <w:rsid w:val="001F04C3"/>
    <w:rsid w:val="001F55FA"/>
    <w:rsid w:val="001F7277"/>
    <w:rsid w:val="001F77C4"/>
    <w:rsid w:val="00202357"/>
    <w:rsid w:val="00203170"/>
    <w:rsid w:val="00210CE0"/>
    <w:rsid w:val="00220B05"/>
    <w:rsid w:val="0022300C"/>
    <w:rsid w:val="00223CC4"/>
    <w:rsid w:val="0022733E"/>
    <w:rsid w:val="002309F0"/>
    <w:rsid w:val="00231077"/>
    <w:rsid w:val="002324F8"/>
    <w:rsid w:val="002328EF"/>
    <w:rsid w:val="00233EA2"/>
    <w:rsid w:val="00236982"/>
    <w:rsid w:val="00236A92"/>
    <w:rsid w:val="00240171"/>
    <w:rsid w:val="002416B2"/>
    <w:rsid w:val="00241BD0"/>
    <w:rsid w:val="00242E8C"/>
    <w:rsid w:val="00245C0A"/>
    <w:rsid w:val="00246B7B"/>
    <w:rsid w:val="0025136A"/>
    <w:rsid w:val="00252933"/>
    <w:rsid w:val="002535F9"/>
    <w:rsid w:val="00253925"/>
    <w:rsid w:val="002548BD"/>
    <w:rsid w:val="0025496D"/>
    <w:rsid w:val="002549CD"/>
    <w:rsid w:val="00254E2A"/>
    <w:rsid w:val="00260713"/>
    <w:rsid w:val="0026371C"/>
    <w:rsid w:val="00263FC8"/>
    <w:rsid w:val="0026446F"/>
    <w:rsid w:val="00265485"/>
    <w:rsid w:val="0026580B"/>
    <w:rsid w:val="00266E60"/>
    <w:rsid w:val="002700D7"/>
    <w:rsid w:val="002703B8"/>
    <w:rsid w:val="00271BB5"/>
    <w:rsid w:val="002722FE"/>
    <w:rsid w:val="00277620"/>
    <w:rsid w:val="0028083F"/>
    <w:rsid w:val="00281AFA"/>
    <w:rsid w:val="00281E8D"/>
    <w:rsid w:val="00282625"/>
    <w:rsid w:val="002839FB"/>
    <w:rsid w:val="00284156"/>
    <w:rsid w:val="002849D0"/>
    <w:rsid w:val="0028581E"/>
    <w:rsid w:val="00287502"/>
    <w:rsid w:val="002879D0"/>
    <w:rsid w:val="00290236"/>
    <w:rsid w:val="0029048A"/>
    <w:rsid w:val="00290659"/>
    <w:rsid w:val="00290F8A"/>
    <w:rsid w:val="00295467"/>
    <w:rsid w:val="002957DE"/>
    <w:rsid w:val="002978A3"/>
    <w:rsid w:val="002978D1"/>
    <w:rsid w:val="002A0849"/>
    <w:rsid w:val="002A093C"/>
    <w:rsid w:val="002A2EB6"/>
    <w:rsid w:val="002A478F"/>
    <w:rsid w:val="002A4DEE"/>
    <w:rsid w:val="002B1277"/>
    <w:rsid w:val="002B448B"/>
    <w:rsid w:val="002B55E8"/>
    <w:rsid w:val="002B5CFE"/>
    <w:rsid w:val="002C17DA"/>
    <w:rsid w:val="002C2E00"/>
    <w:rsid w:val="002C4039"/>
    <w:rsid w:val="002C4068"/>
    <w:rsid w:val="002D04FC"/>
    <w:rsid w:val="002D1309"/>
    <w:rsid w:val="002D5109"/>
    <w:rsid w:val="002D6002"/>
    <w:rsid w:val="002D6843"/>
    <w:rsid w:val="002D717D"/>
    <w:rsid w:val="002E265F"/>
    <w:rsid w:val="002E4575"/>
    <w:rsid w:val="002E5688"/>
    <w:rsid w:val="002E56F1"/>
    <w:rsid w:val="002E75E0"/>
    <w:rsid w:val="002F44E6"/>
    <w:rsid w:val="002F7DB0"/>
    <w:rsid w:val="003021A6"/>
    <w:rsid w:val="00303028"/>
    <w:rsid w:val="0030320B"/>
    <w:rsid w:val="003052C5"/>
    <w:rsid w:val="00305DC8"/>
    <w:rsid w:val="00306489"/>
    <w:rsid w:val="00307C1F"/>
    <w:rsid w:val="00307FCF"/>
    <w:rsid w:val="00310963"/>
    <w:rsid w:val="00316ED1"/>
    <w:rsid w:val="00317B38"/>
    <w:rsid w:val="003204E7"/>
    <w:rsid w:val="00322083"/>
    <w:rsid w:val="00324CED"/>
    <w:rsid w:val="003277ED"/>
    <w:rsid w:val="00330998"/>
    <w:rsid w:val="00330F95"/>
    <w:rsid w:val="003355BC"/>
    <w:rsid w:val="00336236"/>
    <w:rsid w:val="0034009E"/>
    <w:rsid w:val="00340A6F"/>
    <w:rsid w:val="00340AB1"/>
    <w:rsid w:val="003410CC"/>
    <w:rsid w:val="0034161F"/>
    <w:rsid w:val="00341963"/>
    <w:rsid w:val="00341DD3"/>
    <w:rsid w:val="00347B71"/>
    <w:rsid w:val="003511A0"/>
    <w:rsid w:val="003519A8"/>
    <w:rsid w:val="0035467A"/>
    <w:rsid w:val="00357BCB"/>
    <w:rsid w:val="00364B44"/>
    <w:rsid w:val="00365693"/>
    <w:rsid w:val="003658FB"/>
    <w:rsid w:val="00370BB4"/>
    <w:rsid w:val="003738B2"/>
    <w:rsid w:val="00374AC7"/>
    <w:rsid w:val="00374E2B"/>
    <w:rsid w:val="00374EF2"/>
    <w:rsid w:val="00380BD2"/>
    <w:rsid w:val="003825DC"/>
    <w:rsid w:val="003831C3"/>
    <w:rsid w:val="003875FA"/>
    <w:rsid w:val="00392361"/>
    <w:rsid w:val="003964AA"/>
    <w:rsid w:val="003974C6"/>
    <w:rsid w:val="003A063D"/>
    <w:rsid w:val="003A1F06"/>
    <w:rsid w:val="003A2F90"/>
    <w:rsid w:val="003A2FB3"/>
    <w:rsid w:val="003A414A"/>
    <w:rsid w:val="003A4754"/>
    <w:rsid w:val="003A72AE"/>
    <w:rsid w:val="003A7331"/>
    <w:rsid w:val="003B24F9"/>
    <w:rsid w:val="003B2D66"/>
    <w:rsid w:val="003B607A"/>
    <w:rsid w:val="003C2E6F"/>
    <w:rsid w:val="003C5D51"/>
    <w:rsid w:val="003C6E1E"/>
    <w:rsid w:val="003C70D7"/>
    <w:rsid w:val="003D4907"/>
    <w:rsid w:val="003D6CC1"/>
    <w:rsid w:val="003D7314"/>
    <w:rsid w:val="003D763F"/>
    <w:rsid w:val="003D7E55"/>
    <w:rsid w:val="003E3058"/>
    <w:rsid w:val="003E5DA4"/>
    <w:rsid w:val="003E6A8E"/>
    <w:rsid w:val="003F0B8E"/>
    <w:rsid w:val="003F44CD"/>
    <w:rsid w:val="00400839"/>
    <w:rsid w:val="00401AD7"/>
    <w:rsid w:val="00404A01"/>
    <w:rsid w:val="00404A99"/>
    <w:rsid w:val="00406443"/>
    <w:rsid w:val="0040691E"/>
    <w:rsid w:val="00410B99"/>
    <w:rsid w:val="00414BF0"/>
    <w:rsid w:val="00414E5B"/>
    <w:rsid w:val="00415D27"/>
    <w:rsid w:val="00416F88"/>
    <w:rsid w:val="0041766C"/>
    <w:rsid w:val="004215C6"/>
    <w:rsid w:val="004221A8"/>
    <w:rsid w:val="004236AF"/>
    <w:rsid w:val="00423841"/>
    <w:rsid w:val="004245D7"/>
    <w:rsid w:val="004245EB"/>
    <w:rsid w:val="00427D22"/>
    <w:rsid w:val="004321A7"/>
    <w:rsid w:val="004328B4"/>
    <w:rsid w:val="00432A6D"/>
    <w:rsid w:val="00433E84"/>
    <w:rsid w:val="004341B3"/>
    <w:rsid w:val="00435913"/>
    <w:rsid w:val="004401E9"/>
    <w:rsid w:val="00443D2B"/>
    <w:rsid w:val="0044422B"/>
    <w:rsid w:val="0044595D"/>
    <w:rsid w:val="00445B43"/>
    <w:rsid w:val="00445D58"/>
    <w:rsid w:val="00446818"/>
    <w:rsid w:val="0044700F"/>
    <w:rsid w:val="00447FA5"/>
    <w:rsid w:val="00453430"/>
    <w:rsid w:val="00457A29"/>
    <w:rsid w:val="00460AB8"/>
    <w:rsid w:val="00460D5A"/>
    <w:rsid w:val="00460DA7"/>
    <w:rsid w:val="00463196"/>
    <w:rsid w:val="00464F24"/>
    <w:rsid w:val="00466190"/>
    <w:rsid w:val="0047080F"/>
    <w:rsid w:val="00473E71"/>
    <w:rsid w:val="0047689B"/>
    <w:rsid w:val="0048005F"/>
    <w:rsid w:val="0048092A"/>
    <w:rsid w:val="00483010"/>
    <w:rsid w:val="00484D70"/>
    <w:rsid w:val="004851E9"/>
    <w:rsid w:val="0048798D"/>
    <w:rsid w:val="00490A2D"/>
    <w:rsid w:val="00495185"/>
    <w:rsid w:val="00496B0E"/>
    <w:rsid w:val="00496CBE"/>
    <w:rsid w:val="004A273D"/>
    <w:rsid w:val="004A37D1"/>
    <w:rsid w:val="004A528F"/>
    <w:rsid w:val="004A70AE"/>
    <w:rsid w:val="004B0DD1"/>
    <w:rsid w:val="004C1845"/>
    <w:rsid w:val="004C23DF"/>
    <w:rsid w:val="004C5846"/>
    <w:rsid w:val="004C6D0B"/>
    <w:rsid w:val="004C72AF"/>
    <w:rsid w:val="004D207B"/>
    <w:rsid w:val="004D25F9"/>
    <w:rsid w:val="004D7107"/>
    <w:rsid w:val="004E382C"/>
    <w:rsid w:val="004E78CF"/>
    <w:rsid w:val="004F0051"/>
    <w:rsid w:val="004F2BA7"/>
    <w:rsid w:val="004F43E2"/>
    <w:rsid w:val="004F7F4C"/>
    <w:rsid w:val="005040AE"/>
    <w:rsid w:val="0050617A"/>
    <w:rsid w:val="00514C69"/>
    <w:rsid w:val="00517B1B"/>
    <w:rsid w:val="005202E6"/>
    <w:rsid w:val="00520513"/>
    <w:rsid w:val="00520BFE"/>
    <w:rsid w:val="00522C9B"/>
    <w:rsid w:val="00522F8D"/>
    <w:rsid w:val="00527FCE"/>
    <w:rsid w:val="00532591"/>
    <w:rsid w:val="00532D3C"/>
    <w:rsid w:val="00535D03"/>
    <w:rsid w:val="00540EC1"/>
    <w:rsid w:val="00541F56"/>
    <w:rsid w:val="00543158"/>
    <w:rsid w:val="0054519B"/>
    <w:rsid w:val="00547D85"/>
    <w:rsid w:val="00554916"/>
    <w:rsid w:val="005616FC"/>
    <w:rsid w:val="00564565"/>
    <w:rsid w:val="00565048"/>
    <w:rsid w:val="00566067"/>
    <w:rsid w:val="00566E8A"/>
    <w:rsid w:val="00570852"/>
    <w:rsid w:val="00573364"/>
    <w:rsid w:val="00575D5D"/>
    <w:rsid w:val="00581C93"/>
    <w:rsid w:val="00583200"/>
    <w:rsid w:val="00583B31"/>
    <w:rsid w:val="00586998"/>
    <w:rsid w:val="0058700E"/>
    <w:rsid w:val="005875A5"/>
    <w:rsid w:val="005912AB"/>
    <w:rsid w:val="00593F2B"/>
    <w:rsid w:val="005956E9"/>
    <w:rsid w:val="00595831"/>
    <w:rsid w:val="00595E87"/>
    <w:rsid w:val="005A13F5"/>
    <w:rsid w:val="005A1585"/>
    <w:rsid w:val="005A1FBF"/>
    <w:rsid w:val="005A31F0"/>
    <w:rsid w:val="005B0961"/>
    <w:rsid w:val="005B23D3"/>
    <w:rsid w:val="005B2E5B"/>
    <w:rsid w:val="005B4E34"/>
    <w:rsid w:val="005B60B9"/>
    <w:rsid w:val="005C0838"/>
    <w:rsid w:val="005C1746"/>
    <w:rsid w:val="005C1C4D"/>
    <w:rsid w:val="005C44A8"/>
    <w:rsid w:val="005C4E7D"/>
    <w:rsid w:val="005C61D8"/>
    <w:rsid w:val="005C6CB8"/>
    <w:rsid w:val="005D036B"/>
    <w:rsid w:val="005D26B9"/>
    <w:rsid w:val="005D5AFA"/>
    <w:rsid w:val="005D5C8A"/>
    <w:rsid w:val="005E001C"/>
    <w:rsid w:val="005E27F7"/>
    <w:rsid w:val="005E2860"/>
    <w:rsid w:val="005E3F8F"/>
    <w:rsid w:val="005E4B1F"/>
    <w:rsid w:val="005F0A37"/>
    <w:rsid w:val="005F143B"/>
    <w:rsid w:val="006020D7"/>
    <w:rsid w:val="00605443"/>
    <w:rsid w:val="00605AFB"/>
    <w:rsid w:val="00605D34"/>
    <w:rsid w:val="00606CCD"/>
    <w:rsid w:val="006148D8"/>
    <w:rsid w:val="006153EC"/>
    <w:rsid w:val="00615C31"/>
    <w:rsid w:val="006247F7"/>
    <w:rsid w:val="0062617A"/>
    <w:rsid w:val="00630473"/>
    <w:rsid w:val="006310F9"/>
    <w:rsid w:val="006312FA"/>
    <w:rsid w:val="00631DE0"/>
    <w:rsid w:val="006343D1"/>
    <w:rsid w:val="0063454F"/>
    <w:rsid w:val="00634E14"/>
    <w:rsid w:val="006403E6"/>
    <w:rsid w:val="006413FF"/>
    <w:rsid w:val="0064173D"/>
    <w:rsid w:val="00641965"/>
    <w:rsid w:val="006457DD"/>
    <w:rsid w:val="006459F3"/>
    <w:rsid w:val="00646E94"/>
    <w:rsid w:val="00652437"/>
    <w:rsid w:val="006528DE"/>
    <w:rsid w:val="00652E14"/>
    <w:rsid w:val="00652FE4"/>
    <w:rsid w:val="006555E0"/>
    <w:rsid w:val="0065608B"/>
    <w:rsid w:val="00657EBF"/>
    <w:rsid w:val="00663BA7"/>
    <w:rsid w:val="006640B4"/>
    <w:rsid w:val="006665F3"/>
    <w:rsid w:val="00666D45"/>
    <w:rsid w:val="00670827"/>
    <w:rsid w:val="006735CB"/>
    <w:rsid w:val="00673817"/>
    <w:rsid w:val="006739EC"/>
    <w:rsid w:val="00675672"/>
    <w:rsid w:val="00676378"/>
    <w:rsid w:val="00676BF6"/>
    <w:rsid w:val="00677E42"/>
    <w:rsid w:val="006837B9"/>
    <w:rsid w:val="00683ED3"/>
    <w:rsid w:val="0068714C"/>
    <w:rsid w:val="00691442"/>
    <w:rsid w:val="00692B62"/>
    <w:rsid w:val="00693699"/>
    <w:rsid w:val="00695AA8"/>
    <w:rsid w:val="00695B63"/>
    <w:rsid w:val="00695E24"/>
    <w:rsid w:val="006A1A46"/>
    <w:rsid w:val="006A5CB7"/>
    <w:rsid w:val="006A5F19"/>
    <w:rsid w:val="006B03C8"/>
    <w:rsid w:val="006B1285"/>
    <w:rsid w:val="006B3D69"/>
    <w:rsid w:val="006B3E8B"/>
    <w:rsid w:val="006B4007"/>
    <w:rsid w:val="006B741D"/>
    <w:rsid w:val="006C0B7F"/>
    <w:rsid w:val="006C0FB9"/>
    <w:rsid w:val="006C24E7"/>
    <w:rsid w:val="006C295D"/>
    <w:rsid w:val="006C3EDD"/>
    <w:rsid w:val="006C55B3"/>
    <w:rsid w:val="006C58C6"/>
    <w:rsid w:val="006C673E"/>
    <w:rsid w:val="006C716C"/>
    <w:rsid w:val="006C7D97"/>
    <w:rsid w:val="006D421E"/>
    <w:rsid w:val="006D4F26"/>
    <w:rsid w:val="006E1CD0"/>
    <w:rsid w:val="006E460B"/>
    <w:rsid w:val="006E61F6"/>
    <w:rsid w:val="006F1C00"/>
    <w:rsid w:val="006F22D1"/>
    <w:rsid w:val="006F24AA"/>
    <w:rsid w:val="006F3A8A"/>
    <w:rsid w:val="006F4663"/>
    <w:rsid w:val="006F4F70"/>
    <w:rsid w:val="006F4FCC"/>
    <w:rsid w:val="006F541D"/>
    <w:rsid w:val="006F672C"/>
    <w:rsid w:val="006F7BCA"/>
    <w:rsid w:val="00702A08"/>
    <w:rsid w:val="0070449A"/>
    <w:rsid w:val="00704D0A"/>
    <w:rsid w:val="00704F8B"/>
    <w:rsid w:val="0070662E"/>
    <w:rsid w:val="00707308"/>
    <w:rsid w:val="007136EB"/>
    <w:rsid w:val="007138EF"/>
    <w:rsid w:val="00717984"/>
    <w:rsid w:val="0072267F"/>
    <w:rsid w:val="00727761"/>
    <w:rsid w:val="00727871"/>
    <w:rsid w:val="00732ADD"/>
    <w:rsid w:val="00733954"/>
    <w:rsid w:val="007354F0"/>
    <w:rsid w:val="00737DBD"/>
    <w:rsid w:val="0074014A"/>
    <w:rsid w:val="00740516"/>
    <w:rsid w:val="00740911"/>
    <w:rsid w:val="007412FD"/>
    <w:rsid w:val="00741B55"/>
    <w:rsid w:val="00741BD6"/>
    <w:rsid w:val="00741EC0"/>
    <w:rsid w:val="00745799"/>
    <w:rsid w:val="00746011"/>
    <w:rsid w:val="007528EB"/>
    <w:rsid w:val="00753443"/>
    <w:rsid w:val="00760DDD"/>
    <w:rsid w:val="00762B19"/>
    <w:rsid w:val="007643B4"/>
    <w:rsid w:val="0077188A"/>
    <w:rsid w:val="0077315A"/>
    <w:rsid w:val="00775CCF"/>
    <w:rsid w:val="0077743C"/>
    <w:rsid w:val="007830BA"/>
    <w:rsid w:val="00783118"/>
    <w:rsid w:val="007909B3"/>
    <w:rsid w:val="00793448"/>
    <w:rsid w:val="007A0E90"/>
    <w:rsid w:val="007B5ABB"/>
    <w:rsid w:val="007B652A"/>
    <w:rsid w:val="007B667E"/>
    <w:rsid w:val="007B673C"/>
    <w:rsid w:val="007B67EC"/>
    <w:rsid w:val="007C04B5"/>
    <w:rsid w:val="007C5BBA"/>
    <w:rsid w:val="007C5DE5"/>
    <w:rsid w:val="007C7B61"/>
    <w:rsid w:val="007C7F88"/>
    <w:rsid w:val="007D0389"/>
    <w:rsid w:val="007D1C09"/>
    <w:rsid w:val="007D26D0"/>
    <w:rsid w:val="007D360C"/>
    <w:rsid w:val="007D7E0D"/>
    <w:rsid w:val="007E00C6"/>
    <w:rsid w:val="007E0B0E"/>
    <w:rsid w:val="007E24A5"/>
    <w:rsid w:val="007E75D3"/>
    <w:rsid w:val="007F324E"/>
    <w:rsid w:val="007F3AC2"/>
    <w:rsid w:val="007F68F3"/>
    <w:rsid w:val="008012A7"/>
    <w:rsid w:val="00802EAD"/>
    <w:rsid w:val="00804BFD"/>
    <w:rsid w:val="00807E03"/>
    <w:rsid w:val="008113DF"/>
    <w:rsid w:val="00812F54"/>
    <w:rsid w:val="00814564"/>
    <w:rsid w:val="00814899"/>
    <w:rsid w:val="00815171"/>
    <w:rsid w:val="00815831"/>
    <w:rsid w:val="008162A7"/>
    <w:rsid w:val="00817FCF"/>
    <w:rsid w:val="00821402"/>
    <w:rsid w:val="00822C77"/>
    <w:rsid w:val="0082478B"/>
    <w:rsid w:val="0083097A"/>
    <w:rsid w:val="008313B9"/>
    <w:rsid w:val="00837B73"/>
    <w:rsid w:val="00837CB5"/>
    <w:rsid w:val="00841B02"/>
    <w:rsid w:val="00845BCF"/>
    <w:rsid w:val="008502D9"/>
    <w:rsid w:val="0085143A"/>
    <w:rsid w:val="00854162"/>
    <w:rsid w:val="00854206"/>
    <w:rsid w:val="008547C7"/>
    <w:rsid w:val="00855DF2"/>
    <w:rsid w:val="008562EC"/>
    <w:rsid w:val="00862440"/>
    <w:rsid w:val="00865002"/>
    <w:rsid w:val="00865B40"/>
    <w:rsid w:val="00867448"/>
    <w:rsid w:val="00872E6B"/>
    <w:rsid w:val="00873013"/>
    <w:rsid w:val="00873032"/>
    <w:rsid w:val="0087653A"/>
    <w:rsid w:val="00876618"/>
    <w:rsid w:val="00877421"/>
    <w:rsid w:val="00881725"/>
    <w:rsid w:val="0088341A"/>
    <w:rsid w:val="00885F35"/>
    <w:rsid w:val="00891CDE"/>
    <w:rsid w:val="008949BE"/>
    <w:rsid w:val="00896714"/>
    <w:rsid w:val="008A093E"/>
    <w:rsid w:val="008A09C7"/>
    <w:rsid w:val="008A1C78"/>
    <w:rsid w:val="008A385B"/>
    <w:rsid w:val="008A5880"/>
    <w:rsid w:val="008A615F"/>
    <w:rsid w:val="008A7C9C"/>
    <w:rsid w:val="008B2EE5"/>
    <w:rsid w:val="008B59F7"/>
    <w:rsid w:val="008B5BD8"/>
    <w:rsid w:val="008B6D3B"/>
    <w:rsid w:val="008B7EAA"/>
    <w:rsid w:val="008C024F"/>
    <w:rsid w:val="008C14E3"/>
    <w:rsid w:val="008C6121"/>
    <w:rsid w:val="008C6708"/>
    <w:rsid w:val="008C696B"/>
    <w:rsid w:val="008C6A68"/>
    <w:rsid w:val="008D0771"/>
    <w:rsid w:val="008D2A50"/>
    <w:rsid w:val="008D306D"/>
    <w:rsid w:val="008D426B"/>
    <w:rsid w:val="008D4792"/>
    <w:rsid w:val="008D4A4E"/>
    <w:rsid w:val="008E01A6"/>
    <w:rsid w:val="008E0C52"/>
    <w:rsid w:val="008E0EB2"/>
    <w:rsid w:val="008E3C00"/>
    <w:rsid w:val="008E4995"/>
    <w:rsid w:val="008E4F43"/>
    <w:rsid w:val="008E68ED"/>
    <w:rsid w:val="008E6CDC"/>
    <w:rsid w:val="008E7588"/>
    <w:rsid w:val="008F1A22"/>
    <w:rsid w:val="008F6158"/>
    <w:rsid w:val="008F620C"/>
    <w:rsid w:val="008F6917"/>
    <w:rsid w:val="008F6E9C"/>
    <w:rsid w:val="008F7F4A"/>
    <w:rsid w:val="00903B7A"/>
    <w:rsid w:val="0091430F"/>
    <w:rsid w:val="00915126"/>
    <w:rsid w:val="00915B20"/>
    <w:rsid w:val="00915F4C"/>
    <w:rsid w:val="009177E8"/>
    <w:rsid w:val="0091793E"/>
    <w:rsid w:val="00920033"/>
    <w:rsid w:val="00921384"/>
    <w:rsid w:val="00925FFA"/>
    <w:rsid w:val="009262FF"/>
    <w:rsid w:val="00930016"/>
    <w:rsid w:val="0093336C"/>
    <w:rsid w:val="009373DA"/>
    <w:rsid w:val="00937BB1"/>
    <w:rsid w:val="00937CCA"/>
    <w:rsid w:val="00942BC2"/>
    <w:rsid w:val="00946703"/>
    <w:rsid w:val="009478FF"/>
    <w:rsid w:val="009526D1"/>
    <w:rsid w:val="00953428"/>
    <w:rsid w:val="00953D47"/>
    <w:rsid w:val="009542CB"/>
    <w:rsid w:val="00955448"/>
    <w:rsid w:val="009556BE"/>
    <w:rsid w:val="00962120"/>
    <w:rsid w:val="00962EFE"/>
    <w:rsid w:val="00963417"/>
    <w:rsid w:val="00963B37"/>
    <w:rsid w:val="009701FA"/>
    <w:rsid w:val="009724D4"/>
    <w:rsid w:val="009734C5"/>
    <w:rsid w:val="0098109D"/>
    <w:rsid w:val="009828E7"/>
    <w:rsid w:val="00984327"/>
    <w:rsid w:val="00985206"/>
    <w:rsid w:val="0098585F"/>
    <w:rsid w:val="00985EB4"/>
    <w:rsid w:val="00987BAA"/>
    <w:rsid w:val="009918D4"/>
    <w:rsid w:val="0099195E"/>
    <w:rsid w:val="00994B86"/>
    <w:rsid w:val="009961ED"/>
    <w:rsid w:val="00997555"/>
    <w:rsid w:val="00997AEA"/>
    <w:rsid w:val="009A237D"/>
    <w:rsid w:val="009A4ECD"/>
    <w:rsid w:val="009A5845"/>
    <w:rsid w:val="009A5A5D"/>
    <w:rsid w:val="009A7398"/>
    <w:rsid w:val="009A7463"/>
    <w:rsid w:val="009B14F2"/>
    <w:rsid w:val="009B3E00"/>
    <w:rsid w:val="009B762F"/>
    <w:rsid w:val="009C1091"/>
    <w:rsid w:val="009C1AEF"/>
    <w:rsid w:val="009C4E34"/>
    <w:rsid w:val="009C5B81"/>
    <w:rsid w:val="009D2622"/>
    <w:rsid w:val="009D39AA"/>
    <w:rsid w:val="009E068C"/>
    <w:rsid w:val="009E09E5"/>
    <w:rsid w:val="009E0CE1"/>
    <w:rsid w:val="009E49F8"/>
    <w:rsid w:val="009F013B"/>
    <w:rsid w:val="009F161E"/>
    <w:rsid w:val="009F3848"/>
    <w:rsid w:val="009F3B1A"/>
    <w:rsid w:val="009F5170"/>
    <w:rsid w:val="009F5F52"/>
    <w:rsid w:val="00A00E34"/>
    <w:rsid w:val="00A012CB"/>
    <w:rsid w:val="00A05483"/>
    <w:rsid w:val="00A072DA"/>
    <w:rsid w:val="00A1065E"/>
    <w:rsid w:val="00A11CE5"/>
    <w:rsid w:val="00A1382E"/>
    <w:rsid w:val="00A13C0B"/>
    <w:rsid w:val="00A148BF"/>
    <w:rsid w:val="00A14EC2"/>
    <w:rsid w:val="00A22761"/>
    <w:rsid w:val="00A253D3"/>
    <w:rsid w:val="00A312A1"/>
    <w:rsid w:val="00A320E8"/>
    <w:rsid w:val="00A35A47"/>
    <w:rsid w:val="00A37D30"/>
    <w:rsid w:val="00A40C16"/>
    <w:rsid w:val="00A42306"/>
    <w:rsid w:val="00A4390F"/>
    <w:rsid w:val="00A51C53"/>
    <w:rsid w:val="00A54376"/>
    <w:rsid w:val="00A5757F"/>
    <w:rsid w:val="00A65A8D"/>
    <w:rsid w:val="00A66522"/>
    <w:rsid w:val="00A66BFF"/>
    <w:rsid w:val="00A67147"/>
    <w:rsid w:val="00A7085D"/>
    <w:rsid w:val="00A7102F"/>
    <w:rsid w:val="00A734A5"/>
    <w:rsid w:val="00A7526F"/>
    <w:rsid w:val="00A8244B"/>
    <w:rsid w:val="00A83243"/>
    <w:rsid w:val="00A832B3"/>
    <w:rsid w:val="00A83E84"/>
    <w:rsid w:val="00A84E8C"/>
    <w:rsid w:val="00A85B56"/>
    <w:rsid w:val="00A918CA"/>
    <w:rsid w:val="00A97651"/>
    <w:rsid w:val="00AA00C9"/>
    <w:rsid w:val="00AA0909"/>
    <w:rsid w:val="00AA11A5"/>
    <w:rsid w:val="00AA1304"/>
    <w:rsid w:val="00AA2C5D"/>
    <w:rsid w:val="00AA5D9C"/>
    <w:rsid w:val="00AA73A0"/>
    <w:rsid w:val="00AB17F5"/>
    <w:rsid w:val="00AB21C5"/>
    <w:rsid w:val="00AB3A47"/>
    <w:rsid w:val="00AB42E4"/>
    <w:rsid w:val="00AB57BB"/>
    <w:rsid w:val="00AB5CB2"/>
    <w:rsid w:val="00AB6631"/>
    <w:rsid w:val="00AC0942"/>
    <w:rsid w:val="00AC1ED3"/>
    <w:rsid w:val="00AC2C20"/>
    <w:rsid w:val="00AC40AB"/>
    <w:rsid w:val="00AC4AF7"/>
    <w:rsid w:val="00AC4F03"/>
    <w:rsid w:val="00AC62AF"/>
    <w:rsid w:val="00AC794F"/>
    <w:rsid w:val="00AD3EBE"/>
    <w:rsid w:val="00AD7408"/>
    <w:rsid w:val="00AE0233"/>
    <w:rsid w:val="00AE03A1"/>
    <w:rsid w:val="00AE2886"/>
    <w:rsid w:val="00AE48D8"/>
    <w:rsid w:val="00AE6246"/>
    <w:rsid w:val="00AE6CBE"/>
    <w:rsid w:val="00AE71A0"/>
    <w:rsid w:val="00AE71DD"/>
    <w:rsid w:val="00AF3D42"/>
    <w:rsid w:val="00AF616C"/>
    <w:rsid w:val="00AF6286"/>
    <w:rsid w:val="00AF6BF9"/>
    <w:rsid w:val="00AF6E7C"/>
    <w:rsid w:val="00B03119"/>
    <w:rsid w:val="00B03B79"/>
    <w:rsid w:val="00B03C72"/>
    <w:rsid w:val="00B04AC3"/>
    <w:rsid w:val="00B101E6"/>
    <w:rsid w:val="00B109E1"/>
    <w:rsid w:val="00B1302E"/>
    <w:rsid w:val="00B14641"/>
    <w:rsid w:val="00B14C48"/>
    <w:rsid w:val="00B153AD"/>
    <w:rsid w:val="00B1706E"/>
    <w:rsid w:val="00B20321"/>
    <w:rsid w:val="00B20A4E"/>
    <w:rsid w:val="00B21CC6"/>
    <w:rsid w:val="00B2635D"/>
    <w:rsid w:val="00B27782"/>
    <w:rsid w:val="00B309E0"/>
    <w:rsid w:val="00B34D4C"/>
    <w:rsid w:val="00B3563B"/>
    <w:rsid w:val="00B36AC2"/>
    <w:rsid w:val="00B43A2C"/>
    <w:rsid w:val="00B4470B"/>
    <w:rsid w:val="00B45DC9"/>
    <w:rsid w:val="00B4643B"/>
    <w:rsid w:val="00B4707F"/>
    <w:rsid w:val="00B50EA0"/>
    <w:rsid w:val="00B51146"/>
    <w:rsid w:val="00B520A8"/>
    <w:rsid w:val="00B5385A"/>
    <w:rsid w:val="00B542D0"/>
    <w:rsid w:val="00B56A65"/>
    <w:rsid w:val="00B57B1F"/>
    <w:rsid w:val="00B60D06"/>
    <w:rsid w:val="00B60FDD"/>
    <w:rsid w:val="00B61817"/>
    <w:rsid w:val="00B64924"/>
    <w:rsid w:val="00B66390"/>
    <w:rsid w:val="00B66908"/>
    <w:rsid w:val="00B72CD6"/>
    <w:rsid w:val="00B7634C"/>
    <w:rsid w:val="00B81825"/>
    <w:rsid w:val="00B84321"/>
    <w:rsid w:val="00B8525C"/>
    <w:rsid w:val="00B853BF"/>
    <w:rsid w:val="00B86D43"/>
    <w:rsid w:val="00B875BE"/>
    <w:rsid w:val="00B8760A"/>
    <w:rsid w:val="00B8770F"/>
    <w:rsid w:val="00B87DB8"/>
    <w:rsid w:val="00B90042"/>
    <w:rsid w:val="00B90277"/>
    <w:rsid w:val="00B908AD"/>
    <w:rsid w:val="00B923F4"/>
    <w:rsid w:val="00B9531B"/>
    <w:rsid w:val="00BA122B"/>
    <w:rsid w:val="00BA1BC2"/>
    <w:rsid w:val="00BA1C45"/>
    <w:rsid w:val="00BA3EB1"/>
    <w:rsid w:val="00BA4620"/>
    <w:rsid w:val="00BA46F1"/>
    <w:rsid w:val="00BA6D8D"/>
    <w:rsid w:val="00BB0755"/>
    <w:rsid w:val="00BB27AE"/>
    <w:rsid w:val="00BB4414"/>
    <w:rsid w:val="00BB4872"/>
    <w:rsid w:val="00BB62A7"/>
    <w:rsid w:val="00BB65FC"/>
    <w:rsid w:val="00BB68DB"/>
    <w:rsid w:val="00BC0B3C"/>
    <w:rsid w:val="00BC636F"/>
    <w:rsid w:val="00BD09B3"/>
    <w:rsid w:val="00BD28DC"/>
    <w:rsid w:val="00BD4B3E"/>
    <w:rsid w:val="00BE22A3"/>
    <w:rsid w:val="00BE2D01"/>
    <w:rsid w:val="00BE5DE9"/>
    <w:rsid w:val="00BF272A"/>
    <w:rsid w:val="00BF3DF2"/>
    <w:rsid w:val="00BF5A60"/>
    <w:rsid w:val="00BF77CC"/>
    <w:rsid w:val="00C01A58"/>
    <w:rsid w:val="00C05A84"/>
    <w:rsid w:val="00C06838"/>
    <w:rsid w:val="00C068CE"/>
    <w:rsid w:val="00C11675"/>
    <w:rsid w:val="00C16D5E"/>
    <w:rsid w:val="00C20147"/>
    <w:rsid w:val="00C21252"/>
    <w:rsid w:val="00C23A2C"/>
    <w:rsid w:val="00C25834"/>
    <w:rsid w:val="00C26F7D"/>
    <w:rsid w:val="00C3525F"/>
    <w:rsid w:val="00C3551F"/>
    <w:rsid w:val="00C35CEF"/>
    <w:rsid w:val="00C37C0B"/>
    <w:rsid w:val="00C4100D"/>
    <w:rsid w:val="00C415D9"/>
    <w:rsid w:val="00C41AC0"/>
    <w:rsid w:val="00C41B77"/>
    <w:rsid w:val="00C46840"/>
    <w:rsid w:val="00C507B3"/>
    <w:rsid w:val="00C511D2"/>
    <w:rsid w:val="00C556C8"/>
    <w:rsid w:val="00C576F5"/>
    <w:rsid w:val="00C60D96"/>
    <w:rsid w:val="00C617B4"/>
    <w:rsid w:val="00C61F12"/>
    <w:rsid w:val="00C67D17"/>
    <w:rsid w:val="00C72F8D"/>
    <w:rsid w:val="00C74997"/>
    <w:rsid w:val="00C80FD4"/>
    <w:rsid w:val="00C84D69"/>
    <w:rsid w:val="00C90744"/>
    <w:rsid w:val="00C94D1A"/>
    <w:rsid w:val="00C95F4C"/>
    <w:rsid w:val="00CA753D"/>
    <w:rsid w:val="00CB04BE"/>
    <w:rsid w:val="00CB1EC4"/>
    <w:rsid w:val="00CB23FA"/>
    <w:rsid w:val="00CC1F2D"/>
    <w:rsid w:val="00CC6781"/>
    <w:rsid w:val="00CD073C"/>
    <w:rsid w:val="00CD2964"/>
    <w:rsid w:val="00CD4E31"/>
    <w:rsid w:val="00CD508E"/>
    <w:rsid w:val="00CE2C93"/>
    <w:rsid w:val="00CE3094"/>
    <w:rsid w:val="00CE45DA"/>
    <w:rsid w:val="00CE48C3"/>
    <w:rsid w:val="00CE542E"/>
    <w:rsid w:val="00CE5D59"/>
    <w:rsid w:val="00CF0F94"/>
    <w:rsid w:val="00CF211F"/>
    <w:rsid w:val="00CF2260"/>
    <w:rsid w:val="00CF2F35"/>
    <w:rsid w:val="00CF33F1"/>
    <w:rsid w:val="00CF4225"/>
    <w:rsid w:val="00CF56C8"/>
    <w:rsid w:val="00CF7A40"/>
    <w:rsid w:val="00D00EAF"/>
    <w:rsid w:val="00D0211C"/>
    <w:rsid w:val="00D06304"/>
    <w:rsid w:val="00D10763"/>
    <w:rsid w:val="00D12B19"/>
    <w:rsid w:val="00D131A9"/>
    <w:rsid w:val="00D13A01"/>
    <w:rsid w:val="00D143DD"/>
    <w:rsid w:val="00D1455B"/>
    <w:rsid w:val="00D14CB0"/>
    <w:rsid w:val="00D14D5A"/>
    <w:rsid w:val="00D14E6F"/>
    <w:rsid w:val="00D15D8E"/>
    <w:rsid w:val="00D213EA"/>
    <w:rsid w:val="00D21B40"/>
    <w:rsid w:val="00D23366"/>
    <w:rsid w:val="00D25B57"/>
    <w:rsid w:val="00D26516"/>
    <w:rsid w:val="00D269F6"/>
    <w:rsid w:val="00D302E2"/>
    <w:rsid w:val="00D31E4C"/>
    <w:rsid w:val="00D32985"/>
    <w:rsid w:val="00D415D1"/>
    <w:rsid w:val="00D4333D"/>
    <w:rsid w:val="00D44B27"/>
    <w:rsid w:val="00D4597C"/>
    <w:rsid w:val="00D464FB"/>
    <w:rsid w:val="00D50FC4"/>
    <w:rsid w:val="00D516C8"/>
    <w:rsid w:val="00D544DB"/>
    <w:rsid w:val="00D57B15"/>
    <w:rsid w:val="00D63738"/>
    <w:rsid w:val="00D64AD9"/>
    <w:rsid w:val="00D673CD"/>
    <w:rsid w:val="00D67F4F"/>
    <w:rsid w:val="00D73B2B"/>
    <w:rsid w:val="00D73F4D"/>
    <w:rsid w:val="00D76443"/>
    <w:rsid w:val="00D7687F"/>
    <w:rsid w:val="00D8080C"/>
    <w:rsid w:val="00D80BD2"/>
    <w:rsid w:val="00D8391D"/>
    <w:rsid w:val="00D86C0E"/>
    <w:rsid w:val="00D91470"/>
    <w:rsid w:val="00D92371"/>
    <w:rsid w:val="00D97C6F"/>
    <w:rsid w:val="00DA385A"/>
    <w:rsid w:val="00DA56B6"/>
    <w:rsid w:val="00DA680B"/>
    <w:rsid w:val="00DB1448"/>
    <w:rsid w:val="00DB46F0"/>
    <w:rsid w:val="00DB5704"/>
    <w:rsid w:val="00DB6197"/>
    <w:rsid w:val="00DB6DED"/>
    <w:rsid w:val="00DB7B89"/>
    <w:rsid w:val="00DB7D04"/>
    <w:rsid w:val="00DC05CE"/>
    <w:rsid w:val="00DC1CDF"/>
    <w:rsid w:val="00DC20CB"/>
    <w:rsid w:val="00DC20D9"/>
    <w:rsid w:val="00DC6BDF"/>
    <w:rsid w:val="00DD006B"/>
    <w:rsid w:val="00DD5A2A"/>
    <w:rsid w:val="00DE0CC5"/>
    <w:rsid w:val="00DE1F6D"/>
    <w:rsid w:val="00DE6E96"/>
    <w:rsid w:val="00DF08A7"/>
    <w:rsid w:val="00DF3D8D"/>
    <w:rsid w:val="00DF5060"/>
    <w:rsid w:val="00DF51B2"/>
    <w:rsid w:val="00E00B63"/>
    <w:rsid w:val="00E04716"/>
    <w:rsid w:val="00E07EBB"/>
    <w:rsid w:val="00E10EBE"/>
    <w:rsid w:val="00E152DA"/>
    <w:rsid w:val="00E1746D"/>
    <w:rsid w:val="00E239C8"/>
    <w:rsid w:val="00E2591A"/>
    <w:rsid w:val="00E265DC"/>
    <w:rsid w:val="00E31675"/>
    <w:rsid w:val="00E352D1"/>
    <w:rsid w:val="00E36110"/>
    <w:rsid w:val="00E36647"/>
    <w:rsid w:val="00E36A21"/>
    <w:rsid w:val="00E376A6"/>
    <w:rsid w:val="00E400C6"/>
    <w:rsid w:val="00E405BA"/>
    <w:rsid w:val="00E415AB"/>
    <w:rsid w:val="00E42796"/>
    <w:rsid w:val="00E428A6"/>
    <w:rsid w:val="00E447E2"/>
    <w:rsid w:val="00E451B1"/>
    <w:rsid w:val="00E5109D"/>
    <w:rsid w:val="00E515C0"/>
    <w:rsid w:val="00E53A55"/>
    <w:rsid w:val="00E55440"/>
    <w:rsid w:val="00E60B17"/>
    <w:rsid w:val="00E62EAC"/>
    <w:rsid w:val="00E6306E"/>
    <w:rsid w:val="00E63139"/>
    <w:rsid w:val="00E64609"/>
    <w:rsid w:val="00E65C2A"/>
    <w:rsid w:val="00E67398"/>
    <w:rsid w:val="00E674EE"/>
    <w:rsid w:val="00E73495"/>
    <w:rsid w:val="00E75A57"/>
    <w:rsid w:val="00E76089"/>
    <w:rsid w:val="00E76BBE"/>
    <w:rsid w:val="00E771EA"/>
    <w:rsid w:val="00E77CB4"/>
    <w:rsid w:val="00E81B75"/>
    <w:rsid w:val="00E821B4"/>
    <w:rsid w:val="00E821FE"/>
    <w:rsid w:val="00E855A8"/>
    <w:rsid w:val="00E962EF"/>
    <w:rsid w:val="00E9709E"/>
    <w:rsid w:val="00EA321A"/>
    <w:rsid w:val="00EB5A03"/>
    <w:rsid w:val="00EC0BC3"/>
    <w:rsid w:val="00EC16F3"/>
    <w:rsid w:val="00EC2EE1"/>
    <w:rsid w:val="00EC3DDA"/>
    <w:rsid w:val="00EC6792"/>
    <w:rsid w:val="00ED39FF"/>
    <w:rsid w:val="00ED5591"/>
    <w:rsid w:val="00EE00F1"/>
    <w:rsid w:val="00EE0456"/>
    <w:rsid w:val="00EE625C"/>
    <w:rsid w:val="00EF0CE8"/>
    <w:rsid w:val="00EF138B"/>
    <w:rsid w:val="00EF156B"/>
    <w:rsid w:val="00EF1DA8"/>
    <w:rsid w:val="00EF2F90"/>
    <w:rsid w:val="00EF71AE"/>
    <w:rsid w:val="00F008B7"/>
    <w:rsid w:val="00F02CC3"/>
    <w:rsid w:val="00F048C4"/>
    <w:rsid w:val="00F04A27"/>
    <w:rsid w:val="00F04DF8"/>
    <w:rsid w:val="00F05163"/>
    <w:rsid w:val="00F05A42"/>
    <w:rsid w:val="00F10EDE"/>
    <w:rsid w:val="00F11C97"/>
    <w:rsid w:val="00F13F44"/>
    <w:rsid w:val="00F14DAF"/>
    <w:rsid w:val="00F22A0D"/>
    <w:rsid w:val="00F23B63"/>
    <w:rsid w:val="00F2429A"/>
    <w:rsid w:val="00F26DC2"/>
    <w:rsid w:val="00F270BB"/>
    <w:rsid w:val="00F31E9D"/>
    <w:rsid w:val="00F32B4B"/>
    <w:rsid w:val="00F3724F"/>
    <w:rsid w:val="00F41CF4"/>
    <w:rsid w:val="00F43CE5"/>
    <w:rsid w:val="00F43DC7"/>
    <w:rsid w:val="00F43FA7"/>
    <w:rsid w:val="00F45793"/>
    <w:rsid w:val="00F458A6"/>
    <w:rsid w:val="00F5020A"/>
    <w:rsid w:val="00F508A8"/>
    <w:rsid w:val="00F5264B"/>
    <w:rsid w:val="00F530DB"/>
    <w:rsid w:val="00F540FE"/>
    <w:rsid w:val="00F57D7A"/>
    <w:rsid w:val="00F651DB"/>
    <w:rsid w:val="00F65254"/>
    <w:rsid w:val="00F6527C"/>
    <w:rsid w:val="00F70D64"/>
    <w:rsid w:val="00F73922"/>
    <w:rsid w:val="00F73A14"/>
    <w:rsid w:val="00F7427D"/>
    <w:rsid w:val="00F74744"/>
    <w:rsid w:val="00F80C23"/>
    <w:rsid w:val="00F82E86"/>
    <w:rsid w:val="00F83463"/>
    <w:rsid w:val="00F8406B"/>
    <w:rsid w:val="00F84EDF"/>
    <w:rsid w:val="00F85A35"/>
    <w:rsid w:val="00F874C9"/>
    <w:rsid w:val="00F87514"/>
    <w:rsid w:val="00F91A51"/>
    <w:rsid w:val="00F9632F"/>
    <w:rsid w:val="00F97223"/>
    <w:rsid w:val="00FA2961"/>
    <w:rsid w:val="00FB0963"/>
    <w:rsid w:val="00FB195E"/>
    <w:rsid w:val="00FB1AA5"/>
    <w:rsid w:val="00FB29FC"/>
    <w:rsid w:val="00FB54E7"/>
    <w:rsid w:val="00FB61D0"/>
    <w:rsid w:val="00FC038F"/>
    <w:rsid w:val="00FC3C50"/>
    <w:rsid w:val="00FC3FED"/>
    <w:rsid w:val="00FC6CAA"/>
    <w:rsid w:val="00FD2125"/>
    <w:rsid w:val="00FD2680"/>
    <w:rsid w:val="00FE0219"/>
    <w:rsid w:val="00FE3FEC"/>
    <w:rsid w:val="00FE7400"/>
    <w:rsid w:val="00FF0E80"/>
    <w:rsid w:val="00FF0F61"/>
    <w:rsid w:val="00FF1ACF"/>
    <w:rsid w:val="00FF1D35"/>
    <w:rsid w:val="00FF25AB"/>
    <w:rsid w:val="00FF43FE"/>
    <w:rsid w:val="00FF464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578287"/>
  <w15:docId w15:val="{6749498B-F687-40A7-A623-92C40433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1A0"/>
    <w:pPr>
      <w:spacing w:after="120" w:line="360" w:lineRule="auto"/>
      <w:jc w:val="both"/>
    </w:pPr>
    <w:rPr>
      <w:sz w:val="24"/>
    </w:rPr>
  </w:style>
  <w:style w:type="paragraph" w:styleId="Heading1">
    <w:name w:val="heading 1"/>
    <w:basedOn w:val="Normal"/>
    <w:next w:val="Normal"/>
    <w:link w:val="Heading1Char"/>
    <w:uiPriority w:val="9"/>
    <w:qFormat/>
    <w:rsid w:val="002D6002"/>
    <w:pPr>
      <w:keepNext/>
      <w:keepLines/>
      <w:numPr>
        <w:numId w:val="34"/>
      </w:numPr>
      <w:spacing w:before="240"/>
      <w:outlineLvl w:val="0"/>
    </w:pPr>
    <w:rPr>
      <w:rFonts w:eastAsiaTheme="majorEastAsia" w:cstheme="majorBidi"/>
      <w:b/>
      <w:bCs/>
      <w:caps/>
      <w:color w:val="000000" w:themeColor="text1"/>
      <w:sz w:val="28"/>
      <w:szCs w:val="24"/>
    </w:rPr>
  </w:style>
  <w:style w:type="paragraph" w:styleId="Heading2">
    <w:name w:val="heading 2"/>
    <w:basedOn w:val="Normal"/>
    <w:next w:val="Normal"/>
    <w:link w:val="Heading2Char"/>
    <w:uiPriority w:val="9"/>
    <w:unhideWhenUsed/>
    <w:qFormat/>
    <w:rsid w:val="00063C48"/>
    <w:pPr>
      <w:keepNext/>
      <w:keepLines/>
      <w:numPr>
        <w:ilvl w:val="1"/>
        <w:numId w:val="34"/>
      </w:numPr>
      <w:spacing w:before="24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322083"/>
    <w:pPr>
      <w:keepNext/>
      <w:keepLines/>
      <w:numPr>
        <w:ilvl w:val="2"/>
        <w:numId w:val="34"/>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E64609"/>
    <w:pPr>
      <w:keepNext/>
      <w:keepLines/>
      <w:numPr>
        <w:ilvl w:val="3"/>
        <w:numId w:val="3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47FA5"/>
    <w:pPr>
      <w:keepNext/>
      <w:keepLines/>
      <w:numPr>
        <w:ilvl w:val="4"/>
        <w:numId w:val="34"/>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47FA5"/>
    <w:pPr>
      <w:keepNext/>
      <w:keepLines/>
      <w:numPr>
        <w:ilvl w:val="5"/>
        <w:numId w:val="3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47FA5"/>
    <w:pPr>
      <w:keepNext/>
      <w:keepLines/>
      <w:numPr>
        <w:ilvl w:val="6"/>
        <w:numId w:val="3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47FA5"/>
    <w:pPr>
      <w:keepNext/>
      <w:keepLines/>
      <w:numPr>
        <w:ilvl w:val="7"/>
        <w:numId w:val="3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47FA5"/>
    <w:pPr>
      <w:keepNext/>
      <w:keepLines/>
      <w:numPr>
        <w:ilvl w:val="8"/>
        <w:numId w:val="3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0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6E7C"/>
    <w:pPr>
      <w:ind w:left="720"/>
      <w:contextualSpacing/>
    </w:pPr>
  </w:style>
  <w:style w:type="paragraph" w:styleId="Header">
    <w:name w:val="header"/>
    <w:basedOn w:val="Normal"/>
    <w:link w:val="HeaderChar"/>
    <w:uiPriority w:val="99"/>
    <w:unhideWhenUsed/>
    <w:rsid w:val="00AC7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94F"/>
  </w:style>
  <w:style w:type="paragraph" w:styleId="Footer">
    <w:name w:val="footer"/>
    <w:basedOn w:val="Normal"/>
    <w:link w:val="FooterChar"/>
    <w:uiPriority w:val="99"/>
    <w:unhideWhenUsed/>
    <w:rsid w:val="00AC7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94F"/>
  </w:style>
  <w:style w:type="paragraph" w:styleId="BalloonText">
    <w:name w:val="Balloon Text"/>
    <w:basedOn w:val="Normal"/>
    <w:link w:val="BalloonTextChar"/>
    <w:uiPriority w:val="99"/>
    <w:semiHidden/>
    <w:unhideWhenUsed/>
    <w:rsid w:val="00FE0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219"/>
    <w:rPr>
      <w:rFonts w:ascii="Tahoma" w:hAnsi="Tahoma" w:cs="Tahoma"/>
      <w:sz w:val="16"/>
      <w:szCs w:val="16"/>
    </w:rPr>
  </w:style>
  <w:style w:type="character" w:customStyle="1" w:styleId="Heading1Char">
    <w:name w:val="Heading 1 Char"/>
    <w:basedOn w:val="DefaultParagraphFont"/>
    <w:link w:val="Heading1"/>
    <w:uiPriority w:val="9"/>
    <w:rsid w:val="002D6002"/>
    <w:rPr>
      <w:rFonts w:eastAsiaTheme="majorEastAsia" w:cstheme="majorBidi"/>
      <w:b/>
      <w:bCs/>
      <w:caps/>
      <w:color w:val="000000" w:themeColor="text1"/>
      <w:sz w:val="28"/>
      <w:szCs w:val="24"/>
    </w:rPr>
  </w:style>
  <w:style w:type="paragraph" w:styleId="TOCHeading">
    <w:name w:val="TOC Heading"/>
    <w:basedOn w:val="Normal"/>
    <w:next w:val="Normal"/>
    <w:link w:val="TOCHeadingChar"/>
    <w:uiPriority w:val="39"/>
    <w:unhideWhenUsed/>
    <w:qFormat/>
    <w:rsid w:val="00AE71A0"/>
    <w:rPr>
      <w:b/>
      <w:sz w:val="28"/>
      <w:lang w:val="en-US" w:eastAsia="ja-JP"/>
    </w:rPr>
  </w:style>
  <w:style w:type="paragraph" w:styleId="TOC1">
    <w:name w:val="toc 1"/>
    <w:basedOn w:val="Normal"/>
    <w:next w:val="Normal"/>
    <w:autoRedefine/>
    <w:uiPriority w:val="39"/>
    <w:unhideWhenUsed/>
    <w:rsid w:val="002D6002"/>
    <w:pPr>
      <w:tabs>
        <w:tab w:val="left" w:pos="407"/>
        <w:tab w:val="right" w:leader="dot" w:pos="9016"/>
      </w:tabs>
      <w:spacing w:after="100" w:line="240" w:lineRule="auto"/>
      <w:ind w:left="426" w:hanging="426"/>
    </w:pPr>
  </w:style>
  <w:style w:type="character" w:styleId="Hyperlink">
    <w:name w:val="Hyperlink"/>
    <w:basedOn w:val="DefaultParagraphFont"/>
    <w:uiPriority w:val="99"/>
    <w:unhideWhenUsed/>
    <w:rsid w:val="008A09C7"/>
    <w:rPr>
      <w:color w:val="0000FF" w:themeColor="hyperlink"/>
      <w:u w:val="single"/>
    </w:rPr>
  </w:style>
  <w:style w:type="character" w:customStyle="1" w:styleId="Heading2Char">
    <w:name w:val="Heading 2 Char"/>
    <w:basedOn w:val="DefaultParagraphFont"/>
    <w:link w:val="Heading2"/>
    <w:uiPriority w:val="9"/>
    <w:rsid w:val="00063C48"/>
    <w:rPr>
      <w:rFonts w:eastAsiaTheme="majorEastAsia" w:cstheme="majorBidi"/>
      <w:b/>
      <w:bCs/>
      <w:sz w:val="26"/>
      <w:szCs w:val="26"/>
    </w:rPr>
  </w:style>
  <w:style w:type="character" w:customStyle="1" w:styleId="Heading3Char">
    <w:name w:val="Heading 3 Char"/>
    <w:basedOn w:val="DefaultParagraphFont"/>
    <w:link w:val="Heading3"/>
    <w:uiPriority w:val="9"/>
    <w:rsid w:val="00322083"/>
    <w:rPr>
      <w:rFonts w:eastAsiaTheme="majorEastAsia" w:cstheme="majorBidi"/>
      <w:b/>
      <w:bCs/>
      <w:color w:val="000000" w:themeColor="text1"/>
      <w:sz w:val="24"/>
    </w:rPr>
  </w:style>
  <w:style w:type="paragraph" w:styleId="TOC2">
    <w:name w:val="toc 2"/>
    <w:basedOn w:val="Normal"/>
    <w:next w:val="Normal"/>
    <w:link w:val="TOC2Char"/>
    <w:autoRedefine/>
    <w:uiPriority w:val="39"/>
    <w:unhideWhenUsed/>
    <w:rsid w:val="00E77CB4"/>
    <w:pPr>
      <w:tabs>
        <w:tab w:val="left" w:pos="880"/>
        <w:tab w:val="right" w:leader="dot" w:pos="9016"/>
      </w:tabs>
      <w:spacing w:after="100"/>
      <w:ind w:left="851" w:hanging="631"/>
    </w:pPr>
  </w:style>
  <w:style w:type="paragraph" w:styleId="TOC3">
    <w:name w:val="toc 3"/>
    <w:basedOn w:val="Normal"/>
    <w:next w:val="Normal"/>
    <w:autoRedefine/>
    <w:uiPriority w:val="39"/>
    <w:unhideWhenUsed/>
    <w:rsid w:val="00E77CB4"/>
    <w:pPr>
      <w:tabs>
        <w:tab w:val="left" w:pos="1320"/>
        <w:tab w:val="right" w:leader="dot" w:pos="9016"/>
      </w:tabs>
      <w:spacing w:after="100"/>
      <w:ind w:left="1418" w:hanging="978"/>
    </w:pPr>
  </w:style>
  <w:style w:type="paragraph" w:styleId="Revision">
    <w:name w:val="Revision"/>
    <w:hidden/>
    <w:uiPriority w:val="99"/>
    <w:semiHidden/>
    <w:rsid w:val="004851E9"/>
    <w:pPr>
      <w:spacing w:after="0" w:line="240" w:lineRule="auto"/>
    </w:pPr>
  </w:style>
  <w:style w:type="paragraph" w:styleId="Caption">
    <w:name w:val="caption"/>
    <w:basedOn w:val="Normal"/>
    <w:next w:val="Normal"/>
    <w:link w:val="CaptionChar"/>
    <w:autoRedefine/>
    <w:uiPriority w:val="35"/>
    <w:unhideWhenUsed/>
    <w:qFormat/>
    <w:rsid w:val="00322083"/>
    <w:pPr>
      <w:spacing w:line="240" w:lineRule="auto"/>
      <w:ind w:left="993" w:hanging="993"/>
    </w:pPr>
    <w:rPr>
      <w:b/>
      <w:bCs/>
      <w:sz w:val="20"/>
      <w:szCs w:val="18"/>
    </w:rPr>
  </w:style>
  <w:style w:type="character" w:styleId="PlaceholderText">
    <w:name w:val="Placeholder Text"/>
    <w:basedOn w:val="DefaultParagraphFont"/>
    <w:uiPriority w:val="99"/>
    <w:semiHidden/>
    <w:rsid w:val="00F83463"/>
    <w:rPr>
      <w:color w:val="808080"/>
    </w:rPr>
  </w:style>
  <w:style w:type="character" w:styleId="HTMLCite">
    <w:name w:val="HTML Cite"/>
    <w:basedOn w:val="DefaultParagraphFont"/>
    <w:uiPriority w:val="99"/>
    <w:semiHidden/>
    <w:unhideWhenUsed/>
    <w:rsid w:val="00290236"/>
    <w:rPr>
      <w:i/>
      <w:iCs/>
    </w:rPr>
  </w:style>
  <w:style w:type="character" w:styleId="Emphasis">
    <w:name w:val="Emphasis"/>
    <w:uiPriority w:val="20"/>
    <w:qFormat/>
    <w:rsid w:val="0091430F"/>
    <w:rPr>
      <w:rFonts w:asciiTheme="minorHAnsi" w:hAnsiTheme="minorHAnsi"/>
      <w:b w:val="0"/>
      <w:i/>
      <w:iCs/>
      <w:color w:val="000000" w:themeColor="text1"/>
      <w:sz w:val="20"/>
    </w:rPr>
  </w:style>
  <w:style w:type="numbering" w:styleId="1ai">
    <w:name w:val="Outline List 1"/>
    <w:basedOn w:val="NoList"/>
    <w:uiPriority w:val="99"/>
    <w:semiHidden/>
    <w:unhideWhenUsed/>
    <w:rsid w:val="00F23B63"/>
    <w:pPr>
      <w:numPr>
        <w:numId w:val="2"/>
      </w:numPr>
    </w:pPr>
  </w:style>
  <w:style w:type="paragraph" w:styleId="TableofFigures">
    <w:name w:val="table of figures"/>
    <w:basedOn w:val="Normal"/>
    <w:next w:val="Normal"/>
    <w:uiPriority w:val="99"/>
    <w:unhideWhenUsed/>
    <w:rsid w:val="00BA6D8D"/>
    <w:pPr>
      <w:ind w:left="440" w:hanging="440"/>
    </w:pPr>
  </w:style>
  <w:style w:type="character" w:styleId="FollowedHyperlink">
    <w:name w:val="FollowedHyperlink"/>
    <w:basedOn w:val="DefaultParagraphFont"/>
    <w:uiPriority w:val="99"/>
    <w:semiHidden/>
    <w:unhideWhenUsed/>
    <w:rsid w:val="00677E42"/>
    <w:rPr>
      <w:color w:val="800080" w:themeColor="followedHyperlink"/>
      <w:u w:val="single"/>
    </w:rPr>
  </w:style>
  <w:style w:type="paragraph" w:styleId="DocumentMap">
    <w:name w:val="Document Map"/>
    <w:basedOn w:val="Normal"/>
    <w:link w:val="DocumentMapChar"/>
    <w:uiPriority w:val="99"/>
    <w:semiHidden/>
    <w:unhideWhenUsed/>
    <w:rsid w:val="007D7E0D"/>
    <w:pPr>
      <w:spacing w:after="0"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7D7E0D"/>
    <w:rPr>
      <w:rFonts w:ascii="Lucida Grande" w:hAnsi="Lucida Grande" w:cs="Lucida Grande"/>
      <w:sz w:val="24"/>
      <w:szCs w:val="24"/>
    </w:rPr>
  </w:style>
  <w:style w:type="paragraph" w:styleId="FootnoteText">
    <w:name w:val="footnote text"/>
    <w:basedOn w:val="Normal"/>
    <w:link w:val="FootnoteTextChar"/>
    <w:uiPriority w:val="99"/>
    <w:unhideWhenUsed/>
    <w:rsid w:val="003974C6"/>
    <w:pPr>
      <w:spacing w:after="0" w:line="240" w:lineRule="auto"/>
    </w:pPr>
    <w:rPr>
      <w:szCs w:val="24"/>
    </w:rPr>
  </w:style>
  <w:style w:type="character" w:customStyle="1" w:styleId="FootnoteTextChar">
    <w:name w:val="Footnote Text Char"/>
    <w:basedOn w:val="DefaultParagraphFont"/>
    <w:link w:val="FootnoteText"/>
    <w:uiPriority w:val="99"/>
    <w:rsid w:val="003974C6"/>
    <w:rPr>
      <w:sz w:val="24"/>
      <w:szCs w:val="24"/>
    </w:rPr>
  </w:style>
  <w:style w:type="character" w:styleId="FootnoteReference">
    <w:name w:val="footnote reference"/>
    <w:basedOn w:val="DefaultParagraphFont"/>
    <w:uiPriority w:val="99"/>
    <w:unhideWhenUsed/>
    <w:rsid w:val="003974C6"/>
    <w:rPr>
      <w:vertAlign w:val="superscript"/>
    </w:rPr>
  </w:style>
  <w:style w:type="character" w:styleId="CommentReference">
    <w:name w:val="annotation reference"/>
    <w:basedOn w:val="DefaultParagraphFont"/>
    <w:uiPriority w:val="99"/>
    <w:semiHidden/>
    <w:unhideWhenUsed/>
    <w:rsid w:val="00443D2B"/>
    <w:rPr>
      <w:sz w:val="16"/>
      <w:szCs w:val="16"/>
    </w:rPr>
  </w:style>
  <w:style w:type="paragraph" w:styleId="CommentText">
    <w:name w:val="annotation text"/>
    <w:basedOn w:val="Normal"/>
    <w:link w:val="CommentTextChar"/>
    <w:uiPriority w:val="99"/>
    <w:semiHidden/>
    <w:unhideWhenUsed/>
    <w:rsid w:val="00443D2B"/>
    <w:pPr>
      <w:spacing w:line="240" w:lineRule="auto"/>
    </w:pPr>
    <w:rPr>
      <w:sz w:val="20"/>
      <w:szCs w:val="20"/>
    </w:rPr>
  </w:style>
  <w:style w:type="character" w:customStyle="1" w:styleId="CommentTextChar">
    <w:name w:val="Comment Text Char"/>
    <w:basedOn w:val="DefaultParagraphFont"/>
    <w:link w:val="CommentText"/>
    <w:uiPriority w:val="99"/>
    <w:semiHidden/>
    <w:rsid w:val="00443D2B"/>
    <w:rPr>
      <w:sz w:val="20"/>
      <w:szCs w:val="20"/>
    </w:rPr>
  </w:style>
  <w:style w:type="paragraph" w:styleId="CommentSubject">
    <w:name w:val="annotation subject"/>
    <w:basedOn w:val="CommentText"/>
    <w:next w:val="CommentText"/>
    <w:link w:val="CommentSubjectChar"/>
    <w:uiPriority w:val="99"/>
    <w:semiHidden/>
    <w:unhideWhenUsed/>
    <w:rsid w:val="00855DF2"/>
    <w:rPr>
      <w:b/>
      <w:bCs/>
    </w:rPr>
  </w:style>
  <w:style w:type="character" w:customStyle="1" w:styleId="CommentSubjectChar">
    <w:name w:val="Comment Subject Char"/>
    <w:basedOn w:val="CommentTextChar"/>
    <w:link w:val="CommentSubject"/>
    <w:uiPriority w:val="99"/>
    <w:semiHidden/>
    <w:rsid w:val="00855DF2"/>
    <w:rPr>
      <w:b/>
      <w:bCs/>
      <w:sz w:val="20"/>
      <w:szCs w:val="20"/>
    </w:rPr>
  </w:style>
  <w:style w:type="paragraph" w:styleId="Quote">
    <w:name w:val="Quote"/>
    <w:basedOn w:val="Normal"/>
    <w:next w:val="Normal"/>
    <w:link w:val="QuoteChar"/>
    <w:uiPriority w:val="29"/>
    <w:qFormat/>
    <w:rsid w:val="00D2336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23366"/>
    <w:rPr>
      <w:i/>
      <w:iCs/>
      <w:color w:val="404040" w:themeColor="text1" w:themeTint="BF"/>
    </w:rPr>
  </w:style>
  <w:style w:type="character" w:customStyle="1" w:styleId="UnresolvedMention1">
    <w:name w:val="Unresolved Mention1"/>
    <w:basedOn w:val="DefaultParagraphFont"/>
    <w:uiPriority w:val="99"/>
    <w:semiHidden/>
    <w:unhideWhenUsed/>
    <w:rsid w:val="00EE0456"/>
    <w:rPr>
      <w:color w:val="808080"/>
      <w:shd w:val="clear" w:color="auto" w:fill="E6E6E6"/>
    </w:rPr>
  </w:style>
  <w:style w:type="character" w:customStyle="1" w:styleId="Heading4Char">
    <w:name w:val="Heading 4 Char"/>
    <w:basedOn w:val="DefaultParagraphFont"/>
    <w:link w:val="Heading4"/>
    <w:uiPriority w:val="9"/>
    <w:rsid w:val="00E64609"/>
    <w:rPr>
      <w:rFonts w:asciiTheme="majorHAnsi" w:eastAsiaTheme="majorEastAsia" w:hAnsiTheme="majorHAnsi" w:cstheme="majorBidi"/>
      <w:i/>
      <w:iCs/>
      <w:color w:val="365F91" w:themeColor="accent1" w:themeShade="BF"/>
    </w:rPr>
  </w:style>
  <w:style w:type="paragraph" w:styleId="EndnoteText">
    <w:name w:val="endnote text"/>
    <w:basedOn w:val="Normal"/>
    <w:link w:val="EndnoteTextChar"/>
    <w:uiPriority w:val="99"/>
    <w:semiHidden/>
    <w:unhideWhenUsed/>
    <w:rsid w:val="009467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6703"/>
    <w:rPr>
      <w:sz w:val="20"/>
      <w:szCs w:val="20"/>
    </w:rPr>
  </w:style>
  <w:style w:type="character" w:styleId="EndnoteReference">
    <w:name w:val="endnote reference"/>
    <w:basedOn w:val="DefaultParagraphFont"/>
    <w:uiPriority w:val="99"/>
    <w:semiHidden/>
    <w:unhideWhenUsed/>
    <w:rsid w:val="00946703"/>
    <w:rPr>
      <w:vertAlign w:val="superscript"/>
    </w:rPr>
  </w:style>
  <w:style w:type="numbering" w:customStyle="1" w:styleId="Style1">
    <w:name w:val="Style1"/>
    <w:uiPriority w:val="99"/>
    <w:rsid w:val="0044595D"/>
    <w:pPr>
      <w:numPr>
        <w:numId w:val="11"/>
      </w:numPr>
    </w:pPr>
  </w:style>
  <w:style w:type="character" w:customStyle="1" w:styleId="UnresolvedMention2">
    <w:name w:val="Unresolved Mention2"/>
    <w:basedOn w:val="DefaultParagraphFont"/>
    <w:uiPriority w:val="99"/>
    <w:semiHidden/>
    <w:unhideWhenUsed/>
    <w:rsid w:val="003658FB"/>
    <w:rPr>
      <w:color w:val="808080"/>
      <w:shd w:val="clear" w:color="auto" w:fill="E6E6E6"/>
    </w:rPr>
  </w:style>
  <w:style w:type="character" w:styleId="IntenseReference">
    <w:name w:val="Intense Reference"/>
    <w:basedOn w:val="DefaultParagraphFont"/>
    <w:uiPriority w:val="32"/>
    <w:qFormat/>
    <w:rsid w:val="00DB6DED"/>
    <w:rPr>
      <w:b/>
      <w:bCs/>
      <w:smallCaps/>
      <w:color w:val="4F81BD" w:themeColor="accent1"/>
      <w:spacing w:val="5"/>
    </w:rPr>
  </w:style>
  <w:style w:type="paragraph" w:customStyle="1" w:styleId="ThesisBody">
    <w:name w:val="Thesis Body"/>
    <w:basedOn w:val="TOC2"/>
    <w:link w:val="ThesisBodyChar"/>
    <w:rsid w:val="003519A8"/>
    <w:rPr>
      <w:noProof/>
    </w:rPr>
  </w:style>
  <w:style w:type="paragraph" w:customStyle="1" w:styleId="ThesisHeading1">
    <w:name w:val="Thesis Heading 1"/>
    <w:basedOn w:val="TOCHeading"/>
    <w:link w:val="ThesisHeading1Char"/>
    <w:rsid w:val="003519A8"/>
    <w:rPr>
      <w:color w:val="000000" w:themeColor="text1"/>
    </w:rPr>
  </w:style>
  <w:style w:type="character" w:customStyle="1" w:styleId="TOC2Char">
    <w:name w:val="TOC 2 Char"/>
    <w:basedOn w:val="DefaultParagraphFont"/>
    <w:link w:val="TOC2"/>
    <w:uiPriority w:val="39"/>
    <w:rsid w:val="00E77CB4"/>
    <w:rPr>
      <w:sz w:val="24"/>
    </w:rPr>
  </w:style>
  <w:style w:type="character" w:customStyle="1" w:styleId="ThesisBodyChar">
    <w:name w:val="Thesis Body Char"/>
    <w:basedOn w:val="TOC2Char"/>
    <w:link w:val="ThesisBody"/>
    <w:rsid w:val="003519A8"/>
    <w:rPr>
      <w:noProof/>
      <w:sz w:val="24"/>
    </w:rPr>
  </w:style>
  <w:style w:type="character" w:customStyle="1" w:styleId="Heading5Char">
    <w:name w:val="Heading 5 Char"/>
    <w:basedOn w:val="DefaultParagraphFont"/>
    <w:link w:val="Heading5"/>
    <w:uiPriority w:val="9"/>
    <w:semiHidden/>
    <w:rsid w:val="00447FA5"/>
    <w:rPr>
      <w:rFonts w:asciiTheme="majorHAnsi" w:eastAsiaTheme="majorEastAsia" w:hAnsiTheme="majorHAnsi" w:cstheme="majorBidi"/>
      <w:color w:val="365F91" w:themeColor="accent1" w:themeShade="BF"/>
      <w:sz w:val="24"/>
    </w:rPr>
  </w:style>
  <w:style w:type="character" w:customStyle="1" w:styleId="TOCHeadingChar">
    <w:name w:val="TOC Heading Char"/>
    <w:basedOn w:val="Heading1Char"/>
    <w:link w:val="TOCHeading"/>
    <w:uiPriority w:val="39"/>
    <w:rsid w:val="00AE71A0"/>
    <w:rPr>
      <w:rFonts w:eastAsiaTheme="majorEastAsia" w:cstheme="majorBidi"/>
      <w:b/>
      <w:bCs w:val="0"/>
      <w:caps/>
      <w:color w:val="000000" w:themeColor="text1"/>
      <w:sz w:val="28"/>
      <w:szCs w:val="24"/>
      <w:lang w:val="en-US" w:eastAsia="ja-JP"/>
    </w:rPr>
  </w:style>
  <w:style w:type="character" w:customStyle="1" w:styleId="ThesisHeading1Char">
    <w:name w:val="Thesis Heading 1 Char"/>
    <w:basedOn w:val="TOCHeadingChar"/>
    <w:link w:val="ThesisHeading1"/>
    <w:rsid w:val="003519A8"/>
    <w:rPr>
      <w:rFonts w:eastAsiaTheme="majorEastAsia" w:cstheme="majorBidi"/>
      <w:b/>
      <w:bCs w:val="0"/>
      <w:caps/>
      <w:color w:val="000000" w:themeColor="text1"/>
      <w:sz w:val="28"/>
      <w:szCs w:val="24"/>
      <w:lang w:val="en-US" w:eastAsia="ja-JP"/>
    </w:rPr>
  </w:style>
  <w:style w:type="character" w:customStyle="1" w:styleId="Heading6Char">
    <w:name w:val="Heading 6 Char"/>
    <w:basedOn w:val="DefaultParagraphFont"/>
    <w:link w:val="Heading6"/>
    <w:uiPriority w:val="9"/>
    <w:semiHidden/>
    <w:rsid w:val="00447FA5"/>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447FA5"/>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447F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47FA5"/>
    <w:rPr>
      <w:rFonts w:asciiTheme="majorHAnsi" w:eastAsiaTheme="majorEastAsia" w:hAnsiTheme="majorHAnsi" w:cstheme="majorBidi"/>
      <w:i/>
      <w:iCs/>
      <w:color w:val="272727" w:themeColor="text1" w:themeTint="D8"/>
      <w:sz w:val="21"/>
      <w:szCs w:val="21"/>
    </w:rPr>
  </w:style>
  <w:style w:type="paragraph" w:customStyle="1" w:styleId="Figure">
    <w:name w:val="Figure"/>
    <w:basedOn w:val="Caption"/>
    <w:next w:val="Normal"/>
    <w:link w:val="FigureChar"/>
    <w:autoRedefine/>
    <w:qFormat/>
    <w:rsid w:val="00322083"/>
    <w:pPr>
      <w:ind w:hanging="142"/>
    </w:pPr>
    <w:rPr>
      <w:color w:val="000000" w:themeColor="text1"/>
    </w:rPr>
  </w:style>
  <w:style w:type="paragraph" w:customStyle="1" w:styleId="Table">
    <w:name w:val="Table"/>
    <w:basedOn w:val="Caption"/>
    <w:next w:val="Normal"/>
    <w:link w:val="TableChar"/>
    <w:autoRedefine/>
    <w:qFormat/>
    <w:rsid w:val="0091430F"/>
    <w:rPr>
      <w:color w:val="000000" w:themeColor="text1"/>
    </w:rPr>
  </w:style>
  <w:style w:type="character" w:customStyle="1" w:styleId="CaptionChar">
    <w:name w:val="Caption Char"/>
    <w:basedOn w:val="DefaultParagraphFont"/>
    <w:link w:val="Caption"/>
    <w:uiPriority w:val="35"/>
    <w:rsid w:val="00322083"/>
    <w:rPr>
      <w:b/>
      <w:bCs/>
      <w:sz w:val="20"/>
      <w:szCs w:val="18"/>
    </w:rPr>
  </w:style>
  <w:style w:type="character" w:customStyle="1" w:styleId="FigureChar">
    <w:name w:val="Figure Char"/>
    <w:basedOn w:val="CaptionChar"/>
    <w:link w:val="Figure"/>
    <w:rsid w:val="00322083"/>
    <w:rPr>
      <w:b/>
      <w:bCs/>
      <w:color w:val="000000" w:themeColor="text1"/>
      <w:sz w:val="20"/>
      <w:szCs w:val="18"/>
    </w:rPr>
  </w:style>
  <w:style w:type="character" w:customStyle="1" w:styleId="size-m">
    <w:name w:val="size-m"/>
    <w:basedOn w:val="DefaultParagraphFont"/>
    <w:rsid w:val="00D57B15"/>
  </w:style>
  <w:style w:type="character" w:customStyle="1" w:styleId="TableChar">
    <w:name w:val="Table Char"/>
    <w:basedOn w:val="CaptionChar"/>
    <w:link w:val="Table"/>
    <w:rsid w:val="0091430F"/>
    <w:rPr>
      <w:b/>
      <w:bCs/>
      <w:color w:val="000000" w:themeColor="text1"/>
      <w:sz w:val="20"/>
      <w:szCs w:val="18"/>
    </w:rPr>
  </w:style>
  <w:style w:type="character" w:customStyle="1" w:styleId="st">
    <w:name w:val="st"/>
    <w:basedOn w:val="DefaultParagraphFont"/>
    <w:rsid w:val="00F43FA7"/>
  </w:style>
  <w:style w:type="character" w:customStyle="1" w:styleId="UnresolvedMention">
    <w:name w:val="Unresolved Mention"/>
    <w:basedOn w:val="DefaultParagraphFont"/>
    <w:uiPriority w:val="99"/>
    <w:semiHidden/>
    <w:unhideWhenUsed/>
    <w:rsid w:val="00A84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35352">
      <w:bodyDiv w:val="1"/>
      <w:marLeft w:val="0"/>
      <w:marRight w:val="0"/>
      <w:marTop w:val="0"/>
      <w:marBottom w:val="0"/>
      <w:divBdr>
        <w:top w:val="none" w:sz="0" w:space="0" w:color="auto"/>
        <w:left w:val="none" w:sz="0" w:space="0" w:color="auto"/>
        <w:bottom w:val="none" w:sz="0" w:space="0" w:color="auto"/>
        <w:right w:val="none" w:sz="0" w:space="0" w:color="auto"/>
      </w:divBdr>
    </w:div>
    <w:div w:id="631516538">
      <w:bodyDiv w:val="1"/>
      <w:marLeft w:val="0"/>
      <w:marRight w:val="0"/>
      <w:marTop w:val="0"/>
      <w:marBottom w:val="0"/>
      <w:divBdr>
        <w:top w:val="none" w:sz="0" w:space="0" w:color="auto"/>
        <w:left w:val="none" w:sz="0" w:space="0" w:color="auto"/>
        <w:bottom w:val="none" w:sz="0" w:space="0" w:color="auto"/>
        <w:right w:val="none" w:sz="0" w:space="0" w:color="auto"/>
      </w:divBdr>
    </w:div>
    <w:div w:id="762143678">
      <w:bodyDiv w:val="1"/>
      <w:marLeft w:val="0"/>
      <w:marRight w:val="0"/>
      <w:marTop w:val="0"/>
      <w:marBottom w:val="0"/>
      <w:divBdr>
        <w:top w:val="none" w:sz="0" w:space="0" w:color="auto"/>
        <w:left w:val="none" w:sz="0" w:space="0" w:color="auto"/>
        <w:bottom w:val="none" w:sz="0" w:space="0" w:color="auto"/>
        <w:right w:val="none" w:sz="0" w:space="0" w:color="auto"/>
      </w:divBdr>
    </w:div>
    <w:div w:id="1506237819">
      <w:bodyDiv w:val="1"/>
      <w:marLeft w:val="0"/>
      <w:marRight w:val="0"/>
      <w:marTop w:val="0"/>
      <w:marBottom w:val="0"/>
      <w:divBdr>
        <w:top w:val="none" w:sz="0" w:space="0" w:color="auto"/>
        <w:left w:val="none" w:sz="0" w:space="0" w:color="auto"/>
        <w:bottom w:val="none" w:sz="0" w:space="0" w:color="auto"/>
        <w:right w:val="none" w:sz="0" w:space="0" w:color="auto"/>
      </w:divBdr>
    </w:div>
    <w:div w:id="19297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microsoft.com/office/2007/relationships/diagramDrawing" Target="diagrams/drawing1.xml"/><Relationship Id="rId42" Type="http://schemas.openxmlformats.org/officeDocument/2006/relationships/hyperlink" Target="https://link.springer.com/article/10.1007/s11135-011-9455-8" TargetMode="External"/><Relationship Id="rId47" Type="http://schemas.openxmlformats.org/officeDocument/2006/relationships/hyperlink" Target="https://www.sciencedirect.com/science/article/abs/pii/S0740818816302274" TargetMode="External"/><Relationship Id="rId63" Type="http://schemas.openxmlformats.org/officeDocument/2006/relationships/hyperlink" Target="http://www.statssa.gov.za/publications/P0141/CPIHistory.pdf" TargetMode="External"/><Relationship Id="rId68" Type="http://schemas.openxmlformats.org/officeDocument/2006/relationships/hyperlink" Target="http://www.saimm.co.za/Journal/v103n08p489.pdf" TargetMode="External"/><Relationship Id="rId84" Type="http://schemas.openxmlformats.org/officeDocument/2006/relationships/image" Target="media/image16.jpg"/><Relationship Id="rId16" Type="http://schemas.openxmlformats.org/officeDocument/2006/relationships/image" Target="media/image3.emf"/><Relationship Id="rId11" Type="http://schemas.openxmlformats.org/officeDocument/2006/relationships/footer" Target="footer1.xml"/><Relationship Id="rId32" Type="http://schemas.openxmlformats.org/officeDocument/2006/relationships/chart" Target="charts/chart9.xml"/><Relationship Id="rId37" Type="http://schemas.openxmlformats.org/officeDocument/2006/relationships/chart" Target="charts/chart14.xml"/><Relationship Id="rId53" Type="http://schemas.openxmlformats.org/officeDocument/2006/relationships/hyperlink" Target="http://hdl.handle.net/11427/12190" TargetMode="External"/><Relationship Id="rId58" Type="http://schemas.openxmlformats.org/officeDocument/2006/relationships/hyperlink" Target="http://www.sciencedirect.com/science/article/pii/S0959652604002604" TargetMode="External"/><Relationship Id="rId74" Type="http://schemas.openxmlformats.org/officeDocument/2006/relationships/image" Target="media/image6.emf"/><Relationship Id="rId79" Type="http://schemas.openxmlformats.org/officeDocument/2006/relationships/image" Target="media/image11.jpeg"/><Relationship Id="rId5" Type="http://schemas.openxmlformats.org/officeDocument/2006/relationships/webSettings" Target="webSettings.xml"/><Relationship Id="rId19" Type="http://schemas.openxmlformats.org/officeDocument/2006/relationships/diagramQuickStyle" Target="diagrams/quickStyle1.xml"/><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hyperlink" Target="http://www.angloamerican.com/.../Anglo-American.../toolbox-main-brochure" TargetMode="External"/><Relationship Id="rId48" Type="http://schemas.openxmlformats.org/officeDocument/2006/relationships/hyperlink" Target="http://www.cidb.org.za/publications/Documents/Drivers%20of%20Cost%20of%20Construction%20Assessment%20and%20Recommendations.pdf" TargetMode="External"/><Relationship Id="rId56" Type="http://schemas.openxmlformats.org/officeDocument/2006/relationships/hyperlink" Target="https://www.sciencedirect.com/science/article/pii/S1658361216301482" TargetMode="External"/><Relationship Id="rId64" Type="http://schemas.openxmlformats.org/officeDocument/2006/relationships/hyperlink" Target="http://www.statssa.gov.za/publications/P01421/P01421October2017.pdf" TargetMode="External"/><Relationship Id="rId69" Type="http://schemas.openxmlformats.org/officeDocument/2006/relationships/hyperlink" Target="https://www.usinflationcalculator.com/inflation/current-inflation-rates/73/" TargetMode="External"/><Relationship Id="rId77" Type="http://schemas.openxmlformats.org/officeDocument/2006/relationships/image" Target="media/image9.jpg"/><Relationship Id="rId8" Type="http://schemas.openxmlformats.org/officeDocument/2006/relationships/image" Target="media/image1.gif"/><Relationship Id="rId51" Type="http://schemas.openxmlformats.org/officeDocument/2006/relationships/hyperlink" Target="http://www.golder.com/gh/modules.php?name=Documents" TargetMode="External"/><Relationship Id="rId72" Type="http://schemas.openxmlformats.org/officeDocument/2006/relationships/hyperlink" Target="http://www.earthlife.org.za/.../Van-Eeden-Liefferink-and-Durand-2009-AMD-and_social-responsibility-on-the-west-rand.pdf" TargetMode="External"/><Relationship Id="rId80" Type="http://schemas.openxmlformats.org/officeDocument/2006/relationships/image" Target="media/image12.emf"/><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hyperlink" Target="http://www.wmc.org.pl/sites/default/files/WMD2017.pdf" TargetMode="External"/><Relationship Id="rId59" Type="http://schemas.openxmlformats.org/officeDocument/2006/relationships/hyperlink" Target="http://www.ifcextapps.ifc.org/ifcext/spiwebsite1.nsf/0/.../EAP%20Chapter%208.pdf" TargetMode="External"/><Relationship Id="rId67" Type="http://schemas.openxmlformats.org/officeDocument/2006/relationships/hyperlink" Target="http://siteresources.worldbank.org/INTOGMC/Resources/notoverwhenover.pdf" TargetMode="External"/><Relationship Id="rId20" Type="http://schemas.openxmlformats.org/officeDocument/2006/relationships/diagramColors" Target="diagrams/colors1.xml"/><Relationship Id="rId41" Type="http://schemas.openxmlformats.org/officeDocument/2006/relationships/hyperlink" Target="https://www.sciencedirect.com/science/article/pii/S2214790X16301010" TargetMode="External"/><Relationship Id="rId54" Type="http://schemas.openxmlformats.org/officeDocument/2006/relationships/hyperlink" Target="http://www.academia.edu/8621292/Facilitating_dereliction_How_the_South_African_regulatory_framework_enables_mining_companies_to_circumvent_closure_duties" TargetMode="External"/><Relationship Id="rId62" Type="http://schemas.openxmlformats.org/officeDocument/2006/relationships/hyperlink" Target="https://www.statssa.gov.za/cpi/documents/Transition%20to%20the%202009%201%20July%2008%20final.pdf" TargetMode="External"/><Relationship Id="rId70" Type="http://schemas.openxmlformats.org/officeDocument/2006/relationships/hyperlink" Target="https://za.investing.com/currencies/zar-usd" TargetMode="External"/><Relationship Id="rId75" Type="http://schemas.openxmlformats.org/officeDocument/2006/relationships/image" Target="media/image7.emf"/><Relationship Id="rId83"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5.emf"/><Relationship Id="rId28" Type="http://schemas.openxmlformats.org/officeDocument/2006/relationships/chart" Target="charts/chart5.xml"/><Relationship Id="rId36" Type="http://schemas.openxmlformats.org/officeDocument/2006/relationships/chart" Target="charts/chart13.xml"/><Relationship Id="rId49" Type="http://schemas.openxmlformats.org/officeDocument/2006/relationships/hyperlink" Target="http://www.sciencedirect.com/science/article/pii/S0959652605000533" TargetMode="External"/><Relationship Id="rId57" Type="http://schemas.openxmlformats.org/officeDocument/2006/relationships/hyperlink" Target="https://www.researchgate.net/publication/278035528_Mine_closure_in_South_Africa_A_survey_of_current_professional_thinking_and_practice" TargetMode="External"/><Relationship Id="rId10" Type="http://schemas.openxmlformats.org/officeDocument/2006/relationships/header" Target="header2.xml"/><Relationship Id="rId31" Type="http://schemas.openxmlformats.org/officeDocument/2006/relationships/chart" Target="charts/chart8.xml"/><Relationship Id="rId44" Type="http://schemas.openxmlformats.org/officeDocument/2006/relationships/hyperlink" Target="http://www.cer.org.za/wp-content/.../AG_Report_on_abandoned_mines-Oct-2009.pdf" TargetMode="External"/><Relationship Id="rId52" Type="http://schemas.openxmlformats.org/officeDocument/2006/relationships/hyperlink" Target="http://www.shangoni.co.za/draft-policy-on-sustainable-hydropower-generation" TargetMode="External"/><Relationship Id="rId60" Type="http://schemas.openxmlformats.org/officeDocument/2006/relationships/hyperlink" Target="http://www.wmc.org.pl/sites/default/files/WMD2017.pdf" TargetMode="External"/><Relationship Id="rId65" Type="http://schemas.openxmlformats.org/officeDocument/2006/relationships/hyperlink" Target="http://www.statssa.gov.za/publications/P0151/P0151October2017.pdf" TargetMode="External"/><Relationship Id="rId73" Type="http://schemas.openxmlformats.org/officeDocument/2006/relationships/hyperlink" Target="http://www.awsassets.wwf.org.za/downloads/wwf_mining_8_august_low_res.pdf" TargetMode="External"/><Relationship Id="rId78" Type="http://schemas.openxmlformats.org/officeDocument/2006/relationships/image" Target="media/image10.jpg"/><Relationship Id="rId81" Type="http://schemas.openxmlformats.org/officeDocument/2006/relationships/image" Target="media/image13.jpe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diagramLayout" Target="diagrams/layout1.xml"/><Relationship Id="rId39" Type="http://schemas.openxmlformats.org/officeDocument/2006/relationships/chart" Target="charts/chart16.xml"/><Relationship Id="rId34" Type="http://schemas.openxmlformats.org/officeDocument/2006/relationships/chart" Target="charts/chart11.xml"/><Relationship Id="rId50" Type="http://schemas.openxmlformats.org/officeDocument/2006/relationships/hyperlink" Target="https://www.questia.com/library/journal/1G1-508425359/applying-quantitative-methods-to-e-book-collections" TargetMode="External"/><Relationship Id="rId55" Type="http://schemas.openxmlformats.org/officeDocument/2006/relationships/hyperlink" Target="http://www.sciencedirect.com/science/article/pii/S0959652605000399" TargetMode="External"/><Relationship Id="rId76" Type="http://schemas.openxmlformats.org/officeDocument/2006/relationships/image" Target="media/image8.emf"/><Relationship Id="rId7" Type="http://schemas.openxmlformats.org/officeDocument/2006/relationships/endnotes" Target="endnotes.xml"/><Relationship Id="rId71" Type="http://schemas.openxmlformats.org/officeDocument/2006/relationships/hyperlink" Target="http://www.scielo.org.za/scielo.php?script=sci_arttext&amp;pid=S2225-62532017000500012" TargetMode="External"/><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chart" Target="charts/chart17.xml"/><Relationship Id="rId45" Type="http://schemas.openxmlformats.org/officeDocument/2006/relationships/hyperlink" Target="https://link.springer.com/journal/11238" TargetMode="External"/><Relationship Id="rId66" Type="http://schemas.openxmlformats.org/officeDocument/2006/relationships/hyperlink" Target="https://openknowledge.worldbank.org/handle/10986/18386" TargetMode="External"/><Relationship Id="rId61" Type="http://schemas.openxmlformats.org/officeDocument/2006/relationships/hyperlink" Target="http://www.gov.za/sites/www.gov.za/files/39425_rg10526_gon1147.pdf" TargetMode="External"/><Relationship Id="rId82" Type="http://schemas.openxmlformats.org/officeDocument/2006/relationships/image" Target="media/image14.jpg"/></Relationships>
</file>

<file path=word/_rels/footnotes.xml.rels><?xml version="1.0" encoding="UTF-8" standalone="yes"?>
<Relationships xmlns="http://schemas.openxmlformats.org/package/2006/relationships"><Relationship Id="rId1" Type="http://schemas.openxmlformats.org/officeDocument/2006/relationships/hyperlink" Target="http://nvbond.or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2.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3.xlsx"/></Relationships>
</file>

<file path=word/charts/_rels/chart17.xml.rels><?xml version="1.0" encoding="UTF-8" standalone="yes"?>
<Relationships xmlns="http://schemas.openxmlformats.org/package/2006/relationships"><Relationship Id="rId2" Type="http://schemas.openxmlformats.org/officeDocument/2006/relationships/oleObject" Target="file:///F:\Project%20BOQ%20Extracts%20tender%20values%20comparison%202012-2017%20DMR.xlsx" TargetMode="External"/><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ermanc\Documents\Studies\MSc%20studies%202014%20+\Thesis%20papers\MINN7044%20Tender%20cost%20tables%20FINAL%20working%20fil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South Africa's annual average CPI Rate (%) 2005</a:t>
            </a:r>
            <a:r>
              <a:rPr lang="en-ZA" baseline="0"/>
              <a:t> - 2017</a:t>
            </a:r>
            <a:endParaRPr lang="en-Z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'CPI history'!$B$4:$N$4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'CPI history'!$B$17:$N$17</c:f>
              <c:numCache>
                <c:formatCode>0.0</c:formatCode>
                <c:ptCount val="13"/>
                <c:pt idx="0">
                  <c:v>3.4</c:v>
                </c:pt>
                <c:pt idx="1">
                  <c:v>4.7</c:v>
                </c:pt>
                <c:pt idx="2">
                  <c:v>7.1</c:v>
                </c:pt>
                <c:pt idx="3">
                  <c:v>11.5</c:v>
                </c:pt>
                <c:pt idx="4">
                  <c:v>7.1</c:v>
                </c:pt>
                <c:pt idx="5">
                  <c:v>4.3</c:v>
                </c:pt>
                <c:pt idx="6">
                  <c:v>5</c:v>
                </c:pt>
                <c:pt idx="7">
                  <c:v>5.6</c:v>
                </c:pt>
                <c:pt idx="8">
                  <c:v>5.7</c:v>
                </c:pt>
                <c:pt idx="9">
                  <c:v>6.1</c:v>
                </c:pt>
                <c:pt idx="10">
                  <c:v>4.5999999999999996</c:v>
                </c:pt>
                <c:pt idx="11">
                  <c:v>6.4</c:v>
                </c:pt>
                <c:pt idx="12">
                  <c:v>5.41</c:v>
                </c:pt>
              </c:numCache>
            </c:numRef>
          </c:val>
          <c:extLst xmlns:c16r2="http://schemas.microsoft.com/office/drawing/2015/06/chart">
            <c:ext xmlns:c16="http://schemas.microsoft.com/office/drawing/2014/chart" uri="{C3380CC4-5D6E-409C-BE32-E72D297353CC}">
              <c16:uniqueId val="{00000000-1AC2-4844-9FD1-610D16F44EC4}"/>
            </c:ext>
          </c:extLst>
        </c:ser>
        <c:dLbls>
          <c:showLegendKey val="0"/>
          <c:showVal val="0"/>
          <c:showCatName val="0"/>
          <c:showSerName val="0"/>
          <c:showPercent val="0"/>
          <c:showBubbleSize val="0"/>
        </c:dLbls>
        <c:gapWidth val="219"/>
        <c:overlap val="-27"/>
        <c:axId val="-1729631840"/>
        <c:axId val="-1729647072"/>
      </c:barChart>
      <c:catAx>
        <c:axId val="-172963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47072"/>
        <c:crosses val="autoZero"/>
        <c:auto val="1"/>
        <c:lblAlgn val="ctr"/>
        <c:lblOffset val="100"/>
        <c:noMultiLvlLbl val="0"/>
      </c:catAx>
      <c:valAx>
        <c:axId val="-1729647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1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8C: Processing waste deposits and evaporation ponds</a:t>
            </a:r>
            <a:r>
              <a:rPr lang="en-ZA" baseline="0"/>
              <a:t> (acid, metal) </a:t>
            </a:r>
            <a:r>
              <a:rPr lang="en-ZA" i="1" baseline="0"/>
              <a:t>(e) Grassing &amp; vegetation (R/ha)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elements'!$F$53</c:f>
              <c:strCache>
                <c:ptCount val="1"/>
                <c:pt idx="0">
                  <c:v>Actual </c:v>
                </c:pt>
              </c:strCache>
            </c:strRef>
          </c:tx>
          <c:spPr>
            <a:solidFill>
              <a:schemeClr val="accent1"/>
            </a:solidFill>
            <a:ln>
              <a:noFill/>
            </a:ln>
            <a:effectLst/>
          </c:spPr>
          <c:invertIfNegative val="0"/>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elements'!$G$53:$S$53</c:f>
              <c:numCache>
                <c:formatCode>General</c:formatCode>
                <c:ptCount val="13"/>
                <c:pt idx="9" formatCode="_(&quot;R&quot;* #,##0.00_);_(&quot;R&quot;* \(#,##0.00\);_(&quot;R&quot;* &quot;-&quot;??_);_(@_)">
                  <c:v>182500</c:v>
                </c:pt>
                <c:pt idx="10" formatCode="_(&quot;R&quot;* #,##0.00_);_(&quot;R&quot;* \(#,##0.00\);_(&quot;R&quot;* &quot;-&quot;??_);_(@_)">
                  <c:v>250000</c:v>
                </c:pt>
                <c:pt idx="11" formatCode="_(&quot;R&quot;* #,##0.00_);_(&quot;R&quot;* \(#,##0.00\);_(&quot;R&quot;* &quot;-&quot;??_);_(@_)">
                  <c:v>266666.67</c:v>
                </c:pt>
              </c:numCache>
            </c:numRef>
          </c:val>
          <c:extLst xmlns:c16r2="http://schemas.microsoft.com/office/drawing/2015/06/chart">
            <c:ext xmlns:c16="http://schemas.microsoft.com/office/drawing/2014/chart" uri="{C3380CC4-5D6E-409C-BE32-E72D297353CC}">
              <c16:uniqueId val="{00000000-47CF-4496-9AC9-B2F50625B667}"/>
            </c:ext>
          </c:extLst>
        </c:ser>
        <c:dLbls>
          <c:showLegendKey val="0"/>
          <c:showVal val="0"/>
          <c:showCatName val="0"/>
          <c:showSerName val="0"/>
          <c:showPercent val="0"/>
          <c:showBubbleSize val="0"/>
        </c:dLbls>
        <c:gapWidth val="219"/>
        <c:overlap val="-27"/>
        <c:axId val="-1742079104"/>
        <c:axId val="-1742089440"/>
      </c:barChart>
      <c:lineChart>
        <c:grouping val="standard"/>
        <c:varyColors val="0"/>
        <c:ser>
          <c:idx val="1"/>
          <c:order val="1"/>
          <c:tx>
            <c:strRef>
              <c:f>'Selected elements'!$F$54</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elements'!$G$54:$S$54</c:f>
              <c:numCache>
                <c:formatCode>_("R"* #,##0.00_);_("R"* \(#,##0.00\);_("R"* "-"??_);_(@_)</c:formatCode>
                <c:ptCount val="13"/>
                <c:pt idx="0">
                  <c:v>5170</c:v>
                </c:pt>
                <c:pt idx="1">
                  <c:v>5412.99</c:v>
                </c:pt>
                <c:pt idx="2">
                  <c:v>5797.3122899999998</c:v>
                </c:pt>
                <c:pt idx="3">
                  <c:v>6464.0032033500001</c:v>
                </c:pt>
                <c:pt idx="4">
                  <c:v>6922.94743078785</c:v>
                </c:pt>
                <c:pt idx="5">
                  <c:v>7220.6341703117278</c:v>
                </c:pt>
                <c:pt idx="6">
                  <c:v>7581.6658788273144</c:v>
                </c:pt>
                <c:pt idx="7">
                  <c:v>8006.239168041644</c:v>
                </c:pt>
                <c:pt idx="8">
                  <c:v>8462.5948006200178</c:v>
                </c:pt>
                <c:pt idx="9">
                  <c:v>8978.8130834578387</c:v>
                </c:pt>
                <c:pt idx="10">
                  <c:v>9391.8384852968993</c:v>
                </c:pt>
                <c:pt idx="11">
                  <c:v>9992.9161483559001</c:v>
                </c:pt>
                <c:pt idx="12">
                  <c:v>10532.53362036712</c:v>
                </c:pt>
              </c:numCache>
            </c:numRef>
          </c:val>
          <c:smooth val="0"/>
          <c:extLst xmlns:c16r2="http://schemas.microsoft.com/office/drawing/2015/06/chart">
            <c:ext xmlns:c16="http://schemas.microsoft.com/office/drawing/2014/chart" uri="{C3380CC4-5D6E-409C-BE32-E72D297353CC}">
              <c16:uniqueId val="{00000001-47CF-4496-9AC9-B2F50625B667}"/>
            </c:ext>
          </c:extLst>
        </c:ser>
        <c:ser>
          <c:idx val="2"/>
          <c:order val="2"/>
          <c:tx>
            <c:strRef>
              <c:f>'Selected elements'!$F$56</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elements'!$G$56:$S$56</c:f>
              <c:numCache>
                <c:formatCode>_("R"* #,##0.00_);_("R"* \(#,##0.00\);_("R"* "-"??_);_(@_)</c:formatCode>
                <c:ptCount val="13"/>
                <c:pt idx="1">
                  <c:v>5619.79</c:v>
                </c:pt>
                <c:pt idx="2">
                  <c:v>6013.8318899999995</c:v>
                </c:pt>
                <c:pt idx="3">
                  <c:v>6695.8956949499998</c:v>
                </c:pt>
                <c:pt idx="4">
                  <c:v>8617.8090707062202</c:v>
                </c:pt>
                <c:pt idx="5">
                  <c:v>8997.0624810518893</c:v>
                </c:pt>
                <c:pt idx="6">
                  <c:v>9444.5894947677407</c:v>
                </c:pt>
                <c:pt idx="7">
                  <c:v>9971.4069638336841</c:v>
                </c:pt>
                <c:pt idx="8">
                  <c:v>10539.413240810019</c:v>
                </c:pt>
                <c:pt idx="9">
                  <c:v>11180.780250579168</c:v>
                </c:pt>
                <c:pt idx="10">
                  <c:v>11701.189210362254</c:v>
                </c:pt>
                <c:pt idx="11">
                  <c:v>12442.307625321331</c:v>
                </c:pt>
                <c:pt idx="12">
                  <c:v>13118.700319561625</c:v>
                </c:pt>
              </c:numCache>
            </c:numRef>
          </c:val>
          <c:smooth val="0"/>
          <c:extLst xmlns:c16r2="http://schemas.microsoft.com/office/drawing/2015/06/chart">
            <c:ext xmlns:c16="http://schemas.microsoft.com/office/drawing/2014/chart" uri="{C3380CC4-5D6E-409C-BE32-E72D297353CC}">
              <c16:uniqueId val="{00000002-47CF-4496-9AC9-B2F50625B667}"/>
            </c:ext>
          </c:extLst>
        </c:ser>
        <c:dLbls>
          <c:showLegendKey val="0"/>
          <c:showVal val="0"/>
          <c:showCatName val="0"/>
          <c:showSerName val="0"/>
          <c:showPercent val="0"/>
          <c:showBubbleSize val="0"/>
        </c:dLbls>
        <c:marker val="1"/>
        <c:smooth val="0"/>
        <c:axId val="-1742079104"/>
        <c:axId val="-1742089440"/>
      </c:lineChart>
      <c:catAx>
        <c:axId val="-174207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89440"/>
        <c:crosses val="autoZero"/>
        <c:auto val="1"/>
        <c:lblAlgn val="ctr"/>
        <c:lblOffset val="100"/>
        <c:noMultiLvlLbl val="0"/>
      </c:catAx>
      <c:valAx>
        <c:axId val="-1742089440"/>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7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8C: Processing waste deposits and evaporation ponds</a:t>
            </a:r>
            <a:r>
              <a:rPr lang="en-ZA" baseline="0"/>
              <a:t> (acid, metal) </a:t>
            </a:r>
            <a:r>
              <a:rPr lang="en-ZA" i="1" baseline="0"/>
              <a:t>(f) Aggregate (R/m</a:t>
            </a:r>
            <a:r>
              <a:rPr lang="en-ZA" i="1" baseline="30000"/>
              <a:t>3</a:t>
            </a:r>
            <a:r>
              <a:rPr lang="en-ZA" i="1" baseline="0"/>
              <a:t>)</a:t>
            </a:r>
            <a:endParaRPr lang="en-ZA"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elements'!$F$57</c:f>
              <c:strCache>
                <c:ptCount val="1"/>
                <c:pt idx="0">
                  <c:v>Actual </c:v>
                </c:pt>
              </c:strCache>
            </c:strRef>
          </c:tx>
          <c:spPr>
            <a:solidFill>
              <a:schemeClr val="accent1"/>
            </a:solidFill>
            <a:ln>
              <a:noFill/>
            </a:ln>
            <a:effectLst/>
          </c:spPr>
          <c:invertIfNegative val="0"/>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elements'!$G$57:$S$57</c:f>
              <c:numCache>
                <c:formatCode>General</c:formatCode>
                <c:ptCount val="13"/>
                <c:pt idx="9" formatCode="_(&quot;R&quot;* #,##0.00_);_(&quot;R&quot;* \(#,##0.00\);_(&quot;R&quot;* &quot;-&quot;??_);_(@_)">
                  <c:v>283.33</c:v>
                </c:pt>
                <c:pt idx="10" formatCode="_(&quot;R&quot;* #,##0.00_);_(&quot;R&quot;* \(#,##0.00\);_(&quot;R&quot;* &quot;-&quot;??_);_(@_)">
                  <c:v>304.58999999999997</c:v>
                </c:pt>
                <c:pt idx="11" formatCode="_(&quot;R&quot;* #,##0.00_);_(&quot;R&quot;* \(#,##0.00\);_(&quot;R&quot;* &quot;-&quot;??_);_(@_)">
                  <c:v>501.52</c:v>
                </c:pt>
              </c:numCache>
            </c:numRef>
          </c:val>
          <c:extLst xmlns:c16r2="http://schemas.microsoft.com/office/drawing/2015/06/chart">
            <c:ext xmlns:c16="http://schemas.microsoft.com/office/drawing/2014/chart" uri="{C3380CC4-5D6E-409C-BE32-E72D297353CC}">
              <c16:uniqueId val="{00000000-D653-4453-9938-3BC30FCDD095}"/>
            </c:ext>
          </c:extLst>
        </c:ser>
        <c:dLbls>
          <c:showLegendKey val="0"/>
          <c:showVal val="0"/>
          <c:showCatName val="0"/>
          <c:showSerName val="0"/>
          <c:showPercent val="0"/>
          <c:showBubbleSize val="0"/>
        </c:dLbls>
        <c:gapWidth val="219"/>
        <c:overlap val="-27"/>
        <c:axId val="-166998512"/>
        <c:axId val="-166995792"/>
      </c:barChart>
      <c:lineChart>
        <c:grouping val="standard"/>
        <c:varyColors val="0"/>
        <c:ser>
          <c:idx val="1"/>
          <c:order val="1"/>
          <c:tx>
            <c:strRef>
              <c:f>'Selected elements'!$F$58</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elements'!$G$58:$S$58</c:f>
              <c:numCache>
                <c:formatCode>_("R"* #,##0.00_);_("R"* \(#,##0.00\);_("R"* "-"??_);_(@_)</c:formatCode>
                <c:ptCount val="13"/>
                <c:pt idx="0">
                  <c:v>155.1</c:v>
                </c:pt>
                <c:pt idx="1">
                  <c:v>162.3897</c:v>
                </c:pt>
                <c:pt idx="2">
                  <c:v>173.91936870000001</c:v>
                </c:pt>
                <c:pt idx="3">
                  <c:v>193.92009610050002</c:v>
                </c:pt>
                <c:pt idx="4">
                  <c:v>207.68842292363553</c:v>
                </c:pt>
                <c:pt idx="5">
                  <c:v>216.61902510935187</c:v>
                </c:pt>
                <c:pt idx="6">
                  <c:v>227.44997636481946</c:v>
                </c:pt>
                <c:pt idx="7">
                  <c:v>240.18717504124936</c:v>
                </c:pt>
                <c:pt idx="8">
                  <c:v>253.87784401860057</c:v>
                </c:pt>
                <c:pt idx="9">
                  <c:v>269.36439250373519</c:v>
                </c:pt>
                <c:pt idx="10">
                  <c:v>281.75515455890701</c:v>
                </c:pt>
                <c:pt idx="11">
                  <c:v>299.78748445067708</c:v>
                </c:pt>
                <c:pt idx="12">
                  <c:v>315.97600861101364</c:v>
                </c:pt>
              </c:numCache>
            </c:numRef>
          </c:val>
          <c:smooth val="0"/>
          <c:extLst xmlns:c16r2="http://schemas.microsoft.com/office/drawing/2015/06/chart">
            <c:ext xmlns:c16="http://schemas.microsoft.com/office/drawing/2014/chart" uri="{C3380CC4-5D6E-409C-BE32-E72D297353CC}">
              <c16:uniqueId val="{00000001-D653-4453-9938-3BC30FCDD095}"/>
            </c:ext>
          </c:extLst>
        </c:ser>
        <c:ser>
          <c:idx val="2"/>
          <c:order val="2"/>
          <c:tx>
            <c:strRef>
              <c:f>'Selected elements'!$F$60</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elements'!$G$60:$S$60</c:f>
              <c:numCache>
                <c:formatCode>_("R"* #,##0.00_);_("R"* \(#,##0.00\);_("R"* "-"??_);_(@_)</c:formatCode>
                <c:ptCount val="13"/>
                <c:pt idx="1">
                  <c:v>168.59369999999998</c:v>
                </c:pt>
                <c:pt idx="2">
                  <c:v>180.4149567</c:v>
                </c:pt>
                <c:pt idx="3">
                  <c:v>200.8768708485</c:v>
                </c:pt>
                <c:pt idx="4">
                  <c:v>258.53427212118663</c:v>
                </c:pt>
                <c:pt idx="5">
                  <c:v>269.91187443155673</c:v>
                </c:pt>
                <c:pt idx="6">
                  <c:v>283.33768484303226</c:v>
                </c:pt>
                <c:pt idx="7">
                  <c:v>299.14220891501054</c:v>
                </c:pt>
                <c:pt idx="8">
                  <c:v>316.18239722430064</c:v>
                </c:pt>
                <c:pt idx="9">
                  <c:v>335.42340751737504</c:v>
                </c:pt>
                <c:pt idx="10">
                  <c:v>351.0356763108677</c:v>
                </c:pt>
                <c:pt idx="11">
                  <c:v>373.26922875963999</c:v>
                </c:pt>
                <c:pt idx="12">
                  <c:v>393.56100958684885</c:v>
                </c:pt>
              </c:numCache>
            </c:numRef>
          </c:val>
          <c:smooth val="0"/>
          <c:extLst xmlns:c16r2="http://schemas.microsoft.com/office/drawing/2015/06/chart">
            <c:ext xmlns:c16="http://schemas.microsoft.com/office/drawing/2014/chart" uri="{C3380CC4-5D6E-409C-BE32-E72D297353CC}">
              <c16:uniqueId val="{00000002-D653-4453-9938-3BC30FCDD095}"/>
            </c:ext>
          </c:extLst>
        </c:ser>
        <c:dLbls>
          <c:showLegendKey val="0"/>
          <c:showVal val="0"/>
          <c:showCatName val="0"/>
          <c:showSerName val="0"/>
          <c:showPercent val="0"/>
          <c:showBubbleSize val="0"/>
        </c:dLbls>
        <c:marker val="1"/>
        <c:smooth val="0"/>
        <c:axId val="-166998512"/>
        <c:axId val="-166995792"/>
      </c:lineChart>
      <c:catAx>
        <c:axId val="-16699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95792"/>
        <c:crosses val="autoZero"/>
        <c:auto val="1"/>
        <c:lblAlgn val="ctr"/>
        <c:lblOffset val="100"/>
        <c:noMultiLvlLbl val="0"/>
      </c:catAx>
      <c:valAx>
        <c:axId val="-166995792"/>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9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8 C: Processing waste deposits and evaporation ponds</a:t>
            </a:r>
            <a:r>
              <a:rPr lang="en-ZA" baseline="0"/>
              <a:t> (acid, metal) </a:t>
            </a:r>
            <a:r>
              <a:rPr lang="en-ZA" i="1" baseline="0"/>
              <a:t>(g) Geotextile (R/m</a:t>
            </a:r>
            <a:r>
              <a:rPr lang="en-ZA" i="1" baseline="30000"/>
              <a:t>2</a:t>
            </a:r>
            <a:r>
              <a:rPr lang="en-ZA" i="1" baseline="0"/>
              <a:t>)</a:t>
            </a:r>
            <a:endParaRPr lang="en-ZA"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elements'!$F$61</c:f>
              <c:strCache>
                <c:ptCount val="1"/>
                <c:pt idx="0">
                  <c:v>Actual </c:v>
                </c:pt>
              </c:strCache>
            </c:strRef>
          </c:tx>
          <c:spPr>
            <a:solidFill>
              <a:schemeClr val="accent1"/>
            </a:solidFill>
            <a:ln>
              <a:noFill/>
            </a:ln>
            <a:effectLst/>
          </c:spPr>
          <c:invertIfNegative val="0"/>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elements'!$G$61:$S$61</c:f>
              <c:numCache>
                <c:formatCode>General</c:formatCode>
                <c:ptCount val="13"/>
                <c:pt idx="4" formatCode="_(&quot;R&quot;* #,##0.00_);_(&quot;R&quot;* \(#,##0.00\);_(&quot;R&quot;* &quot;-&quot;??_);_(@_)">
                  <c:v>12.08</c:v>
                </c:pt>
                <c:pt idx="9" formatCode="_(&quot;R&quot;* #,##0.00_);_(&quot;R&quot;* \(#,##0.00\);_(&quot;R&quot;* &quot;-&quot;??_);_(@_)">
                  <c:v>21.38</c:v>
                </c:pt>
                <c:pt idx="10" formatCode="_(&quot;R&quot;* #,##0.00_);_(&quot;R&quot;* \(#,##0.00\);_(&quot;R&quot;* &quot;-&quot;??_);_(@_)">
                  <c:v>77.08</c:v>
                </c:pt>
                <c:pt idx="11" formatCode="_(&quot;R&quot;* #,##0.00_);_(&quot;R&quot;* \(#,##0.00\);_(&quot;R&quot;* &quot;-&quot;??_);_(@_)">
                  <c:v>28.83</c:v>
                </c:pt>
              </c:numCache>
            </c:numRef>
          </c:val>
          <c:extLst xmlns:c16r2="http://schemas.microsoft.com/office/drawing/2015/06/chart">
            <c:ext xmlns:c16="http://schemas.microsoft.com/office/drawing/2014/chart" uri="{C3380CC4-5D6E-409C-BE32-E72D297353CC}">
              <c16:uniqueId val="{00000000-8986-46F5-AA37-09EBA834A21A}"/>
            </c:ext>
          </c:extLst>
        </c:ser>
        <c:dLbls>
          <c:showLegendKey val="0"/>
          <c:showVal val="0"/>
          <c:showCatName val="0"/>
          <c:showSerName val="0"/>
          <c:showPercent val="0"/>
          <c:showBubbleSize val="0"/>
        </c:dLbls>
        <c:gapWidth val="219"/>
        <c:overlap val="-27"/>
        <c:axId val="-167002320"/>
        <c:axId val="-166993072"/>
      </c:barChart>
      <c:lineChart>
        <c:grouping val="standard"/>
        <c:varyColors val="0"/>
        <c:ser>
          <c:idx val="1"/>
          <c:order val="1"/>
          <c:tx>
            <c:strRef>
              <c:f>'Selected elements'!$F$62</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elements'!$G$62:$S$62</c:f>
              <c:numCache>
                <c:formatCode>_("R"* #,##0.00_);_("R"* \(#,##0.00\);_("R"* "-"??_);_(@_)</c:formatCode>
                <c:ptCount val="13"/>
                <c:pt idx="0">
                  <c:v>15.51</c:v>
                </c:pt>
                <c:pt idx="1">
                  <c:v>16.238969999999998</c:v>
                </c:pt>
                <c:pt idx="2">
                  <c:v>17.391936869999999</c:v>
                </c:pt>
                <c:pt idx="3">
                  <c:v>19.39200961005</c:v>
                </c:pt>
                <c:pt idx="4">
                  <c:v>20.768842292363551</c:v>
                </c:pt>
                <c:pt idx="5">
                  <c:v>21.661902510935185</c:v>
                </c:pt>
                <c:pt idx="6">
                  <c:v>22.744997636481944</c:v>
                </c:pt>
                <c:pt idx="7">
                  <c:v>24.018717504124933</c:v>
                </c:pt>
                <c:pt idx="8">
                  <c:v>25.387784401860053</c:v>
                </c:pt>
                <c:pt idx="9">
                  <c:v>26.936439250373517</c:v>
                </c:pt>
                <c:pt idx="10">
                  <c:v>28.1755154558907</c:v>
                </c:pt>
                <c:pt idx="11">
                  <c:v>29.978748445067705</c:v>
                </c:pt>
                <c:pt idx="12">
                  <c:v>31.597600861101363</c:v>
                </c:pt>
              </c:numCache>
            </c:numRef>
          </c:val>
          <c:smooth val="0"/>
          <c:extLst xmlns:c16r2="http://schemas.microsoft.com/office/drawing/2015/06/chart">
            <c:ext xmlns:c16="http://schemas.microsoft.com/office/drawing/2014/chart" uri="{C3380CC4-5D6E-409C-BE32-E72D297353CC}">
              <c16:uniqueId val="{00000001-8986-46F5-AA37-09EBA834A21A}"/>
            </c:ext>
          </c:extLst>
        </c:ser>
        <c:ser>
          <c:idx val="2"/>
          <c:order val="2"/>
          <c:tx>
            <c:strRef>
              <c:f>'Selected elements'!$F$64</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elements'!$G$64:$S$64</c:f>
              <c:numCache>
                <c:formatCode>_("R"* #,##0.00_);_("R"* \(#,##0.00\);_("R"* "-"??_);_(@_)</c:formatCode>
                <c:ptCount val="13"/>
                <c:pt idx="1">
                  <c:v>16.859369999999998</c:v>
                </c:pt>
                <c:pt idx="2">
                  <c:v>18.04149567</c:v>
                </c:pt>
                <c:pt idx="3">
                  <c:v>20.08768708485</c:v>
                </c:pt>
                <c:pt idx="4">
                  <c:v>25.85342721211866</c:v>
                </c:pt>
                <c:pt idx="5">
                  <c:v>26.99118744315567</c:v>
                </c:pt>
                <c:pt idx="6">
                  <c:v>28.333768484303221</c:v>
                </c:pt>
                <c:pt idx="7">
                  <c:v>29.914220891501053</c:v>
                </c:pt>
                <c:pt idx="8">
                  <c:v>31.618239722430062</c:v>
                </c:pt>
                <c:pt idx="9">
                  <c:v>33.542340751737498</c:v>
                </c:pt>
                <c:pt idx="10">
                  <c:v>35.103567631086761</c:v>
                </c:pt>
                <c:pt idx="11">
                  <c:v>37.326922875964001</c:v>
                </c:pt>
                <c:pt idx="12">
                  <c:v>39.356100958684884</c:v>
                </c:pt>
              </c:numCache>
            </c:numRef>
          </c:val>
          <c:smooth val="0"/>
          <c:extLst xmlns:c16r2="http://schemas.microsoft.com/office/drawing/2015/06/chart">
            <c:ext xmlns:c16="http://schemas.microsoft.com/office/drawing/2014/chart" uri="{C3380CC4-5D6E-409C-BE32-E72D297353CC}">
              <c16:uniqueId val="{00000002-8986-46F5-AA37-09EBA834A21A}"/>
            </c:ext>
          </c:extLst>
        </c:ser>
        <c:dLbls>
          <c:showLegendKey val="0"/>
          <c:showVal val="0"/>
          <c:showCatName val="0"/>
          <c:showSerName val="0"/>
          <c:showPercent val="0"/>
          <c:showBubbleSize val="0"/>
        </c:dLbls>
        <c:marker val="1"/>
        <c:smooth val="0"/>
        <c:axId val="-167002320"/>
        <c:axId val="-166993072"/>
      </c:lineChart>
      <c:catAx>
        <c:axId val="-16700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93072"/>
        <c:crosses val="autoZero"/>
        <c:auto val="1"/>
        <c:lblAlgn val="ctr"/>
        <c:lblOffset val="100"/>
        <c:noMultiLvlLbl val="0"/>
      </c:catAx>
      <c:valAx>
        <c:axId val="-166993072"/>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0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10: General Surface rehab and grassing (R/ha)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elements'!$F$66</c:f>
              <c:strCache>
                <c:ptCount val="1"/>
                <c:pt idx="0">
                  <c:v>Actual </c:v>
                </c:pt>
              </c:strCache>
            </c:strRef>
          </c:tx>
          <c:spPr>
            <a:solidFill>
              <a:schemeClr val="accent1"/>
            </a:solidFill>
            <a:ln>
              <a:noFill/>
            </a:ln>
            <a:effectLst/>
          </c:spPr>
          <c:invertIfNegative val="0"/>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elements'!$H$66:$S$66</c:f>
              <c:numCache>
                <c:formatCode>General</c:formatCode>
                <c:ptCount val="12"/>
                <c:pt idx="8" formatCode="_(&quot;R&quot;* #,##0.00_);_(&quot;R&quot;* \(#,##0.00\);_(&quot;R&quot;* &quot;-&quot;??_);_(@_)">
                  <c:v>273000</c:v>
                </c:pt>
                <c:pt idx="10" formatCode="_(&quot;R&quot;* #,##0.00_);_(&quot;R&quot;* \(#,##0.00\);_(&quot;R&quot;* &quot;-&quot;??_);_(@_)">
                  <c:v>233571.43</c:v>
                </c:pt>
              </c:numCache>
            </c:numRef>
          </c:val>
          <c:extLst xmlns:c16r2="http://schemas.microsoft.com/office/drawing/2015/06/chart">
            <c:ext xmlns:c16="http://schemas.microsoft.com/office/drawing/2014/chart" uri="{C3380CC4-5D6E-409C-BE32-E72D297353CC}">
              <c16:uniqueId val="{00000000-029C-4FF9-8F9B-1A55669337B2}"/>
            </c:ext>
          </c:extLst>
        </c:ser>
        <c:dLbls>
          <c:showLegendKey val="0"/>
          <c:showVal val="0"/>
          <c:showCatName val="0"/>
          <c:showSerName val="0"/>
          <c:showPercent val="0"/>
          <c:showBubbleSize val="0"/>
        </c:dLbls>
        <c:gapWidth val="219"/>
        <c:overlap val="-27"/>
        <c:axId val="-166992528"/>
        <c:axId val="-167005584"/>
      </c:barChart>
      <c:lineChart>
        <c:grouping val="standard"/>
        <c:varyColors val="0"/>
        <c:ser>
          <c:idx val="1"/>
          <c:order val="1"/>
          <c:tx>
            <c:strRef>
              <c:f>'Selected elements'!$F$67</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elements'!$G$67:$S$67</c:f>
              <c:numCache>
                <c:formatCode>_("R"* #,##0.00_);_("R"* \(#,##0.00\);_("R"* "-"??_);_(@_)</c:formatCode>
                <c:ptCount val="13"/>
                <c:pt idx="0">
                  <c:v>54388.4</c:v>
                </c:pt>
                <c:pt idx="1">
                  <c:v>56944.654800000004</c:v>
                </c:pt>
                <c:pt idx="2">
                  <c:v>60987.725290800001</c:v>
                </c:pt>
                <c:pt idx="3">
                  <c:v>68001.313699242004</c:v>
                </c:pt>
                <c:pt idx="4">
                  <c:v>72829.40697188818</c:v>
                </c:pt>
                <c:pt idx="5">
                  <c:v>75961.071471679374</c:v>
                </c:pt>
                <c:pt idx="6">
                  <c:v>79759.125045263339</c:v>
                </c:pt>
                <c:pt idx="7">
                  <c:v>84225.636047798092</c:v>
                </c:pt>
                <c:pt idx="8">
                  <c:v>89026.497302522577</c:v>
                </c:pt>
                <c:pt idx="9">
                  <c:v>94457.11363797645</c:v>
                </c:pt>
                <c:pt idx="10">
                  <c:v>98802.140865323367</c:v>
                </c:pt>
                <c:pt idx="11">
                  <c:v>105125.47788070406</c:v>
                </c:pt>
                <c:pt idx="12">
                  <c:v>110802.25368626208</c:v>
                </c:pt>
              </c:numCache>
            </c:numRef>
          </c:val>
          <c:smooth val="0"/>
          <c:extLst xmlns:c16r2="http://schemas.microsoft.com/office/drawing/2015/06/chart">
            <c:ext xmlns:c16="http://schemas.microsoft.com/office/drawing/2014/chart" uri="{C3380CC4-5D6E-409C-BE32-E72D297353CC}">
              <c16:uniqueId val="{00000001-029C-4FF9-8F9B-1A55669337B2}"/>
            </c:ext>
          </c:extLst>
        </c:ser>
        <c:ser>
          <c:idx val="2"/>
          <c:order val="2"/>
          <c:tx>
            <c:strRef>
              <c:f>'Selected elements'!$F$69</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elements'!$G$69:$S$69</c:f>
              <c:numCache>
                <c:formatCode>_("R"* #,##0.00_);_("R"* \(#,##0.00\);_("R"* "-"??_);_(@_)</c:formatCode>
                <c:ptCount val="13"/>
                <c:pt idx="1">
                  <c:v>59120.190800000004</c:v>
                </c:pt>
                <c:pt idx="2">
                  <c:v>63265.511482800008</c:v>
                </c:pt>
                <c:pt idx="3">
                  <c:v>70440.822710873996</c:v>
                </c:pt>
                <c:pt idx="4">
                  <c:v>90659.351423829445</c:v>
                </c:pt>
                <c:pt idx="5">
                  <c:v>94649.097300665875</c:v>
                </c:pt>
                <c:pt idx="6">
                  <c:v>99357.081484956623</c:v>
                </c:pt>
                <c:pt idx="7">
                  <c:v>104899.20125953035</c:v>
                </c:pt>
                <c:pt idx="8">
                  <c:v>110874.62729332142</c:v>
                </c:pt>
                <c:pt idx="9">
                  <c:v>117621.80823609282</c:v>
                </c:pt>
                <c:pt idx="10">
                  <c:v>123096.51049301091</c:v>
                </c:pt>
                <c:pt idx="11">
                  <c:v>130893.07621838039</c:v>
                </c:pt>
                <c:pt idx="12">
                  <c:v>138008.72736178827</c:v>
                </c:pt>
              </c:numCache>
            </c:numRef>
          </c:val>
          <c:smooth val="0"/>
          <c:extLst xmlns:c16r2="http://schemas.microsoft.com/office/drawing/2015/06/chart">
            <c:ext xmlns:c16="http://schemas.microsoft.com/office/drawing/2014/chart" uri="{C3380CC4-5D6E-409C-BE32-E72D297353CC}">
              <c16:uniqueId val="{00000002-029C-4FF9-8F9B-1A55669337B2}"/>
            </c:ext>
          </c:extLst>
        </c:ser>
        <c:dLbls>
          <c:showLegendKey val="0"/>
          <c:showVal val="0"/>
          <c:showCatName val="0"/>
          <c:showSerName val="0"/>
          <c:showPercent val="0"/>
          <c:showBubbleSize val="0"/>
        </c:dLbls>
        <c:marker val="1"/>
        <c:smooth val="0"/>
        <c:axId val="-166992528"/>
        <c:axId val="-167005584"/>
      </c:lineChart>
      <c:catAx>
        <c:axId val="-16699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05584"/>
        <c:crosses val="autoZero"/>
        <c:auto val="1"/>
        <c:lblAlgn val="ctr"/>
        <c:lblOffset val="100"/>
        <c:noMultiLvlLbl val="0"/>
      </c:catAx>
      <c:valAx>
        <c:axId val="-167005584"/>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9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12.</a:t>
            </a:r>
            <a:r>
              <a:rPr lang="en-ZA" baseline="0"/>
              <a:t> </a:t>
            </a:r>
            <a:r>
              <a:rPr lang="en-ZA"/>
              <a:t>Fencing (R/m)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elements'!$G$56</c:f>
              <c:strCache>
                <c:ptCount val="1"/>
                <c:pt idx="0">
                  <c:v>Actual </c:v>
                </c:pt>
              </c:strCache>
            </c:strRef>
          </c:tx>
          <c:spPr>
            <a:solidFill>
              <a:schemeClr val="accent1"/>
            </a:solidFill>
            <a:ln>
              <a:noFill/>
            </a:ln>
            <a:effectLst/>
          </c:spPr>
          <c:invertIfNegative val="0"/>
          <c:trendline>
            <c:spPr>
              <a:ln w="25400" cap="rnd">
                <a:solidFill>
                  <a:srgbClr val="FF0000"/>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'Selected elements'!$H$2:$T$2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elements'!$H$56:$T$56</c:f>
              <c:numCache>
                <c:formatCode>General</c:formatCode>
                <c:ptCount val="13"/>
                <c:pt idx="4" formatCode="_(&quot;R&quot;* #,##0.00_);_(&quot;R&quot;* \(#,##0.00\);_(&quot;R&quot;* &quot;-&quot;??_);_(@_)">
                  <c:v>27.222843750000003</c:v>
                </c:pt>
                <c:pt idx="5" formatCode="_(&quot;R&quot;* #,##0.00_);_(&quot;R&quot;* \(#,##0.00\);_(&quot;R&quot;* &quot;-&quot;??_);_(@_)">
                  <c:v>23.12951452991453</c:v>
                </c:pt>
                <c:pt idx="6" formatCode="_(&quot;R&quot;* #,##0.00_);_(&quot;R&quot;* \(#,##0.00\);_(&quot;R&quot;* &quot;-&quot;??_);_(@_)">
                  <c:v>32.072831978319783</c:v>
                </c:pt>
                <c:pt idx="7" formatCode="_(&quot;R&quot;* #,##0.00_);_(&quot;R&quot;* \(#,##0.00\);_(&quot;R&quot;* &quot;-&quot;??_);_(@_)">
                  <c:v>37.662861155698238</c:v>
                </c:pt>
                <c:pt idx="9" formatCode="_(&quot;R&quot;* #,##0.00_);_(&quot;R&quot;* \(#,##0.00\);_(&quot;R&quot;* &quot;-&quot;??_);_(@_)">
                  <c:v>461.79145587408658</c:v>
                </c:pt>
                <c:pt idx="11" formatCode="_(&quot;R&quot;* #,##0.00_);_(&quot;R&quot;* \(#,##0.00\);_(&quot;R&quot;* &quot;-&quot;??_);_(@_)">
                  <c:v>413.31342691753167</c:v>
                </c:pt>
              </c:numCache>
            </c:numRef>
          </c:val>
          <c:extLst xmlns:c16r2="http://schemas.microsoft.com/office/drawing/2015/06/chart">
            <c:ext xmlns:c16="http://schemas.microsoft.com/office/drawing/2014/chart" uri="{C3380CC4-5D6E-409C-BE32-E72D297353CC}">
              <c16:uniqueId val="{00000000-E67D-4811-9BDD-F01D62817990}"/>
            </c:ext>
          </c:extLst>
        </c:ser>
        <c:dLbls>
          <c:showLegendKey val="0"/>
          <c:showVal val="0"/>
          <c:showCatName val="0"/>
          <c:showSerName val="0"/>
          <c:showPercent val="0"/>
          <c:showBubbleSize val="0"/>
        </c:dLbls>
        <c:gapWidth val="219"/>
        <c:overlap val="-27"/>
        <c:axId val="-145916176"/>
        <c:axId val="-145913456"/>
      </c:barChart>
      <c:lineChart>
        <c:grouping val="standard"/>
        <c:varyColors val="0"/>
        <c:ser>
          <c:idx val="1"/>
          <c:order val="1"/>
          <c:tx>
            <c:strRef>
              <c:f>'Selected elements'!$G$57</c:f>
              <c:strCache>
                <c:ptCount val="1"/>
                <c:pt idx="0">
                  <c:v>Predicted (DME +CPI)</c:v>
                </c:pt>
              </c:strCache>
            </c:strRef>
          </c:tx>
          <c:spPr>
            <a:ln w="28575" cap="rnd">
              <a:solidFill>
                <a:schemeClr val="accent2"/>
              </a:solidFill>
              <a:round/>
            </a:ln>
            <a:effectLst/>
          </c:spPr>
          <c:marker>
            <c:symbol val="none"/>
          </c:marker>
          <c:cat>
            <c:numRef>
              <c:f>'Selected elements'!$H$2:$T$2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elements'!$H$57:$T$57</c:f>
              <c:numCache>
                <c:formatCode>_("R"* #,##0.00_);_("R"* \(#,##0.00\);_("R"* "-"??_);_(@_)</c:formatCode>
                <c:ptCount val="13"/>
                <c:pt idx="0">
                  <c:v>62.04</c:v>
                </c:pt>
                <c:pt idx="1">
                  <c:v>64.955879999999993</c:v>
                </c:pt>
                <c:pt idx="2">
                  <c:v>69.567747479999994</c:v>
                </c:pt>
                <c:pt idx="3">
                  <c:v>77.568038440199999</c:v>
                </c:pt>
                <c:pt idx="4">
                  <c:v>83.075369169454206</c:v>
                </c:pt>
                <c:pt idx="5">
                  <c:v>86.647610043740741</c:v>
                </c:pt>
                <c:pt idx="6">
                  <c:v>90.979990545927777</c:v>
                </c:pt>
                <c:pt idx="7">
                  <c:v>96.07487001649973</c:v>
                </c:pt>
                <c:pt idx="8">
                  <c:v>101.55113760744021</c:v>
                </c:pt>
                <c:pt idx="9">
                  <c:v>107.74575700149407</c:v>
                </c:pt>
                <c:pt idx="10">
                  <c:v>112.7020618235628</c:v>
                </c:pt>
                <c:pt idx="11">
                  <c:v>119.91499378027082</c:v>
                </c:pt>
                <c:pt idx="12">
                  <c:v>126.39040344440545</c:v>
                </c:pt>
              </c:numCache>
            </c:numRef>
          </c:val>
          <c:smooth val="0"/>
          <c:extLst xmlns:c16r2="http://schemas.microsoft.com/office/drawing/2015/06/chart">
            <c:ext xmlns:c16="http://schemas.microsoft.com/office/drawing/2014/chart" uri="{C3380CC4-5D6E-409C-BE32-E72D297353CC}">
              <c16:uniqueId val="{00000001-E67D-4811-9BDD-F01D62817990}"/>
            </c:ext>
          </c:extLst>
        </c:ser>
        <c:ser>
          <c:idx val="2"/>
          <c:order val="2"/>
          <c:tx>
            <c:strRef>
              <c:f>'Selected elements'!$G$58</c:f>
              <c:strCache>
                <c:ptCount val="1"/>
                <c:pt idx="0">
                  <c:v>Alternative (DME +CPI +PPI +PPPFA premium)</c:v>
                </c:pt>
              </c:strCache>
            </c:strRef>
          </c:tx>
          <c:spPr>
            <a:ln w="28575" cap="rnd">
              <a:solidFill>
                <a:schemeClr val="accent3"/>
              </a:solidFill>
              <a:round/>
            </a:ln>
            <a:effectLst/>
          </c:spPr>
          <c:marker>
            <c:symbol val="none"/>
          </c:marker>
          <c:cat>
            <c:numRef>
              <c:f>'Selected elements'!$H$2:$T$2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elements'!$H$58:$T$58</c:f>
              <c:numCache>
                <c:formatCode>_("R"* #,##0.00_);_("R"* \(#,##0.00\);_("R"* "-"??_);_(@_)</c:formatCode>
                <c:ptCount val="13"/>
                <c:pt idx="1">
                  <c:v>67.437479999999994</c:v>
                </c:pt>
                <c:pt idx="2">
                  <c:v>72.165982679999999</c:v>
                </c:pt>
                <c:pt idx="3">
                  <c:v>80.350748339399999</c:v>
                </c:pt>
                <c:pt idx="4">
                  <c:v>86.178090707062196</c:v>
                </c:pt>
                <c:pt idx="5">
                  <c:v>89.970624810518899</c:v>
                </c:pt>
                <c:pt idx="6">
                  <c:v>94.445894947677402</c:v>
                </c:pt>
                <c:pt idx="7">
                  <c:v>99.714069638336838</c:v>
                </c:pt>
                <c:pt idx="8">
                  <c:v>105.39413240810021</c:v>
                </c:pt>
                <c:pt idx="9">
                  <c:v>111.80780250579167</c:v>
                </c:pt>
                <c:pt idx="10">
                  <c:v>117.01189210362256</c:v>
                </c:pt>
                <c:pt idx="11">
                  <c:v>124.42307625321334</c:v>
                </c:pt>
                <c:pt idx="12">
                  <c:v>131.18700319561628</c:v>
                </c:pt>
              </c:numCache>
            </c:numRef>
          </c:val>
          <c:smooth val="0"/>
          <c:extLst xmlns:c16r2="http://schemas.microsoft.com/office/drawing/2015/06/chart">
            <c:ext xmlns:c16="http://schemas.microsoft.com/office/drawing/2014/chart" uri="{C3380CC4-5D6E-409C-BE32-E72D297353CC}">
              <c16:uniqueId val="{00000002-E67D-4811-9BDD-F01D62817990}"/>
            </c:ext>
          </c:extLst>
        </c:ser>
        <c:dLbls>
          <c:showLegendKey val="0"/>
          <c:showVal val="0"/>
          <c:showCatName val="0"/>
          <c:showSerName val="0"/>
          <c:showPercent val="0"/>
          <c:showBubbleSize val="0"/>
        </c:dLbls>
        <c:marker val="1"/>
        <c:smooth val="0"/>
        <c:axId val="-145916176"/>
        <c:axId val="-145913456"/>
      </c:lineChart>
      <c:catAx>
        <c:axId val="-14591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5913456"/>
        <c:crosses val="autoZero"/>
        <c:auto val="1"/>
        <c:lblAlgn val="ctr"/>
        <c:lblOffset val="100"/>
        <c:noMultiLvlLbl val="0"/>
      </c:catAx>
      <c:valAx>
        <c:axId val="-145913456"/>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1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600" b="1"/>
              <a:t>Median values of Preliminary and General and site supervision costs</a:t>
            </a:r>
            <a:r>
              <a:rPr lang="en-ZA" sz="1600" b="1" baseline="0"/>
              <a:t> as percentage of average total project values: 2014 - 2016</a:t>
            </a:r>
            <a:endParaRPr lang="en-ZA" sz="1600" b="1"/>
          </a:p>
        </c:rich>
      </c:tx>
      <c:layout>
        <c:manualLayout>
          <c:xMode val="edge"/>
          <c:yMode val="edge"/>
          <c:x val="0.12411485287502903"/>
          <c:y val="1.805869074492099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'Calcs 2014'!$DD$117</c:f>
              <c:strCache>
                <c:ptCount val="1"/>
                <c:pt idx="0">
                  <c:v>Average total project cost </c:v>
                </c:pt>
              </c:strCache>
            </c:strRef>
          </c:tx>
          <c:spPr>
            <a:solidFill>
              <a:schemeClr val="accent1"/>
            </a:solidFill>
            <a:ln>
              <a:noFill/>
            </a:ln>
            <a:effectLst/>
          </c:spPr>
          <c:invertIfNegative val="0"/>
          <c:dLbls>
            <c:numFmt formatCode="&quot;R&quot;\ #,##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'Calcs 2014'!$DE$116:$DG$116</c:f>
              <c:numCache>
                <c:formatCode>General</c:formatCode>
                <c:ptCount val="3"/>
                <c:pt idx="0">
                  <c:v>2014</c:v>
                </c:pt>
                <c:pt idx="1">
                  <c:v>2015</c:v>
                </c:pt>
                <c:pt idx="2">
                  <c:v>2016</c:v>
                </c:pt>
              </c:numCache>
            </c:numRef>
          </c:cat>
          <c:val>
            <c:numRef>
              <c:f>'Calcs 2014'!$DE$117:$DG$117</c:f>
              <c:numCache>
                <c:formatCode>_("R"* #,##0.00_);_("R"* \(#,##0.00\);_("R"* "-"??_);_(@_)</c:formatCode>
                <c:ptCount val="3"/>
                <c:pt idx="0" formatCode="&quot;R&quot;\ #,##0.00">
                  <c:v>8370483.6680000005</c:v>
                </c:pt>
                <c:pt idx="1">
                  <c:v>12762901.193333333</c:v>
                </c:pt>
                <c:pt idx="2">
                  <c:v>29694211.107799996</c:v>
                </c:pt>
              </c:numCache>
            </c:numRef>
          </c:val>
          <c:extLst xmlns:c16r2="http://schemas.microsoft.com/office/drawing/2015/06/chart">
            <c:ext xmlns:c16="http://schemas.microsoft.com/office/drawing/2014/chart" uri="{C3380CC4-5D6E-409C-BE32-E72D297353CC}">
              <c16:uniqueId val="{00000000-7272-43AF-8D39-6266D7E64A9F}"/>
            </c:ext>
          </c:extLst>
        </c:ser>
        <c:ser>
          <c:idx val="1"/>
          <c:order val="1"/>
          <c:tx>
            <c:strRef>
              <c:f>'Calcs 2014'!$DD$118</c:f>
              <c:strCache>
                <c:ptCount val="1"/>
                <c:pt idx="0">
                  <c:v>P&amp;G (Fixed and Time-related) </c:v>
                </c:pt>
              </c:strCache>
            </c:strRef>
          </c:tx>
          <c:spPr>
            <a:solidFill>
              <a:schemeClr val="accent2"/>
            </a:solidFill>
            <a:ln>
              <a:noFill/>
            </a:ln>
            <a:effectLst/>
          </c:spPr>
          <c:invertIfNegative val="0"/>
          <c:dLbls>
            <c:dLbl>
              <c:idx val="0"/>
              <c:tx>
                <c:rich>
                  <a:bodyPr/>
                  <a:lstStyle/>
                  <a:p>
                    <a:fld id="{A36293DC-D7C1-4C0C-8FBC-38F5E9851E54}" type="CELLRANGE">
                      <a:rPr lang="en-US"/>
                      <a:pPr/>
                      <a:t>[CELLRANGE]</a:t>
                    </a:fld>
                    <a:endParaRPr lang="en-ZA"/>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7272-43AF-8D39-6266D7E64A9F}"/>
                </c:ext>
                <c:ext xmlns:c15="http://schemas.microsoft.com/office/drawing/2012/chart" uri="{CE6537A1-D6FC-4f65-9D91-7224C49458BB}">
                  <c15:dlblFieldTable/>
                  <c15:showDataLabelsRange val="1"/>
                </c:ext>
              </c:extLst>
            </c:dLbl>
            <c:dLbl>
              <c:idx val="1"/>
              <c:tx>
                <c:rich>
                  <a:bodyPr/>
                  <a:lstStyle/>
                  <a:p>
                    <a:fld id="{48F0D56B-5B22-4D63-913F-D42282E0C1AE}" type="CELLRANGE">
                      <a:rPr lang="en-ZA"/>
                      <a:pPr/>
                      <a:t>[CELLRANGE]</a:t>
                    </a:fld>
                    <a:endParaRPr lang="en-ZA"/>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EEAC03FF-CEDF-4D39-9A2B-251E13D4A1F2}" type="CELLRANGE">
                      <a:rPr lang="en-ZA"/>
                      <a:pPr/>
                      <a:t>[CELLRANGE]</a:t>
                    </a:fld>
                    <a:endParaRPr lang="en-ZA"/>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quot;R&quot;\ #,##0.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'Calcs 2014'!$DE$116:$DG$116</c:f>
              <c:numCache>
                <c:formatCode>General</c:formatCode>
                <c:ptCount val="3"/>
                <c:pt idx="0">
                  <c:v>2014</c:v>
                </c:pt>
                <c:pt idx="1">
                  <c:v>2015</c:v>
                </c:pt>
                <c:pt idx="2">
                  <c:v>2016</c:v>
                </c:pt>
              </c:numCache>
            </c:numRef>
          </c:cat>
          <c:val>
            <c:numRef>
              <c:f>'Calcs 2014'!$DE$118:$DG$118</c:f>
              <c:numCache>
                <c:formatCode>_("R"* #,##0.00_);_("R"* \(#,##0.00\);_("R"* "-"??_);_(@_)</c:formatCode>
                <c:ptCount val="3"/>
                <c:pt idx="0" formatCode="&quot;R&quot;\ #,##0.00">
                  <c:v>1622125.4</c:v>
                </c:pt>
                <c:pt idx="1">
                  <c:v>3311897.5513157891</c:v>
                </c:pt>
                <c:pt idx="2">
                  <c:v>2994949.75</c:v>
                </c:pt>
              </c:numCache>
            </c:numRef>
          </c:val>
          <c:extLst xmlns:c16r2="http://schemas.microsoft.com/office/drawing/2015/06/chart">
            <c:ext xmlns:c16="http://schemas.microsoft.com/office/drawing/2014/chart" uri="{C3380CC4-5D6E-409C-BE32-E72D297353CC}">
              <c16:uniqueId val="{00000004-7272-43AF-8D39-6266D7E64A9F}"/>
            </c:ext>
            <c:ext xmlns:c15="http://schemas.microsoft.com/office/drawing/2012/chart" uri="{02D57815-91ED-43cb-92C2-25804820EDAC}">
              <c15:datalabelsRange>
                <c15:f>'Calcs 2014'!$DE$122:$DG$122</c15:f>
                <c15:dlblRangeCache>
                  <c:ptCount val="3"/>
                  <c:pt idx="0">
                    <c:v>19%</c:v>
                  </c:pt>
                  <c:pt idx="1">
                    <c:v>26%</c:v>
                  </c:pt>
                  <c:pt idx="2">
                    <c:v>10%</c:v>
                  </c:pt>
                </c15:dlblRangeCache>
              </c15:datalabelsRange>
            </c:ext>
          </c:extLst>
        </c:ser>
        <c:ser>
          <c:idx val="2"/>
          <c:order val="2"/>
          <c:tx>
            <c:strRef>
              <c:f>'Calcs 2014'!$DD$119</c:f>
              <c:strCache>
                <c:ptCount val="1"/>
                <c:pt idx="0">
                  <c:v>Supervision cost</c:v>
                </c:pt>
              </c:strCache>
            </c:strRef>
          </c:tx>
          <c:spPr>
            <a:solidFill>
              <a:schemeClr val="accent3"/>
            </a:solidFill>
            <a:ln>
              <a:noFill/>
            </a:ln>
            <a:effectLst/>
          </c:spPr>
          <c:invertIfNegative val="0"/>
          <c:dLbls>
            <c:dLbl>
              <c:idx val="0"/>
              <c:tx>
                <c:rich>
                  <a:bodyPr/>
                  <a:lstStyle/>
                  <a:p>
                    <a:fld id="{D90D71B5-FC62-4768-8996-C76535897C6C}" type="CELLRANGE">
                      <a:rPr lang="en-US"/>
                      <a:pPr/>
                      <a:t>[CELLRANGE]</a:t>
                    </a:fld>
                    <a:endParaRPr lang="en-ZA"/>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5-7272-43AF-8D39-6266D7E64A9F}"/>
                </c:ext>
                <c:ext xmlns:c15="http://schemas.microsoft.com/office/drawing/2012/chart" uri="{CE6537A1-D6FC-4f65-9D91-7224C49458BB}">
                  <c15:dlblFieldTable/>
                  <c15:showDataLabelsRange val="1"/>
                </c:ext>
              </c:extLst>
            </c:dLbl>
            <c:dLbl>
              <c:idx val="1"/>
              <c:tx>
                <c:rich>
                  <a:bodyPr/>
                  <a:lstStyle/>
                  <a:p>
                    <a:fld id="{ACF6C738-E7C6-4C8E-B4BD-5A136A5B719C}" type="CELLRANGE">
                      <a:rPr lang="en-ZA"/>
                      <a:pPr/>
                      <a:t>[CELLRANGE]</a:t>
                    </a:fld>
                    <a:endParaRPr lang="en-ZA"/>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24CC19F2-0DEE-4ABC-A7CC-2EAEF41EB553}" type="CELLRANGE">
                      <a:rPr lang="en-ZA"/>
                      <a:pPr/>
                      <a:t>[CELLRANGE]</a:t>
                    </a:fld>
                    <a:endParaRPr lang="en-ZA"/>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'Calcs 2014'!$DE$116:$DG$116</c:f>
              <c:numCache>
                <c:formatCode>General</c:formatCode>
                <c:ptCount val="3"/>
                <c:pt idx="0">
                  <c:v>2014</c:v>
                </c:pt>
                <c:pt idx="1">
                  <c:v>2015</c:v>
                </c:pt>
                <c:pt idx="2">
                  <c:v>2016</c:v>
                </c:pt>
              </c:numCache>
            </c:numRef>
          </c:cat>
          <c:val>
            <c:numRef>
              <c:f>'Calcs 2014'!$DE$119:$DG$119</c:f>
              <c:numCache>
                <c:formatCode>_("R"* #,##0.00_);_("R"* \(#,##0.00\);_("R"* "-"??_);_(@_)</c:formatCode>
                <c:ptCount val="3"/>
                <c:pt idx="0" formatCode="&quot;R&quot;\ #,##0.00">
                  <c:v>664200</c:v>
                </c:pt>
                <c:pt idx="1">
                  <c:v>431250</c:v>
                </c:pt>
                <c:pt idx="2">
                  <c:v>791000</c:v>
                </c:pt>
              </c:numCache>
            </c:numRef>
          </c:val>
          <c:extLst xmlns:c16r2="http://schemas.microsoft.com/office/drawing/2015/06/chart">
            <c:ext xmlns:c16="http://schemas.microsoft.com/office/drawing/2014/chart" uri="{C3380CC4-5D6E-409C-BE32-E72D297353CC}">
              <c16:uniqueId val="{00000008-7272-43AF-8D39-6266D7E64A9F}"/>
            </c:ext>
            <c:ext xmlns:c15="http://schemas.microsoft.com/office/drawing/2012/chart" uri="{02D57815-91ED-43cb-92C2-25804820EDAC}">
              <c15:datalabelsRange>
                <c15:f>'Calcs 2014'!$DE$123:$DG$123</c15:f>
                <c15:dlblRangeCache>
                  <c:ptCount val="3"/>
                  <c:pt idx="0">
                    <c:v>8%</c:v>
                  </c:pt>
                  <c:pt idx="1">
                    <c:v>3%</c:v>
                  </c:pt>
                  <c:pt idx="2">
                    <c:v>3%</c:v>
                  </c:pt>
                </c15:dlblRangeCache>
              </c15:datalabelsRange>
            </c:ext>
          </c:extLst>
        </c:ser>
        <c:dLbls>
          <c:showLegendKey val="0"/>
          <c:showVal val="0"/>
          <c:showCatName val="0"/>
          <c:showSerName val="0"/>
          <c:showPercent val="0"/>
          <c:showBubbleSize val="0"/>
        </c:dLbls>
        <c:gapWidth val="150"/>
        <c:overlap val="100"/>
        <c:axId val="-145919440"/>
        <c:axId val="-145912368"/>
      </c:barChart>
      <c:catAx>
        <c:axId val="-14591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45912368"/>
        <c:crosses val="autoZero"/>
        <c:auto val="1"/>
        <c:lblAlgn val="ctr"/>
        <c:lblOffset val="100"/>
        <c:noMultiLvlLbl val="0"/>
      </c:catAx>
      <c:valAx>
        <c:axId val="-145912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4591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Correlation between average project values and the cost of preliminary and general items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4.1923009623797025E-2"/>
                  <c:y val="0.1477314814814815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R² = 0.2666</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'Calcs 2014'!$DE$117:$DG$117</c:f>
              <c:numCache>
                <c:formatCode>_("R"* #,##0.00_);_("R"* \(#,##0.00\);_("R"* "-"??_);_(@_)</c:formatCode>
                <c:ptCount val="3"/>
                <c:pt idx="0" formatCode="&quot;R&quot;\ #,##0.00">
                  <c:v>8370483.6680000005</c:v>
                </c:pt>
                <c:pt idx="1">
                  <c:v>12762901.193333333</c:v>
                </c:pt>
                <c:pt idx="2">
                  <c:v>29694211.107799996</c:v>
                </c:pt>
              </c:numCache>
            </c:numRef>
          </c:xVal>
          <c:yVal>
            <c:numRef>
              <c:f>'Calcs 2014'!$DE$118:$DG$118</c:f>
              <c:numCache>
                <c:formatCode>_("R"* #,##0.00_);_("R"* \(#,##0.00\);_("R"* "-"??_);_(@_)</c:formatCode>
                <c:ptCount val="3"/>
                <c:pt idx="0" formatCode="&quot;R&quot;\ #,##0.00">
                  <c:v>1622125.4</c:v>
                </c:pt>
                <c:pt idx="1">
                  <c:v>3311897.5513157891</c:v>
                </c:pt>
                <c:pt idx="2">
                  <c:v>2994949.75</c:v>
                </c:pt>
              </c:numCache>
            </c:numRef>
          </c:yVal>
          <c:smooth val="0"/>
          <c:extLst xmlns:c16r2="http://schemas.microsoft.com/office/drawing/2015/06/chart">
            <c:ext xmlns:c16="http://schemas.microsoft.com/office/drawing/2014/chart" uri="{C3380CC4-5D6E-409C-BE32-E72D297353CC}">
              <c16:uniqueId val="{00000002-951B-417E-A0B6-A537AE671BC9}"/>
            </c:ext>
          </c:extLst>
        </c:ser>
        <c:dLbls>
          <c:showLegendKey val="0"/>
          <c:showVal val="0"/>
          <c:showCatName val="0"/>
          <c:showSerName val="0"/>
          <c:showPercent val="0"/>
          <c:showBubbleSize val="0"/>
        </c:dLbls>
        <c:axId val="-1732019232"/>
        <c:axId val="-1732028480"/>
      </c:scatterChart>
      <c:valAx>
        <c:axId val="-1732019232"/>
        <c:scaling>
          <c:orientation val="minMax"/>
        </c:scaling>
        <c:delete val="0"/>
        <c:axPos val="b"/>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2028480"/>
        <c:crosses val="autoZero"/>
        <c:crossBetween val="midCat"/>
        <c:dispUnits>
          <c:builtInUnit val="millions"/>
          <c:dispUnitsLbl>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valAx>
        <c:axId val="-1732028480"/>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2019232"/>
        <c:crosses val="autoZero"/>
        <c:crossBetween val="midCat"/>
        <c:dispUnits>
          <c:builtInUnit val="hundred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689303516874262"/>
          <c:y val="3.7718769101543641E-2"/>
          <c:w val="0.82350759224009029"/>
          <c:h val="0.75921936630691678"/>
        </c:manualLayout>
      </c:layout>
      <c:barChart>
        <c:barDir val="col"/>
        <c:grouping val="clustered"/>
        <c:varyColors val="0"/>
        <c:ser>
          <c:idx val="0"/>
          <c:order val="0"/>
          <c:tx>
            <c:strRef>
              <c:f>'Summary of SRK vs ave &amp; winners'!$A$3</c:f>
              <c:strCache>
                <c:ptCount val="1"/>
                <c:pt idx="0">
                  <c:v>Tender AWARD</c:v>
                </c:pt>
              </c:strCache>
            </c:strRef>
          </c:tx>
          <c:invertIfNegative val="0"/>
          <c:cat>
            <c:strRef>
              <c:f>'Summary of SRK vs ave &amp; winners'!$B$2:$N$2</c:f>
              <c:strCache>
                <c:ptCount val="10"/>
                <c:pt idx="0">
                  <c:v>Project G</c:v>
                </c:pt>
                <c:pt idx="1">
                  <c:v>Project H</c:v>
                </c:pt>
                <c:pt idx="2">
                  <c:v>Project J</c:v>
                </c:pt>
                <c:pt idx="3">
                  <c:v>Project K</c:v>
                </c:pt>
                <c:pt idx="4">
                  <c:v>Project L</c:v>
                </c:pt>
                <c:pt idx="5">
                  <c:v>Project M</c:v>
                </c:pt>
                <c:pt idx="6">
                  <c:v>Project N</c:v>
                </c:pt>
                <c:pt idx="7">
                  <c:v>Project O</c:v>
                </c:pt>
                <c:pt idx="8">
                  <c:v> Project P </c:v>
                </c:pt>
                <c:pt idx="9">
                  <c:v>Project Q</c:v>
                </c:pt>
              </c:strCache>
            </c:strRef>
          </c:cat>
          <c:val>
            <c:numRef>
              <c:f>'Summary of SRK vs ave &amp; winners'!$B$3:$O$3</c:f>
              <c:numCache>
                <c:formatCode>_-"R"* #,##0_-;\-"R"* #,##0_-;_-"R"* "-"??_-;_-@_-</c:formatCode>
                <c:ptCount val="10"/>
                <c:pt idx="0">
                  <c:v>6784644.2000000002</c:v>
                </c:pt>
                <c:pt idx="1">
                  <c:v>5894835.3499999996</c:v>
                </c:pt>
                <c:pt idx="2">
                  <c:v>6949239.3600000003</c:v>
                </c:pt>
                <c:pt idx="3">
                  <c:v>7480279.29</c:v>
                </c:pt>
                <c:pt idx="4">
                  <c:v>15837470.75</c:v>
                </c:pt>
                <c:pt idx="5">
                  <c:v>8400006</c:v>
                </c:pt>
                <c:pt idx="6" formatCode="_ &quot;R&quot;\ * #,##0_ ;_ &quot;R&quot;\ * \-#,##0_ ;_ &quot;R&quot;\ * &quot;-&quot;??_ ;_ @_ ">
                  <c:v>10702307.550000001</c:v>
                </c:pt>
                <c:pt idx="7" formatCode="_ &quot;R&quot;\ * #,##0_ ;_ &quot;R&quot;\ * \-#,##0_ ;_ &quot;R&quot;\ * &quot;-&quot;??_ ;_ @_ ">
                  <c:v>51992134.759999998</c:v>
                </c:pt>
                <c:pt idx="8" formatCode="_ &quot;R&quot;\ * #,##0_ ;_ &quot;R&quot;\ * \-#,##0_ ;_ &quot;R&quot;\ * &quot;-&quot;??_ ;_ @_ ">
                  <c:v>21708602.760000002</c:v>
                </c:pt>
                <c:pt idx="9" formatCode="_ &quot;R&quot;\ * #,##0_ ;_ &quot;R&quot;\ * \-#,##0_ ;_ &quot;R&quot;\ * &quot;-&quot;??_ ;_ @_ ">
                  <c:v>24914992.399999999</c:v>
                </c:pt>
              </c:numCache>
            </c:numRef>
          </c:val>
          <c:extLst xmlns:c16r2="http://schemas.microsoft.com/office/drawing/2015/06/chart">
            <c:ext xmlns:c16="http://schemas.microsoft.com/office/drawing/2014/chart" uri="{C3380CC4-5D6E-409C-BE32-E72D297353CC}">
              <c16:uniqueId val="{00000000-4AE9-41CF-ADA7-1E0D181B1CEE}"/>
            </c:ext>
          </c:extLst>
        </c:ser>
        <c:ser>
          <c:idx val="1"/>
          <c:order val="1"/>
          <c:tx>
            <c:strRef>
              <c:f>'Summary of SRK vs ave &amp; winners'!$A$4</c:f>
              <c:strCache>
                <c:ptCount val="1"/>
                <c:pt idx="0">
                  <c:v>Engineer's Estimate on BOQ</c:v>
                </c:pt>
              </c:strCache>
            </c:strRef>
          </c:tx>
          <c:spPr>
            <a:solidFill>
              <a:srgbClr val="FF0000"/>
            </a:solidFill>
          </c:spPr>
          <c:invertIfNegative val="0"/>
          <c:cat>
            <c:strRef>
              <c:f>'Summary of SRK vs ave &amp; winners'!$B$2:$N$2</c:f>
              <c:strCache>
                <c:ptCount val="10"/>
                <c:pt idx="0">
                  <c:v>Project G</c:v>
                </c:pt>
                <c:pt idx="1">
                  <c:v>Project H</c:v>
                </c:pt>
                <c:pt idx="2">
                  <c:v>Project J</c:v>
                </c:pt>
                <c:pt idx="3">
                  <c:v>Project K</c:v>
                </c:pt>
                <c:pt idx="4">
                  <c:v>Project L</c:v>
                </c:pt>
                <c:pt idx="5">
                  <c:v>Project M</c:v>
                </c:pt>
                <c:pt idx="6">
                  <c:v>Project N</c:v>
                </c:pt>
                <c:pt idx="7">
                  <c:v>Project O</c:v>
                </c:pt>
                <c:pt idx="8">
                  <c:v> Project P </c:v>
                </c:pt>
                <c:pt idx="9">
                  <c:v>Project Q</c:v>
                </c:pt>
              </c:strCache>
            </c:strRef>
          </c:cat>
          <c:val>
            <c:numRef>
              <c:f>'Summary of SRK vs ave &amp; winners'!$B$4:$O$4</c:f>
              <c:numCache>
                <c:formatCode>_-"R"* #,##0_-;\-"R"* #,##0_-;_-"R"* "-"??_-;_-@_-</c:formatCode>
                <c:ptCount val="10"/>
                <c:pt idx="0">
                  <c:v>10398490</c:v>
                </c:pt>
                <c:pt idx="1">
                  <c:v>7028935</c:v>
                </c:pt>
                <c:pt idx="2">
                  <c:v>8751294</c:v>
                </c:pt>
                <c:pt idx="3">
                  <c:v>10213046</c:v>
                </c:pt>
                <c:pt idx="4">
                  <c:v>20839893</c:v>
                </c:pt>
                <c:pt idx="5" formatCode="_ &quot;R&quot;\ * #,##0_ ;_ &quot;R&quot;\ * \-#,##0_ ;_ &quot;R&quot;\ * &quot;-&quot;??_ ;_ @_ ">
                  <c:v>5496598.7999999998</c:v>
                </c:pt>
                <c:pt idx="6" formatCode="_ &quot;R&quot;\ * #,##0_ ;_ &quot;R&quot;\ * \-#,##0_ ;_ &quot;R&quot;\ * &quot;-&quot;??_ ;_ @_ ">
                  <c:v>14636910.300000001</c:v>
                </c:pt>
                <c:pt idx="7" formatCode="_ &quot;R&quot;\ * #,##0_ ;_ &quot;R&quot;\ * \-#,##0_ ;_ &quot;R&quot;\ * &quot;-&quot;??_ ;_ @_ ">
                  <c:v>52048608.476279996</c:v>
                </c:pt>
                <c:pt idx="8" formatCode="_ &quot;R&quot;\ * #,##0_ ;_ &quot;R&quot;\ * \-#,##0_ ;_ &quot;R&quot;\ * &quot;-&quot;??_ ;_ @_ ">
                  <c:v>29358904.810079999</c:v>
                </c:pt>
                <c:pt idx="9" formatCode="_ &quot;R&quot;\ * #,##0_ ;_ &quot;R&quot;\ * \-#,##0_ ;_ &quot;R&quot;\ * &quot;-&quot;??_ ;_ @_ ">
                  <c:v>25754962.566141691</c:v>
                </c:pt>
              </c:numCache>
            </c:numRef>
          </c:val>
          <c:extLst xmlns:c16r2="http://schemas.microsoft.com/office/drawing/2015/06/chart">
            <c:ext xmlns:c16="http://schemas.microsoft.com/office/drawing/2014/chart" uri="{C3380CC4-5D6E-409C-BE32-E72D297353CC}">
              <c16:uniqueId val="{00000001-4AE9-41CF-ADA7-1E0D181B1CEE}"/>
            </c:ext>
          </c:extLst>
        </c:ser>
        <c:ser>
          <c:idx val="2"/>
          <c:order val="2"/>
          <c:tx>
            <c:strRef>
              <c:f>'Summary of SRK vs ave &amp; winners'!$A$5</c:f>
              <c:strCache>
                <c:ptCount val="1"/>
                <c:pt idx="0">
                  <c:v>Average of tendered values </c:v>
                </c:pt>
              </c:strCache>
            </c:strRef>
          </c:tx>
          <c:spPr>
            <a:solidFill>
              <a:srgbClr val="92D050"/>
            </a:solidFill>
          </c:spPr>
          <c:invertIfNegative val="0"/>
          <c:cat>
            <c:strRef>
              <c:f>'Summary of SRK vs ave &amp; winners'!$B$2:$N$2</c:f>
              <c:strCache>
                <c:ptCount val="10"/>
                <c:pt idx="0">
                  <c:v>Project G</c:v>
                </c:pt>
                <c:pt idx="1">
                  <c:v>Project H</c:v>
                </c:pt>
                <c:pt idx="2">
                  <c:v>Project J</c:v>
                </c:pt>
                <c:pt idx="3">
                  <c:v>Project K</c:v>
                </c:pt>
                <c:pt idx="4">
                  <c:v>Project L</c:v>
                </c:pt>
                <c:pt idx="5">
                  <c:v>Project M</c:v>
                </c:pt>
                <c:pt idx="6">
                  <c:v>Project N</c:v>
                </c:pt>
                <c:pt idx="7">
                  <c:v>Project O</c:v>
                </c:pt>
                <c:pt idx="8">
                  <c:v> Project P </c:v>
                </c:pt>
                <c:pt idx="9">
                  <c:v>Project Q</c:v>
                </c:pt>
              </c:strCache>
            </c:strRef>
          </c:cat>
          <c:val>
            <c:numRef>
              <c:f>'Summary of SRK vs ave &amp; winners'!$B$5:$O$5</c:f>
              <c:numCache>
                <c:formatCode>_ "R"\ * #,##0_ ;_ "R"\ * \-#,##0_ ;_ "R"\ * "-"??_ ;_ @_ </c:formatCode>
                <c:ptCount val="10"/>
                <c:pt idx="0">
                  <c:v>9808005.0633333325</c:v>
                </c:pt>
                <c:pt idx="1">
                  <c:v>6436475.8733333321</c:v>
                </c:pt>
                <c:pt idx="2">
                  <c:v>13510719.305555558</c:v>
                </c:pt>
                <c:pt idx="3">
                  <c:v>13184493.981250001</c:v>
                </c:pt>
                <c:pt idx="4">
                  <c:v>20375485.485714287</c:v>
                </c:pt>
                <c:pt idx="5">
                  <c:v>11280559.901999999</c:v>
                </c:pt>
                <c:pt idx="6">
                  <c:v>11864421.036250001</c:v>
                </c:pt>
                <c:pt idx="7">
                  <c:v>40770252.186611421</c:v>
                </c:pt>
                <c:pt idx="8">
                  <c:v>21619395.074999999</c:v>
                </c:pt>
                <c:pt idx="9">
                  <c:v>27159544.365999997</c:v>
                </c:pt>
              </c:numCache>
            </c:numRef>
          </c:val>
          <c:extLst xmlns:c16r2="http://schemas.microsoft.com/office/drawing/2015/06/chart">
            <c:ext xmlns:c16="http://schemas.microsoft.com/office/drawing/2014/chart" uri="{C3380CC4-5D6E-409C-BE32-E72D297353CC}">
              <c16:uniqueId val="{00000002-4AE9-41CF-ADA7-1E0D181B1CEE}"/>
            </c:ext>
          </c:extLst>
        </c:ser>
        <c:dLbls>
          <c:showLegendKey val="0"/>
          <c:showVal val="0"/>
          <c:showCatName val="0"/>
          <c:showSerName val="0"/>
          <c:showPercent val="0"/>
          <c:showBubbleSize val="0"/>
        </c:dLbls>
        <c:gapWidth val="150"/>
        <c:axId val="-1732027936"/>
        <c:axId val="-1732021952"/>
      </c:barChart>
      <c:catAx>
        <c:axId val="-1732027936"/>
        <c:scaling>
          <c:orientation val="minMax"/>
        </c:scaling>
        <c:delete val="0"/>
        <c:axPos val="b"/>
        <c:numFmt formatCode="General" sourceLinked="0"/>
        <c:majorTickMark val="out"/>
        <c:minorTickMark val="none"/>
        <c:tickLblPos val="nextTo"/>
        <c:txPr>
          <a:bodyPr/>
          <a:lstStyle/>
          <a:p>
            <a:pPr>
              <a:defRPr sz="1200" b="1" baseline="0"/>
            </a:pPr>
            <a:endParaRPr lang="en-US"/>
          </a:p>
        </c:txPr>
        <c:crossAx val="-1732021952"/>
        <c:crosses val="autoZero"/>
        <c:auto val="1"/>
        <c:lblAlgn val="ctr"/>
        <c:lblOffset val="100"/>
        <c:noMultiLvlLbl val="0"/>
      </c:catAx>
      <c:valAx>
        <c:axId val="-1732021952"/>
        <c:scaling>
          <c:orientation val="minMax"/>
        </c:scaling>
        <c:delete val="0"/>
        <c:axPos val="l"/>
        <c:majorGridlines/>
        <c:numFmt formatCode="_-&quot;R&quot;* #,##0_-;\-&quot;R&quot;* #,##0_-;_-&quot;R&quot;* &quot;-&quot;??_-;_-@_-" sourceLinked="1"/>
        <c:majorTickMark val="out"/>
        <c:minorTickMark val="none"/>
        <c:tickLblPos val="nextTo"/>
        <c:crossAx val="-1732027936"/>
        <c:crosses val="autoZero"/>
        <c:crossBetween val="between"/>
      </c:valAx>
    </c:plotArea>
    <c:legend>
      <c:legendPos val="r"/>
      <c:layout>
        <c:manualLayout>
          <c:xMode val="edge"/>
          <c:yMode val="edge"/>
          <c:x val="0.17827343928563325"/>
          <c:y val="5.1131747651638665E-2"/>
          <c:w val="0.28992952991445536"/>
          <c:h val="0.18430011944107463"/>
        </c:manualLayout>
      </c:layout>
      <c:overlay val="0"/>
      <c:spPr>
        <a:solidFill>
          <a:schemeClr val="bg1"/>
        </a:solidFill>
      </c:sp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2B: Demolition of reinforced concrete</a:t>
            </a:r>
            <a:r>
              <a:rPr lang="en-ZA" baseline="0"/>
              <a:t> structures (R/m</a:t>
            </a:r>
            <a:r>
              <a:rPr lang="en-ZA" baseline="30000"/>
              <a:t>3</a:t>
            </a:r>
            <a:r>
              <a:rPr lang="en-ZA" baseline="0"/>
              <a:t>) </a:t>
            </a:r>
            <a:endParaRPr lang="en-Z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elements'!$F$3</c:f>
              <c:strCache>
                <c:ptCount val="1"/>
                <c:pt idx="0">
                  <c:v>Actual </c:v>
                </c:pt>
              </c:strCache>
            </c:strRef>
          </c:tx>
          <c:spPr>
            <a:solidFill>
              <a:schemeClr val="accent1"/>
            </a:solidFill>
            <a:ln>
              <a:noFill/>
            </a:ln>
            <a:effectLst/>
          </c:spPr>
          <c:invertIfNegative val="0"/>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elements'!$G$3:$S$3</c:f>
              <c:numCache>
                <c:formatCode>General</c:formatCode>
                <c:ptCount val="13"/>
                <c:pt idx="6" formatCode="_(&quot;R&quot;* #,##0.00_);_(&quot;R&quot;* \(#,##0.00\);_(&quot;R&quot;* &quot;-&quot;??_);_(@_)">
                  <c:v>74.13</c:v>
                </c:pt>
                <c:pt idx="9" formatCode="_(&quot;R&quot;* #,##0.00_);_(&quot;R&quot;* \(#,##0.00\);_(&quot;R&quot;* &quot;-&quot;??_);_(@_)">
                  <c:v>945.72</c:v>
                </c:pt>
                <c:pt idx="10" formatCode="_(&quot;R&quot;* #,##0.00_);_(&quot;R&quot;* \(#,##0.00\);_(&quot;R&quot;* &quot;-&quot;??_);_(@_)">
                  <c:v>978.87</c:v>
                </c:pt>
              </c:numCache>
            </c:numRef>
          </c:val>
          <c:extLst xmlns:c16r2="http://schemas.microsoft.com/office/drawing/2015/06/chart">
            <c:ext xmlns:c16="http://schemas.microsoft.com/office/drawing/2014/chart" uri="{C3380CC4-5D6E-409C-BE32-E72D297353CC}">
              <c16:uniqueId val="{00000000-9486-4F83-9C9D-703E113931D7}"/>
            </c:ext>
          </c:extLst>
        </c:ser>
        <c:dLbls>
          <c:showLegendKey val="0"/>
          <c:showVal val="0"/>
          <c:showCatName val="0"/>
          <c:showSerName val="0"/>
          <c:showPercent val="0"/>
          <c:showBubbleSize val="0"/>
        </c:dLbls>
        <c:gapWidth val="219"/>
        <c:axId val="-1729631296"/>
        <c:axId val="-1729638912"/>
      </c:barChart>
      <c:lineChart>
        <c:grouping val="standard"/>
        <c:varyColors val="0"/>
        <c:ser>
          <c:idx val="1"/>
          <c:order val="1"/>
          <c:tx>
            <c:strRef>
              <c:f>'Selected elements'!$F$4</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elements'!$G$4:$S$4</c:f>
              <c:numCache>
                <c:formatCode>_("R"* #,##0.00_);_("R"* \(#,##0.00\);_("R"* "-"??_);_(@_)</c:formatCode>
                <c:ptCount val="13"/>
                <c:pt idx="0">
                  <c:v>144.76</c:v>
                </c:pt>
                <c:pt idx="1">
                  <c:v>151.56371999999999</c:v>
                </c:pt>
                <c:pt idx="2">
                  <c:v>162.32474411999999</c:v>
                </c:pt>
                <c:pt idx="3">
                  <c:v>180.99208969379998</c:v>
                </c:pt>
                <c:pt idx="4">
                  <c:v>193.84252806205978</c:v>
                </c:pt>
                <c:pt idx="5">
                  <c:v>202.17775676872836</c:v>
                </c:pt>
                <c:pt idx="6">
                  <c:v>212.28664460716479</c:v>
                </c:pt>
                <c:pt idx="7">
                  <c:v>224.17469670516601</c:v>
                </c:pt>
                <c:pt idx="8">
                  <c:v>236.95265441736046</c:v>
                </c:pt>
                <c:pt idx="9">
                  <c:v>251.40676633681946</c:v>
                </c:pt>
                <c:pt idx="10">
                  <c:v>262.97147758831318</c:v>
                </c:pt>
                <c:pt idx="11">
                  <c:v>279.80165215396522</c:v>
                </c:pt>
                <c:pt idx="12">
                  <c:v>294.91094137027932</c:v>
                </c:pt>
              </c:numCache>
            </c:numRef>
          </c:val>
          <c:smooth val="0"/>
          <c:extLst xmlns:c16r2="http://schemas.microsoft.com/office/drawing/2015/06/chart">
            <c:ext xmlns:c16="http://schemas.microsoft.com/office/drawing/2014/chart" uri="{C3380CC4-5D6E-409C-BE32-E72D297353CC}">
              <c16:uniqueId val="{00000001-9486-4F83-9C9D-703E113931D7}"/>
            </c:ext>
          </c:extLst>
        </c:ser>
        <c:ser>
          <c:idx val="2"/>
          <c:order val="2"/>
          <c:tx>
            <c:strRef>
              <c:f>'Selected elements'!$F$6</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elements'!$G$6:$S$6</c:f>
              <c:numCache>
                <c:formatCode>_("R"* #,##0.00_);_("R"* \(#,##0.00\);_("R"* "-"??_);_(@_)</c:formatCode>
                <c:ptCount val="13"/>
                <c:pt idx="1">
                  <c:v>157.35411999999999</c:v>
                </c:pt>
                <c:pt idx="2">
                  <c:v>168.38729291999999</c:v>
                </c:pt>
                <c:pt idx="3">
                  <c:v>187.48507945859998</c:v>
                </c:pt>
                <c:pt idx="4">
                  <c:v>241.29865397977414</c:v>
                </c:pt>
                <c:pt idx="5">
                  <c:v>251.9177494694529</c:v>
                </c:pt>
                <c:pt idx="6">
                  <c:v>264.44850585349667</c:v>
                </c:pt>
                <c:pt idx="7">
                  <c:v>279.19939498734311</c:v>
                </c:pt>
                <c:pt idx="8">
                  <c:v>295.10357074268052</c:v>
                </c:pt>
                <c:pt idx="9">
                  <c:v>313.06184701621663</c:v>
                </c:pt>
                <c:pt idx="10">
                  <c:v>327.63329789014313</c:v>
                </c:pt>
                <c:pt idx="11">
                  <c:v>348.38461350899729</c:v>
                </c:pt>
                <c:pt idx="12">
                  <c:v>367.32360894772552</c:v>
                </c:pt>
              </c:numCache>
            </c:numRef>
          </c:val>
          <c:smooth val="0"/>
          <c:extLst xmlns:c16r2="http://schemas.microsoft.com/office/drawing/2015/06/chart">
            <c:ext xmlns:c16="http://schemas.microsoft.com/office/drawing/2014/chart" uri="{C3380CC4-5D6E-409C-BE32-E72D297353CC}">
              <c16:uniqueId val="{00000002-9486-4F83-9C9D-703E113931D7}"/>
            </c:ext>
          </c:extLst>
        </c:ser>
        <c:dLbls>
          <c:showLegendKey val="0"/>
          <c:showVal val="0"/>
          <c:showCatName val="0"/>
          <c:showSerName val="0"/>
          <c:showPercent val="0"/>
          <c:showBubbleSize val="0"/>
        </c:dLbls>
        <c:marker val="1"/>
        <c:smooth val="0"/>
        <c:axId val="-1729631296"/>
        <c:axId val="-1729638912"/>
      </c:lineChart>
      <c:catAx>
        <c:axId val="-172963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8912"/>
        <c:crosses val="autoZero"/>
        <c:auto val="1"/>
        <c:lblAlgn val="ctr"/>
        <c:lblOffset val="100"/>
        <c:noMultiLvlLbl val="0"/>
      </c:catAx>
      <c:valAx>
        <c:axId val="-1729638912"/>
        <c:scaling>
          <c:orientation val="minMax"/>
          <c:max val="1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3: Rehabilitation</a:t>
            </a:r>
            <a:r>
              <a:rPr lang="en-ZA" baseline="0"/>
              <a:t> of access roads (R/m</a:t>
            </a:r>
            <a:r>
              <a:rPr lang="en-ZA" baseline="30000"/>
              <a:t>2</a:t>
            </a:r>
            <a:r>
              <a:rPr lang="en-ZA" baseline="0"/>
              <a:t>)</a:t>
            </a:r>
            <a:endParaRPr lang="en-Z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elements'!$F$9</c:f>
              <c:strCache>
                <c:ptCount val="1"/>
                <c:pt idx="0">
                  <c:v>Actual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2.3491165480990561E-2"/>
                  <c:y val="-5.27552115213520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elements'!$G$9:$S$9</c:f>
              <c:numCache>
                <c:formatCode>General</c:formatCode>
                <c:ptCount val="13"/>
                <c:pt idx="4" formatCode="_(&quot;R&quot;* #,##0.00_);_(&quot;R&quot;* \(#,##0.00\);_(&quot;R&quot;* &quot;-&quot;??_);_(@_)">
                  <c:v>42.88</c:v>
                </c:pt>
                <c:pt idx="5" formatCode="_(&quot;R&quot;* #,##0.00_);_(&quot;R&quot;* \(#,##0.00\);_(&quot;R&quot;* &quot;-&quot;??_);_(@_)">
                  <c:v>42</c:v>
                </c:pt>
                <c:pt idx="6" formatCode="_(&quot;R&quot;* #,##0.00_);_(&quot;R&quot;* \(#,##0.00\);_(&quot;R&quot;* &quot;-&quot;??_);_(@_)">
                  <c:v>45.54</c:v>
                </c:pt>
                <c:pt idx="9" formatCode="_(&quot;R&quot;* #,##0.00_);_(&quot;R&quot;* \(#,##0.00\);_(&quot;R&quot;* &quot;-&quot;??_);_(@_)">
                  <c:v>49.83</c:v>
                </c:pt>
                <c:pt idx="11" formatCode="_(&quot;R&quot;* #,##0.00_);_(&quot;R&quot;* \(#,##0.00\);_(&quot;R&quot;* &quot;-&quot;??_);_(@_)">
                  <c:v>60</c:v>
                </c:pt>
              </c:numCache>
            </c:numRef>
          </c:val>
          <c:extLst xmlns:c16r2="http://schemas.microsoft.com/office/drawing/2015/06/chart">
            <c:ext xmlns:c16="http://schemas.microsoft.com/office/drawing/2014/chart" uri="{C3380CC4-5D6E-409C-BE32-E72D297353CC}">
              <c16:uniqueId val="{00000000-C89A-44B3-8D32-2FC92DCC2527}"/>
            </c:ext>
          </c:extLst>
        </c:ser>
        <c:dLbls>
          <c:showLegendKey val="0"/>
          <c:showVal val="0"/>
          <c:showCatName val="0"/>
          <c:showSerName val="0"/>
          <c:showPercent val="0"/>
          <c:showBubbleSize val="0"/>
        </c:dLbls>
        <c:gapWidth val="219"/>
        <c:overlap val="-27"/>
        <c:axId val="-1729637824"/>
        <c:axId val="-1729629120"/>
      </c:barChart>
      <c:lineChart>
        <c:grouping val="standard"/>
        <c:varyColors val="0"/>
        <c:ser>
          <c:idx val="1"/>
          <c:order val="1"/>
          <c:tx>
            <c:strRef>
              <c:f>'Selected elements'!$F$11</c:f>
              <c:strCache>
                <c:ptCount val="1"/>
                <c:pt idx="0">
                  <c:v>Predicted (DME +CPI)</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elements'!$G$11:$S$11</c:f>
              <c:numCache>
                <c:formatCode>_("R"* #,##0.00_);_("R"* \(#,##0.00\);_("R"* "-"??_);_(@_)</c:formatCode>
                <c:ptCount val="13"/>
                <c:pt idx="0">
                  <c:v>17.577999999999999</c:v>
                </c:pt>
                <c:pt idx="1">
                  <c:v>18.404166</c:v>
                </c:pt>
                <c:pt idx="2">
                  <c:v>19.710861785999999</c:v>
                </c:pt>
                <c:pt idx="3">
                  <c:v>21.97761089139</c:v>
                </c:pt>
                <c:pt idx="4">
                  <c:v>23.53802126467869</c:v>
                </c:pt>
                <c:pt idx="5">
                  <c:v>24.550156179059872</c:v>
                </c:pt>
                <c:pt idx="6">
                  <c:v>25.777663988012865</c:v>
                </c:pt>
                <c:pt idx="7">
                  <c:v>27.221213171341585</c:v>
                </c:pt>
                <c:pt idx="8">
                  <c:v>28.772822322108055</c:v>
                </c:pt>
                <c:pt idx="9">
                  <c:v>30.527964483756648</c:v>
                </c:pt>
                <c:pt idx="10">
                  <c:v>31.932250850009453</c:v>
                </c:pt>
                <c:pt idx="11">
                  <c:v>33.975914904410061</c:v>
                </c:pt>
                <c:pt idx="12">
                  <c:v>35.810614309248201</c:v>
                </c:pt>
              </c:numCache>
            </c:numRef>
          </c:val>
          <c:smooth val="0"/>
          <c:extLst xmlns:c16r2="http://schemas.microsoft.com/office/drawing/2015/06/chart">
            <c:ext xmlns:c16="http://schemas.microsoft.com/office/drawing/2014/chart" uri="{C3380CC4-5D6E-409C-BE32-E72D297353CC}">
              <c16:uniqueId val="{00000001-C89A-44B3-8D32-2FC92DCC2527}"/>
            </c:ext>
          </c:extLst>
        </c:ser>
        <c:ser>
          <c:idx val="2"/>
          <c:order val="2"/>
          <c:tx>
            <c:strRef>
              <c:f>'Selected elements'!$F$13</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elements'!$G$13:$S$13</c:f>
              <c:numCache>
                <c:formatCode>_("R"* #,##0.00_);_("R"* \(#,##0.00\);_("R"* "-"??_);_(@_)</c:formatCode>
                <c:ptCount val="13"/>
                <c:pt idx="1">
                  <c:v>19.107285999999998</c:v>
                </c:pt>
                <c:pt idx="2">
                  <c:v>20.447028425999999</c:v>
                </c:pt>
                <c:pt idx="3">
                  <c:v>22.766045362829999</c:v>
                </c:pt>
                <c:pt idx="4">
                  <c:v>29.300550840401147</c:v>
                </c:pt>
                <c:pt idx="5">
                  <c:v>30.590012435576426</c:v>
                </c:pt>
                <c:pt idx="6">
                  <c:v>32.111604282210315</c:v>
                </c:pt>
                <c:pt idx="7">
                  <c:v>33.90278367703452</c:v>
                </c:pt>
                <c:pt idx="8">
                  <c:v>35.834005018754063</c:v>
                </c:pt>
                <c:pt idx="9">
                  <c:v>38.014652851969167</c:v>
                </c:pt>
                <c:pt idx="10">
                  <c:v>39.784043315231656</c:v>
                </c:pt>
                <c:pt idx="11">
                  <c:v>42.303845926092521</c:v>
                </c:pt>
                <c:pt idx="12">
                  <c:v>44.603581086509529</c:v>
                </c:pt>
              </c:numCache>
            </c:numRef>
          </c:val>
          <c:smooth val="0"/>
          <c:extLst xmlns:c16r2="http://schemas.microsoft.com/office/drawing/2015/06/chart">
            <c:ext xmlns:c16="http://schemas.microsoft.com/office/drawing/2014/chart" uri="{C3380CC4-5D6E-409C-BE32-E72D297353CC}">
              <c16:uniqueId val="{00000002-C89A-44B3-8D32-2FC92DCC2527}"/>
            </c:ext>
          </c:extLst>
        </c:ser>
        <c:dLbls>
          <c:showLegendKey val="0"/>
          <c:showVal val="0"/>
          <c:showCatName val="0"/>
          <c:showSerName val="0"/>
          <c:showPercent val="0"/>
          <c:showBubbleSize val="0"/>
        </c:dLbls>
        <c:marker val="1"/>
        <c:smooth val="0"/>
        <c:axId val="-1729637824"/>
        <c:axId val="-1729629120"/>
      </c:lineChart>
      <c:catAx>
        <c:axId val="-172963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29120"/>
        <c:crosses val="autoZero"/>
        <c:auto val="1"/>
        <c:lblAlgn val="ctr"/>
        <c:lblOffset val="100"/>
        <c:noMultiLvlLbl val="0"/>
      </c:catAx>
      <c:valAx>
        <c:axId val="-1729629120"/>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7: Filling of shafts, adits and inclines</a:t>
            </a:r>
          </a:p>
          <a:p>
            <a:pPr>
              <a:defRPr/>
            </a:pPr>
            <a:r>
              <a:rPr lang="en-ZA" i="1"/>
              <a:t>(a) Backfilling</a:t>
            </a:r>
            <a:r>
              <a:rPr lang="en-ZA" i="1" baseline="0"/>
              <a:t> of incline shaft (R/m</a:t>
            </a:r>
            <a:r>
              <a:rPr lang="en-ZA" i="1" baseline="30000"/>
              <a:t>3</a:t>
            </a:r>
            <a:r>
              <a:rPr lang="en-ZA" i="1" baseline="0"/>
              <a:t>)</a:t>
            </a:r>
            <a:r>
              <a:rPr lang="en-ZA" i="1"/>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elements'!$F$24</c:f>
              <c:strCache>
                <c:ptCount val="1"/>
                <c:pt idx="0">
                  <c:v>Actual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3.8260534452103388E-2"/>
                  <c:y val="-0.1074205075239418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elements'!$G$24:$S$24</c:f>
              <c:numCache>
                <c:formatCode>General</c:formatCode>
                <c:ptCount val="13"/>
                <c:pt idx="4" formatCode="_(&quot;R&quot;* #,##0.00_);_(&quot;R&quot;* \(#,##0.00\);_(&quot;R&quot;* &quot;-&quot;??_);_(@_)">
                  <c:v>41.39</c:v>
                </c:pt>
                <c:pt idx="9" formatCode="_(&quot;R&quot;* #,##0.00_);_(&quot;R&quot;* \(#,##0.00\);_(&quot;R&quot;* &quot;-&quot;??_);_(@_)">
                  <c:v>80</c:v>
                </c:pt>
                <c:pt idx="10" formatCode="_(&quot;R&quot;* #,##0.00_);_(&quot;R&quot;* \(#,##0.00\);_(&quot;R&quot;* &quot;-&quot;??_);_(@_)">
                  <c:v>142.5</c:v>
                </c:pt>
                <c:pt idx="11" formatCode="_(&quot;R&quot;* #,##0.00_);_(&quot;R&quot;* \(#,##0.00\);_(&quot;R&quot;* &quot;-&quot;??_);_(@_)">
                  <c:v>95</c:v>
                </c:pt>
              </c:numCache>
            </c:numRef>
          </c:val>
          <c:extLst xmlns:c16r2="http://schemas.microsoft.com/office/drawing/2015/06/chart">
            <c:ext xmlns:c16="http://schemas.microsoft.com/office/drawing/2014/chart" uri="{C3380CC4-5D6E-409C-BE32-E72D297353CC}">
              <c16:uniqueId val="{00000000-F196-4A46-9446-F1054828C2C9}"/>
            </c:ext>
          </c:extLst>
        </c:ser>
        <c:dLbls>
          <c:showLegendKey val="0"/>
          <c:showVal val="0"/>
          <c:showCatName val="0"/>
          <c:showSerName val="0"/>
          <c:showPercent val="0"/>
          <c:showBubbleSize val="0"/>
        </c:dLbls>
        <c:gapWidth val="219"/>
        <c:overlap val="-27"/>
        <c:axId val="-1729629664"/>
        <c:axId val="-1729628576"/>
      </c:barChart>
      <c:lineChart>
        <c:grouping val="standard"/>
        <c:varyColors val="0"/>
        <c:ser>
          <c:idx val="1"/>
          <c:order val="1"/>
          <c:tx>
            <c:strRef>
              <c:f>'Selected elements'!$F$25</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elements'!$G$25:$S$25</c:f>
              <c:numCache>
                <c:formatCode>_("R"* #,##0.00_);_("R"* \(#,##0.00\);_("R"* "-"??_);_(@_)</c:formatCode>
                <c:ptCount val="13"/>
                <c:pt idx="0">
                  <c:v>9.3060000000000009</c:v>
                </c:pt>
                <c:pt idx="1">
                  <c:v>9.7433820000000004</c:v>
                </c:pt>
                <c:pt idx="2">
                  <c:v>10.435162122000001</c:v>
                </c:pt>
                <c:pt idx="3">
                  <c:v>11.635205766030001</c:v>
                </c:pt>
                <c:pt idx="4">
                  <c:v>12.461305375418132</c:v>
                </c:pt>
                <c:pt idx="5">
                  <c:v>12.99714150656111</c:v>
                </c:pt>
                <c:pt idx="6">
                  <c:v>13.646998581889166</c:v>
                </c:pt>
                <c:pt idx="7">
                  <c:v>14.411230502474959</c:v>
                </c:pt>
                <c:pt idx="8">
                  <c:v>15.232670641116032</c:v>
                </c:pt>
                <c:pt idx="9">
                  <c:v>16.161863550224108</c:v>
                </c:pt>
                <c:pt idx="10">
                  <c:v>16.905309273534417</c:v>
                </c:pt>
                <c:pt idx="11">
                  <c:v>17.987249067040619</c:v>
                </c:pt>
                <c:pt idx="12">
                  <c:v>18.95856051666081</c:v>
                </c:pt>
              </c:numCache>
            </c:numRef>
          </c:val>
          <c:smooth val="0"/>
          <c:extLst xmlns:c16r2="http://schemas.microsoft.com/office/drawing/2015/06/chart">
            <c:ext xmlns:c16="http://schemas.microsoft.com/office/drawing/2014/chart" uri="{C3380CC4-5D6E-409C-BE32-E72D297353CC}">
              <c16:uniqueId val="{00000001-F196-4A46-9446-F1054828C2C9}"/>
            </c:ext>
          </c:extLst>
        </c:ser>
        <c:ser>
          <c:idx val="2"/>
          <c:order val="2"/>
          <c:tx>
            <c:strRef>
              <c:f>'Selected elements'!$F$27</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elements'!$G$27:$S$27</c:f>
              <c:numCache>
                <c:formatCode>_("R"* #,##0.00_);_("R"* \(#,##0.00\);_("R"* "-"??_);_(@_)</c:formatCode>
                <c:ptCount val="13"/>
                <c:pt idx="1">
                  <c:v>10.115622000000002</c:v>
                </c:pt>
                <c:pt idx="2">
                  <c:v>10.824897402000001</c:v>
                </c:pt>
                <c:pt idx="3">
                  <c:v>12.052612250910002</c:v>
                </c:pt>
                <c:pt idx="4">
                  <c:v>15.512056327271198</c:v>
                </c:pt>
                <c:pt idx="5">
                  <c:v>16.194712465893403</c:v>
                </c:pt>
                <c:pt idx="6">
                  <c:v>17.000261090581933</c:v>
                </c:pt>
                <c:pt idx="7">
                  <c:v>17.948532534900629</c:v>
                </c:pt>
                <c:pt idx="8">
                  <c:v>18.970943833458033</c:v>
                </c:pt>
                <c:pt idx="9">
                  <c:v>20.125404451042499</c:v>
                </c:pt>
                <c:pt idx="10">
                  <c:v>21.062140578652059</c:v>
                </c:pt>
                <c:pt idx="11">
                  <c:v>22.396153725578394</c:v>
                </c:pt>
                <c:pt idx="12">
                  <c:v>23.613660575210922</c:v>
                </c:pt>
              </c:numCache>
            </c:numRef>
          </c:val>
          <c:smooth val="0"/>
          <c:extLst xmlns:c16r2="http://schemas.microsoft.com/office/drawing/2015/06/chart">
            <c:ext xmlns:c16="http://schemas.microsoft.com/office/drawing/2014/chart" uri="{C3380CC4-5D6E-409C-BE32-E72D297353CC}">
              <c16:uniqueId val="{00000002-F196-4A46-9446-F1054828C2C9}"/>
            </c:ext>
          </c:extLst>
        </c:ser>
        <c:dLbls>
          <c:showLegendKey val="0"/>
          <c:showVal val="0"/>
          <c:showCatName val="0"/>
          <c:showSerName val="0"/>
          <c:showPercent val="0"/>
          <c:showBubbleSize val="0"/>
        </c:dLbls>
        <c:marker val="1"/>
        <c:smooth val="0"/>
        <c:axId val="-1729629664"/>
        <c:axId val="-1729628576"/>
      </c:lineChart>
      <c:catAx>
        <c:axId val="-172962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28576"/>
        <c:crosses val="autoZero"/>
        <c:auto val="1"/>
        <c:lblAlgn val="ctr"/>
        <c:lblOffset val="100"/>
        <c:noMultiLvlLbl val="0"/>
      </c:catAx>
      <c:valAx>
        <c:axId val="-1729628576"/>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2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7:</a:t>
            </a:r>
            <a:r>
              <a:rPr lang="en-ZA" baseline="0"/>
              <a:t> Filling of shafts, inclines and adits: </a:t>
            </a:r>
          </a:p>
          <a:p>
            <a:pPr>
              <a:defRPr/>
            </a:pPr>
            <a:r>
              <a:rPr lang="en-ZA" i="1" baseline="0"/>
              <a:t>(b) Concrete cap for incline shaft (R/m</a:t>
            </a:r>
            <a:r>
              <a:rPr lang="en-ZA" i="1" baseline="30000"/>
              <a:t>3</a:t>
            </a:r>
            <a:r>
              <a:rPr lang="en-ZA" i="1" baseline="0"/>
              <a:t>)</a:t>
            </a:r>
            <a:endParaRPr lang="en-ZA"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983701877637778E-2"/>
          <c:y val="0.25007368619602238"/>
          <c:w val="0.87806199558356601"/>
          <c:h val="0.38841511259359784"/>
        </c:manualLayout>
      </c:layout>
      <c:barChart>
        <c:barDir val="col"/>
        <c:grouping val="clustered"/>
        <c:varyColors val="0"/>
        <c:ser>
          <c:idx val="0"/>
          <c:order val="0"/>
          <c:tx>
            <c:strRef>
              <c:f>'Selected elements'!$F$28</c:f>
              <c:strCache>
                <c:ptCount val="1"/>
                <c:pt idx="0">
                  <c:v>Actual </c:v>
                </c:pt>
              </c:strCache>
            </c:strRef>
          </c:tx>
          <c:spPr>
            <a:solidFill>
              <a:schemeClr val="accent1"/>
            </a:solidFill>
            <a:ln>
              <a:noFill/>
            </a:ln>
            <a:effectLst/>
          </c:spPr>
          <c:invertIfNegative val="0"/>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elements'!$G$28:$S$28</c:f>
              <c:numCache>
                <c:formatCode>General</c:formatCode>
                <c:ptCount val="13"/>
                <c:pt idx="9" formatCode="_(&quot;R&quot;* #,##0.00_);_(&quot;R&quot;* \(#,##0.00\);_(&quot;R&quot;* &quot;-&quot;??_);_(@_)">
                  <c:v>2612.75</c:v>
                </c:pt>
                <c:pt idx="10" formatCode="_(&quot;R&quot;* #,##0.00_);_(&quot;R&quot;* \(#,##0.00\);_(&quot;R&quot;* &quot;-&quot;??_);_(@_)">
                  <c:v>2500</c:v>
                </c:pt>
                <c:pt idx="11" formatCode="_(&quot;R&quot;* #,##0.00_);_(&quot;R&quot;* \(#,##0.00\);_(&quot;R&quot;* &quot;-&quot;??_);_(@_)">
                  <c:v>2300</c:v>
                </c:pt>
              </c:numCache>
            </c:numRef>
          </c:val>
          <c:extLst xmlns:c16r2="http://schemas.microsoft.com/office/drawing/2015/06/chart">
            <c:ext xmlns:c16="http://schemas.microsoft.com/office/drawing/2014/chart" uri="{C3380CC4-5D6E-409C-BE32-E72D297353CC}">
              <c16:uniqueId val="{00000000-7EAF-4D85-9331-479BCA1036B1}"/>
            </c:ext>
          </c:extLst>
        </c:ser>
        <c:dLbls>
          <c:showLegendKey val="0"/>
          <c:showVal val="0"/>
          <c:showCatName val="0"/>
          <c:showSerName val="0"/>
          <c:showPercent val="0"/>
          <c:showBubbleSize val="0"/>
        </c:dLbls>
        <c:gapWidth val="219"/>
        <c:overlap val="-27"/>
        <c:axId val="-1729637280"/>
        <c:axId val="-1729628032"/>
      </c:barChart>
      <c:lineChart>
        <c:grouping val="standard"/>
        <c:varyColors val="0"/>
        <c:ser>
          <c:idx val="1"/>
          <c:order val="1"/>
          <c:tx>
            <c:strRef>
              <c:f>'Selected elements'!$F$29</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elements'!$G$29:$S$29</c:f>
              <c:numCache>
                <c:formatCode>_("R"* #,##0.00_);_("R"* \(#,##0.00\);_("R"* "-"??_);_(@_)</c:formatCode>
                <c:ptCount val="13"/>
                <c:pt idx="0">
                  <c:v>3308.8</c:v>
                </c:pt>
                <c:pt idx="1">
                  <c:v>3464.3136000000004</c:v>
                </c:pt>
                <c:pt idx="2">
                  <c:v>3710.2798656000004</c:v>
                </c:pt>
                <c:pt idx="3">
                  <c:v>4136.9620501440004</c:v>
                </c:pt>
                <c:pt idx="4">
                  <c:v>4430.6863557042243</c:v>
                </c:pt>
                <c:pt idx="5">
                  <c:v>4621.2058689995056</c:v>
                </c:pt>
                <c:pt idx="6">
                  <c:v>4852.2661624494813</c:v>
                </c:pt>
                <c:pt idx="7">
                  <c:v>5123.9930675466521</c:v>
                </c:pt>
                <c:pt idx="8">
                  <c:v>5416.0606723968112</c:v>
                </c:pt>
                <c:pt idx="9">
                  <c:v>5746.4403734130165</c:v>
                </c:pt>
                <c:pt idx="10">
                  <c:v>6010.776630590015</c:v>
                </c:pt>
                <c:pt idx="11">
                  <c:v>6395.466334947776</c:v>
                </c:pt>
                <c:pt idx="12">
                  <c:v>6740.8215170349558</c:v>
                </c:pt>
              </c:numCache>
            </c:numRef>
          </c:val>
          <c:smooth val="0"/>
          <c:extLst xmlns:c16r2="http://schemas.microsoft.com/office/drawing/2015/06/chart">
            <c:ext xmlns:c16="http://schemas.microsoft.com/office/drawing/2014/chart" uri="{C3380CC4-5D6E-409C-BE32-E72D297353CC}">
              <c16:uniqueId val="{00000001-7EAF-4D85-9331-479BCA1036B1}"/>
            </c:ext>
          </c:extLst>
        </c:ser>
        <c:ser>
          <c:idx val="2"/>
          <c:order val="2"/>
          <c:tx>
            <c:strRef>
              <c:f>'Selected elements'!$F$31</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elements'!$G$31:$S$31</c:f>
              <c:numCache>
                <c:formatCode>_("R"* #,##0.00_);_("R"* \(#,##0.00\);_("R"* "-"??_);_(@_)</c:formatCode>
                <c:ptCount val="13"/>
                <c:pt idx="1">
                  <c:v>3596.6656000000003</c:v>
                </c:pt>
                <c:pt idx="2">
                  <c:v>3848.8524096000006</c:v>
                </c:pt>
                <c:pt idx="3">
                  <c:v>4285.3732447680004</c:v>
                </c:pt>
                <c:pt idx="4">
                  <c:v>5515.3978052519806</c:v>
                </c:pt>
                <c:pt idx="5">
                  <c:v>5758.1199878732095</c:v>
                </c:pt>
                <c:pt idx="6">
                  <c:v>6044.5372766513528</c:v>
                </c:pt>
                <c:pt idx="7">
                  <c:v>6381.7004568535576</c:v>
                </c:pt>
                <c:pt idx="8">
                  <c:v>6745.2244741184131</c:v>
                </c:pt>
                <c:pt idx="9">
                  <c:v>7155.6993603706669</c:v>
                </c:pt>
                <c:pt idx="10">
                  <c:v>7488.7610946318428</c:v>
                </c:pt>
                <c:pt idx="11">
                  <c:v>7963.0768802056509</c:v>
                </c:pt>
                <c:pt idx="12">
                  <c:v>8395.9682045194404</c:v>
                </c:pt>
              </c:numCache>
            </c:numRef>
          </c:val>
          <c:smooth val="0"/>
          <c:extLst xmlns:c16r2="http://schemas.microsoft.com/office/drawing/2015/06/chart">
            <c:ext xmlns:c16="http://schemas.microsoft.com/office/drawing/2014/chart" uri="{C3380CC4-5D6E-409C-BE32-E72D297353CC}">
              <c16:uniqueId val="{00000002-7EAF-4D85-9331-479BCA1036B1}"/>
            </c:ext>
          </c:extLst>
        </c:ser>
        <c:dLbls>
          <c:showLegendKey val="0"/>
          <c:showVal val="0"/>
          <c:showCatName val="0"/>
          <c:showSerName val="0"/>
          <c:showPercent val="0"/>
          <c:showBubbleSize val="0"/>
        </c:dLbls>
        <c:marker val="1"/>
        <c:smooth val="0"/>
        <c:axId val="-1729637280"/>
        <c:axId val="-1729628032"/>
      </c:lineChart>
      <c:catAx>
        <c:axId val="-172963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28032"/>
        <c:crosses val="autoZero"/>
        <c:auto val="1"/>
        <c:lblAlgn val="ctr"/>
        <c:lblOffset val="100"/>
        <c:noMultiLvlLbl val="0"/>
      </c:catAx>
      <c:valAx>
        <c:axId val="-1729628032"/>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8C:  Processing waste deposits</a:t>
            </a:r>
            <a:r>
              <a:rPr lang="en-ZA" baseline="0"/>
              <a:t> (acid, metal</a:t>
            </a:r>
          </a:p>
          <a:p>
            <a:pPr>
              <a:defRPr/>
            </a:pPr>
            <a:r>
              <a:rPr lang="en-ZA" i="1" baseline="0"/>
              <a:t>(a) Slope modification (R/m</a:t>
            </a:r>
            <a:r>
              <a:rPr lang="en-ZA" i="1" baseline="30000"/>
              <a:t>3</a:t>
            </a:r>
            <a:r>
              <a:rPr lang="en-ZA" i="1" baseline="0"/>
              <a:t>)</a:t>
            </a:r>
            <a:endParaRPr lang="en-ZA"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elements'!$F$37</c:f>
              <c:strCache>
                <c:ptCount val="1"/>
                <c:pt idx="0">
                  <c:v>Actual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5.4330534380413603E-2"/>
                  <c:y val="-9.240260231894090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elements'!$G$37:$S$37</c:f>
              <c:numCache>
                <c:formatCode>General</c:formatCode>
                <c:ptCount val="13"/>
                <c:pt idx="4" formatCode="_(&quot;R&quot;* #,##0.00_);_(&quot;R&quot;* \(#,##0.00\);_(&quot;R&quot;* &quot;-&quot;??_);_(@_)">
                  <c:v>20.2</c:v>
                </c:pt>
                <c:pt idx="5" formatCode="_(&quot;R&quot;* #,##0.00_);_(&quot;R&quot;* \(#,##0.00\);_(&quot;R&quot;* &quot;-&quot;??_);_(@_)">
                  <c:v>20</c:v>
                </c:pt>
                <c:pt idx="6" formatCode="_(&quot;R&quot;* #,##0.00_);_(&quot;R&quot;* \(#,##0.00\);_(&quot;R&quot;* &quot;-&quot;??_);_(@_)">
                  <c:v>25</c:v>
                </c:pt>
                <c:pt idx="7" formatCode="_(&quot;R&quot;* #,##0.00_);_(&quot;R&quot;* \(#,##0.00\);_(&quot;R&quot;* &quot;-&quot;??_);_(@_)">
                  <c:v>0</c:v>
                </c:pt>
                <c:pt idx="8" formatCode="_(&quot;R&quot;* #,##0.00_);_(&quot;R&quot;* \(#,##0.00\);_(&quot;R&quot;* &quot;-&quot;??_);_(@_)">
                  <c:v>0</c:v>
                </c:pt>
                <c:pt idx="9" formatCode="_(&quot;R&quot;* #,##0.00_);_(&quot;R&quot;* \(#,##0.00\);_(&quot;R&quot;* &quot;-&quot;??_);_(@_)">
                  <c:v>66</c:v>
                </c:pt>
                <c:pt idx="10" formatCode="_(&quot;R&quot;* #,##0.00_);_(&quot;R&quot;* \(#,##0.00\);_(&quot;R&quot;* &quot;-&quot;??_);_(@_)">
                  <c:v>123.33</c:v>
                </c:pt>
                <c:pt idx="11" formatCode="_(&quot;R&quot;* #,##0.00_);_(&quot;R&quot;* \(#,##0.00\);_(&quot;R&quot;* &quot;-&quot;??_);_(@_)">
                  <c:v>87.5</c:v>
                </c:pt>
              </c:numCache>
            </c:numRef>
          </c:val>
          <c:extLst xmlns:c16r2="http://schemas.microsoft.com/office/drawing/2015/06/chart">
            <c:ext xmlns:c16="http://schemas.microsoft.com/office/drawing/2014/chart" uri="{C3380CC4-5D6E-409C-BE32-E72D297353CC}">
              <c16:uniqueId val="{00000000-2068-4149-A12D-E6201C1C2FA1}"/>
            </c:ext>
          </c:extLst>
        </c:ser>
        <c:dLbls>
          <c:showLegendKey val="0"/>
          <c:showVal val="0"/>
          <c:showCatName val="0"/>
          <c:showSerName val="0"/>
          <c:showPercent val="0"/>
          <c:showBubbleSize val="0"/>
        </c:dLbls>
        <c:gapWidth val="219"/>
        <c:overlap val="-27"/>
        <c:axId val="-1729636736"/>
        <c:axId val="-1729636192"/>
      </c:barChart>
      <c:lineChart>
        <c:grouping val="standard"/>
        <c:varyColors val="0"/>
        <c:ser>
          <c:idx val="1"/>
          <c:order val="1"/>
          <c:tx>
            <c:strRef>
              <c:f>'Selected elements'!$F$38</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elements'!$G$38:$S$38</c:f>
              <c:numCache>
                <c:formatCode>_("R"* #,##0.00_);_("R"* \(#,##0.00\);_("R"* "-"??_);_(@_)</c:formatCode>
                <c:ptCount val="13"/>
                <c:pt idx="0">
                  <c:v>8.2720000000000002</c:v>
                </c:pt>
                <c:pt idx="1">
                  <c:v>8.6607839999999996</c:v>
                </c:pt>
                <c:pt idx="2">
                  <c:v>9.2756996639999993</c:v>
                </c:pt>
                <c:pt idx="3">
                  <c:v>10.342405125359999</c:v>
                </c:pt>
                <c:pt idx="4">
                  <c:v>11.076715889260559</c:v>
                </c:pt>
                <c:pt idx="5">
                  <c:v>11.553014672498762</c:v>
                </c:pt>
                <c:pt idx="6">
                  <c:v>12.1306654061237</c:v>
                </c:pt>
                <c:pt idx="7">
                  <c:v>12.809982668866628</c:v>
                </c:pt>
                <c:pt idx="8">
                  <c:v>13.540151680992025</c:v>
                </c:pt>
                <c:pt idx="9">
                  <c:v>14.36610093353254</c:v>
                </c:pt>
                <c:pt idx="10">
                  <c:v>15.026941576475036</c:v>
                </c:pt>
                <c:pt idx="11">
                  <c:v>15.988665837369439</c:v>
                </c:pt>
                <c:pt idx="12">
                  <c:v>16.852053792587387</c:v>
                </c:pt>
              </c:numCache>
            </c:numRef>
          </c:val>
          <c:smooth val="0"/>
          <c:extLst xmlns:c16r2="http://schemas.microsoft.com/office/drawing/2015/06/chart">
            <c:ext xmlns:c16="http://schemas.microsoft.com/office/drawing/2014/chart" uri="{C3380CC4-5D6E-409C-BE32-E72D297353CC}">
              <c16:uniqueId val="{00000002-2068-4149-A12D-E6201C1C2FA1}"/>
            </c:ext>
          </c:extLst>
        </c:ser>
        <c:ser>
          <c:idx val="2"/>
          <c:order val="2"/>
          <c:tx>
            <c:strRef>
              <c:f>'Selected elements'!$F$40</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elements'!$G$40:$S$40</c:f>
              <c:numCache>
                <c:formatCode>_("R"* #,##0.00_);_("R"* \(#,##0.00\);_("R"* "-"??_);_(@_)</c:formatCode>
                <c:ptCount val="13"/>
                <c:pt idx="1">
                  <c:v>8.9916640000000001</c:v>
                </c:pt>
                <c:pt idx="2">
                  <c:v>9.6221310239999998</c:v>
                </c:pt>
                <c:pt idx="3">
                  <c:v>10.713433111919999</c:v>
                </c:pt>
                <c:pt idx="4">
                  <c:v>13.788494513129951</c:v>
                </c:pt>
                <c:pt idx="5">
                  <c:v>14.395299969683022</c:v>
                </c:pt>
                <c:pt idx="6">
                  <c:v>15.111343191628379</c:v>
                </c:pt>
                <c:pt idx="7">
                  <c:v>15.95425114213389</c:v>
                </c:pt>
                <c:pt idx="8">
                  <c:v>16.863061185296029</c:v>
                </c:pt>
                <c:pt idx="9">
                  <c:v>17.889248400926665</c:v>
                </c:pt>
                <c:pt idx="10">
                  <c:v>18.721902736579604</c:v>
                </c:pt>
                <c:pt idx="11">
                  <c:v>19.907692200514127</c:v>
                </c:pt>
                <c:pt idx="12">
                  <c:v>20.9899205112986</c:v>
                </c:pt>
              </c:numCache>
            </c:numRef>
          </c:val>
          <c:smooth val="0"/>
          <c:extLst xmlns:c16r2="http://schemas.microsoft.com/office/drawing/2015/06/chart">
            <c:ext xmlns:c16="http://schemas.microsoft.com/office/drawing/2014/chart" uri="{C3380CC4-5D6E-409C-BE32-E72D297353CC}">
              <c16:uniqueId val="{00000003-2068-4149-A12D-E6201C1C2FA1}"/>
            </c:ext>
          </c:extLst>
        </c:ser>
        <c:dLbls>
          <c:showLegendKey val="0"/>
          <c:showVal val="0"/>
          <c:showCatName val="0"/>
          <c:showSerName val="0"/>
          <c:showPercent val="0"/>
          <c:showBubbleSize val="0"/>
        </c:dLbls>
        <c:marker val="1"/>
        <c:smooth val="0"/>
        <c:axId val="-1729636736"/>
        <c:axId val="-1729636192"/>
      </c:lineChart>
      <c:catAx>
        <c:axId val="-172963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6192"/>
        <c:crosses val="autoZero"/>
        <c:auto val="1"/>
        <c:lblAlgn val="ctr"/>
        <c:lblOffset val="100"/>
        <c:noMultiLvlLbl val="0"/>
      </c:catAx>
      <c:valAx>
        <c:axId val="-1729636192"/>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8C: Processing waste deposits</a:t>
            </a:r>
            <a:r>
              <a:rPr lang="en-ZA" baseline="0"/>
              <a:t> and evaporation ponds </a:t>
            </a:r>
            <a:r>
              <a:rPr lang="en-ZA" i="1" baseline="0"/>
              <a:t>(b) Shaping (R/m</a:t>
            </a:r>
            <a:r>
              <a:rPr lang="en-ZA" i="1" baseline="30000"/>
              <a:t>3</a:t>
            </a:r>
            <a:r>
              <a:rPr lang="en-ZA" i="1" baseline="0"/>
              <a:t>)</a:t>
            </a:r>
            <a:endParaRPr lang="en-ZA"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elements'!$F$41</c:f>
              <c:strCache>
                <c:ptCount val="1"/>
                <c:pt idx="0">
                  <c:v>Actual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8.0397576141908442E-2"/>
                  <c:y val="-6.546113827117763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elements'!$G$41:$S$41</c:f>
              <c:numCache>
                <c:formatCode>General</c:formatCode>
                <c:ptCount val="13"/>
                <c:pt idx="4" formatCode="_(&quot;R&quot;* #,##0.00_);_(&quot;R&quot;* \(#,##0.00\);_(&quot;R&quot;* &quot;-&quot;??_);_(@_)">
                  <c:v>31.5</c:v>
                </c:pt>
                <c:pt idx="5" formatCode="_(&quot;R&quot;* #,##0.00_);_(&quot;R&quot;* \(#,##0.00\);_(&quot;R&quot;* &quot;-&quot;??_);_(@_)">
                  <c:v>25.91</c:v>
                </c:pt>
                <c:pt idx="6" formatCode="_(&quot;R&quot;* #,##0.00_);_(&quot;R&quot;* \(#,##0.00\);_(&quot;R&quot;* &quot;-&quot;??_);_(@_)">
                  <c:v>25</c:v>
                </c:pt>
                <c:pt idx="7" formatCode="_(&quot;R&quot;* #,##0.00_);_(&quot;R&quot;* \(#,##0.00\);_(&quot;R&quot;* &quot;-&quot;??_);_(@_)">
                  <c:v>25</c:v>
                </c:pt>
                <c:pt idx="9" formatCode="_(&quot;R&quot;* #,##0.00_);_(&quot;R&quot;* \(#,##0.00\);_(&quot;R&quot;* &quot;-&quot;??_);_(@_)">
                  <c:v>34.619999999999997</c:v>
                </c:pt>
                <c:pt idx="10" formatCode="_(&quot;R&quot;* #,##0.00_);_(&quot;R&quot;* \(#,##0.00\);_(&quot;R&quot;* &quot;-&quot;??_);_(@_)">
                  <c:v>29.25</c:v>
                </c:pt>
                <c:pt idx="11" formatCode="_(&quot;R&quot;* #,##0.00_);_(&quot;R&quot;* \(#,##0.00\);_(&quot;R&quot;* &quot;-&quot;??_);_(@_)">
                  <c:v>48</c:v>
                </c:pt>
              </c:numCache>
            </c:numRef>
          </c:val>
          <c:extLst xmlns:c16r2="http://schemas.microsoft.com/office/drawing/2015/06/chart">
            <c:ext xmlns:c16="http://schemas.microsoft.com/office/drawing/2014/chart" uri="{C3380CC4-5D6E-409C-BE32-E72D297353CC}">
              <c16:uniqueId val="{00000000-302B-4C1B-AA43-56A1C9DCCD64}"/>
            </c:ext>
          </c:extLst>
        </c:ser>
        <c:dLbls>
          <c:showLegendKey val="0"/>
          <c:showVal val="0"/>
          <c:showCatName val="0"/>
          <c:showSerName val="0"/>
          <c:showPercent val="0"/>
          <c:showBubbleSize val="0"/>
        </c:dLbls>
        <c:gapWidth val="219"/>
        <c:overlap val="-27"/>
        <c:axId val="-1729635648"/>
        <c:axId val="-1742073664"/>
      </c:barChart>
      <c:lineChart>
        <c:grouping val="standard"/>
        <c:varyColors val="0"/>
        <c:ser>
          <c:idx val="1"/>
          <c:order val="1"/>
          <c:tx>
            <c:strRef>
              <c:f>'Selected elements'!$F$42</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elements'!$G$42:$S$42</c:f>
              <c:numCache>
                <c:formatCode>_("R"* #,##0.00_);_("R"* \(#,##0.00\);_("R"* "-"??_);_(@_)</c:formatCode>
                <c:ptCount val="13"/>
                <c:pt idx="0">
                  <c:v>2.0680000000000001</c:v>
                </c:pt>
                <c:pt idx="1">
                  <c:v>2.1651959999999999</c:v>
                </c:pt>
                <c:pt idx="2">
                  <c:v>2.3189249159999998</c:v>
                </c:pt>
                <c:pt idx="3">
                  <c:v>2.5856012813399998</c:v>
                </c:pt>
                <c:pt idx="4">
                  <c:v>2.7691789723151397</c:v>
                </c:pt>
                <c:pt idx="5">
                  <c:v>2.8882536681246904</c:v>
                </c:pt>
                <c:pt idx="6">
                  <c:v>3.0326663515309251</c:v>
                </c:pt>
                <c:pt idx="7">
                  <c:v>3.2024956672166569</c:v>
                </c:pt>
                <c:pt idx="8">
                  <c:v>3.3850379202480063</c:v>
                </c:pt>
                <c:pt idx="9">
                  <c:v>3.5915252333831349</c:v>
                </c:pt>
                <c:pt idx="10">
                  <c:v>3.7567353941187589</c:v>
                </c:pt>
                <c:pt idx="11">
                  <c:v>3.9971664593423597</c:v>
                </c:pt>
                <c:pt idx="12">
                  <c:v>4.2130134481468469</c:v>
                </c:pt>
              </c:numCache>
            </c:numRef>
          </c:val>
          <c:smooth val="0"/>
          <c:extLst xmlns:c16r2="http://schemas.microsoft.com/office/drawing/2015/06/chart">
            <c:ext xmlns:c16="http://schemas.microsoft.com/office/drawing/2014/chart" uri="{C3380CC4-5D6E-409C-BE32-E72D297353CC}">
              <c16:uniqueId val="{00000001-302B-4C1B-AA43-56A1C9DCCD64}"/>
            </c:ext>
          </c:extLst>
        </c:ser>
        <c:ser>
          <c:idx val="2"/>
          <c:order val="2"/>
          <c:tx>
            <c:strRef>
              <c:f>'Selected elements'!$F$44</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elements'!$G$44:$S$44</c:f>
              <c:numCache>
                <c:formatCode>_("R"* #,##0.00_);_("R"* \(#,##0.00\);_("R"* "-"??_);_(@_)</c:formatCode>
                <c:ptCount val="13"/>
                <c:pt idx="1">
                  <c:v>2.247916</c:v>
                </c:pt>
                <c:pt idx="2">
                  <c:v>2.4055327559999999</c:v>
                </c:pt>
                <c:pt idx="3">
                  <c:v>2.6783582779799997</c:v>
                </c:pt>
                <c:pt idx="4">
                  <c:v>3.4471236282824878</c:v>
                </c:pt>
                <c:pt idx="5">
                  <c:v>3.5988249924207554</c:v>
                </c:pt>
                <c:pt idx="6">
                  <c:v>3.7778357979070947</c:v>
                </c:pt>
                <c:pt idx="7">
                  <c:v>3.9885627855334724</c:v>
                </c:pt>
                <c:pt idx="8">
                  <c:v>4.2157652963240073</c:v>
                </c:pt>
                <c:pt idx="9">
                  <c:v>4.4723121002316661</c:v>
                </c:pt>
                <c:pt idx="10">
                  <c:v>4.6804756841449011</c:v>
                </c:pt>
                <c:pt idx="11">
                  <c:v>4.9769230501285318</c:v>
                </c:pt>
                <c:pt idx="12">
                  <c:v>5.2474801278246499</c:v>
                </c:pt>
              </c:numCache>
            </c:numRef>
          </c:val>
          <c:smooth val="0"/>
          <c:extLst xmlns:c16r2="http://schemas.microsoft.com/office/drawing/2015/06/chart">
            <c:ext xmlns:c16="http://schemas.microsoft.com/office/drawing/2014/chart" uri="{C3380CC4-5D6E-409C-BE32-E72D297353CC}">
              <c16:uniqueId val="{00000002-302B-4C1B-AA43-56A1C9DCCD64}"/>
            </c:ext>
          </c:extLst>
        </c:ser>
        <c:dLbls>
          <c:showLegendKey val="0"/>
          <c:showVal val="0"/>
          <c:showCatName val="0"/>
          <c:showSerName val="0"/>
          <c:showPercent val="0"/>
          <c:showBubbleSize val="0"/>
        </c:dLbls>
        <c:marker val="1"/>
        <c:smooth val="0"/>
        <c:axId val="-1729635648"/>
        <c:axId val="-1742073664"/>
      </c:lineChart>
      <c:catAx>
        <c:axId val="-172963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73664"/>
        <c:crosses val="autoZero"/>
        <c:auto val="1"/>
        <c:lblAlgn val="ctr"/>
        <c:lblOffset val="100"/>
        <c:noMultiLvlLbl val="0"/>
      </c:catAx>
      <c:valAx>
        <c:axId val="-1742073664"/>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63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8C:Processing</a:t>
            </a:r>
            <a:r>
              <a:rPr lang="en-US" baseline="0"/>
              <a:t> waste deposits and evaporation ponds (Acid, metal ) </a:t>
            </a:r>
            <a:r>
              <a:rPr lang="en-US" i="1" baseline="0"/>
              <a:t>(c) Covering: Armour</a:t>
            </a:r>
            <a:r>
              <a:rPr lang="en-US" i="1"/>
              <a:t> (R/m</a:t>
            </a:r>
            <a:r>
              <a:rPr lang="en-US" i="1" baseline="30000"/>
              <a:t>3</a:t>
            </a:r>
            <a:r>
              <a:rPr lang="en-US" i="1"/>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elements'!$F$45</c:f>
              <c:strCache>
                <c:ptCount val="1"/>
                <c:pt idx="0">
                  <c:v>Actual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5.3230405707265317E-2"/>
                  <c:y val="-0.1319507596761672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elements'!$G$45:$S$45</c:f>
              <c:numCache>
                <c:formatCode>General</c:formatCode>
                <c:ptCount val="13"/>
                <c:pt idx="4" formatCode="_(&quot;R&quot;* #,##0.00_);_(&quot;R&quot;* \(#,##0.00\);_(&quot;R&quot;* &quot;-&quot;??_);_(@_)">
                  <c:v>41</c:v>
                </c:pt>
                <c:pt idx="5" formatCode="_(&quot;R&quot;* #,##0.00_);_(&quot;R&quot;* \(#,##0.00\);_(&quot;R&quot;* &quot;-&quot;??_);_(@_)">
                  <c:v>29.28</c:v>
                </c:pt>
                <c:pt idx="6" formatCode="_(&quot;R&quot;* #,##0.00_);_(&quot;R&quot;* \(#,##0.00\);_(&quot;R&quot;* &quot;-&quot;??_);_(@_)">
                  <c:v>33</c:v>
                </c:pt>
                <c:pt idx="7" formatCode="_(&quot;R&quot;* #,##0.00_);_(&quot;R&quot;* \(#,##0.00\);_(&quot;R&quot;* &quot;-&quot;??_);_(@_)">
                  <c:v>34</c:v>
                </c:pt>
                <c:pt idx="9" formatCode="_(&quot;R&quot;* #,##0.00_);_(&quot;R&quot;* \(#,##0.00\);_(&quot;R&quot;* &quot;-&quot;??_);_(@_)">
                  <c:v>70</c:v>
                </c:pt>
                <c:pt idx="10" formatCode="_(&quot;R&quot;* #,##0.00_);_(&quot;R&quot;* \(#,##0.00\);_(&quot;R&quot;* &quot;-&quot;??_);_(@_)">
                  <c:v>349.3</c:v>
                </c:pt>
                <c:pt idx="11" formatCode="_(&quot;R&quot;* #,##0.00_);_(&quot;R&quot;* \(#,##0.00\);_(&quot;R&quot;* &quot;-&quot;??_);_(@_)">
                  <c:v>520</c:v>
                </c:pt>
              </c:numCache>
            </c:numRef>
          </c:val>
          <c:extLst xmlns:c16r2="http://schemas.microsoft.com/office/drawing/2015/06/chart">
            <c:ext xmlns:c16="http://schemas.microsoft.com/office/drawing/2014/chart" uri="{C3380CC4-5D6E-409C-BE32-E72D297353CC}">
              <c16:uniqueId val="{00000000-886E-4E86-BDA5-A9BABD6B31C9}"/>
            </c:ext>
          </c:extLst>
        </c:ser>
        <c:dLbls>
          <c:showLegendKey val="0"/>
          <c:showVal val="0"/>
          <c:showCatName val="0"/>
          <c:showSerName val="0"/>
          <c:showPercent val="0"/>
          <c:showBubbleSize val="0"/>
        </c:dLbls>
        <c:gapWidth val="219"/>
        <c:overlap val="-27"/>
        <c:axId val="-1742081824"/>
        <c:axId val="-1742077472"/>
      </c:barChart>
      <c:lineChart>
        <c:grouping val="standard"/>
        <c:varyColors val="0"/>
        <c:ser>
          <c:idx val="1"/>
          <c:order val="1"/>
          <c:tx>
            <c:strRef>
              <c:f>'Selected elements'!$F$46</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elements'!$G$46:$S$46</c:f>
              <c:numCache>
                <c:formatCode>_("R"* #,##0.00_);_("R"* \(#,##0.00\);_("R"* "-"??_);_(@_)</c:formatCode>
                <c:ptCount val="13"/>
                <c:pt idx="0">
                  <c:v>14.476000000000001</c:v>
                </c:pt>
                <c:pt idx="1">
                  <c:v>15.156372000000001</c:v>
                </c:pt>
                <c:pt idx="2">
                  <c:v>16.232474412000002</c:v>
                </c:pt>
                <c:pt idx="3">
                  <c:v>18.099208969380001</c:v>
                </c:pt>
                <c:pt idx="4">
                  <c:v>19.384252806205982</c:v>
                </c:pt>
                <c:pt idx="5">
                  <c:v>20.21777567687284</c:v>
                </c:pt>
                <c:pt idx="6">
                  <c:v>21.22866446071648</c:v>
                </c:pt>
                <c:pt idx="7">
                  <c:v>22.417469670516603</c:v>
                </c:pt>
                <c:pt idx="8">
                  <c:v>23.695265441736048</c:v>
                </c:pt>
                <c:pt idx="9">
                  <c:v>25.140676633681945</c:v>
                </c:pt>
                <c:pt idx="10">
                  <c:v>26.297147758831315</c:v>
                </c:pt>
                <c:pt idx="11">
                  <c:v>27.980165215396518</c:v>
                </c:pt>
                <c:pt idx="12">
                  <c:v>29.491094137027929</c:v>
                </c:pt>
              </c:numCache>
            </c:numRef>
          </c:val>
          <c:smooth val="0"/>
          <c:extLst xmlns:c16r2="http://schemas.microsoft.com/office/drawing/2015/06/chart">
            <c:ext xmlns:c16="http://schemas.microsoft.com/office/drawing/2014/chart" uri="{C3380CC4-5D6E-409C-BE32-E72D297353CC}">
              <c16:uniqueId val="{00000001-886E-4E86-BDA5-A9BABD6B31C9}"/>
            </c:ext>
          </c:extLst>
        </c:ser>
        <c:ser>
          <c:idx val="2"/>
          <c:order val="2"/>
          <c:tx>
            <c:strRef>
              <c:f>'Selected elements'!$F$48</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elements'!$G$48:$S$48</c:f>
              <c:numCache>
                <c:formatCode>_("R"* #,##0.00_);_("R"* \(#,##0.00\);_("R"* "-"??_);_(@_)</c:formatCode>
                <c:ptCount val="13"/>
                <c:pt idx="1">
                  <c:v>15.735412</c:v>
                </c:pt>
                <c:pt idx="2">
                  <c:v>16.838729292</c:v>
                </c:pt>
                <c:pt idx="3">
                  <c:v>18.748507945860002</c:v>
                </c:pt>
                <c:pt idx="4">
                  <c:v>24.129865397977415</c:v>
                </c:pt>
                <c:pt idx="5">
                  <c:v>25.191774946945294</c:v>
                </c:pt>
                <c:pt idx="6">
                  <c:v>26.444850585349677</c:v>
                </c:pt>
                <c:pt idx="7">
                  <c:v>27.919939498734312</c:v>
                </c:pt>
                <c:pt idx="8">
                  <c:v>29.510357074268054</c:v>
                </c:pt>
                <c:pt idx="9">
                  <c:v>31.306184701621667</c:v>
                </c:pt>
                <c:pt idx="10">
                  <c:v>32.763329789014307</c:v>
                </c:pt>
                <c:pt idx="11">
                  <c:v>34.838461350899721</c:v>
                </c:pt>
                <c:pt idx="12">
                  <c:v>36.732360894772548</c:v>
                </c:pt>
              </c:numCache>
            </c:numRef>
          </c:val>
          <c:smooth val="0"/>
          <c:extLst xmlns:c16r2="http://schemas.microsoft.com/office/drawing/2015/06/chart">
            <c:ext xmlns:c16="http://schemas.microsoft.com/office/drawing/2014/chart" uri="{C3380CC4-5D6E-409C-BE32-E72D297353CC}">
              <c16:uniqueId val="{00000002-886E-4E86-BDA5-A9BABD6B31C9}"/>
            </c:ext>
          </c:extLst>
        </c:ser>
        <c:dLbls>
          <c:showLegendKey val="0"/>
          <c:showVal val="0"/>
          <c:showCatName val="0"/>
          <c:showSerName val="0"/>
          <c:showPercent val="0"/>
          <c:showBubbleSize val="0"/>
        </c:dLbls>
        <c:marker val="1"/>
        <c:smooth val="0"/>
        <c:axId val="-1742081824"/>
        <c:axId val="-1742077472"/>
      </c:lineChart>
      <c:catAx>
        <c:axId val="-174208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77472"/>
        <c:crosses val="autoZero"/>
        <c:auto val="1"/>
        <c:lblAlgn val="ctr"/>
        <c:lblOffset val="100"/>
        <c:noMultiLvlLbl val="0"/>
      </c:catAx>
      <c:valAx>
        <c:axId val="-1742077472"/>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8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a:t>8C:</a:t>
            </a:r>
            <a:r>
              <a:rPr lang="en-ZA" baseline="0"/>
              <a:t> Processing waste deposits and evaporation ponds (acid, metal) </a:t>
            </a:r>
            <a:r>
              <a:rPr lang="en-ZA" i="1" baseline="0"/>
              <a:t>(d) Covering: Evaporative (R/m</a:t>
            </a:r>
            <a:r>
              <a:rPr lang="en-ZA" i="1" baseline="30000"/>
              <a:t>3</a:t>
            </a:r>
            <a:r>
              <a:rPr lang="en-ZA" i="1" baseline="0"/>
              <a:t>)</a:t>
            </a:r>
            <a:endParaRPr lang="en-ZA"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'Selected elements'!$F$49</c:f>
              <c:strCache>
                <c:ptCount val="1"/>
                <c:pt idx="0">
                  <c:v>Actual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0235699014444387E-2"/>
                  <c:y val="-0.1410292343418660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elements'!$G$49:$S$49</c:f>
              <c:numCache>
                <c:formatCode>General</c:formatCode>
                <c:ptCount val="13"/>
                <c:pt idx="4" formatCode="_(&quot;R&quot;* #,##0.00_);_(&quot;R&quot;* \(#,##0.00\);_(&quot;R&quot;* &quot;-&quot;??_);_(@_)">
                  <c:v>33.380000000000003</c:v>
                </c:pt>
                <c:pt idx="5" formatCode="_(&quot;R&quot;* #,##0.00_);_(&quot;R&quot;* \(#,##0.00\);_(&quot;R&quot;* &quot;-&quot;??_);_(@_)">
                  <c:v>31.42</c:v>
                </c:pt>
                <c:pt idx="6" formatCode="_(&quot;R&quot;* #,##0.00_);_(&quot;R&quot;* \(#,##0.00\);_(&quot;R&quot;* &quot;-&quot;??_);_(@_)">
                  <c:v>33</c:v>
                </c:pt>
                <c:pt idx="7" formatCode="_(&quot;R&quot;* #,##0.00_);_(&quot;R&quot;* \(#,##0.00\);_(&quot;R&quot;* &quot;-&quot;??_);_(@_)">
                  <c:v>34</c:v>
                </c:pt>
                <c:pt idx="9" formatCode="_(&quot;R&quot;* #,##0.00_);_(&quot;R&quot;* \(#,##0.00\);_(&quot;R&quot;* &quot;-&quot;??_);_(@_)">
                  <c:v>90.97</c:v>
                </c:pt>
                <c:pt idx="10" formatCode="_(&quot;R&quot;* #,##0.00_);_(&quot;R&quot;* \(#,##0.00\);_(&quot;R&quot;* &quot;-&quot;??_);_(@_)">
                  <c:v>193.95</c:v>
                </c:pt>
                <c:pt idx="11" formatCode="_(&quot;R&quot;* #,##0.00_);_(&quot;R&quot;* \(#,##0.00\);_(&quot;R&quot;* &quot;-&quot;??_);_(@_)">
                  <c:v>84.71</c:v>
                </c:pt>
              </c:numCache>
            </c:numRef>
          </c:val>
          <c:extLst xmlns:c16r2="http://schemas.microsoft.com/office/drawing/2015/06/chart">
            <c:ext xmlns:c16="http://schemas.microsoft.com/office/drawing/2014/chart" uri="{C3380CC4-5D6E-409C-BE32-E72D297353CC}">
              <c16:uniqueId val="{00000000-D322-4BCA-AEB0-2C22A4FAA10E}"/>
            </c:ext>
          </c:extLst>
        </c:ser>
        <c:dLbls>
          <c:showLegendKey val="0"/>
          <c:showVal val="0"/>
          <c:showCatName val="0"/>
          <c:showSerName val="0"/>
          <c:showPercent val="0"/>
          <c:showBubbleSize val="0"/>
        </c:dLbls>
        <c:gapWidth val="219"/>
        <c:overlap val="-27"/>
        <c:axId val="-1742079648"/>
        <c:axId val="-1742087808"/>
      </c:barChart>
      <c:lineChart>
        <c:grouping val="standard"/>
        <c:varyColors val="0"/>
        <c:ser>
          <c:idx val="1"/>
          <c:order val="1"/>
          <c:tx>
            <c:strRef>
              <c:f>'Selected elements'!$F$50</c:f>
              <c:strCache>
                <c:ptCount val="1"/>
                <c:pt idx="0">
                  <c:v>Predicted (DME +CPI)</c:v>
                </c:pt>
              </c:strCache>
            </c:strRef>
          </c:tx>
          <c:spPr>
            <a:ln w="28575" cap="rnd">
              <a:solidFill>
                <a:schemeClr val="accent2"/>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elements'!$G$50:$S$50</c:f>
              <c:numCache>
                <c:formatCode>_("R"* #,##0.00_);_("R"* \(#,##0.00\);_("R"* "-"??_);_(@_)</c:formatCode>
                <c:ptCount val="13"/>
                <c:pt idx="0">
                  <c:v>14.476000000000001</c:v>
                </c:pt>
                <c:pt idx="1">
                  <c:v>15.156372000000001</c:v>
                </c:pt>
                <c:pt idx="2">
                  <c:v>16.232474412000002</c:v>
                </c:pt>
                <c:pt idx="3">
                  <c:v>18.099208969380001</c:v>
                </c:pt>
                <c:pt idx="4">
                  <c:v>19.384252806205982</c:v>
                </c:pt>
                <c:pt idx="5">
                  <c:v>20.21777567687284</c:v>
                </c:pt>
                <c:pt idx="6">
                  <c:v>21.22866446071648</c:v>
                </c:pt>
                <c:pt idx="7">
                  <c:v>22.417469670516603</c:v>
                </c:pt>
                <c:pt idx="8">
                  <c:v>23.695265441736048</c:v>
                </c:pt>
                <c:pt idx="9">
                  <c:v>25.140676633681945</c:v>
                </c:pt>
                <c:pt idx="10">
                  <c:v>26.297147758831315</c:v>
                </c:pt>
                <c:pt idx="11">
                  <c:v>27.980165215396518</c:v>
                </c:pt>
                <c:pt idx="12">
                  <c:v>29.491094137027929</c:v>
                </c:pt>
              </c:numCache>
            </c:numRef>
          </c:val>
          <c:smooth val="0"/>
          <c:extLst xmlns:c16r2="http://schemas.microsoft.com/office/drawing/2015/06/chart">
            <c:ext xmlns:c16="http://schemas.microsoft.com/office/drawing/2014/chart" uri="{C3380CC4-5D6E-409C-BE32-E72D297353CC}">
              <c16:uniqueId val="{00000001-D322-4BCA-AEB0-2C22A4FAA10E}"/>
            </c:ext>
          </c:extLst>
        </c:ser>
        <c:ser>
          <c:idx val="2"/>
          <c:order val="2"/>
          <c:tx>
            <c:strRef>
              <c:f>'Selected elements'!$F$52</c:f>
              <c:strCache>
                <c:ptCount val="1"/>
                <c:pt idx="0">
                  <c:v>Alternative (DME +CPI +PPI +PPPFA premium)</c:v>
                </c:pt>
              </c:strCache>
            </c:strRef>
          </c:tx>
          <c:spPr>
            <a:ln w="28575" cap="rnd">
              <a:solidFill>
                <a:schemeClr val="accent3"/>
              </a:solidFill>
              <a:round/>
            </a:ln>
            <a:effectLst/>
          </c:spPr>
          <c:marker>
            <c:symbol val="none"/>
          </c:marker>
          <c:cat>
            <c:numRef>
              <c:f>'Selected elements'!$G$2:$S$2</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'Selected elements'!$G$52:$S$52</c:f>
              <c:numCache>
                <c:formatCode>_("R"* #,##0.00_);_("R"* \(#,##0.00\);_("R"* "-"??_);_(@_)</c:formatCode>
                <c:ptCount val="13"/>
                <c:pt idx="1">
                  <c:v>15.735412</c:v>
                </c:pt>
                <c:pt idx="2">
                  <c:v>16.838729292</c:v>
                </c:pt>
                <c:pt idx="3">
                  <c:v>18.748507945860002</c:v>
                </c:pt>
                <c:pt idx="4">
                  <c:v>24.129865397977415</c:v>
                </c:pt>
                <c:pt idx="5">
                  <c:v>25.191774946945294</c:v>
                </c:pt>
                <c:pt idx="6">
                  <c:v>26.444850585349677</c:v>
                </c:pt>
                <c:pt idx="7">
                  <c:v>27.919939498734312</c:v>
                </c:pt>
                <c:pt idx="8">
                  <c:v>29.510357074268054</c:v>
                </c:pt>
                <c:pt idx="9">
                  <c:v>31.306184701621667</c:v>
                </c:pt>
                <c:pt idx="10">
                  <c:v>32.763329789014307</c:v>
                </c:pt>
                <c:pt idx="11">
                  <c:v>34.838461350899721</c:v>
                </c:pt>
                <c:pt idx="12">
                  <c:v>36.732360894772548</c:v>
                </c:pt>
              </c:numCache>
            </c:numRef>
          </c:val>
          <c:smooth val="0"/>
          <c:extLst xmlns:c16r2="http://schemas.microsoft.com/office/drawing/2015/06/chart">
            <c:ext xmlns:c16="http://schemas.microsoft.com/office/drawing/2014/chart" uri="{C3380CC4-5D6E-409C-BE32-E72D297353CC}">
              <c16:uniqueId val="{00000002-D322-4BCA-AEB0-2C22A4FAA10E}"/>
            </c:ext>
          </c:extLst>
        </c:ser>
        <c:dLbls>
          <c:showLegendKey val="0"/>
          <c:showVal val="0"/>
          <c:showCatName val="0"/>
          <c:showSerName val="0"/>
          <c:showPercent val="0"/>
          <c:showBubbleSize val="0"/>
        </c:dLbls>
        <c:marker val="1"/>
        <c:smooth val="0"/>
        <c:axId val="-1742079648"/>
        <c:axId val="-1742087808"/>
      </c:lineChart>
      <c:catAx>
        <c:axId val="-17420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87808"/>
        <c:crosses val="autoZero"/>
        <c:auto val="1"/>
        <c:lblAlgn val="ctr"/>
        <c:lblOffset val="100"/>
        <c:noMultiLvlLbl val="0"/>
      </c:catAx>
      <c:valAx>
        <c:axId val="-1742087808"/>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7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361B40-737C-41EF-AF3A-2D77531A9405}"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1A0444D3-CBED-4D9E-9339-171950D1F943}">
      <dgm:prSet phldrT="[Text]" custT="1"/>
      <dgm:spPr/>
      <dgm:t>
        <a:bodyPr/>
        <a:lstStyle/>
        <a:p>
          <a:r>
            <a:rPr lang="en-US" sz="700"/>
            <a:t>Step 1</a:t>
          </a:r>
        </a:p>
        <a:p>
          <a:r>
            <a:rPr lang="en-US" sz="700"/>
            <a:t>DME Master rates update </a:t>
          </a:r>
        </a:p>
      </dgm:t>
    </dgm:pt>
    <dgm:pt modelId="{9F8B6C38-0F47-4ED0-9F88-9FFA54708165}" type="parTrans" cxnId="{7D1D9D0F-8144-422E-95C1-ECF01EACB44B}">
      <dgm:prSet/>
      <dgm:spPr/>
      <dgm:t>
        <a:bodyPr/>
        <a:lstStyle/>
        <a:p>
          <a:endParaRPr lang="en-US" sz="2000"/>
        </a:p>
      </dgm:t>
    </dgm:pt>
    <dgm:pt modelId="{A74BDC79-2A40-4146-80AF-CBDB6EC4B44B}" type="sibTrans" cxnId="{7D1D9D0F-8144-422E-95C1-ECF01EACB44B}">
      <dgm:prSet custT="1"/>
      <dgm:spPr/>
      <dgm:t>
        <a:bodyPr/>
        <a:lstStyle/>
        <a:p>
          <a:endParaRPr lang="en-US" sz="600"/>
        </a:p>
      </dgm:t>
    </dgm:pt>
    <dgm:pt modelId="{6E11F8AA-5DD3-4F73-B3C0-B6406E88F09F}">
      <dgm:prSet phldrT="[Text]" custT="1"/>
      <dgm:spPr/>
      <dgm:t>
        <a:bodyPr/>
        <a:lstStyle/>
        <a:p>
          <a:r>
            <a:rPr lang="en-ZA" sz="700"/>
            <a:t>Escalation of DME Master guideline rates </a:t>
          </a:r>
          <a:endParaRPr lang="en-US" sz="700"/>
        </a:p>
      </dgm:t>
    </dgm:pt>
    <dgm:pt modelId="{DD30C97E-5CA2-4FFA-B063-049992BCAF90}" type="parTrans" cxnId="{DF164CE7-78FF-41F3-A677-D354EF7E9551}">
      <dgm:prSet/>
      <dgm:spPr/>
      <dgm:t>
        <a:bodyPr/>
        <a:lstStyle/>
        <a:p>
          <a:endParaRPr lang="en-US" sz="2000"/>
        </a:p>
      </dgm:t>
    </dgm:pt>
    <dgm:pt modelId="{A0386E16-5B63-4301-956D-AD9A22E9190D}" type="sibTrans" cxnId="{DF164CE7-78FF-41F3-A677-D354EF7E9551}">
      <dgm:prSet/>
      <dgm:spPr/>
      <dgm:t>
        <a:bodyPr/>
        <a:lstStyle/>
        <a:p>
          <a:endParaRPr lang="en-US" sz="2000"/>
        </a:p>
      </dgm:t>
    </dgm:pt>
    <dgm:pt modelId="{5601258B-90C4-4E65-81AF-3BA59945FAD3}">
      <dgm:prSet phldrT="[Text]" custT="1"/>
      <dgm:spPr/>
      <dgm:t>
        <a:bodyPr/>
        <a:lstStyle/>
        <a:p>
          <a:r>
            <a:rPr lang="en-US" sz="700"/>
            <a:t>Step 2</a:t>
          </a:r>
        </a:p>
        <a:p>
          <a:r>
            <a:rPr lang="en-US" sz="700"/>
            <a:t>Enrich the data  </a:t>
          </a:r>
        </a:p>
      </dgm:t>
    </dgm:pt>
    <dgm:pt modelId="{9D75D4FD-7120-4CCC-8AEA-A1D4E00D446A}" type="parTrans" cxnId="{D519FB3A-27D9-4898-85D9-F44801CDB9DE}">
      <dgm:prSet/>
      <dgm:spPr/>
      <dgm:t>
        <a:bodyPr/>
        <a:lstStyle/>
        <a:p>
          <a:endParaRPr lang="en-US" sz="2000"/>
        </a:p>
      </dgm:t>
    </dgm:pt>
    <dgm:pt modelId="{E7EA430E-43D3-42B7-B8DB-53E591865520}" type="sibTrans" cxnId="{D519FB3A-27D9-4898-85D9-F44801CDB9DE}">
      <dgm:prSet custT="1"/>
      <dgm:spPr/>
      <dgm:t>
        <a:bodyPr/>
        <a:lstStyle/>
        <a:p>
          <a:endParaRPr lang="en-US" sz="600"/>
        </a:p>
      </dgm:t>
    </dgm:pt>
    <dgm:pt modelId="{5AD4ABD4-FAEA-41E9-91F3-FCAD40E678C4}">
      <dgm:prSet phldrT="[Text]" custT="1"/>
      <dgm:spPr/>
      <dgm:t>
        <a:bodyPr/>
        <a:lstStyle/>
        <a:p>
          <a:r>
            <a:rPr lang="en-US" sz="700"/>
            <a:t>Add data from the CIDB research</a:t>
          </a:r>
        </a:p>
      </dgm:t>
    </dgm:pt>
    <dgm:pt modelId="{AC374638-52DE-4D84-A5C3-EFCCD9B2B143}" type="parTrans" cxnId="{5DCEE315-B970-40B5-97FB-2191AA4F5070}">
      <dgm:prSet/>
      <dgm:spPr/>
      <dgm:t>
        <a:bodyPr/>
        <a:lstStyle/>
        <a:p>
          <a:endParaRPr lang="en-US" sz="2000"/>
        </a:p>
      </dgm:t>
    </dgm:pt>
    <dgm:pt modelId="{CA1E0C51-540F-4083-BDAE-D6EA8232AEB4}" type="sibTrans" cxnId="{5DCEE315-B970-40B5-97FB-2191AA4F5070}">
      <dgm:prSet/>
      <dgm:spPr/>
      <dgm:t>
        <a:bodyPr/>
        <a:lstStyle/>
        <a:p>
          <a:endParaRPr lang="en-US" sz="2000"/>
        </a:p>
      </dgm:t>
    </dgm:pt>
    <dgm:pt modelId="{2E25A594-88B9-4443-9F98-7335D23A7233}">
      <dgm:prSet phldrT="[Text]" custT="1"/>
      <dgm:spPr/>
      <dgm:t>
        <a:bodyPr/>
        <a:lstStyle/>
        <a:p>
          <a:r>
            <a:rPr lang="en-US" sz="700"/>
            <a:t>Step 3</a:t>
          </a:r>
        </a:p>
        <a:p>
          <a:r>
            <a:rPr lang="en-US" sz="700"/>
            <a:t>Actual tender values</a:t>
          </a:r>
        </a:p>
      </dgm:t>
    </dgm:pt>
    <dgm:pt modelId="{C4D735CD-7B7F-491B-890D-5DB2055264D2}" type="parTrans" cxnId="{A3767C1E-1B0F-458D-A29C-13BA3A3CAD4B}">
      <dgm:prSet/>
      <dgm:spPr/>
      <dgm:t>
        <a:bodyPr/>
        <a:lstStyle/>
        <a:p>
          <a:endParaRPr lang="en-US" sz="2000"/>
        </a:p>
      </dgm:t>
    </dgm:pt>
    <dgm:pt modelId="{73DD740F-061F-4018-AB2E-6EBFBCE6C56F}" type="sibTrans" cxnId="{A3767C1E-1B0F-458D-A29C-13BA3A3CAD4B}">
      <dgm:prSet custT="1"/>
      <dgm:spPr/>
      <dgm:t>
        <a:bodyPr/>
        <a:lstStyle/>
        <a:p>
          <a:endParaRPr lang="en-US" sz="600"/>
        </a:p>
      </dgm:t>
    </dgm:pt>
    <dgm:pt modelId="{4251C9D5-D4DC-4986-9B4D-9D4905CFD051}">
      <dgm:prSet phldrT="[Text]" custT="1"/>
      <dgm:spPr/>
      <dgm:t>
        <a:bodyPr/>
        <a:lstStyle/>
        <a:p>
          <a:r>
            <a:rPr lang="en-ZA" sz="700"/>
            <a:t>Record data from actual  tendered prices  (2009 - 2016) </a:t>
          </a:r>
          <a:endParaRPr lang="en-US" sz="700"/>
        </a:p>
      </dgm:t>
    </dgm:pt>
    <dgm:pt modelId="{3DD404AE-6DB4-48C3-B3D2-455B3D4FCCE8}" type="parTrans" cxnId="{CBF777E2-230A-485E-98D6-60883ABD1772}">
      <dgm:prSet/>
      <dgm:spPr/>
      <dgm:t>
        <a:bodyPr/>
        <a:lstStyle/>
        <a:p>
          <a:endParaRPr lang="en-US" sz="2000"/>
        </a:p>
      </dgm:t>
    </dgm:pt>
    <dgm:pt modelId="{C70AC3AD-7125-4693-87C2-A0F539327441}" type="sibTrans" cxnId="{CBF777E2-230A-485E-98D6-60883ABD1772}">
      <dgm:prSet/>
      <dgm:spPr/>
      <dgm:t>
        <a:bodyPr/>
        <a:lstStyle/>
        <a:p>
          <a:endParaRPr lang="en-US" sz="2000"/>
        </a:p>
      </dgm:t>
    </dgm:pt>
    <dgm:pt modelId="{D0449757-D2E6-406C-913A-E87252B778AA}">
      <dgm:prSet custT="1"/>
      <dgm:spPr/>
      <dgm:t>
        <a:bodyPr/>
        <a:lstStyle/>
        <a:p>
          <a:r>
            <a:rPr lang="en-US" sz="700"/>
            <a:t>Step 5</a:t>
          </a:r>
        </a:p>
        <a:p>
          <a:r>
            <a:rPr lang="en-US" sz="700"/>
            <a:t>Compare &amp; analyse </a:t>
          </a:r>
        </a:p>
      </dgm:t>
    </dgm:pt>
    <dgm:pt modelId="{A4F2C034-8C92-43AF-8B7A-273A441B5E52}" type="parTrans" cxnId="{11F4882E-E702-4172-95E4-B60E1C284F50}">
      <dgm:prSet/>
      <dgm:spPr/>
      <dgm:t>
        <a:bodyPr/>
        <a:lstStyle/>
        <a:p>
          <a:endParaRPr lang="en-US" sz="2000"/>
        </a:p>
      </dgm:t>
    </dgm:pt>
    <dgm:pt modelId="{D5E41FD0-F11A-42D2-98F0-B9B46E51896C}" type="sibTrans" cxnId="{11F4882E-E702-4172-95E4-B60E1C284F50}">
      <dgm:prSet/>
      <dgm:spPr/>
      <dgm:t>
        <a:bodyPr/>
        <a:lstStyle/>
        <a:p>
          <a:endParaRPr lang="en-US" sz="2000"/>
        </a:p>
      </dgm:t>
    </dgm:pt>
    <dgm:pt modelId="{93BF44FF-F33C-47F7-A269-136C8EA05188}">
      <dgm:prSet custT="1"/>
      <dgm:spPr/>
      <dgm:t>
        <a:bodyPr/>
        <a:lstStyle/>
        <a:p>
          <a:r>
            <a:rPr lang="en-US" sz="700"/>
            <a:t>Compare tendered values and DME guideline rates</a:t>
          </a:r>
        </a:p>
      </dgm:t>
    </dgm:pt>
    <dgm:pt modelId="{288D4B94-8DBA-4B34-A39E-BBC26A8A8060}" type="parTrans" cxnId="{738D6354-64E4-4121-BDFD-A825A4191C6A}">
      <dgm:prSet/>
      <dgm:spPr/>
      <dgm:t>
        <a:bodyPr/>
        <a:lstStyle/>
        <a:p>
          <a:endParaRPr lang="en-US" sz="2000"/>
        </a:p>
      </dgm:t>
    </dgm:pt>
    <dgm:pt modelId="{1CB5C129-3E31-464A-9814-0E2A02C6119A}" type="sibTrans" cxnId="{738D6354-64E4-4121-BDFD-A825A4191C6A}">
      <dgm:prSet/>
      <dgm:spPr/>
      <dgm:t>
        <a:bodyPr/>
        <a:lstStyle/>
        <a:p>
          <a:endParaRPr lang="en-US" sz="2000"/>
        </a:p>
      </dgm:t>
    </dgm:pt>
    <dgm:pt modelId="{B76B39D9-07D4-4F91-9F66-34C2DC1C02EB}">
      <dgm:prSet custT="1"/>
      <dgm:spPr/>
      <dgm:t>
        <a:bodyPr/>
        <a:lstStyle/>
        <a:p>
          <a:endParaRPr lang="en-ZA" sz="700"/>
        </a:p>
      </dgm:t>
    </dgm:pt>
    <dgm:pt modelId="{2B7A0C51-EC98-411A-861D-E6D2D58F6662}" type="parTrans" cxnId="{F457F975-B5B6-4CF3-8B3E-0E342AFDE440}">
      <dgm:prSet/>
      <dgm:spPr/>
      <dgm:t>
        <a:bodyPr/>
        <a:lstStyle/>
        <a:p>
          <a:endParaRPr lang="en-ZA"/>
        </a:p>
      </dgm:t>
    </dgm:pt>
    <dgm:pt modelId="{CE391A4B-74F2-493D-A220-DC6C43C9CD81}" type="sibTrans" cxnId="{F457F975-B5B6-4CF3-8B3E-0E342AFDE440}">
      <dgm:prSet/>
      <dgm:spPr/>
      <dgm:t>
        <a:bodyPr/>
        <a:lstStyle/>
        <a:p>
          <a:endParaRPr lang="en-ZA"/>
        </a:p>
      </dgm:t>
    </dgm:pt>
    <dgm:pt modelId="{D424D595-92EC-4A36-885C-7298C07F7CB5}">
      <dgm:prSet custT="1"/>
      <dgm:spPr/>
      <dgm:t>
        <a:bodyPr/>
        <a:lstStyle/>
        <a:p>
          <a:endParaRPr lang="en-ZA" sz="700"/>
        </a:p>
      </dgm:t>
    </dgm:pt>
    <dgm:pt modelId="{62BF71DA-311E-46B4-AF3E-1B9799573B10}" type="parTrans" cxnId="{D39CACBA-3427-4EEB-80AB-D4D45D356728}">
      <dgm:prSet/>
      <dgm:spPr/>
      <dgm:t>
        <a:bodyPr/>
        <a:lstStyle/>
        <a:p>
          <a:endParaRPr lang="en-ZA"/>
        </a:p>
      </dgm:t>
    </dgm:pt>
    <dgm:pt modelId="{09569CA8-9768-490A-9765-43CEE94D4EDA}" type="sibTrans" cxnId="{D39CACBA-3427-4EEB-80AB-D4D45D356728}">
      <dgm:prSet/>
      <dgm:spPr/>
      <dgm:t>
        <a:bodyPr/>
        <a:lstStyle/>
        <a:p>
          <a:endParaRPr lang="en-ZA"/>
        </a:p>
      </dgm:t>
    </dgm:pt>
    <dgm:pt modelId="{C76B1F00-D34E-4779-9704-B9B90965EF2B}">
      <dgm:prSet phldrT="[Text]" custT="1"/>
      <dgm:spPr/>
      <dgm:t>
        <a:bodyPr/>
        <a:lstStyle/>
        <a:p>
          <a:r>
            <a:rPr lang="en-US" sz="700"/>
            <a:t>Using published CPI figures - SARB</a:t>
          </a:r>
        </a:p>
      </dgm:t>
    </dgm:pt>
    <dgm:pt modelId="{B2E6A1FD-694A-4D7E-B466-FE14A25E625D}" type="parTrans" cxnId="{AF13C180-5C8C-41B0-BD15-E7748A01D3B9}">
      <dgm:prSet/>
      <dgm:spPr/>
      <dgm:t>
        <a:bodyPr/>
        <a:lstStyle/>
        <a:p>
          <a:endParaRPr lang="en-ZA"/>
        </a:p>
      </dgm:t>
    </dgm:pt>
    <dgm:pt modelId="{DB8A592D-7C49-4E61-8DB1-38EA587A1FF5}" type="sibTrans" cxnId="{AF13C180-5C8C-41B0-BD15-E7748A01D3B9}">
      <dgm:prSet/>
      <dgm:spPr/>
      <dgm:t>
        <a:bodyPr/>
        <a:lstStyle/>
        <a:p>
          <a:endParaRPr lang="en-ZA"/>
        </a:p>
      </dgm:t>
    </dgm:pt>
    <dgm:pt modelId="{4F5514B5-4656-4DFE-B802-BA7CD0DFD284}">
      <dgm:prSet custT="1"/>
      <dgm:spPr/>
      <dgm:t>
        <a:bodyPr/>
        <a:lstStyle/>
        <a:p>
          <a:r>
            <a:rPr lang="en-ZA" sz="700"/>
            <a:t>Step 4:</a:t>
          </a:r>
        </a:p>
        <a:p>
          <a:r>
            <a:rPr lang="en-ZA" sz="700"/>
            <a:t>Sub-components of master rate  where required</a:t>
          </a:r>
        </a:p>
      </dgm:t>
    </dgm:pt>
    <dgm:pt modelId="{E24898FC-3974-4238-9E54-228C8191CFD1}" type="parTrans" cxnId="{E3600646-5DD2-4E1C-B225-25252A19EF60}">
      <dgm:prSet/>
      <dgm:spPr/>
      <dgm:t>
        <a:bodyPr/>
        <a:lstStyle/>
        <a:p>
          <a:endParaRPr lang="en-ZA"/>
        </a:p>
      </dgm:t>
    </dgm:pt>
    <dgm:pt modelId="{3B8689E2-DEDE-491B-B13E-3751E784AFEC}" type="sibTrans" cxnId="{E3600646-5DD2-4E1C-B225-25252A19EF60}">
      <dgm:prSet/>
      <dgm:spPr/>
      <dgm:t>
        <a:bodyPr/>
        <a:lstStyle/>
        <a:p>
          <a:endParaRPr lang="en-ZA"/>
        </a:p>
      </dgm:t>
    </dgm:pt>
    <dgm:pt modelId="{0FFB1AE9-3163-4864-89A6-FDD4876573B7}">
      <dgm:prSet custT="1"/>
      <dgm:spPr/>
      <dgm:t>
        <a:bodyPr/>
        <a:lstStyle/>
        <a:p>
          <a:r>
            <a:rPr lang="en-ZA" sz="700"/>
            <a:t>Certain master rates do not compare directly to bills of quantities, so were broken down into sub-components for direct comparison to the tender data. Each graphed independantly  </a:t>
          </a:r>
        </a:p>
      </dgm:t>
    </dgm:pt>
    <dgm:pt modelId="{B5F56524-62DA-4878-8765-54C0A6BD8483}" type="parTrans" cxnId="{573BE699-E124-4F97-AFB7-B2BC094B2518}">
      <dgm:prSet/>
      <dgm:spPr/>
      <dgm:t>
        <a:bodyPr/>
        <a:lstStyle/>
        <a:p>
          <a:endParaRPr lang="en-ZA"/>
        </a:p>
      </dgm:t>
    </dgm:pt>
    <dgm:pt modelId="{143CCBA7-C150-4373-94B8-402A6A4DA22B}" type="sibTrans" cxnId="{573BE699-E124-4F97-AFB7-B2BC094B2518}">
      <dgm:prSet/>
      <dgm:spPr/>
      <dgm:t>
        <a:bodyPr/>
        <a:lstStyle/>
        <a:p>
          <a:endParaRPr lang="en-ZA"/>
        </a:p>
      </dgm:t>
    </dgm:pt>
    <dgm:pt modelId="{E9025EC0-A724-44F7-809F-7D7C38A351A3}">
      <dgm:prSet/>
      <dgm:spPr/>
      <dgm:t>
        <a:bodyPr/>
        <a:lstStyle/>
        <a:p>
          <a:endParaRPr lang="en-ZA" sz="500"/>
        </a:p>
      </dgm:t>
    </dgm:pt>
    <dgm:pt modelId="{867F5C41-1A16-44E6-86AD-6CE2BA82BCBD}" type="parTrans" cxnId="{4060B737-50F6-45F7-BF89-4D45BCD1ADB8}">
      <dgm:prSet/>
      <dgm:spPr/>
      <dgm:t>
        <a:bodyPr/>
        <a:lstStyle/>
        <a:p>
          <a:endParaRPr lang="en-ZA"/>
        </a:p>
      </dgm:t>
    </dgm:pt>
    <dgm:pt modelId="{B2A2D9B7-13C7-4637-9A3C-322BF4C3C32B}" type="sibTrans" cxnId="{4060B737-50F6-45F7-BF89-4D45BCD1ADB8}">
      <dgm:prSet/>
      <dgm:spPr/>
      <dgm:t>
        <a:bodyPr/>
        <a:lstStyle/>
        <a:p>
          <a:endParaRPr lang="en-ZA"/>
        </a:p>
      </dgm:t>
    </dgm:pt>
    <dgm:pt modelId="{B1CFB2B4-55A4-4D53-9792-2627B492BC0B}">
      <dgm:prSet phldrT="[Text]" custT="1"/>
      <dgm:spPr/>
      <dgm:t>
        <a:bodyPr/>
        <a:lstStyle/>
        <a:p>
          <a:r>
            <a:rPr lang="en-US" sz="700"/>
            <a:t>Plot all values in a graph</a:t>
          </a:r>
        </a:p>
      </dgm:t>
    </dgm:pt>
    <dgm:pt modelId="{144AFF58-35B6-4142-AD9B-F7FF79821AE6}" type="parTrans" cxnId="{EC604559-CF01-4406-89C5-CC11F3931729}">
      <dgm:prSet/>
      <dgm:spPr/>
      <dgm:t>
        <a:bodyPr/>
        <a:lstStyle/>
        <a:p>
          <a:endParaRPr lang="en-ZA"/>
        </a:p>
      </dgm:t>
    </dgm:pt>
    <dgm:pt modelId="{4D4F01E5-2B0C-479F-BEF1-6316C695F5C6}" type="sibTrans" cxnId="{EC604559-CF01-4406-89C5-CC11F3931729}">
      <dgm:prSet/>
      <dgm:spPr/>
      <dgm:t>
        <a:bodyPr/>
        <a:lstStyle/>
        <a:p>
          <a:endParaRPr lang="en-ZA"/>
        </a:p>
      </dgm:t>
    </dgm:pt>
    <dgm:pt modelId="{AC1F6463-A9CF-4A1D-8F4A-36E95CF9FEB7}">
      <dgm:prSet phldrT="[Text]" custT="1"/>
      <dgm:spPr/>
      <dgm:t>
        <a:bodyPr/>
        <a:lstStyle/>
        <a:p>
          <a:r>
            <a:rPr lang="en-US" sz="700"/>
            <a:t>Plot as additional  line to the graph already created in Step 1</a:t>
          </a:r>
        </a:p>
      </dgm:t>
    </dgm:pt>
    <dgm:pt modelId="{B7AD221A-935E-4479-893B-6AAC4EE3CC02}" type="parTrans" cxnId="{CC9B2B1F-AA99-42C3-8D97-BC7703F69812}">
      <dgm:prSet/>
      <dgm:spPr/>
      <dgm:t>
        <a:bodyPr/>
        <a:lstStyle/>
        <a:p>
          <a:endParaRPr lang="en-ZA"/>
        </a:p>
      </dgm:t>
    </dgm:pt>
    <dgm:pt modelId="{CF6D3803-C69E-40CE-93E8-9E22A671D74F}" type="sibTrans" cxnId="{CC9B2B1F-AA99-42C3-8D97-BC7703F69812}">
      <dgm:prSet/>
      <dgm:spPr/>
      <dgm:t>
        <a:bodyPr/>
        <a:lstStyle/>
        <a:p>
          <a:endParaRPr lang="en-ZA"/>
        </a:p>
      </dgm:t>
    </dgm:pt>
    <dgm:pt modelId="{B762F332-838C-4C7E-A57E-0923D00731E2}">
      <dgm:prSet custT="1"/>
      <dgm:spPr/>
      <dgm:t>
        <a:bodyPr/>
        <a:lstStyle/>
        <a:p>
          <a:r>
            <a:rPr lang="en-ZA" sz="700"/>
            <a:t>Use statistical tools in MSExcel</a:t>
          </a:r>
          <a:r>
            <a:rPr lang="en-ZA" sz="700" baseline="30000"/>
            <a:t>TM</a:t>
          </a:r>
          <a:r>
            <a:rPr lang="en-ZA" sz="700"/>
            <a:t> to calculate medians per year</a:t>
          </a:r>
        </a:p>
      </dgm:t>
    </dgm:pt>
    <dgm:pt modelId="{A5FCAF05-2E1E-4798-9467-6D864E8ECAF2}" type="parTrans" cxnId="{EF53A461-D6CB-4AD1-A694-F2EE908B37CB}">
      <dgm:prSet/>
      <dgm:spPr/>
      <dgm:t>
        <a:bodyPr/>
        <a:lstStyle/>
        <a:p>
          <a:endParaRPr lang="en-ZA"/>
        </a:p>
      </dgm:t>
    </dgm:pt>
    <dgm:pt modelId="{F8306281-89BD-4CAB-BE72-BF379A7630D3}" type="sibTrans" cxnId="{EF53A461-D6CB-4AD1-A694-F2EE908B37CB}">
      <dgm:prSet/>
      <dgm:spPr/>
      <dgm:t>
        <a:bodyPr/>
        <a:lstStyle/>
        <a:p>
          <a:endParaRPr lang="en-ZA"/>
        </a:p>
      </dgm:t>
    </dgm:pt>
    <dgm:pt modelId="{16F464CC-9F24-4586-8C9E-BC07D99FC626}">
      <dgm:prSet custT="1"/>
      <dgm:spPr/>
      <dgm:t>
        <a:bodyPr/>
        <a:lstStyle/>
        <a:p>
          <a:r>
            <a:rPr lang="en-ZA" sz="700"/>
            <a:t>Plot this data on graphs created in Steps 1 &amp; 2</a:t>
          </a:r>
        </a:p>
      </dgm:t>
    </dgm:pt>
    <dgm:pt modelId="{3B1690BA-7A3F-4932-9015-B92A4BB7F91A}" type="parTrans" cxnId="{1A0781DF-9880-4519-A2F1-4E25945D8FF6}">
      <dgm:prSet/>
      <dgm:spPr/>
      <dgm:t>
        <a:bodyPr/>
        <a:lstStyle/>
        <a:p>
          <a:endParaRPr lang="en-ZA"/>
        </a:p>
      </dgm:t>
    </dgm:pt>
    <dgm:pt modelId="{E4D0B92E-7852-48AA-8E3A-DEA0E18081DE}" type="sibTrans" cxnId="{1A0781DF-9880-4519-A2F1-4E25945D8FF6}">
      <dgm:prSet/>
      <dgm:spPr/>
      <dgm:t>
        <a:bodyPr/>
        <a:lstStyle/>
        <a:p>
          <a:endParaRPr lang="en-ZA"/>
        </a:p>
      </dgm:t>
    </dgm:pt>
    <dgm:pt modelId="{200F0458-0D99-41CA-AD1A-7E8176A122F1}">
      <dgm:prSet custT="1"/>
      <dgm:spPr/>
      <dgm:t>
        <a:bodyPr/>
        <a:lstStyle/>
        <a:p>
          <a:r>
            <a:rPr lang="en-US" sz="700"/>
            <a:t>Compare, analyse and deduce trends/ deviations </a:t>
          </a:r>
        </a:p>
      </dgm:t>
    </dgm:pt>
    <dgm:pt modelId="{B4A9285D-38F0-47FB-936E-99D15CC97C60}" type="parTrans" cxnId="{3B6A16C8-9878-4B75-AC29-415FB1574894}">
      <dgm:prSet/>
      <dgm:spPr/>
      <dgm:t>
        <a:bodyPr/>
        <a:lstStyle/>
        <a:p>
          <a:endParaRPr lang="en-ZA"/>
        </a:p>
      </dgm:t>
    </dgm:pt>
    <dgm:pt modelId="{165C91DF-FC86-4541-B9C9-BA1C9077CCC3}" type="sibTrans" cxnId="{3B6A16C8-9878-4B75-AC29-415FB1574894}">
      <dgm:prSet/>
      <dgm:spPr/>
      <dgm:t>
        <a:bodyPr/>
        <a:lstStyle/>
        <a:p>
          <a:endParaRPr lang="en-ZA"/>
        </a:p>
      </dgm:t>
    </dgm:pt>
    <dgm:pt modelId="{30CDD14A-8A1B-4028-B8B6-87BF090B1EE5}" type="pres">
      <dgm:prSet presAssocID="{B4361B40-737C-41EF-AF3A-2D77531A9405}" presName="linearFlow" presStyleCnt="0">
        <dgm:presLayoutVars>
          <dgm:dir/>
          <dgm:animLvl val="lvl"/>
          <dgm:resizeHandles val="exact"/>
        </dgm:presLayoutVars>
      </dgm:prSet>
      <dgm:spPr/>
      <dgm:t>
        <a:bodyPr/>
        <a:lstStyle/>
        <a:p>
          <a:endParaRPr lang="en-ZA"/>
        </a:p>
      </dgm:t>
    </dgm:pt>
    <dgm:pt modelId="{360E334F-18F8-4811-9C0B-A41798A0D80C}" type="pres">
      <dgm:prSet presAssocID="{1A0444D3-CBED-4D9E-9339-171950D1F943}" presName="composite" presStyleCnt="0"/>
      <dgm:spPr/>
    </dgm:pt>
    <dgm:pt modelId="{F2B1FA6F-F772-49EB-8A69-1D486AC9E393}" type="pres">
      <dgm:prSet presAssocID="{1A0444D3-CBED-4D9E-9339-171950D1F943}" presName="parTx" presStyleLbl="node1" presStyleIdx="0" presStyleCnt="5">
        <dgm:presLayoutVars>
          <dgm:chMax val="0"/>
          <dgm:chPref val="0"/>
          <dgm:bulletEnabled val="1"/>
        </dgm:presLayoutVars>
      </dgm:prSet>
      <dgm:spPr/>
      <dgm:t>
        <a:bodyPr/>
        <a:lstStyle/>
        <a:p>
          <a:endParaRPr lang="en-ZA"/>
        </a:p>
      </dgm:t>
    </dgm:pt>
    <dgm:pt modelId="{44E163F7-9343-4BE4-8E19-6F21D1F9193E}" type="pres">
      <dgm:prSet presAssocID="{1A0444D3-CBED-4D9E-9339-171950D1F943}" presName="parSh" presStyleLbl="node1" presStyleIdx="0" presStyleCnt="5" custLinFactNeighborX="1698" custLinFactNeighborY="-29688"/>
      <dgm:spPr/>
      <dgm:t>
        <a:bodyPr/>
        <a:lstStyle/>
        <a:p>
          <a:endParaRPr lang="en-ZA"/>
        </a:p>
      </dgm:t>
    </dgm:pt>
    <dgm:pt modelId="{10B96CE8-CE50-4F9C-966C-8458AD1B7CA5}" type="pres">
      <dgm:prSet presAssocID="{1A0444D3-CBED-4D9E-9339-171950D1F943}" presName="desTx" presStyleLbl="fgAcc1" presStyleIdx="0" presStyleCnt="5">
        <dgm:presLayoutVars>
          <dgm:bulletEnabled val="1"/>
        </dgm:presLayoutVars>
      </dgm:prSet>
      <dgm:spPr/>
      <dgm:t>
        <a:bodyPr/>
        <a:lstStyle/>
        <a:p>
          <a:endParaRPr lang="en-ZA"/>
        </a:p>
      </dgm:t>
    </dgm:pt>
    <dgm:pt modelId="{168679DF-83E7-4621-8C67-EE05AAEA3FFC}" type="pres">
      <dgm:prSet presAssocID="{A74BDC79-2A40-4146-80AF-CBDB6EC4B44B}" presName="sibTrans" presStyleLbl="sibTrans2D1" presStyleIdx="0" presStyleCnt="4"/>
      <dgm:spPr/>
      <dgm:t>
        <a:bodyPr/>
        <a:lstStyle/>
        <a:p>
          <a:endParaRPr lang="en-ZA"/>
        </a:p>
      </dgm:t>
    </dgm:pt>
    <dgm:pt modelId="{1D148F19-ECCE-4DB5-86C2-C7F30B4D23F4}" type="pres">
      <dgm:prSet presAssocID="{A74BDC79-2A40-4146-80AF-CBDB6EC4B44B}" presName="connTx" presStyleLbl="sibTrans2D1" presStyleIdx="0" presStyleCnt="4"/>
      <dgm:spPr/>
      <dgm:t>
        <a:bodyPr/>
        <a:lstStyle/>
        <a:p>
          <a:endParaRPr lang="en-ZA"/>
        </a:p>
      </dgm:t>
    </dgm:pt>
    <dgm:pt modelId="{CAD2456F-9D98-4FF6-B33D-9D264AABD350}" type="pres">
      <dgm:prSet presAssocID="{5601258B-90C4-4E65-81AF-3BA59945FAD3}" presName="composite" presStyleCnt="0"/>
      <dgm:spPr/>
    </dgm:pt>
    <dgm:pt modelId="{86E62A2C-6E2D-4599-B341-889E990B6E8B}" type="pres">
      <dgm:prSet presAssocID="{5601258B-90C4-4E65-81AF-3BA59945FAD3}" presName="parTx" presStyleLbl="node1" presStyleIdx="0" presStyleCnt="5">
        <dgm:presLayoutVars>
          <dgm:chMax val="0"/>
          <dgm:chPref val="0"/>
          <dgm:bulletEnabled val="1"/>
        </dgm:presLayoutVars>
      </dgm:prSet>
      <dgm:spPr/>
      <dgm:t>
        <a:bodyPr/>
        <a:lstStyle/>
        <a:p>
          <a:endParaRPr lang="en-ZA"/>
        </a:p>
      </dgm:t>
    </dgm:pt>
    <dgm:pt modelId="{3A3BE110-7106-4940-B537-A43E97D659AE}" type="pres">
      <dgm:prSet presAssocID="{5601258B-90C4-4E65-81AF-3BA59945FAD3}" presName="parSh" presStyleLbl="node1" presStyleIdx="1" presStyleCnt="5" custLinFactNeighborY="-25447"/>
      <dgm:spPr/>
      <dgm:t>
        <a:bodyPr/>
        <a:lstStyle/>
        <a:p>
          <a:endParaRPr lang="en-ZA"/>
        </a:p>
      </dgm:t>
    </dgm:pt>
    <dgm:pt modelId="{D39E9EDA-5B15-456A-96C8-95927CA7128F}" type="pres">
      <dgm:prSet presAssocID="{5601258B-90C4-4E65-81AF-3BA59945FAD3}" presName="desTx" presStyleLbl="fgAcc1" presStyleIdx="1" presStyleCnt="5">
        <dgm:presLayoutVars>
          <dgm:bulletEnabled val="1"/>
        </dgm:presLayoutVars>
      </dgm:prSet>
      <dgm:spPr/>
      <dgm:t>
        <a:bodyPr/>
        <a:lstStyle/>
        <a:p>
          <a:endParaRPr lang="en-ZA"/>
        </a:p>
      </dgm:t>
    </dgm:pt>
    <dgm:pt modelId="{CD9D8AE8-A495-4164-BFFC-A7543FD0F964}" type="pres">
      <dgm:prSet presAssocID="{E7EA430E-43D3-42B7-B8DB-53E591865520}" presName="sibTrans" presStyleLbl="sibTrans2D1" presStyleIdx="1" presStyleCnt="4"/>
      <dgm:spPr/>
      <dgm:t>
        <a:bodyPr/>
        <a:lstStyle/>
        <a:p>
          <a:endParaRPr lang="en-ZA"/>
        </a:p>
      </dgm:t>
    </dgm:pt>
    <dgm:pt modelId="{BE71D10F-1AFD-44B3-9BD3-27BD0FD6F54B}" type="pres">
      <dgm:prSet presAssocID="{E7EA430E-43D3-42B7-B8DB-53E591865520}" presName="connTx" presStyleLbl="sibTrans2D1" presStyleIdx="1" presStyleCnt="4"/>
      <dgm:spPr/>
      <dgm:t>
        <a:bodyPr/>
        <a:lstStyle/>
        <a:p>
          <a:endParaRPr lang="en-ZA"/>
        </a:p>
      </dgm:t>
    </dgm:pt>
    <dgm:pt modelId="{EE959CF9-C838-4949-84A8-09BAC167A16B}" type="pres">
      <dgm:prSet presAssocID="{2E25A594-88B9-4443-9F98-7335D23A7233}" presName="composite" presStyleCnt="0"/>
      <dgm:spPr/>
    </dgm:pt>
    <dgm:pt modelId="{76417787-6EC7-4DE6-85E2-FB8827DD687F}" type="pres">
      <dgm:prSet presAssocID="{2E25A594-88B9-4443-9F98-7335D23A7233}" presName="parTx" presStyleLbl="node1" presStyleIdx="1" presStyleCnt="5">
        <dgm:presLayoutVars>
          <dgm:chMax val="0"/>
          <dgm:chPref val="0"/>
          <dgm:bulletEnabled val="1"/>
        </dgm:presLayoutVars>
      </dgm:prSet>
      <dgm:spPr/>
      <dgm:t>
        <a:bodyPr/>
        <a:lstStyle/>
        <a:p>
          <a:endParaRPr lang="en-ZA"/>
        </a:p>
      </dgm:t>
    </dgm:pt>
    <dgm:pt modelId="{5EC414F3-91F5-411C-931B-786E2D5E749E}" type="pres">
      <dgm:prSet presAssocID="{2E25A594-88B9-4443-9F98-7335D23A7233}" presName="parSh" presStyleLbl="node1" presStyleIdx="2" presStyleCnt="5" custLinFactNeighborY="-28275"/>
      <dgm:spPr/>
      <dgm:t>
        <a:bodyPr/>
        <a:lstStyle/>
        <a:p>
          <a:endParaRPr lang="en-ZA"/>
        </a:p>
      </dgm:t>
    </dgm:pt>
    <dgm:pt modelId="{072157E4-3E9D-4C3D-82B5-FCE8E7225753}" type="pres">
      <dgm:prSet presAssocID="{2E25A594-88B9-4443-9F98-7335D23A7233}" presName="desTx" presStyleLbl="fgAcc1" presStyleIdx="2" presStyleCnt="5" custLinFactNeighborX="448" custLinFactNeighborY="2211">
        <dgm:presLayoutVars>
          <dgm:bulletEnabled val="1"/>
        </dgm:presLayoutVars>
      </dgm:prSet>
      <dgm:spPr/>
      <dgm:t>
        <a:bodyPr/>
        <a:lstStyle/>
        <a:p>
          <a:endParaRPr lang="en-ZA"/>
        </a:p>
      </dgm:t>
    </dgm:pt>
    <dgm:pt modelId="{FC29A413-14A5-4CED-9365-DED5B50E69C3}" type="pres">
      <dgm:prSet presAssocID="{73DD740F-061F-4018-AB2E-6EBFBCE6C56F}" presName="sibTrans" presStyleLbl="sibTrans2D1" presStyleIdx="2" presStyleCnt="4"/>
      <dgm:spPr/>
      <dgm:t>
        <a:bodyPr/>
        <a:lstStyle/>
        <a:p>
          <a:endParaRPr lang="en-ZA"/>
        </a:p>
      </dgm:t>
    </dgm:pt>
    <dgm:pt modelId="{0AB4386E-D5C8-4B5E-BEA8-2B2F8704B2C4}" type="pres">
      <dgm:prSet presAssocID="{73DD740F-061F-4018-AB2E-6EBFBCE6C56F}" presName="connTx" presStyleLbl="sibTrans2D1" presStyleIdx="2" presStyleCnt="4"/>
      <dgm:spPr/>
      <dgm:t>
        <a:bodyPr/>
        <a:lstStyle/>
        <a:p>
          <a:endParaRPr lang="en-ZA"/>
        </a:p>
      </dgm:t>
    </dgm:pt>
    <dgm:pt modelId="{30039615-B08A-4F7F-A0AA-EDAC7A7F5112}" type="pres">
      <dgm:prSet presAssocID="{4F5514B5-4656-4DFE-B802-BA7CD0DFD284}" presName="composite" presStyleCnt="0"/>
      <dgm:spPr/>
    </dgm:pt>
    <dgm:pt modelId="{AE125FBA-5229-4824-9176-69EC7E7CF878}" type="pres">
      <dgm:prSet presAssocID="{4F5514B5-4656-4DFE-B802-BA7CD0DFD284}" presName="parTx" presStyleLbl="node1" presStyleIdx="2" presStyleCnt="5">
        <dgm:presLayoutVars>
          <dgm:chMax val="0"/>
          <dgm:chPref val="0"/>
          <dgm:bulletEnabled val="1"/>
        </dgm:presLayoutVars>
      </dgm:prSet>
      <dgm:spPr/>
      <dgm:t>
        <a:bodyPr/>
        <a:lstStyle/>
        <a:p>
          <a:endParaRPr lang="en-ZA"/>
        </a:p>
      </dgm:t>
    </dgm:pt>
    <dgm:pt modelId="{77D4929B-F221-48E0-A118-130E900E47BE}" type="pres">
      <dgm:prSet presAssocID="{4F5514B5-4656-4DFE-B802-BA7CD0DFD284}" presName="parSh" presStyleLbl="node1" presStyleIdx="3" presStyleCnt="5" custScaleX="132219" custScaleY="181450" custLinFactNeighborX="-849" custLinFactNeighborY="-33929"/>
      <dgm:spPr/>
      <dgm:t>
        <a:bodyPr/>
        <a:lstStyle/>
        <a:p>
          <a:endParaRPr lang="en-ZA"/>
        </a:p>
      </dgm:t>
    </dgm:pt>
    <dgm:pt modelId="{E8CB93DF-2774-421E-A9B4-93E8037E7A89}" type="pres">
      <dgm:prSet presAssocID="{4F5514B5-4656-4DFE-B802-BA7CD0DFD284}" presName="desTx" presStyleLbl="fgAcc1" presStyleIdx="3" presStyleCnt="5">
        <dgm:presLayoutVars>
          <dgm:bulletEnabled val="1"/>
        </dgm:presLayoutVars>
      </dgm:prSet>
      <dgm:spPr/>
      <dgm:t>
        <a:bodyPr/>
        <a:lstStyle/>
        <a:p>
          <a:endParaRPr lang="en-ZA"/>
        </a:p>
      </dgm:t>
    </dgm:pt>
    <dgm:pt modelId="{73D8B8E6-2CA2-4F07-BC42-4841B7F88F15}" type="pres">
      <dgm:prSet presAssocID="{3B8689E2-DEDE-491B-B13E-3751E784AFEC}" presName="sibTrans" presStyleLbl="sibTrans2D1" presStyleIdx="3" presStyleCnt="4"/>
      <dgm:spPr/>
      <dgm:t>
        <a:bodyPr/>
        <a:lstStyle/>
        <a:p>
          <a:endParaRPr lang="en-ZA"/>
        </a:p>
      </dgm:t>
    </dgm:pt>
    <dgm:pt modelId="{F65BD275-B6F6-4131-BDF9-EABDCEB56229}" type="pres">
      <dgm:prSet presAssocID="{3B8689E2-DEDE-491B-B13E-3751E784AFEC}" presName="connTx" presStyleLbl="sibTrans2D1" presStyleIdx="3" presStyleCnt="4"/>
      <dgm:spPr/>
      <dgm:t>
        <a:bodyPr/>
        <a:lstStyle/>
        <a:p>
          <a:endParaRPr lang="en-ZA"/>
        </a:p>
      </dgm:t>
    </dgm:pt>
    <dgm:pt modelId="{F4CBF0C6-622B-4A45-BE85-0E97B6DEC07C}" type="pres">
      <dgm:prSet presAssocID="{D0449757-D2E6-406C-913A-E87252B778AA}" presName="composite" presStyleCnt="0"/>
      <dgm:spPr/>
    </dgm:pt>
    <dgm:pt modelId="{43C5B80D-F4CD-4101-8AC3-288C8E98C344}" type="pres">
      <dgm:prSet presAssocID="{D0449757-D2E6-406C-913A-E87252B778AA}" presName="parTx" presStyleLbl="node1" presStyleIdx="3" presStyleCnt="5">
        <dgm:presLayoutVars>
          <dgm:chMax val="0"/>
          <dgm:chPref val="0"/>
          <dgm:bulletEnabled val="1"/>
        </dgm:presLayoutVars>
      </dgm:prSet>
      <dgm:spPr/>
      <dgm:t>
        <a:bodyPr/>
        <a:lstStyle/>
        <a:p>
          <a:endParaRPr lang="en-ZA"/>
        </a:p>
      </dgm:t>
    </dgm:pt>
    <dgm:pt modelId="{E321D817-D43C-4F1F-82AC-9778D905D61E}" type="pres">
      <dgm:prSet presAssocID="{D0449757-D2E6-406C-913A-E87252B778AA}" presName="parSh" presStyleLbl="node1" presStyleIdx="4" presStyleCnt="5" custLinFactNeighborY="-35343"/>
      <dgm:spPr/>
      <dgm:t>
        <a:bodyPr/>
        <a:lstStyle/>
        <a:p>
          <a:endParaRPr lang="en-ZA"/>
        </a:p>
      </dgm:t>
    </dgm:pt>
    <dgm:pt modelId="{36455CF3-8D3A-4C68-AED0-A6C33A24D38E}" type="pres">
      <dgm:prSet presAssocID="{D0449757-D2E6-406C-913A-E87252B778AA}" presName="desTx" presStyleLbl="fgAcc1" presStyleIdx="4" presStyleCnt="5">
        <dgm:presLayoutVars>
          <dgm:bulletEnabled val="1"/>
        </dgm:presLayoutVars>
      </dgm:prSet>
      <dgm:spPr/>
      <dgm:t>
        <a:bodyPr/>
        <a:lstStyle/>
        <a:p>
          <a:endParaRPr lang="en-ZA"/>
        </a:p>
      </dgm:t>
    </dgm:pt>
  </dgm:ptLst>
  <dgm:cxnLst>
    <dgm:cxn modelId="{E3600646-5DD2-4E1C-B225-25252A19EF60}" srcId="{B4361B40-737C-41EF-AF3A-2D77531A9405}" destId="{4F5514B5-4656-4DFE-B802-BA7CD0DFD284}" srcOrd="3" destOrd="0" parTransId="{E24898FC-3974-4238-9E54-228C8191CFD1}" sibTransId="{3B8689E2-DEDE-491B-B13E-3751E784AFEC}"/>
    <dgm:cxn modelId="{7577793D-922C-4937-906C-BFB31978B0B9}" type="presOf" srcId="{4F5514B5-4656-4DFE-B802-BA7CD0DFD284}" destId="{77D4929B-F221-48E0-A118-130E900E47BE}" srcOrd="1" destOrd="0" presId="urn:microsoft.com/office/officeart/2005/8/layout/process3"/>
    <dgm:cxn modelId="{CD5939E2-B144-4D56-9638-BB5B42DE8B60}" type="presOf" srcId="{E7EA430E-43D3-42B7-B8DB-53E591865520}" destId="{CD9D8AE8-A495-4164-BFFC-A7543FD0F964}" srcOrd="0" destOrd="0" presId="urn:microsoft.com/office/officeart/2005/8/layout/process3"/>
    <dgm:cxn modelId="{C550BAE7-6D3E-4C65-B13C-5D2B8E6D87DF}" type="presOf" srcId="{73DD740F-061F-4018-AB2E-6EBFBCE6C56F}" destId="{0AB4386E-D5C8-4B5E-BEA8-2B2F8704B2C4}" srcOrd="1" destOrd="0" presId="urn:microsoft.com/office/officeart/2005/8/layout/process3"/>
    <dgm:cxn modelId="{FF34A729-DA07-4861-A11E-C7B9CA356CEF}" type="presOf" srcId="{D0449757-D2E6-406C-913A-E87252B778AA}" destId="{43C5B80D-F4CD-4101-8AC3-288C8E98C344}" srcOrd="0" destOrd="0" presId="urn:microsoft.com/office/officeart/2005/8/layout/process3"/>
    <dgm:cxn modelId="{4054AA19-77C7-4193-916C-A541280F0B2D}" type="presOf" srcId="{16F464CC-9F24-4586-8C9E-BC07D99FC626}" destId="{072157E4-3E9D-4C3D-82B5-FCE8E7225753}" srcOrd="0" destOrd="2" presId="urn:microsoft.com/office/officeart/2005/8/layout/process3"/>
    <dgm:cxn modelId="{AF13C180-5C8C-41B0-BD15-E7748A01D3B9}" srcId="{1A0444D3-CBED-4D9E-9339-171950D1F943}" destId="{C76B1F00-D34E-4779-9704-B9B90965EF2B}" srcOrd="1" destOrd="0" parTransId="{B2E6A1FD-694A-4D7E-B466-FE14A25E625D}" sibTransId="{DB8A592D-7C49-4E61-8DB1-38EA587A1FF5}"/>
    <dgm:cxn modelId="{573BE699-E124-4F97-AFB7-B2BC094B2518}" srcId="{4F5514B5-4656-4DFE-B802-BA7CD0DFD284}" destId="{0FFB1AE9-3163-4864-89A6-FDD4876573B7}" srcOrd="0" destOrd="0" parTransId="{B5F56524-62DA-4878-8765-54C0A6BD8483}" sibTransId="{143CCBA7-C150-4373-94B8-402A6A4DA22B}"/>
    <dgm:cxn modelId="{3D8BC9B1-1544-42AB-B976-20F2A819F221}" type="presOf" srcId="{B76B39D9-07D4-4F91-9F66-34C2DC1C02EB}" destId="{072157E4-3E9D-4C3D-82B5-FCE8E7225753}" srcOrd="0" destOrd="3" presId="urn:microsoft.com/office/officeart/2005/8/layout/process3"/>
    <dgm:cxn modelId="{2B681C69-C1E5-49C5-B969-F831FDA38954}" type="presOf" srcId="{C76B1F00-D34E-4779-9704-B9B90965EF2B}" destId="{10B96CE8-CE50-4F9C-966C-8458AD1B7CA5}" srcOrd="0" destOrd="1" presId="urn:microsoft.com/office/officeart/2005/8/layout/process3"/>
    <dgm:cxn modelId="{614751D8-ACD7-451E-98E1-E9C56CE443F7}" type="presOf" srcId="{3B8689E2-DEDE-491B-B13E-3751E784AFEC}" destId="{73D8B8E6-2CA2-4F07-BC42-4841B7F88F15}" srcOrd="0" destOrd="0" presId="urn:microsoft.com/office/officeart/2005/8/layout/process3"/>
    <dgm:cxn modelId="{BA6D6075-BF3B-40D4-835B-E0D4E2F74AF0}" type="presOf" srcId="{B762F332-838C-4C7E-A57E-0923D00731E2}" destId="{072157E4-3E9D-4C3D-82B5-FCE8E7225753}" srcOrd="0" destOrd="1" presId="urn:microsoft.com/office/officeart/2005/8/layout/process3"/>
    <dgm:cxn modelId="{676A3EDA-B1BA-454B-962A-5EE873D0018A}" type="presOf" srcId="{3B8689E2-DEDE-491B-B13E-3751E784AFEC}" destId="{F65BD275-B6F6-4131-BDF9-EABDCEB56229}" srcOrd="1" destOrd="0" presId="urn:microsoft.com/office/officeart/2005/8/layout/process3"/>
    <dgm:cxn modelId="{7D1D9D0F-8144-422E-95C1-ECF01EACB44B}" srcId="{B4361B40-737C-41EF-AF3A-2D77531A9405}" destId="{1A0444D3-CBED-4D9E-9339-171950D1F943}" srcOrd="0" destOrd="0" parTransId="{9F8B6C38-0F47-4ED0-9F88-9FFA54708165}" sibTransId="{A74BDC79-2A40-4146-80AF-CBDB6EC4B44B}"/>
    <dgm:cxn modelId="{3B6A16C8-9878-4B75-AC29-415FB1574894}" srcId="{D0449757-D2E6-406C-913A-E87252B778AA}" destId="{200F0458-0D99-41CA-AD1A-7E8176A122F1}" srcOrd="1" destOrd="0" parTransId="{B4A9285D-38F0-47FB-936E-99D15CC97C60}" sibTransId="{165C91DF-FC86-4541-B9C9-BA1C9077CCC3}"/>
    <dgm:cxn modelId="{E7540463-3024-4A9A-8013-469185BB742E}" type="presOf" srcId="{2E25A594-88B9-4443-9F98-7335D23A7233}" destId="{5EC414F3-91F5-411C-931B-786E2D5E749E}" srcOrd="1" destOrd="0" presId="urn:microsoft.com/office/officeart/2005/8/layout/process3"/>
    <dgm:cxn modelId="{12799E09-B9FF-48A5-9223-AD2F22C69FE1}" type="presOf" srcId="{5AD4ABD4-FAEA-41E9-91F3-FCAD40E678C4}" destId="{D39E9EDA-5B15-456A-96C8-95927CA7128F}" srcOrd="0" destOrd="0" presId="urn:microsoft.com/office/officeart/2005/8/layout/process3"/>
    <dgm:cxn modelId="{4060B737-50F6-45F7-BF89-4D45BCD1ADB8}" srcId="{4F5514B5-4656-4DFE-B802-BA7CD0DFD284}" destId="{E9025EC0-A724-44F7-809F-7D7C38A351A3}" srcOrd="1" destOrd="0" parTransId="{867F5C41-1A16-44E6-86AD-6CE2BA82BCBD}" sibTransId="{B2A2D9B7-13C7-4637-9A3C-322BF4C3C32B}"/>
    <dgm:cxn modelId="{A3767C1E-1B0F-458D-A29C-13BA3A3CAD4B}" srcId="{B4361B40-737C-41EF-AF3A-2D77531A9405}" destId="{2E25A594-88B9-4443-9F98-7335D23A7233}" srcOrd="2" destOrd="0" parTransId="{C4D735CD-7B7F-491B-890D-5DB2055264D2}" sibTransId="{73DD740F-061F-4018-AB2E-6EBFBCE6C56F}"/>
    <dgm:cxn modelId="{CBF777E2-230A-485E-98D6-60883ABD1772}" srcId="{2E25A594-88B9-4443-9F98-7335D23A7233}" destId="{4251C9D5-D4DC-4986-9B4D-9D4905CFD051}" srcOrd="0" destOrd="0" parTransId="{3DD404AE-6DB4-48C3-B3D2-455B3D4FCCE8}" sibTransId="{C70AC3AD-7125-4693-87C2-A0F539327441}"/>
    <dgm:cxn modelId="{86E0C647-6113-4897-87B3-DDE46CA6D357}" type="presOf" srcId="{0FFB1AE9-3163-4864-89A6-FDD4876573B7}" destId="{E8CB93DF-2774-421E-A9B4-93E8037E7A89}" srcOrd="0" destOrd="0" presId="urn:microsoft.com/office/officeart/2005/8/layout/process3"/>
    <dgm:cxn modelId="{38DAB9BF-7857-4709-929C-1E55626C04CC}" type="presOf" srcId="{4F5514B5-4656-4DFE-B802-BA7CD0DFD284}" destId="{AE125FBA-5229-4824-9176-69EC7E7CF878}" srcOrd="0" destOrd="0" presId="urn:microsoft.com/office/officeart/2005/8/layout/process3"/>
    <dgm:cxn modelId="{11F4882E-E702-4172-95E4-B60E1C284F50}" srcId="{B4361B40-737C-41EF-AF3A-2D77531A9405}" destId="{D0449757-D2E6-406C-913A-E87252B778AA}" srcOrd="4" destOrd="0" parTransId="{A4F2C034-8C92-43AF-8B7A-273A441B5E52}" sibTransId="{D5E41FD0-F11A-42D2-98F0-B9B46E51896C}"/>
    <dgm:cxn modelId="{CC9B2B1F-AA99-42C3-8D97-BC7703F69812}" srcId="{5601258B-90C4-4E65-81AF-3BA59945FAD3}" destId="{AC1F6463-A9CF-4A1D-8F4A-36E95CF9FEB7}" srcOrd="1" destOrd="0" parTransId="{B7AD221A-935E-4479-893B-6AAC4EE3CC02}" sibTransId="{CF6D3803-C69E-40CE-93E8-9E22A671D74F}"/>
    <dgm:cxn modelId="{DF164CE7-78FF-41F3-A677-D354EF7E9551}" srcId="{1A0444D3-CBED-4D9E-9339-171950D1F943}" destId="{6E11F8AA-5DD3-4F73-B3C0-B6406E88F09F}" srcOrd="0" destOrd="0" parTransId="{DD30C97E-5CA2-4FFA-B063-049992BCAF90}" sibTransId="{A0386E16-5B63-4301-956D-AD9A22E9190D}"/>
    <dgm:cxn modelId="{F376246B-1C97-4154-A9B1-F3478C99B860}" type="presOf" srcId="{D0449757-D2E6-406C-913A-E87252B778AA}" destId="{E321D817-D43C-4F1F-82AC-9778D905D61E}" srcOrd="1" destOrd="0" presId="urn:microsoft.com/office/officeart/2005/8/layout/process3"/>
    <dgm:cxn modelId="{297DE991-D386-4BFC-AFF7-3081360EE39F}" type="presOf" srcId="{200F0458-0D99-41CA-AD1A-7E8176A122F1}" destId="{36455CF3-8D3A-4C68-AED0-A6C33A24D38E}" srcOrd="0" destOrd="1" presId="urn:microsoft.com/office/officeart/2005/8/layout/process3"/>
    <dgm:cxn modelId="{F457F975-B5B6-4CF3-8B3E-0E342AFDE440}" srcId="{2E25A594-88B9-4443-9F98-7335D23A7233}" destId="{B76B39D9-07D4-4F91-9F66-34C2DC1C02EB}" srcOrd="3" destOrd="0" parTransId="{2B7A0C51-EC98-411A-861D-E6D2D58F6662}" sibTransId="{CE391A4B-74F2-493D-A220-DC6C43C9CD81}"/>
    <dgm:cxn modelId="{738D6354-64E4-4121-BDFD-A825A4191C6A}" srcId="{D0449757-D2E6-406C-913A-E87252B778AA}" destId="{93BF44FF-F33C-47F7-A269-136C8EA05188}" srcOrd="0" destOrd="0" parTransId="{288D4B94-8DBA-4B34-A39E-BBC26A8A8060}" sibTransId="{1CB5C129-3E31-464A-9814-0E2A02C6119A}"/>
    <dgm:cxn modelId="{08CF5E48-5E29-449B-AF2B-9FE275E28473}" type="presOf" srcId="{B1CFB2B4-55A4-4D53-9792-2627B492BC0B}" destId="{10B96CE8-CE50-4F9C-966C-8458AD1B7CA5}" srcOrd="0" destOrd="2" presId="urn:microsoft.com/office/officeart/2005/8/layout/process3"/>
    <dgm:cxn modelId="{07F0EDCE-E681-424B-A602-7BDD4F53CC3E}" type="presOf" srcId="{93BF44FF-F33C-47F7-A269-136C8EA05188}" destId="{36455CF3-8D3A-4C68-AED0-A6C33A24D38E}" srcOrd="0" destOrd="0" presId="urn:microsoft.com/office/officeart/2005/8/layout/process3"/>
    <dgm:cxn modelId="{9D3B74BE-1E30-4860-9F15-707ECCA0A52C}" type="presOf" srcId="{A74BDC79-2A40-4146-80AF-CBDB6EC4B44B}" destId="{168679DF-83E7-4621-8C67-EE05AAEA3FFC}" srcOrd="0" destOrd="0" presId="urn:microsoft.com/office/officeart/2005/8/layout/process3"/>
    <dgm:cxn modelId="{D2A28DE6-42FE-4DA9-82A5-215771238B1A}" type="presOf" srcId="{6E11F8AA-5DD3-4F73-B3C0-B6406E88F09F}" destId="{10B96CE8-CE50-4F9C-966C-8458AD1B7CA5}" srcOrd="0" destOrd="0" presId="urn:microsoft.com/office/officeart/2005/8/layout/process3"/>
    <dgm:cxn modelId="{0F2357F3-E593-4FBA-B03D-1C244227D2EA}" type="presOf" srcId="{2E25A594-88B9-4443-9F98-7335D23A7233}" destId="{76417787-6EC7-4DE6-85E2-FB8827DD687F}" srcOrd="0" destOrd="0" presId="urn:microsoft.com/office/officeart/2005/8/layout/process3"/>
    <dgm:cxn modelId="{59ECECB5-99C2-44DB-A9B7-B4EB7EADAD47}" type="presOf" srcId="{5601258B-90C4-4E65-81AF-3BA59945FAD3}" destId="{86E62A2C-6E2D-4599-B341-889E990B6E8B}" srcOrd="0" destOrd="0" presId="urn:microsoft.com/office/officeart/2005/8/layout/process3"/>
    <dgm:cxn modelId="{EC604559-CF01-4406-89C5-CC11F3931729}" srcId="{1A0444D3-CBED-4D9E-9339-171950D1F943}" destId="{B1CFB2B4-55A4-4D53-9792-2627B492BC0B}" srcOrd="2" destOrd="0" parTransId="{144AFF58-35B6-4142-AD9B-F7FF79821AE6}" sibTransId="{4D4F01E5-2B0C-479F-BEF1-6316C695F5C6}"/>
    <dgm:cxn modelId="{686A48DF-0266-4BED-B07A-97F6450F9EB0}" type="presOf" srcId="{4251C9D5-D4DC-4986-9B4D-9D4905CFD051}" destId="{072157E4-3E9D-4C3D-82B5-FCE8E7225753}" srcOrd="0" destOrd="0" presId="urn:microsoft.com/office/officeart/2005/8/layout/process3"/>
    <dgm:cxn modelId="{2AF012B1-9B41-4E6D-A718-0AB041751333}" type="presOf" srcId="{D424D595-92EC-4A36-885C-7298C07F7CB5}" destId="{10B96CE8-CE50-4F9C-966C-8458AD1B7CA5}" srcOrd="0" destOrd="3" presId="urn:microsoft.com/office/officeart/2005/8/layout/process3"/>
    <dgm:cxn modelId="{6F357F94-204A-4F9B-A572-7C118C02460E}" type="presOf" srcId="{E7EA430E-43D3-42B7-B8DB-53E591865520}" destId="{BE71D10F-1AFD-44B3-9BD3-27BD0FD6F54B}" srcOrd="1" destOrd="0" presId="urn:microsoft.com/office/officeart/2005/8/layout/process3"/>
    <dgm:cxn modelId="{5DCEE315-B970-40B5-97FB-2191AA4F5070}" srcId="{5601258B-90C4-4E65-81AF-3BA59945FAD3}" destId="{5AD4ABD4-FAEA-41E9-91F3-FCAD40E678C4}" srcOrd="0" destOrd="0" parTransId="{AC374638-52DE-4D84-A5C3-EFCCD9B2B143}" sibTransId="{CA1E0C51-540F-4083-BDAE-D6EA8232AEB4}"/>
    <dgm:cxn modelId="{ED0582BD-B1C3-48F0-934B-36DD3C7449A8}" type="presOf" srcId="{1A0444D3-CBED-4D9E-9339-171950D1F943}" destId="{44E163F7-9343-4BE4-8E19-6F21D1F9193E}" srcOrd="1" destOrd="0" presId="urn:microsoft.com/office/officeart/2005/8/layout/process3"/>
    <dgm:cxn modelId="{63479784-D3F1-4F5A-9B3C-BE14EBF14ADA}" type="presOf" srcId="{1A0444D3-CBED-4D9E-9339-171950D1F943}" destId="{F2B1FA6F-F772-49EB-8A69-1D486AC9E393}" srcOrd="0" destOrd="0" presId="urn:microsoft.com/office/officeart/2005/8/layout/process3"/>
    <dgm:cxn modelId="{20967129-5850-4C3F-92CE-0846BCDEC474}" type="presOf" srcId="{AC1F6463-A9CF-4A1D-8F4A-36E95CF9FEB7}" destId="{D39E9EDA-5B15-456A-96C8-95927CA7128F}" srcOrd="0" destOrd="1" presId="urn:microsoft.com/office/officeart/2005/8/layout/process3"/>
    <dgm:cxn modelId="{D519FB3A-27D9-4898-85D9-F44801CDB9DE}" srcId="{B4361B40-737C-41EF-AF3A-2D77531A9405}" destId="{5601258B-90C4-4E65-81AF-3BA59945FAD3}" srcOrd="1" destOrd="0" parTransId="{9D75D4FD-7120-4CCC-8AEA-A1D4E00D446A}" sibTransId="{E7EA430E-43D3-42B7-B8DB-53E591865520}"/>
    <dgm:cxn modelId="{74859493-4ECF-4C8D-973D-7D89B97162D3}" type="presOf" srcId="{E9025EC0-A724-44F7-809F-7D7C38A351A3}" destId="{E8CB93DF-2774-421E-A9B4-93E8037E7A89}" srcOrd="0" destOrd="1" presId="urn:microsoft.com/office/officeart/2005/8/layout/process3"/>
    <dgm:cxn modelId="{1A0781DF-9880-4519-A2F1-4E25945D8FF6}" srcId="{2E25A594-88B9-4443-9F98-7335D23A7233}" destId="{16F464CC-9F24-4586-8C9E-BC07D99FC626}" srcOrd="2" destOrd="0" parTransId="{3B1690BA-7A3F-4932-9015-B92A4BB7F91A}" sibTransId="{E4D0B92E-7852-48AA-8E3A-DEA0E18081DE}"/>
    <dgm:cxn modelId="{607456ED-674F-4846-9EFB-5C45A58702E4}" type="presOf" srcId="{73DD740F-061F-4018-AB2E-6EBFBCE6C56F}" destId="{FC29A413-14A5-4CED-9365-DED5B50E69C3}" srcOrd="0" destOrd="0" presId="urn:microsoft.com/office/officeart/2005/8/layout/process3"/>
    <dgm:cxn modelId="{D39CACBA-3427-4EEB-80AB-D4D45D356728}" srcId="{1A0444D3-CBED-4D9E-9339-171950D1F943}" destId="{D424D595-92EC-4A36-885C-7298C07F7CB5}" srcOrd="3" destOrd="0" parTransId="{62BF71DA-311E-46B4-AF3E-1B9799573B10}" sibTransId="{09569CA8-9768-490A-9765-43CEE94D4EDA}"/>
    <dgm:cxn modelId="{DF4263EC-AB72-4F92-B1B0-E8C997EFB9A5}" type="presOf" srcId="{5601258B-90C4-4E65-81AF-3BA59945FAD3}" destId="{3A3BE110-7106-4940-B537-A43E97D659AE}" srcOrd="1" destOrd="0" presId="urn:microsoft.com/office/officeart/2005/8/layout/process3"/>
    <dgm:cxn modelId="{EF53A461-D6CB-4AD1-A694-F2EE908B37CB}" srcId="{2E25A594-88B9-4443-9F98-7335D23A7233}" destId="{B762F332-838C-4C7E-A57E-0923D00731E2}" srcOrd="1" destOrd="0" parTransId="{A5FCAF05-2E1E-4798-9467-6D864E8ECAF2}" sibTransId="{F8306281-89BD-4CAB-BE72-BF379A7630D3}"/>
    <dgm:cxn modelId="{EA4CC2AB-4CF0-41B7-9896-5CE5C3D09626}" type="presOf" srcId="{A74BDC79-2A40-4146-80AF-CBDB6EC4B44B}" destId="{1D148F19-ECCE-4DB5-86C2-C7F30B4D23F4}" srcOrd="1" destOrd="0" presId="urn:microsoft.com/office/officeart/2005/8/layout/process3"/>
    <dgm:cxn modelId="{410362F6-4853-4406-B55C-B43F23DB29FD}" type="presOf" srcId="{B4361B40-737C-41EF-AF3A-2D77531A9405}" destId="{30CDD14A-8A1B-4028-B8B6-87BF090B1EE5}" srcOrd="0" destOrd="0" presId="urn:microsoft.com/office/officeart/2005/8/layout/process3"/>
    <dgm:cxn modelId="{FE37ED33-41F9-407B-90C8-BD32B6DBF332}" type="presParOf" srcId="{30CDD14A-8A1B-4028-B8B6-87BF090B1EE5}" destId="{360E334F-18F8-4811-9C0B-A41798A0D80C}" srcOrd="0" destOrd="0" presId="urn:microsoft.com/office/officeart/2005/8/layout/process3"/>
    <dgm:cxn modelId="{FC57B64F-734D-486A-A46F-2BB765453973}" type="presParOf" srcId="{360E334F-18F8-4811-9C0B-A41798A0D80C}" destId="{F2B1FA6F-F772-49EB-8A69-1D486AC9E393}" srcOrd="0" destOrd="0" presId="urn:microsoft.com/office/officeart/2005/8/layout/process3"/>
    <dgm:cxn modelId="{232F0A7A-5C2B-4E18-BAED-0B9A70988A06}" type="presParOf" srcId="{360E334F-18F8-4811-9C0B-A41798A0D80C}" destId="{44E163F7-9343-4BE4-8E19-6F21D1F9193E}" srcOrd="1" destOrd="0" presId="urn:microsoft.com/office/officeart/2005/8/layout/process3"/>
    <dgm:cxn modelId="{0E5088BC-ADB3-4A6E-BDE1-03139B4E723A}" type="presParOf" srcId="{360E334F-18F8-4811-9C0B-A41798A0D80C}" destId="{10B96CE8-CE50-4F9C-966C-8458AD1B7CA5}" srcOrd="2" destOrd="0" presId="urn:microsoft.com/office/officeart/2005/8/layout/process3"/>
    <dgm:cxn modelId="{42BD95DE-5112-4118-A103-3B3B3CC3F02C}" type="presParOf" srcId="{30CDD14A-8A1B-4028-B8B6-87BF090B1EE5}" destId="{168679DF-83E7-4621-8C67-EE05AAEA3FFC}" srcOrd="1" destOrd="0" presId="urn:microsoft.com/office/officeart/2005/8/layout/process3"/>
    <dgm:cxn modelId="{A6D1BFB6-FFFF-4576-BEB5-EC77BBCF511A}" type="presParOf" srcId="{168679DF-83E7-4621-8C67-EE05AAEA3FFC}" destId="{1D148F19-ECCE-4DB5-86C2-C7F30B4D23F4}" srcOrd="0" destOrd="0" presId="urn:microsoft.com/office/officeart/2005/8/layout/process3"/>
    <dgm:cxn modelId="{D371FEE1-6737-4BA7-9D0A-7B74229E3854}" type="presParOf" srcId="{30CDD14A-8A1B-4028-B8B6-87BF090B1EE5}" destId="{CAD2456F-9D98-4FF6-B33D-9D264AABD350}" srcOrd="2" destOrd="0" presId="urn:microsoft.com/office/officeart/2005/8/layout/process3"/>
    <dgm:cxn modelId="{7152C07C-F4C0-40A5-9797-C819D3FA8122}" type="presParOf" srcId="{CAD2456F-9D98-4FF6-B33D-9D264AABD350}" destId="{86E62A2C-6E2D-4599-B341-889E990B6E8B}" srcOrd="0" destOrd="0" presId="urn:microsoft.com/office/officeart/2005/8/layout/process3"/>
    <dgm:cxn modelId="{AEDCDD2A-FBDD-4442-84D6-FC9BD8B5EC51}" type="presParOf" srcId="{CAD2456F-9D98-4FF6-B33D-9D264AABD350}" destId="{3A3BE110-7106-4940-B537-A43E97D659AE}" srcOrd="1" destOrd="0" presId="urn:microsoft.com/office/officeart/2005/8/layout/process3"/>
    <dgm:cxn modelId="{4DCF3F75-ED85-4B50-A305-F0C583D96711}" type="presParOf" srcId="{CAD2456F-9D98-4FF6-B33D-9D264AABD350}" destId="{D39E9EDA-5B15-456A-96C8-95927CA7128F}" srcOrd="2" destOrd="0" presId="urn:microsoft.com/office/officeart/2005/8/layout/process3"/>
    <dgm:cxn modelId="{C18A6F05-F6A5-4334-887C-AFBC79B46B3D}" type="presParOf" srcId="{30CDD14A-8A1B-4028-B8B6-87BF090B1EE5}" destId="{CD9D8AE8-A495-4164-BFFC-A7543FD0F964}" srcOrd="3" destOrd="0" presId="urn:microsoft.com/office/officeart/2005/8/layout/process3"/>
    <dgm:cxn modelId="{D3893963-0FFF-4662-8B11-A5D86CBD9343}" type="presParOf" srcId="{CD9D8AE8-A495-4164-BFFC-A7543FD0F964}" destId="{BE71D10F-1AFD-44B3-9BD3-27BD0FD6F54B}" srcOrd="0" destOrd="0" presId="urn:microsoft.com/office/officeart/2005/8/layout/process3"/>
    <dgm:cxn modelId="{35A39178-1081-4982-B923-1CD1DA12E35D}" type="presParOf" srcId="{30CDD14A-8A1B-4028-B8B6-87BF090B1EE5}" destId="{EE959CF9-C838-4949-84A8-09BAC167A16B}" srcOrd="4" destOrd="0" presId="urn:microsoft.com/office/officeart/2005/8/layout/process3"/>
    <dgm:cxn modelId="{DB0B4225-167E-4176-8EC0-FE504AD7BCD3}" type="presParOf" srcId="{EE959CF9-C838-4949-84A8-09BAC167A16B}" destId="{76417787-6EC7-4DE6-85E2-FB8827DD687F}" srcOrd="0" destOrd="0" presId="urn:microsoft.com/office/officeart/2005/8/layout/process3"/>
    <dgm:cxn modelId="{544C6096-8ACD-4C9D-9899-1726B21DF753}" type="presParOf" srcId="{EE959CF9-C838-4949-84A8-09BAC167A16B}" destId="{5EC414F3-91F5-411C-931B-786E2D5E749E}" srcOrd="1" destOrd="0" presId="urn:microsoft.com/office/officeart/2005/8/layout/process3"/>
    <dgm:cxn modelId="{4F5FFCAE-3572-46B4-87F1-AD8F443C9E7F}" type="presParOf" srcId="{EE959CF9-C838-4949-84A8-09BAC167A16B}" destId="{072157E4-3E9D-4C3D-82B5-FCE8E7225753}" srcOrd="2" destOrd="0" presId="urn:microsoft.com/office/officeart/2005/8/layout/process3"/>
    <dgm:cxn modelId="{45506658-29F9-49D2-9E7C-4C895113B63D}" type="presParOf" srcId="{30CDD14A-8A1B-4028-B8B6-87BF090B1EE5}" destId="{FC29A413-14A5-4CED-9365-DED5B50E69C3}" srcOrd="5" destOrd="0" presId="urn:microsoft.com/office/officeart/2005/8/layout/process3"/>
    <dgm:cxn modelId="{957D0E0C-FCA9-4A3C-ACD1-1044CFB29CD5}" type="presParOf" srcId="{FC29A413-14A5-4CED-9365-DED5B50E69C3}" destId="{0AB4386E-D5C8-4B5E-BEA8-2B2F8704B2C4}" srcOrd="0" destOrd="0" presId="urn:microsoft.com/office/officeart/2005/8/layout/process3"/>
    <dgm:cxn modelId="{D63683D6-577E-49F8-B6CB-EDFB5F9686EB}" type="presParOf" srcId="{30CDD14A-8A1B-4028-B8B6-87BF090B1EE5}" destId="{30039615-B08A-4F7F-A0AA-EDAC7A7F5112}" srcOrd="6" destOrd="0" presId="urn:microsoft.com/office/officeart/2005/8/layout/process3"/>
    <dgm:cxn modelId="{131E2C9A-906E-442A-BCAD-0DE507EAB862}" type="presParOf" srcId="{30039615-B08A-4F7F-A0AA-EDAC7A7F5112}" destId="{AE125FBA-5229-4824-9176-69EC7E7CF878}" srcOrd="0" destOrd="0" presId="urn:microsoft.com/office/officeart/2005/8/layout/process3"/>
    <dgm:cxn modelId="{E9D89EA5-67E7-42A3-AB80-6B1491AD5C84}" type="presParOf" srcId="{30039615-B08A-4F7F-A0AA-EDAC7A7F5112}" destId="{77D4929B-F221-48E0-A118-130E900E47BE}" srcOrd="1" destOrd="0" presId="urn:microsoft.com/office/officeart/2005/8/layout/process3"/>
    <dgm:cxn modelId="{68B4B428-570F-4FAF-8CCD-DCDC6D85EFAD}" type="presParOf" srcId="{30039615-B08A-4F7F-A0AA-EDAC7A7F5112}" destId="{E8CB93DF-2774-421E-A9B4-93E8037E7A89}" srcOrd="2" destOrd="0" presId="urn:microsoft.com/office/officeart/2005/8/layout/process3"/>
    <dgm:cxn modelId="{31A22D61-4C4E-4B18-9EC8-F204FEB193C4}" type="presParOf" srcId="{30CDD14A-8A1B-4028-B8B6-87BF090B1EE5}" destId="{73D8B8E6-2CA2-4F07-BC42-4841B7F88F15}" srcOrd="7" destOrd="0" presId="urn:microsoft.com/office/officeart/2005/8/layout/process3"/>
    <dgm:cxn modelId="{E5B238F2-CA47-494B-AAE8-6182AD717D31}" type="presParOf" srcId="{73D8B8E6-2CA2-4F07-BC42-4841B7F88F15}" destId="{F65BD275-B6F6-4131-BDF9-EABDCEB56229}" srcOrd="0" destOrd="0" presId="urn:microsoft.com/office/officeart/2005/8/layout/process3"/>
    <dgm:cxn modelId="{45AD5DCE-11CA-4A18-A4CA-DD2D0E4E0D58}" type="presParOf" srcId="{30CDD14A-8A1B-4028-B8B6-87BF090B1EE5}" destId="{F4CBF0C6-622B-4A45-BE85-0E97B6DEC07C}" srcOrd="8" destOrd="0" presId="urn:microsoft.com/office/officeart/2005/8/layout/process3"/>
    <dgm:cxn modelId="{45449DBB-9778-4BA4-BE71-7755C116C65E}" type="presParOf" srcId="{F4CBF0C6-622B-4A45-BE85-0E97B6DEC07C}" destId="{43C5B80D-F4CD-4101-8AC3-288C8E98C344}" srcOrd="0" destOrd="0" presId="urn:microsoft.com/office/officeart/2005/8/layout/process3"/>
    <dgm:cxn modelId="{69FB3B1D-C8BD-46B4-ADF0-E520AA97362C}" type="presParOf" srcId="{F4CBF0C6-622B-4A45-BE85-0E97B6DEC07C}" destId="{E321D817-D43C-4F1F-82AC-9778D905D61E}" srcOrd="1" destOrd="0" presId="urn:microsoft.com/office/officeart/2005/8/layout/process3"/>
    <dgm:cxn modelId="{5BA68669-973B-4C73-819A-B2EB950CC286}" type="presParOf" srcId="{F4CBF0C6-622B-4A45-BE85-0E97B6DEC07C}" destId="{36455CF3-8D3A-4C68-AED0-A6C33A24D38E}" srcOrd="2" destOrd="0" presId="urn:microsoft.com/office/officeart/2005/8/layout/process3"/>
  </dgm:cxnLst>
  <dgm:bg/>
  <dgm:whole>
    <a:ln>
      <a:solidFill>
        <a:schemeClr val="tx1"/>
      </a:solidFill>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E163F7-9343-4BE4-8E19-6F21D1F9193E}">
      <dsp:nvSpPr>
        <dsp:cNvPr id="0" name=""/>
        <dsp:cNvSpPr/>
      </dsp:nvSpPr>
      <dsp:spPr>
        <a:xfrm>
          <a:off x="16942" y="0"/>
          <a:ext cx="732829" cy="4401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US" sz="700" kern="1200"/>
            <a:t>Step 1</a:t>
          </a:r>
        </a:p>
        <a:p>
          <a:pPr lvl="0" algn="l" defTabSz="311150">
            <a:lnSpc>
              <a:spcPct val="90000"/>
            </a:lnSpc>
            <a:spcBef>
              <a:spcPct val="0"/>
            </a:spcBef>
            <a:spcAft>
              <a:spcPct val="35000"/>
            </a:spcAft>
          </a:pPr>
          <a:r>
            <a:rPr lang="en-US" sz="700" kern="1200"/>
            <a:t>DME Master rates update </a:t>
          </a:r>
        </a:p>
      </dsp:txBody>
      <dsp:txXfrm>
        <a:off x="16942" y="0"/>
        <a:ext cx="732829" cy="293131"/>
      </dsp:txXfrm>
    </dsp:sp>
    <dsp:sp modelId="{10B96CE8-CE50-4F9C-966C-8458AD1B7CA5}">
      <dsp:nvSpPr>
        <dsp:cNvPr id="0" name=""/>
        <dsp:cNvSpPr/>
      </dsp:nvSpPr>
      <dsp:spPr>
        <a:xfrm>
          <a:off x="154596" y="411997"/>
          <a:ext cx="732829" cy="18376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ZA" sz="700" kern="1200"/>
            <a:t>Escalation of DME Master guideline rates </a:t>
          </a:r>
          <a:endParaRPr lang="en-US" sz="700" kern="1200"/>
        </a:p>
        <a:p>
          <a:pPr marL="57150" lvl="1" indent="-57150" algn="l" defTabSz="311150">
            <a:lnSpc>
              <a:spcPct val="90000"/>
            </a:lnSpc>
            <a:spcBef>
              <a:spcPct val="0"/>
            </a:spcBef>
            <a:spcAft>
              <a:spcPct val="15000"/>
            </a:spcAft>
            <a:buChar char="••"/>
          </a:pPr>
          <a:r>
            <a:rPr lang="en-US" sz="700" kern="1200"/>
            <a:t>Using published CPI figures - SARB</a:t>
          </a:r>
        </a:p>
        <a:p>
          <a:pPr marL="57150" lvl="1" indent="-57150" algn="l" defTabSz="311150">
            <a:lnSpc>
              <a:spcPct val="90000"/>
            </a:lnSpc>
            <a:spcBef>
              <a:spcPct val="0"/>
            </a:spcBef>
            <a:spcAft>
              <a:spcPct val="15000"/>
            </a:spcAft>
            <a:buChar char="••"/>
          </a:pPr>
          <a:r>
            <a:rPr lang="en-US" sz="700" kern="1200"/>
            <a:t>Plot all values in a graph</a:t>
          </a:r>
        </a:p>
        <a:p>
          <a:pPr marL="57150" lvl="1" indent="-57150" algn="l" defTabSz="311150">
            <a:lnSpc>
              <a:spcPct val="90000"/>
            </a:lnSpc>
            <a:spcBef>
              <a:spcPct val="0"/>
            </a:spcBef>
            <a:spcAft>
              <a:spcPct val="15000"/>
            </a:spcAft>
            <a:buChar char="••"/>
          </a:pPr>
          <a:endParaRPr lang="en-ZA" sz="700" kern="1200"/>
        </a:p>
      </dsp:txBody>
      <dsp:txXfrm>
        <a:off x="176060" y="433461"/>
        <a:ext cx="689901" cy="1794759"/>
      </dsp:txXfrm>
    </dsp:sp>
    <dsp:sp modelId="{168679DF-83E7-4621-8C67-EE05AAEA3FFC}">
      <dsp:nvSpPr>
        <dsp:cNvPr id="0" name=""/>
        <dsp:cNvSpPr/>
      </dsp:nvSpPr>
      <dsp:spPr>
        <a:xfrm rot="20264">
          <a:off x="857753" y="58810"/>
          <a:ext cx="228929" cy="1824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857753" y="95140"/>
        <a:ext cx="174193" cy="109471"/>
      </dsp:txXfrm>
    </dsp:sp>
    <dsp:sp modelId="{3A3BE110-7106-4940-B537-A43E97D659AE}">
      <dsp:nvSpPr>
        <dsp:cNvPr id="0" name=""/>
        <dsp:cNvSpPr/>
      </dsp:nvSpPr>
      <dsp:spPr>
        <a:xfrm>
          <a:off x="1181706" y="6865"/>
          <a:ext cx="732829" cy="4401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US" sz="700" kern="1200"/>
            <a:t>Step 2</a:t>
          </a:r>
        </a:p>
        <a:p>
          <a:pPr lvl="0" algn="l" defTabSz="311150">
            <a:lnSpc>
              <a:spcPct val="90000"/>
            </a:lnSpc>
            <a:spcBef>
              <a:spcPct val="0"/>
            </a:spcBef>
            <a:spcAft>
              <a:spcPct val="35000"/>
            </a:spcAft>
          </a:pPr>
          <a:r>
            <a:rPr lang="en-US" sz="700" kern="1200"/>
            <a:t>Enrich the data  </a:t>
          </a:r>
        </a:p>
      </dsp:txBody>
      <dsp:txXfrm>
        <a:off x="1181706" y="6865"/>
        <a:ext cx="732829" cy="293131"/>
      </dsp:txXfrm>
    </dsp:sp>
    <dsp:sp modelId="{D39E9EDA-5B15-456A-96C8-95927CA7128F}">
      <dsp:nvSpPr>
        <dsp:cNvPr id="0" name=""/>
        <dsp:cNvSpPr/>
      </dsp:nvSpPr>
      <dsp:spPr>
        <a:xfrm>
          <a:off x="1331803" y="411997"/>
          <a:ext cx="732829" cy="18376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US" sz="700" kern="1200"/>
            <a:t>Add data from the CIDB research</a:t>
          </a:r>
        </a:p>
        <a:p>
          <a:pPr marL="57150" lvl="1" indent="-57150" algn="l" defTabSz="311150">
            <a:lnSpc>
              <a:spcPct val="90000"/>
            </a:lnSpc>
            <a:spcBef>
              <a:spcPct val="0"/>
            </a:spcBef>
            <a:spcAft>
              <a:spcPct val="15000"/>
            </a:spcAft>
            <a:buChar char="••"/>
          </a:pPr>
          <a:r>
            <a:rPr lang="en-US" sz="700" kern="1200"/>
            <a:t>Plot as additional  line to the graph already created in Step 1</a:t>
          </a:r>
        </a:p>
      </dsp:txBody>
      <dsp:txXfrm>
        <a:off x="1353267" y="433461"/>
        <a:ext cx="689901" cy="1794759"/>
      </dsp:txXfrm>
    </dsp:sp>
    <dsp:sp modelId="{CD9D8AE8-A495-4164-BFFC-A7543FD0F964}">
      <dsp:nvSpPr>
        <dsp:cNvPr id="0" name=""/>
        <dsp:cNvSpPr/>
      </dsp:nvSpPr>
      <dsp:spPr>
        <a:xfrm rot="21579950">
          <a:off x="2025628" y="58733"/>
          <a:ext cx="235524" cy="1824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025628" y="95384"/>
        <a:ext cx="180788" cy="109471"/>
      </dsp:txXfrm>
    </dsp:sp>
    <dsp:sp modelId="{5EC414F3-91F5-411C-931B-786E2D5E749E}">
      <dsp:nvSpPr>
        <dsp:cNvPr id="0" name=""/>
        <dsp:cNvSpPr/>
      </dsp:nvSpPr>
      <dsp:spPr>
        <a:xfrm>
          <a:off x="2358913" y="0"/>
          <a:ext cx="732829" cy="4401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US" sz="700" kern="1200"/>
            <a:t>Step 3</a:t>
          </a:r>
        </a:p>
        <a:p>
          <a:pPr lvl="0" algn="l" defTabSz="311150">
            <a:lnSpc>
              <a:spcPct val="90000"/>
            </a:lnSpc>
            <a:spcBef>
              <a:spcPct val="0"/>
            </a:spcBef>
            <a:spcAft>
              <a:spcPct val="35000"/>
            </a:spcAft>
          </a:pPr>
          <a:r>
            <a:rPr lang="en-US" sz="700" kern="1200"/>
            <a:t>Actual tender values</a:t>
          </a:r>
        </a:p>
      </dsp:txBody>
      <dsp:txXfrm>
        <a:off x="2358913" y="0"/>
        <a:ext cx="732829" cy="293131"/>
      </dsp:txXfrm>
    </dsp:sp>
    <dsp:sp modelId="{072157E4-3E9D-4C3D-82B5-FCE8E7225753}">
      <dsp:nvSpPr>
        <dsp:cNvPr id="0" name=""/>
        <dsp:cNvSpPr/>
      </dsp:nvSpPr>
      <dsp:spPr>
        <a:xfrm>
          <a:off x="2512294" y="452628"/>
          <a:ext cx="732829" cy="18376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ZA" sz="700" kern="1200"/>
            <a:t>Record data from actual  tendered prices  (2009 - 2016) </a:t>
          </a:r>
          <a:endParaRPr lang="en-US" sz="700" kern="1200"/>
        </a:p>
        <a:p>
          <a:pPr marL="57150" lvl="1" indent="-57150" algn="l" defTabSz="311150">
            <a:lnSpc>
              <a:spcPct val="90000"/>
            </a:lnSpc>
            <a:spcBef>
              <a:spcPct val="0"/>
            </a:spcBef>
            <a:spcAft>
              <a:spcPct val="15000"/>
            </a:spcAft>
            <a:buChar char="••"/>
          </a:pPr>
          <a:r>
            <a:rPr lang="en-ZA" sz="700" kern="1200"/>
            <a:t>Use statistical tools in MSExcel</a:t>
          </a:r>
          <a:r>
            <a:rPr lang="en-ZA" sz="700" kern="1200" baseline="30000"/>
            <a:t>TM</a:t>
          </a:r>
          <a:r>
            <a:rPr lang="en-ZA" sz="700" kern="1200"/>
            <a:t> to calculate medians per year</a:t>
          </a:r>
        </a:p>
        <a:p>
          <a:pPr marL="57150" lvl="1" indent="-57150" algn="l" defTabSz="311150">
            <a:lnSpc>
              <a:spcPct val="90000"/>
            </a:lnSpc>
            <a:spcBef>
              <a:spcPct val="0"/>
            </a:spcBef>
            <a:spcAft>
              <a:spcPct val="15000"/>
            </a:spcAft>
            <a:buChar char="••"/>
          </a:pPr>
          <a:r>
            <a:rPr lang="en-ZA" sz="700" kern="1200"/>
            <a:t>Plot this data on graphs created in Steps 1 &amp; 2</a:t>
          </a:r>
        </a:p>
        <a:p>
          <a:pPr marL="57150" lvl="1" indent="-57150" algn="l" defTabSz="311150">
            <a:lnSpc>
              <a:spcPct val="90000"/>
            </a:lnSpc>
            <a:spcBef>
              <a:spcPct val="0"/>
            </a:spcBef>
            <a:spcAft>
              <a:spcPct val="15000"/>
            </a:spcAft>
            <a:buChar char="••"/>
          </a:pPr>
          <a:endParaRPr lang="en-ZA" sz="700" kern="1200"/>
        </a:p>
      </dsp:txBody>
      <dsp:txXfrm>
        <a:off x="2533758" y="474092"/>
        <a:ext cx="689901" cy="1794759"/>
      </dsp:txXfrm>
    </dsp:sp>
    <dsp:sp modelId="{FC29A413-14A5-4CED-9365-DED5B50E69C3}">
      <dsp:nvSpPr>
        <dsp:cNvPr id="0" name=""/>
        <dsp:cNvSpPr/>
      </dsp:nvSpPr>
      <dsp:spPr>
        <a:xfrm rot="317464">
          <a:off x="3200785" y="110170"/>
          <a:ext cx="233216" cy="1824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200902" y="144137"/>
        <a:ext cx="178480" cy="109471"/>
      </dsp:txXfrm>
    </dsp:sp>
    <dsp:sp modelId="{77D4929B-F221-48E0-A118-130E900E47BE}">
      <dsp:nvSpPr>
        <dsp:cNvPr id="0" name=""/>
        <dsp:cNvSpPr/>
      </dsp:nvSpPr>
      <dsp:spPr>
        <a:xfrm>
          <a:off x="3529899" y="0"/>
          <a:ext cx="968940" cy="144908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ZA" sz="700" kern="1200"/>
            <a:t>Step 4:</a:t>
          </a:r>
        </a:p>
        <a:p>
          <a:pPr lvl="0" algn="l" defTabSz="311150">
            <a:lnSpc>
              <a:spcPct val="90000"/>
            </a:lnSpc>
            <a:spcBef>
              <a:spcPct val="0"/>
            </a:spcBef>
            <a:spcAft>
              <a:spcPct val="35000"/>
            </a:spcAft>
          </a:pPr>
          <a:r>
            <a:rPr lang="en-ZA" sz="700" kern="1200"/>
            <a:t>Sub-components of master rate  where required</a:t>
          </a:r>
        </a:p>
      </dsp:txBody>
      <dsp:txXfrm>
        <a:off x="3529899" y="0"/>
        <a:ext cx="968940" cy="531887"/>
      </dsp:txXfrm>
    </dsp:sp>
    <dsp:sp modelId="{E8CB93DF-2774-421E-A9B4-93E8037E7A89}">
      <dsp:nvSpPr>
        <dsp:cNvPr id="0" name=""/>
        <dsp:cNvSpPr/>
      </dsp:nvSpPr>
      <dsp:spPr>
        <a:xfrm>
          <a:off x="3804273" y="508823"/>
          <a:ext cx="732829" cy="18376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ZA" sz="700" kern="1200"/>
            <a:t>Certain master rates do not compare directly to bills of quantities, so were broken down into sub-components for direct comparison to the tender data. Each graphed independantly  </a:t>
          </a:r>
        </a:p>
        <a:p>
          <a:pPr marL="57150" lvl="1" indent="-57150" algn="l" defTabSz="222250">
            <a:lnSpc>
              <a:spcPct val="90000"/>
            </a:lnSpc>
            <a:spcBef>
              <a:spcPct val="0"/>
            </a:spcBef>
            <a:spcAft>
              <a:spcPct val="15000"/>
            </a:spcAft>
            <a:buChar char="••"/>
          </a:pPr>
          <a:endParaRPr lang="en-ZA" sz="500" kern="1200"/>
        </a:p>
      </dsp:txBody>
      <dsp:txXfrm>
        <a:off x="3825737" y="530287"/>
        <a:ext cx="689901" cy="1794759"/>
      </dsp:txXfrm>
    </dsp:sp>
    <dsp:sp modelId="{73D8B8E6-2CA2-4F07-BC42-4841B7F88F15}">
      <dsp:nvSpPr>
        <dsp:cNvPr id="0" name=""/>
        <dsp:cNvSpPr/>
      </dsp:nvSpPr>
      <dsp:spPr>
        <a:xfrm rot="21254388">
          <a:off x="4581528" y="108570"/>
          <a:ext cx="177142" cy="1824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ZA" sz="400" kern="1200"/>
        </a:p>
      </dsp:txBody>
      <dsp:txXfrm>
        <a:off x="4581662" y="147728"/>
        <a:ext cx="123999" cy="109471"/>
      </dsp:txXfrm>
    </dsp:sp>
    <dsp:sp modelId="{E321D817-D43C-4F1F-82AC-9778D905D61E}">
      <dsp:nvSpPr>
        <dsp:cNvPr id="0" name=""/>
        <dsp:cNvSpPr/>
      </dsp:nvSpPr>
      <dsp:spPr>
        <a:xfrm>
          <a:off x="4831383" y="0"/>
          <a:ext cx="732829" cy="4401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US" sz="700" kern="1200"/>
            <a:t>Step 5</a:t>
          </a:r>
        </a:p>
        <a:p>
          <a:pPr lvl="0" algn="l" defTabSz="311150">
            <a:lnSpc>
              <a:spcPct val="90000"/>
            </a:lnSpc>
            <a:spcBef>
              <a:spcPct val="0"/>
            </a:spcBef>
            <a:spcAft>
              <a:spcPct val="35000"/>
            </a:spcAft>
          </a:pPr>
          <a:r>
            <a:rPr lang="en-US" sz="700" kern="1200"/>
            <a:t>Compare &amp; analyse </a:t>
          </a:r>
        </a:p>
      </dsp:txBody>
      <dsp:txXfrm>
        <a:off x="4831383" y="0"/>
        <a:ext cx="732829" cy="293131"/>
      </dsp:txXfrm>
    </dsp:sp>
    <dsp:sp modelId="{36455CF3-8D3A-4C68-AED0-A6C33A24D38E}">
      <dsp:nvSpPr>
        <dsp:cNvPr id="0" name=""/>
        <dsp:cNvSpPr/>
      </dsp:nvSpPr>
      <dsp:spPr>
        <a:xfrm>
          <a:off x="4981481" y="411997"/>
          <a:ext cx="732829" cy="18376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US" sz="700" kern="1200"/>
            <a:t>Compare tendered values and DME guideline rates</a:t>
          </a:r>
        </a:p>
        <a:p>
          <a:pPr marL="57150" lvl="1" indent="-57150" algn="l" defTabSz="311150">
            <a:lnSpc>
              <a:spcPct val="90000"/>
            </a:lnSpc>
            <a:spcBef>
              <a:spcPct val="0"/>
            </a:spcBef>
            <a:spcAft>
              <a:spcPct val="15000"/>
            </a:spcAft>
            <a:buChar char="••"/>
          </a:pPr>
          <a:r>
            <a:rPr lang="en-US" sz="700" kern="1200"/>
            <a:t>Compare, analyse and deduce trends/ deviations </a:t>
          </a:r>
        </a:p>
      </dsp:txBody>
      <dsp:txXfrm>
        <a:off x="5002945" y="433461"/>
        <a:ext cx="689901" cy="179475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23A3F-3688-45B7-A898-01CF09706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100</Pages>
  <Words>25574</Words>
  <Characters>145777</Characters>
  <Application>Microsoft Office Word</Application>
  <DocSecurity>0</DocSecurity>
  <Lines>1214</Lines>
  <Paragraphs>342</Paragraphs>
  <ScaleCrop>false</ScaleCrop>
  <HeadingPairs>
    <vt:vector size="2" baseType="variant">
      <vt:variant>
        <vt:lpstr>Title</vt:lpstr>
      </vt:variant>
      <vt:variant>
        <vt:i4>1</vt:i4>
      </vt:variant>
    </vt:vector>
  </HeadingPairs>
  <TitlesOfParts>
    <vt:vector size="1" baseType="lpstr">
      <vt:lpstr>MINN7044 H Cornelissen Wits 813834</vt:lpstr>
    </vt:vector>
  </TitlesOfParts>
  <Company>Mintek</Company>
  <LinksUpToDate>false</LinksUpToDate>
  <CharactersWithSpaces>171009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MINN7044 H Cornelissen Wits 813834</dc:title>
  <dc:subject>Research paper MINN7044</dc:subject>
  <dc:creator>Herman Cornelissen</dc:creator>
  <cp:keywords>Closure;mining;wits;closure costs;mine closure costs;thesis</cp:keywords>
  <dc:description/>
  <cp:lastModifiedBy>Herman Cornelissen</cp:lastModifiedBy>
  <cp:revision>4</cp:revision>
  <cp:lastPrinted>2018-07-16T13:05:00Z</cp:lastPrinted>
  <dcterms:created xsi:type="dcterms:W3CDTF">2018-07-17T10:30:00Z</dcterms:created>
  <dcterms:modified xsi:type="dcterms:W3CDTF">2018-07-17T10:42:00Z</dcterms:modified>
</cp:coreProperties>
</file>