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A17" w:rsidRPr="00566BF3" w:rsidRDefault="008B7A17" w:rsidP="00A02570">
      <w:pPr>
        <w:spacing w:line="360" w:lineRule="auto"/>
        <w:jc w:val="center"/>
        <w:rPr>
          <w:rFonts w:ascii="Times New Roman" w:hAnsi="Times New Roman" w:cs="Times New Roman"/>
          <w:b/>
          <w:sz w:val="40"/>
        </w:rPr>
      </w:pPr>
      <w:r w:rsidRPr="00566BF3">
        <w:rPr>
          <w:rFonts w:ascii="Times New Roman" w:hAnsi="Times New Roman" w:cs="Times New Roman"/>
          <w:b/>
          <w:sz w:val="40"/>
        </w:rPr>
        <w:t xml:space="preserve">A South African look at </w:t>
      </w:r>
      <w:r w:rsidR="002B493B">
        <w:rPr>
          <w:rFonts w:ascii="Times New Roman" w:hAnsi="Times New Roman" w:cs="Times New Roman"/>
          <w:b/>
          <w:sz w:val="40"/>
        </w:rPr>
        <w:t xml:space="preserve">value vs. growth </w:t>
      </w:r>
      <w:r w:rsidRPr="00566BF3">
        <w:rPr>
          <w:rFonts w:ascii="Times New Roman" w:hAnsi="Times New Roman" w:cs="Times New Roman"/>
          <w:b/>
          <w:sz w:val="40"/>
        </w:rPr>
        <w:t>investing, extrapolation, and risk</w:t>
      </w: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301636" w:rsidP="00A02570">
      <w:pPr>
        <w:spacing w:line="360" w:lineRule="auto"/>
        <w:jc w:val="both"/>
        <w:rPr>
          <w:rFonts w:ascii="Times New Roman" w:hAnsi="Times New Roman" w:cs="Times New Roman"/>
          <w:b/>
          <w:sz w:val="36"/>
          <w:u w:val="single"/>
        </w:rPr>
      </w:pPr>
      <w:r>
        <w:rPr>
          <w:rFonts w:ascii="Times New Roman" w:hAnsi="Times New Roman" w:cs="Times New Roman"/>
          <w:b/>
          <w:noProof/>
          <w:sz w:val="36"/>
          <w:u w:val="single"/>
        </w:rPr>
        <w:drawing>
          <wp:anchor distT="0" distB="0" distL="114300" distR="114300" simplePos="0" relativeHeight="251661312" behindDoc="1" locked="0" layoutInCell="1" allowOverlap="1">
            <wp:simplePos x="0" y="0"/>
            <wp:positionH relativeFrom="margin">
              <wp:align>center</wp:align>
            </wp:positionH>
            <wp:positionV relativeFrom="margin">
              <wp:posOffset>2028825</wp:posOffset>
            </wp:positionV>
            <wp:extent cx="2151380" cy="2200275"/>
            <wp:effectExtent l="1905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151380" cy="2200275"/>
                    </a:xfrm>
                    <a:prstGeom prst="rect">
                      <a:avLst/>
                    </a:prstGeom>
                    <a:noFill/>
                    <a:ln w="9525">
                      <a:noFill/>
                      <a:miter lim="800000"/>
                      <a:headEnd/>
                      <a:tailEnd/>
                    </a:ln>
                  </pic:spPr>
                </pic:pic>
              </a:graphicData>
            </a:graphic>
          </wp:anchor>
        </w:drawing>
      </w: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tabs>
          <w:tab w:val="left" w:pos="3495"/>
          <w:tab w:val="center" w:pos="4513"/>
        </w:tabs>
        <w:spacing w:line="360" w:lineRule="auto"/>
        <w:jc w:val="both"/>
        <w:rPr>
          <w:rFonts w:ascii="Times New Roman" w:hAnsi="Times New Roman" w:cs="Times New Roman"/>
          <w:b/>
          <w:sz w:val="36"/>
          <w:u w:val="single"/>
        </w:rPr>
      </w:pPr>
    </w:p>
    <w:p w:rsidR="008B7A17" w:rsidRPr="00566BF3" w:rsidRDefault="000963F3" w:rsidP="00A02570">
      <w:pPr>
        <w:tabs>
          <w:tab w:val="left" w:pos="3495"/>
          <w:tab w:val="center" w:pos="4513"/>
        </w:tabs>
        <w:spacing w:line="360" w:lineRule="auto"/>
        <w:jc w:val="both"/>
        <w:rPr>
          <w:rFonts w:ascii="Times New Roman" w:hAnsi="Times New Roman" w:cs="Times New Roman"/>
          <w:b/>
          <w:sz w:val="36"/>
          <w:u w:val="single"/>
        </w:rPr>
      </w:pPr>
      <w:r>
        <w:rPr>
          <w:rFonts w:ascii="Times New Roman" w:hAnsi="Times New Roman" w:cs="Times New Roman"/>
          <w:b/>
          <w:noProof/>
          <w:sz w:val="36"/>
          <w:u w:val="single"/>
        </w:rPr>
        <w:pict>
          <v:shapetype id="_x0000_t202" coordsize="21600,21600" o:spt="202" path="m,l,21600r21600,l21600,xe">
            <v:stroke joinstyle="miter"/>
            <v:path gradientshapeok="t" o:connecttype="rect"/>
          </v:shapetype>
          <v:shape id="Text Box 2" o:spid="_x0000_s1026" type="#_x0000_t202" style="position:absolute;left:0;text-align:left;margin-left:-19.35pt;margin-top:39.85pt;width:277.3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xJghgIAABAFAAAOAAAAZHJzL2Uyb0RvYy54bWysVMlu2zAQvRfoPxC8O1oi2ZZgOchSFwXS&#10;BUj6AbRIWUQpkiVpS2nQf++Qsh11ORRFdZC4DB/fzHuj1dXQCXRgxnIlK5xcxBgxWSvK5a7Cnx83&#10;syVG1hFJiVCSVfiJWXy1fv1q1euSpapVgjKDAETastcVbp3TZRTZumUdsRdKMwmbjTIdcTA1u4ga&#10;0gN6J6I0judRrwzVRtXMWli9GzfxOuA3Davdx6axzCFRYeDmwtuE99a/o/WKlDtDdMvrIw3yDyw6&#10;wiVceoa6I46gveG/QXW8Nsqqxl3UqotU0/CahRwgmyT+JZuHlmgWcoHiWH0uk/1/sPWHwyeDOAXt&#10;MJKkA4ke2eDQjRpQ6qvTa1tC0IOGMDfAso/0mVp9r+ovFkl12xK5Y9fGqL5lhAK7xJ+MJkdHHOtB&#10;tv17ReEasncqAA2N6TwgFAMBOqj0dFbGU6lh8TJP08ssx6iGvTRbzPM4aBeR8nRcG+veMtUhP6iw&#10;AekDPDncW+fpkPIUEugrwemGCxEmZre9FQYdCNhkE56QAWQ5DRPSB0vlj42I4wqwhDv8nucbZH8u&#10;kjSLb9JitpkvF7Nsk+WzYhEvZ3FS3BTzOCuyu813TzDJypZTyuQ9l+xkwST7O4mPzTCaJ5gQ9RUu&#10;8jQfNZqyt9Mk4/D8KcmOO+hIwbsKL89BpPTKvpEU0ialI1yM4+hn+qHKUIPTN1Ql+MBLP5rADdsB&#10;ULw5too+gSOMAr1AdviNwKBV5htGPbRkhe3XPTEMI/FOgquKJMt8D4dJli9SmJjpzna6Q2QNUBV2&#10;GI3DWzf2/V4bvmvhptHHUl2DExsePPLC6uhfaLuQzPEX4ft6Og9RLz+y9Q8AAAD//wMAUEsDBBQA&#10;BgAIAAAAIQAy5sCe3wAAAAoBAAAPAAAAZHJzL2Rvd25yZXYueG1sTI/BTsNADETvSPzDypW4oHZT&#10;aJM2xKkACcS1pR/gJNskatYbZbdN+veYE5wse0bjN9lusp26msG3jhGWiwiU4dJVLdcIx++P+QaU&#10;D8QVdY4Nws142OX3dxmllRt5b66HUCsJYZ8SQhNCn2rty8ZY8gvXGxbt5AZLQdah1tVAo4TbTj9F&#10;UawttSwfGurNe2PK8+FiEU5f4+N6Oxaf4ZjsV/EbtUnhbogPs+n1BVQwU/gzwy++oEMuTIW7cOVV&#10;hzB/3iRiRUi2MsWwXsZSrkBYxXLReab/V8h/AAAA//8DAFBLAQItABQABgAIAAAAIQC2gziS/gAA&#10;AOEBAAATAAAAAAAAAAAAAAAAAAAAAABbQ29udGVudF9UeXBlc10ueG1sUEsBAi0AFAAGAAgAAAAh&#10;ADj9If/WAAAAlAEAAAsAAAAAAAAAAAAAAAAALwEAAF9yZWxzLy5yZWxzUEsBAi0AFAAGAAgAAAAh&#10;ALbrEmCGAgAAEAUAAA4AAAAAAAAAAAAAAAAALgIAAGRycy9lMm9Eb2MueG1sUEsBAi0AFAAGAAgA&#10;AAAhADLmwJ7fAAAACgEAAA8AAAAAAAAAAAAAAAAA4AQAAGRycy9kb3ducmV2LnhtbFBLBQYAAAAA&#10;BAAEAPMAAADsBQAAAAA=&#10;" stroked="f">
            <v:textbox>
              <w:txbxContent>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Author:</w:t>
                  </w:r>
                  <w:r w:rsidRPr="00896D93">
                    <w:rPr>
                      <w:rFonts w:ascii="Times New Roman" w:hAnsi="Times New Roman" w:cs="Times New Roman"/>
                      <w:sz w:val="24"/>
                    </w:rPr>
                    <w:t xml:space="preserve"> Faryn Jago</w:t>
                  </w:r>
                  <w:r w:rsidRPr="00896D93">
                    <w:rPr>
                      <w:rFonts w:ascii="Times New Roman" w:hAnsi="Times New Roman" w:cs="Times New Roman"/>
                      <w:sz w:val="24"/>
                    </w:rPr>
                    <w:tab/>
                  </w:r>
                </w:p>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Student Number:</w:t>
                  </w:r>
                  <w:r w:rsidRPr="00896D93">
                    <w:rPr>
                      <w:rFonts w:ascii="Times New Roman" w:hAnsi="Times New Roman" w:cs="Times New Roman"/>
                      <w:sz w:val="24"/>
                    </w:rPr>
                    <w:t xml:space="preserve"> 0504390M</w:t>
                  </w:r>
                </w:p>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Degree:</w:t>
                  </w:r>
                  <w:r w:rsidRPr="00896D93">
                    <w:rPr>
                      <w:rFonts w:ascii="Times New Roman" w:hAnsi="Times New Roman" w:cs="Times New Roman"/>
                      <w:sz w:val="24"/>
                    </w:rPr>
                    <w:t xml:space="preserve">  MCom </w:t>
                  </w:r>
                  <w:r>
                    <w:rPr>
                      <w:rFonts w:ascii="Times New Roman" w:hAnsi="Times New Roman" w:cs="Times New Roman"/>
                      <w:sz w:val="24"/>
                    </w:rPr>
                    <w:t xml:space="preserve">Business </w:t>
                  </w:r>
                  <w:r w:rsidRPr="00896D93">
                    <w:rPr>
                      <w:rFonts w:ascii="Times New Roman" w:hAnsi="Times New Roman" w:cs="Times New Roman"/>
                      <w:sz w:val="24"/>
                    </w:rPr>
                    <w:t>Finance by 100% Dissertation</w:t>
                  </w:r>
                </w:p>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University:</w:t>
                  </w:r>
                  <w:r w:rsidRPr="00896D93">
                    <w:rPr>
                      <w:rFonts w:ascii="Times New Roman" w:hAnsi="Times New Roman" w:cs="Times New Roman"/>
                      <w:sz w:val="24"/>
                    </w:rPr>
                    <w:t xml:space="preserve"> University of the Witwatersrand</w:t>
                  </w:r>
                </w:p>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Faculty:</w:t>
                  </w:r>
                  <w:r>
                    <w:rPr>
                      <w:rFonts w:ascii="Times New Roman" w:hAnsi="Times New Roman" w:cs="Times New Roman"/>
                      <w:sz w:val="24"/>
                    </w:rPr>
                    <w:t xml:space="preserve"> Commerce, Law, and Management</w:t>
                  </w:r>
                </w:p>
                <w:p w:rsidR="00864669" w:rsidRPr="00896D93" w:rsidRDefault="00864669" w:rsidP="008B7A17">
                  <w:pPr>
                    <w:rPr>
                      <w:rFonts w:ascii="Times New Roman" w:hAnsi="Times New Roman" w:cs="Times New Roman"/>
                      <w:sz w:val="24"/>
                    </w:rPr>
                  </w:pPr>
                  <w:r>
                    <w:rPr>
                      <w:rFonts w:ascii="Times New Roman" w:hAnsi="Times New Roman" w:cs="Times New Roman"/>
                      <w:b/>
                      <w:sz w:val="24"/>
                    </w:rPr>
                    <w:t xml:space="preserve">School: </w:t>
                  </w:r>
                  <w:r w:rsidRPr="00896D93">
                    <w:rPr>
                      <w:rFonts w:ascii="Times New Roman" w:hAnsi="Times New Roman" w:cs="Times New Roman"/>
                      <w:sz w:val="24"/>
                    </w:rPr>
                    <w:t>School of Economic &amp; Business Sciences</w:t>
                  </w:r>
                </w:p>
                <w:p w:rsidR="00864669" w:rsidRPr="00896D93" w:rsidRDefault="00864669" w:rsidP="008B7A17">
                  <w:pPr>
                    <w:rPr>
                      <w:rFonts w:ascii="Times New Roman" w:hAnsi="Times New Roman" w:cs="Times New Roman"/>
                      <w:sz w:val="24"/>
                    </w:rPr>
                  </w:pPr>
                  <w:r w:rsidRPr="00896D93">
                    <w:rPr>
                      <w:rFonts w:ascii="Times New Roman" w:hAnsi="Times New Roman" w:cs="Times New Roman"/>
                      <w:b/>
                      <w:sz w:val="24"/>
                    </w:rPr>
                    <w:t>Supervisor:</w:t>
                  </w:r>
                  <w:r w:rsidRPr="00896D93">
                    <w:rPr>
                      <w:rFonts w:ascii="Times New Roman" w:hAnsi="Times New Roman" w:cs="Times New Roman"/>
                      <w:sz w:val="24"/>
                    </w:rPr>
                    <w:t xml:space="preserve"> Professor Christo Auret</w:t>
                  </w:r>
                </w:p>
              </w:txbxContent>
            </v:textbox>
          </v:shape>
        </w:pict>
      </w: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8B7A17" w:rsidRPr="00566BF3" w:rsidRDefault="008B7A17" w:rsidP="00A02570">
      <w:pPr>
        <w:spacing w:line="360" w:lineRule="auto"/>
        <w:jc w:val="both"/>
        <w:rPr>
          <w:rFonts w:ascii="Times New Roman" w:hAnsi="Times New Roman" w:cs="Times New Roman"/>
          <w:b/>
          <w:sz w:val="36"/>
          <w:u w:val="single"/>
        </w:rPr>
      </w:pPr>
    </w:p>
    <w:p w:rsidR="0092177F" w:rsidRPr="00566BF3" w:rsidRDefault="0092177F" w:rsidP="00A02570">
      <w:pPr>
        <w:spacing w:line="360" w:lineRule="auto"/>
        <w:jc w:val="both"/>
        <w:rPr>
          <w:rFonts w:ascii="Times New Roman" w:hAnsi="Times New Roman" w:cs="Times New Roman"/>
          <w:b/>
          <w:sz w:val="36"/>
          <w:u w:val="single"/>
        </w:rPr>
      </w:pPr>
      <w:r w:rsidRPr="00566BF3">
        <w:rPr>
          <w:rFonts w:ascii="Times New Roman" w:hAnsi="Times New Roman" w:cs="Times New Roman"/>
          <w:b/>
          <w:sz w:val="36"/>
          <w:u w:val="single"/>
        </w:rPr>
        <w:t>Contents</w:t>
      </w:r>
    </w:p>
    <w:p w:rsidR="00045313" w:rsidRPr="00566BF3" w:rsidRDefault="008857F6" w:rsidP="00A02570">
      <w:pPr>
        <w:pStyle w:val="Heading1"/>
        <w:spacing w:line="360" w:lineRule="auto"/>
        <w:jc w:val="both"/>
        <w:rPr>
          <w:rFonts w:ascii="Times New Roman" w:hAnsi="Times New Roman" w:cs="Times New Roman"/>
          <w:sz w:val="36"/>
        </w:rPr>
      </w:pPr>
      <w:bookmarkStart w:id="0" w:name="_Toc305166484"/>
      <w:r w:rsidRPr="00566BF3">
        <w:rPr>
          <w:rFonts w:ascii="Times New Roman" w:hAnsi="Times New Roman" w:cs="Times New Roman"/>
          <w:sz w:val="36"/>
        </w:rPr>
        <w:lastRenderedPageBreak/>
        <w:t>Declaration</w:t>
      </w:r>
      <w:bookmarkEnd w:id="0"/>
    </w:p>
    <w:p w:rsidR="008857F6" w:rsidRDefault="008857F6" w:rsidP="00A02570">
      <w:pPr>
        <w:spacing w:line="360" w:lineRule="auto"/>
        <w:jc w:val="both"/>
        <w:rPr>
          <w:rFonts w:ascii="Times New Roman" w:hAnsi="Times New Roman" w:cs="Times New Roman"/>
        </w:rPr>
      </w:pPr>
    </w:p>
    <w:p w:rsidR="00905FD2" w:rsidRPr="00905FD2" w:rsidRDefault="00905FD2" w:rsidP="00905FD2">
      <w:pPr>
        <w:spacing w:after="0" w:line="360" w:lineRule="auto"/>
        <w:jc w:val="both"/>
        <w:rPr>
          <w:rFonts w:ascii="Times New Roman" w:eastAsia="Times New Roman" w:hAnsi="Times New Roman"/>
          <w:sz w:val="24"/>
        </w:rPr>
      </w:pPr>
      <w:r w:rsidRPr="00905FD2">
        <w:rPr>
          <w:rFonts w:ascii="Times New Roman" w:eastAsia="Times New Roman" w:hAnsi="Times New Roman"/>
          <w:sz w:val="24"/>
        </w:rPr>
        <w:t>I, Faryn Jago, declare that this research report is my own, unaided work. It is submitted in fulfilment of the requirements for the degree of Master of Commerce in Business Finance at the University of the Witwatersrand, Johannesburg. It has not been submitted before for any degree or examination in this or any other university.</w:t>
      </w: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Default="00807BD0" w:rsidP="00A02570">
      <w:pPr>
        <w:spacing w:line="360" w:lineRule="auto"/>
        <w:jc w:val="both"/>
        <w:rPr>
          <w:rFonts w:ascii="Times New Roman" w:hAnsi="Times New Roman" w:cs="Times New Roman"/>
        </w:rPr>
      </w:pPr>
    </w:p>
    <w:p w:rsidR="00807BD0" w:rsidRPr="00566BF3" w:rsidRDefault="00807BD0" w:rsidP="00A02570">
      <w:pPr>
        <w:spacing w:line="360" w:lineRule="auto"/>
        <w:jc w:val="both"/>
        <w:rPr>
          <w:rFonts w:ascii="Times New Roman" w:hAnsi="Times New Roman" w:cs="Times New Roman"/>
        </w:rPr>
      </w:pPr>
    </w:p>
    <w:p w:rsidR="008857F6" w:rsidRPr="00566BF3" w:rsidRDefault="008857F6" w:rsidP="00A02570">
      <w:pPr>
        <w:pStyle w:val="Heading1"/>
        <w:spacing w:line="360" w:lineRule="auto"/>
        <w:jc w:val="both"/>
        <w:rPr>
          <w:rFonts w:ascii="Times New Roman" w:hAnsi="Times New Roman" w:cs="Times New Roman"/>
          <w:sz w:val="36"/>
        </w:rPr>
      </w:pPr>
      <w:bookmarkStart w:id="1" w:name="_Toc305166485"/>
      <w:r w:rsidRPr="00566BF3">
        <w:rPr>
          <w:rFonts w:ascii="Times New Roman" w:hAnsi="Times New Roman" w:cs="Times New Roman"/>
          <w:sz w:val="36"/>
        </w:rPr>
        <w:lastRenderedPageBreak/>
        <w:t>Acknowledgments</w:t>
      </w:r>
      <w:bookmarkStart w:id="2" w:name="_Toc281403396"/>
      <w:bookmarkEnd w:id="1"/>
      <w:r w:rsidRPr="00566BF3">
        <w:rPr>
          <w:rFonts w:ascii="Times New Roman" w:hAnsi="Times New Roman" w:cs="Times New Roman"/>
          <w:sz w:val="36"/>
        </w:rPr>
        <w:t xml:space="preserve"> </w:t>
      </w:r>
      <w:bookmarkEnd w:id="2"/>
    </w:p>
    <w:p w:rsidR="008857F6" w:rsidRPr="00566BF3" w:rsidRDefault="008857F6" w:rsidP="00A02570">
      <w:pPr>
        <w:spacing w:line="360" w:lineRule="auto"/>
        <w:jc w:val="both"/>
        <w:rPr>
          <w:rFonts w:ascii="Times New Roman" w:hAnsi="Times New Roman" w:cs="Times New Roman"/>
          <w:b/>
          <w:sz w:val="36"/>
          <w:u w:val="single"/>
        </w:rPr>
      </w:pPr>
    </w:p>
    <w:p w:rsidR="008857F6" w:rsidRPr="00566BF3" w:rsidRDefault="008857F6" w:rsidP="00A02570">
      <w:pPr>
        <w:spacing w:line="360" w:lineRule="auto"/>
        <w:jc w:val="both"/>
        <w:rPr>
          <w:rFonts w:ascii="Times New Roman" w:hAnsi="Times New Roman" w:cs="Times New Roman"/>
          <w:sz w:val="24"/>
        </w:rPr>
      </w:pPr>
      <w:r w:rsidRPr="00566BF3">
        <w:rPr>
          <w:rFonts w:ascii="Times New Roman" w:hAnsi="Times New Roman" w:cs="Times New Roman"/>
          <w:sz w:val="24"/>
        </w:rPr>
        <w:t>To my supervisor, Professor Christo Auret, thank you for being there whenever I needed help, your continual guidance and support is greatly appreciated.</w:t>
      </w:r>
      <w:r w:rsidR="00881E44">
        <w:rPr>
          <w:rFonts w:ascii="Times New Roman" w:hAnsi="Times New Roman" w:cs="Times New Roman"/>
          <w:sz w:val="24"/>
        </w:rPr>
        <w:t xml:space="preserve"> Thanks to my family for their support, patience, encouragement, and sacrifices rendered.</w:t>
      </w:r>
      <w:r w:rsidRPr="00566BF3">
        <w:rPr>
          <w:rFonts w:ascii="Times New Roman" w:hAnsi="Times New Roman" w:cs="Times New Roman"/>
          <w:sz w:val="24"/>
        </w:rPr>
        <w:t xml:space="preserve"> Special mention must be made to Rael Cline, who gave up a lot of his time to talk me through portfolio formation, Exc</w:t>
      </w:r>
      <w:r w:rsidR="00881E44">
        <w:rPr>
          <w:rFonts w:ascii="Times New Roman" w:hAnsi="Times New Roman" w:cs="Times New Roman"/>
          <w:sz w:val="24"/>
        </w:rPr>
        <w:t>el spreadsheets and formulae. Finally, sincere appreciation to my fellow course mates that have made my journey throughout this process an unforgettable memory.</w:t>
      </w:r>
    </w:p>
    <w:p w:rsidR="008857F6" w:rsidRDefault="008857F6"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EE6158" w:rsidRDefault="00EE6158" w:rsidP="00A02570">
      <w:pPr>
        <w:spacing w:line="360" w:lineRule="auto"/>
        <w:jc w:val="both"/>
        <w:rPr>
          <w:rFonts w:ascii="Times New Roman" w:hAnsi="Times New Roman" w:cs="Times New Roman"/>
          <w:sz w:val="24"/>
        </w:rPr>
      </w:pPr>
    </w:p>
    <w:p w:rsidR="00090512" w:rsidRDefault="00090512" w:rsidP="00A02570">
      <w:pPr>
        <w:spacing w:line="360" w:lineRule="auto"/>
        <w:jc w:val="both"/>
        <w:rPr>
          <w:rFonts w:ascii="Times New Roman" w:hAnsi="Times New Roman" w:cs="Times New Roman"/>
          <w:sz w:val="24"/>
        </w:rPr>
      </w:pPr>
    </w:p>
    <w:p w:rsidR="00905FD2" w:rsidRPr="00566BF3" w:rsidRDefault="00905FD2" w:rsidP="00A02570">
      <w:pPr>
        <w:spacing w:line="360" w:lineRule="auto"/>
        <w:jc w:val="both"/>
        <w:rPr>
          <w:rFonts w:ascii="Times New Roman" w:hAnsi="Times New Roman" w:cs="Times New Roman"/>
          <w:sz w:val="24"/>
        </w:rPr>
      </w:pPr>
    </w:p>
    <w:p w:rsidR="008857F6" w:rsidRDefault="008857F6" w:rsidP="00A02570">
      <w:pPr>
        <w:pStyle w:val="Heading1"/>
        <w:spacing w:line="360" w:lineRule="auto"/>
        <w:jc w:val="both"/>
        <w:rPr>
          <w:rFonts w:ascii="Times New Roman" w:hAnsi="Times New Roman" w:cs="Times New Roman"/>
          <w:sz w:val="36"/>
        </w:rPr>
      </w:pPr>
      <w:bookmarkStart w:id="3" w:name="_Toc305166486"/>
      <w:r w:rsidRPr="00566BF3">
        <w:rPr>
          <w:rFonts w:ascii="Times New Roman" w:hAnsi="Times New Roman" w:cs="Times New Roman"/>
          <w:sz w:val="36"/>
        </w:rPr>
        <w:lastRenderedPageBreak/>
        <w:t>Definition of Terms</w:t>
      </w:r>
      <w:bookmarkEnd w:id="3"/>
    </w:p>
    <w:p w:rsidR="00B75A8B" w:rsidRPr="00B75A8B" w:rsidRDefault="00B75A8B" w:rsidP="00B75A8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7149"/>
      </w:tblGrid>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AMEX</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American Stock Exchange</w:t>
            </w:r>
          </w:p>
        </w:tc>
      </w:tr>
      <w:tr w:rsidR="0004281D" w:rsidTr="00004D15">
        <w:trPr>
          <w:trHeight w:val="70"/>
        </w:trPr>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APT </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Arbitrage Pricing Theory</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ASE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Athens Stock Exchange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B/H</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Large </w:t>
            </w:r>
            <w:r w:rsidR="00610C8D">
              <w:rPr>
                <w:rFonts w:ascii="Times New Roman" w:hAnsi="Times New Roman" w:cs="Times New Roman"/>
              </w:rPr>
              <w:t>capitalisation</w:t>
            </w:r>
            <w:r>
              <w:rPr>
                <w:rFonts w:ascii="Times New Roman" w:hAnsi="Times New Roman" w:cs="Times New Roman"/>
              </w:rPr>
              <w:t>, high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B/L</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Large </w:t>
            </w:r>
            <w:r w:rsidR="00610C8D">
              <w:rPr>
                <w:rFonts w:ascii="Times New Roman" w:hAnsi="Times New Roman" w:cs="Times New Roman"/>
              </w:rPr>
              <w:t>capitalisation</w:t>
            </w:r>
            <w:r>
              <w:rPr>
                <w:rFonts w:ascii="Times New Roman" w:hAnsi="Times New Roman" w:cs="Times New Roman"/>
              </w:rPr>
              <w:t>, low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B/M</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Large </w:t>
            </w:r>
            <w:r w:rsidR="00610C8D">
              <w:rPr>
                <w:rFonts w:ascii="Times New Roman" w:hAnsi="Times New Roman" w:cs="Times New Roman"/>
              </w:rPr>
              <w:t>capitalisation</w:t>
            </w:r>
            <w:r>
              <w:rPr>
                <w:rFonts w:ascii="Times New Roman" w:hAnsi="Times New Roman" w:cs="Times New Roman"/>
              </w:rPr>
              <w:t>, medium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BTM</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Book value-to-market value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C/P</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Cash flow-to-price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CAPM</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Capital Asset Pricing Model</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CAR</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Cumulative abnormal returns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CEO</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Chief Executive Officer</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CRSP</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The Center For Research in Security Prices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D/E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Debt-equity ratio (leverage)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D/P</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Dividends-to-price (the dividend yield)</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E/P</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Earnings-to-price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EI</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Earnings before extraordinary items, after depreciation, taxes, interest, and preference dividends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EI/B</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Earnings yield</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EMH</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Efficient Market Hypothesis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EPS</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Earnings per share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FF3</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Fama and French three factor model</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GS</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Past growth in sales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HML</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High minus low book-to-market stocks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JSE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Johannesburg Stock Exchange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LSE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London Stock Exchange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LSPD</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London Share Price Database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MCap</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Market </w:t>
            </w:r>
            <w:r w:rsidR="00610C8D">
              <w:rPr>
                <w:rFonts w:ascii="Times New Roman" w:hAnsi="Times New Roman" w:cs="Times New Roman"/>
              </w:rPr>
              <w:t>capitalisation</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MCH</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Mispricing-correction hypothesis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NASDAQ</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National Association of Securities Dealers Automated Quotation</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NYSE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New York Stock Exchange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OLS </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Ordinary least squares </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P/B or P/BV</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Price-to-book value (the inverse of BTM)</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P/E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Price-to-earnings (the inverse of E/P)</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R&amp;D</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Research and development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lastRenderedPageBreak/>
              <w:t>S/H</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Small </w:t>
            </w:r>
            <w:r w:rsidR="00610C8D">
              <w:rPr>
                <w:rFonts w:ascii="Times New Roman" w:hAnsi="Times New Roman" w:cs="Times New Roman"/>
              </w:rPr>
              <w:t>capitalisation</w:t>
            </w:r>
            <w:r>
              <w:rPr>
                <w:rFonts w:ascii="Times New Roman" w:hAnsi="Times New Roman" w:cs="Times New Roman"/>
              </w:rPr>
              <w:t>, high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S/L</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Small </w:t>
            </w:r>
            <w:r w:rsidR="00610C8D">
              <w:rPr>
                <w:rFonts w:ascii="Times New Roman" w:hAnsi="Times New Roman" w:cs="Times New Roman"/>
              </w:rPr>
              <w:t>capitalisation</w:t>
            </w:r>
            <w:r>
              <w:rPr>
                <w:rFonts w:ascii="Times New Roman" w:hAnsi="Times New Roman" w:cs="Times New Roman"/>
              </w:rPr>
              <w:t>, low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S/M</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Small </w:t>
            </w:r>
            <w:r w:rsidR="00610C8D">
              <w:rPr>
                <w:rFonts w:ascii="Times New Roman" w:hAnsi="Times New Roman" w:cs="Times New Roman"/>
              </w:rPr>
              <w:t>capitalisation</w:t>
            </w:r>
            <w:r>
              <w:rPr>
                <w:rFonts w:ascii="Times New Roman" w:hAnsi="Times New Roman" w:cs="Times New Roman"/>
              </w:rPr>
              <w:t>, medium book-to-market</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SMB</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Small minus big </w:t>
            </w:r>
            <w:r w:rsidR="00610C8D">
              <w:rPr>
                <w:rFonts w:ascii="Times New Roman" w:hAnsi="Times New Roman" w:cs="Times New Roman"/>
              </w:rPr>
              <w:t>capitalisation</w:t>
            </w:r>
            <w:r>
              <w:rPr>
                <w:rFonts w:ascii="Times New Roman" w:hAnsi="Times New Roman" w:cs="Times New Roman"/>
              </w:rPr>
              <w:t xml:space="preserve"> stocks</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SUR</w:t>
            </w:r>
          </w:p>
        </w:tc>
        <w:tc>
          <w:tcPr>
            <w:tcW w:w="7149" w:type="dxa"/>
          </w:tcPr>
          <w:p w:rsidR="0004281D" w:rsidRDefault="0004281D" w:rsidP="00DA2897">
            <w:pPr>
              <w:spacing w:line="360" w:lineRule="auto"/>
              <w:jc w:val="both"/>
              <w:rPr>
                <w:rFonts w:ascii="Times New Roman" w:hAnsi="Times New Roman" w:cs="Times New Roman"/>
              </w:rPr>
            </w:pPr>
            <w:r>
              <w:rPr>
                <w:rFonts w:ascii="Times New Roman" w:hAnsi="Times New Roman" w:cs="Times New Roman"/>
              </w:rPr>
              <w:t>Seemingly unrelated regression</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TSE</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Tokyo Stock Exchange</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UK</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United Kingdom</w:t>
            </w:r>
          </w:p>
        </w:tc>
      </w:tr>
      <w:tr w:rsidR="0004281D" w:rsidTr="00004D15">
        <w:tc>
          <w:tcPr>
            <w:tcW w:w="2093"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 xml:space="preserve">US </w:t>
            </w:r>
          </w:p>
        </w:tc>
        <w:tc>
          <w:tcPr>
            <w:tcW w:w="7149" w:type="dxa"/>
          </w:tcPr>
          <w:p w:rsidR="0004281D" w:rsidRDefault="0004281D" w:rsidP="00A02570">
            <w:pPr>
              <w:spacing w:line="360" w:lineRule="auto"/>
              <w:jc w:val="both"/>
              <w:rPr>
                <w:rFonts w:ascii="Times New Roman" w:hAnsi="Times New Roman" w:cs="Times New Roman"/>
              </w:rPr>
            </w:pPr>
            <w:r>
              <w:rPr>
                <w:rFonts w:ascii="Times New Roman" w:hAnsi="Times New Roman" w:cs="Times New Roman"/>
              </w:rPr>
              <w:t>United States</w:t>
            </w:r>
          </w:p>
        </w:tc>
      </w:tr>
    </w:tbl>
    <w:p w:rsidR="008857F6" w:rsidRDefault="008857F6"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EE6158" w:rsidRDefault="00EE6158" w:rsidP="00A02570">
      <w:pPr>
        <w:spacing w:line="360" w:lineRule="auto"/>
        <w:jc w:val="both"/>
        <w:rPr>
          <w:rFonts w:ascii="Times New Roman" w:hAnsi="Times New Roman" w:cs="Times New Roman"/>
        </w:rPr>
      </w:pPr>
    </w:p>
    <w:p w:rsidR="00905FD2" w:rsidRDefault="00905FD2" w:rsidP="00A02570">
      <w:pPr>
        <w:spacing w:line="360" w:lineRule="auto"/>
        <w:jc w:val="both"/>
        <w:rPr>
          <w:rFonts w:ascii="Times New Roman" w:hAnsi="Times New Roman" w:cs="Times New Roman"/>
        </w:rPr>
      </w:pPr>
    </w:p>
    <w:p w:rsidR="00905FD2" w:rsidRDefault="00905FD2" w:rsidP="00A02570">
      <w:pPr>
        <w:spacing w:line="360" w:lineRule="auto"/>
        <w:jc w:val="both"/>
        <w:rPr>
          <w:rFonts w:ascii="Times New Roman" w:hAnsi="Times New Roman" w:cs="Times New Roman"/>
        </w:rPr>
      </w:pPr>
    </w:p>
    <w:p w:rsidR="00905FD2" w:rsidRDefault="00905FD2" w:rsidP="00A02570">
      <w:pPr>
        <w:spacing w:line="360" w:lineRule="auto"/>
        <w:jc w:val="both"/>
        <w:rPr>
          <w:rFonts w:ascii="Times New Roman" w:hAnsi="Times New Roman" w:cs="Times New Roman"/>
        </w:rPr>
      </w:pPr>
    </w:p>
    <w:p w:rsidR="00090512" w:rsidRDefault="00090512" w:rsidP="00A02570">
      <w:pPr>
        <w:spacing w:line="360" w:lineRule="auto"/>
        <w:jc w:val="both"/>
        <w:rPr>
          <w:rFonts w:ascii="Times New Roman" w:hAnsi="Times New Roman" w:cs="Times New Roman"/>
        </w:rPr>
      </w:pPr>
    </w:p>
    <w:p w:rsidR="00090512" w:rsidRDefault="00090512" w:rsidP="00A02570">
      <w:pPr>
        <w:spacing w:line="360" w:lineRule="auto"/>
        <w:jc w:val="both"/>
        <w:rPr>
          <w:rFonts w:ascii="Times New Roman" w:hAnsi="Times New Roman" w:cs="Times New Roman"/>
        </w:rPr>
      </w:pPr>
    </w:p>
    <w:p w:rsidR="00090512" w:rsidRDefault="00090512" w:rsidP="00A02570">
      <w:pPr>
        <w:spacing w:line="360" w:lineRule="auto"/>
        <w:jc w:val="both"/>
        <w:rPr>
          <w:rFonts w:ascii="Times New Roman" w:hAnsi="Times New Roman" w:cs="Times New Roman"/>
        </w:rPr>
      </w:pPr>
    </w:p>
    <w:p w:rsidR="00090512" w:rsidRDefault="00090512" w:rsidP="00A02570">
      <w:pPr>
        <w:spacing w:line="360" w:lineRule="auto"/>
        <w:jc w:val="both"/>
        <w:rPr>
          <w:rFonts w:ascii="Times New Roman" w:hAnsi="Times New Roman" w:cs="Times New Roman"/>
        </w:rPr>
      </w:pPr>
    </w:p>
    <w:p w:rsidR="00090512" w:rsidRPr="00566BF3" w:rsidRDefault="00090512" w:rsidP="00A02570">
      <w:pPr>
        <w:spacing w:line="360" w:lineRule="auto"/>
        <w:jc w:val="both"/>
        <w:rPr>
          <w:rFonts w:ascii="Times New Roman" w:hAnsi="Times New Roman" w:cs="Times New Roman"/>
        </w:rPr>
      </w:pPr>
    </w:p>
    <w:p w:rsidR="007F61F7" w:rsidRPr="00566BF3" w:rsidRDefault="0033151A" w:rsidP="00A02570">
      <w:pPr>
        <w:pStyle w:val="Heading1"/>
        <w:spacing w:line="360" w:lineRule="auto"/>
        <w:jc w:val="both"/>
        <w:rPr>
          <w:rFonts w:ascii="Times New Roman" w:hAnsi="Times New Roman" w:cs="Times New Roman"/>
          <w:sz w:val="36"/>
        </w:rPr>
      </w:pPr>
      <w:bookmarkStart w:id="4" w:name="_Toc281403395"/>
      <w:bookmarkStart w:id="5" w:name="_Toc305166487"/>
      <w:r w:rsidRPr="00566BF3">
        <w:rPr>
          <w:rFonts w:ascii="Times New Roman" w:hAnsi="Times New Roman" w:cs="Times New Roman"/>
          <w:sz w:val="36"/>
        </w:rPr>
        <w:lastRenderedPageBreak/>
        <w:t>Abstract</w:t>
      </w:r>
      <w:bookmarkEnd w:id="4"/>
      <w:bookmarkEnd w:id="5"/>
    </w:p>
    <w:p w:rsidR="0006765D" w:rsidRPr="00566BF3" w:rsidRDefault="0006765D" w:rsidP="00A02570">
      <w:pPr>
        <w:spacing w:line="360" w:lineRule="auto"/>
        <w:jc w:val="both"/>
        <w:rPr>
          <w:rFonts w:ascii="Times New Roman" w:hAnsi="Times New Roman" w:cs="Times New Roman"/>
        </w:rPr>
      </w:pPr>
    </w:p>
    <w:p w:rsidR="0006765D" w:rsidRDefault="00834195" w:rsidP="00A02570">
      <w:pPr>
        <w:spacing w:line="360" w:lineRule="auto"/>
        <w:jc w:val="both"/>
        <w:rPr>
          <w:rFonts w:ascii="Times New Roman" w:hAnsi="Times New Roman" w:cs="Times New Roman"/>
          <w:sz w:val="24"/>
        </w:rPr>
      </w:pPr>
      <w:r w:rsidRPr="00566BF3">
        <w:rPr>
          <w:rFonts w:ascii="Times New Roman" w:hAnsi="Times New Roman" w:cs="Times New Roman"/>
          <w:sz w:val="24"/>
        </w:rPr>
        <w:t>Contrarian investment is a well-documented strategy that may be able to ear</w:t>
      </w:r>
      <w:r w:rsidR="002C67BB">
        <w:rPr>
          <w:rFonts w:ascii="Times New Roman" w:hAnsi="Times New Roman" w:cs="Times New Roman"/>
          <w:sz w:val="24"/>
        </w:rPr>
        <w:t>n the investor superior returns. T</w:t>
      </w:r>
      <w:r w:rsidRPr="00566BF3">
        <w:rPr>
          <w:rFonts w:ascii="Times New Roman" w:hAnsi="Times New Roman" w:cs="Times New Roman"/>
          <w:sz w:val="24"/>
        </w:rPr>
        <w:t>he theory holds that stocks that have had historically poor performance</w:t>
      </w:r>
      <w:r w:rsidR="002C67BB">
        <w:rPr>
          <w:rFonts w:ascii="Times New Roman" w:hAnsi="Times New Roman" w:cs="Times New Roman"/>
          <w:sz w:val="24"/>
        </w:rPr>
        <w:t xml:space="preserve"> should be invested in, while</w:t>
      </w:r>
      <w:r w:rsidRPr="00566BF3">
        <w:rPr>
          <w:rFonts w:ascii="Times New Roman" w:hAnsi="Times New Roman" w:cs="Times New Roman"/>
          <w:sz w:val="24"/>
        </w:rPr>
        <w:t xml:space="preserve"> stocks that have had superior past performance</w:t>
      </w:r>
      <w:r w:rsidR="002C67BB">
        <w:rPr>
          <w:rFonts w:ascii="Times New Roman" w:hAnsi="Times New Roman" w:cs="Times New Roman"/>
          <w:sz w:val="24"/>
        </w:rPr>
        <w:t xml:space="preserve"> are sold</w:t>
      </w:r>
      <w:r w:rsidRPr="00566BF3">
        <w:rPr>
          <w:rFonts w:ascii="Times New Roman" w:hAnsi="Times New Roman" w:cs="Times New Roman"/>
          <w:sz w:val="24"/>
        </w:rPr>
        <w:t xml:space="preserve">. These poor past performers are considered value stocks, classified by their high book-to-market, </w:t>
      </w:r>
      <w:r w:rsidR="00697CBC">
        <w:rPr>
          <w:rFonts w:ascii="Times New Roman" w:hAnsi="Times New Roman" w:cs="Times New Roman"/>
          <w:sz w:val="24"/>
        </w:rPr>
        <w:t>earnings yield, dividend yield</w:t>
      </w:r>
      <w:r w:rsidRPr="00566BF3">
        <w:rPr>
          <w:rFonts w:ascii="Times New Roman" w:hAnsi="Times New Roman" w:cs="Times New Roman"/>
          <w:sz w:val="24"/>
        </w:rPr>
        <w:t xml:space="preserve"> and </w:t>
      </w:r>
      <w:r w:rsidR="00697CBC">
        <w:rPr>
          <w:rFonts w:ascii="Times New Roman" w:hAnsi="Times New Roman" w:cs="Times New Roman"/>
          <w:sz w:val="24"/>
        </w:rPr>
        <w:t>cash flow-to-price ratios</w:t>
      </w:r>
      <w:r w:rsidRPr="00566BF3">
        <w:rPr>
          <w:rFonts w:ascii="Times New Roman" w:hAnsi="Times New Roman" w:cs="Times New Roman"/>
          <w:sz w:val="24"/>
        </w:rPr>
        <w:t xml:space="preserve">. They </w:t>
      </w:r>
      <w:r w:rsidR="002C67BB">
        <w:rPr>
          <w:rFonts w:ascii="Times New Roman" w:hAnsi="Times New Roman" w:cs="Times New Roman"/>
          <w:sz w:val="24"/>
        </w:rPr>
        <w:t>have</w:t>
      </w:r>
      <w:r w:rsidRPr="00566BF3">
        <w:rPr>
          <w:rFonts w:ascii="Times New Roman" w:hAnsi="Times New Roman" w:cs="Times New Roman"/>
          <w:sz w:val="24"/>
        </w:rPr>
        <w:t xml:space="preserve"> low expected future cash flow growth, and tend to have low earnings. </w:t>
      </w:r>
      <w:r w:rsidR="002C67BB">
        <w:rPr>
          <w:rFonts w:ascii="Times New Roman" w:hAnsi="Times New Roman" w:cs="Times New Roman"/>
          <w:sz w:val="24"/>
        </w:rPr>
        <w:t>Reasons</w:t>
      </w:r>
      <w:r w:rsidRPr="00566BF3">
        <w:rPr>
          <w:rFonts w:ascii="Times New Roman" w:hAnsi="Times New Roman" w:cs="Times New Roman"/>
          <w:sz w:val="24"/>
        </w:rPr>
        <w:t xml:space="preserve"> suggested for the success of contrarian investing </w:t>
      </w:r>
      <w:r w:rsidR="002C67BB">
        <w:rPr>
          <w:rFonts w:ascii="Times New Roman" w:hAnsi="Times New Roman" w:cs="Times New Roman"/>
          <w:sz w:val="24"/>
        </w:rPr>
        <w:t>include judgment biases</w:t>
      </w:r>
      <w:r w:rsidRPr="00566BF3">
        <w:rPr>
          <w:rFonts w:ascii="Times New Roman" w:hAnsi="Times New Roman" w:cs="Times New Roman"/>
          <w:sz w:val="24"/>
        </w:rPr>
        <w:t>, naive investors extrapolat</w:t>
      </w:r>
      <w:r w:rsidR="002C67BB">
        <w:rPr>
          <w:rFonts w:ascii="Times New Roman" w:hAnsi="Times New Roman" w:cs="Times New Roman"/>
          <w:sz w:val="24"/>
        </w:rPr>
        <w:t>ing</w:t>
      </w:r>
      <w:r w:rsidRPr="00566BF3">
        <w:rPr>
          <w:rFonts w:ascii="Times New Roman" w:hAnsi="Times New Roman" w:cs="Times New Roman"/>
          <w:sz w:val="24"/>
        </w:rPr>
        <w:t xml:space="preserve"> past performance too far into the future, value</w:t>
      </w:r>
      <w:r w:rsidR="0004281D">
        <w:rPr>
          <w:rFonts w:ascii="Times New Roman" w:hAnsi="Times New Roman" w:cs="Times New Roman"/>
          <w:sz w:val="24"/>
        </w:rPr>
        <w:t xml:space="preserve"> stocks are riskier than growth</w:t>
      </w:r>
      <w:r w:rsidR="002C67BB" w:rsidRPr="00566BF3">
        <w:rPr>
          <w:rFonts w:ascii="Times New Roman" w:hAnsi="Times New Roman" w:cs="Times New Roman"/>
          <w:sz w:val="24"/>
        </w:rPr>
        <w:t xml:space="preserve">, </w:t>
      </w:r>
      <w:r w:rsidR="002C67BB">
        <w:rPr>
          <w:rFonts w:ascii="Times New Roman" w:hAnsi="Times New Roman" w:cs="Times New Roman"/>
          <w:sz w:val="24"/>
        </w:rPr>
        <w:t>and well-known firms are associated with well-managed firms</w:t>
      </w:r>
      <w:r w:rsidRPr="00566BF3">
        <w:rPr>
          <w:rFonts w:ascii="Times New Roman" w:hAnsi="Times New Roman" w:cs="Times New Roman"/>
          <w:sz w:val="24"/>
        </w:rPr>
        <w:t>. CAPM along with multivariate regressions and the three-factor model</w:t>
      </w:r>
      <w:r w:rsidR="0004281D">
        <w:rPr>
          <w:rFonts w:ascii="Times New Roman" w:hAnsi="Times New Roman" w:cs="Times New Roman"/>
          <w:sz w:val="24"/>
        </w:rPr>
        <w:t xml:space="preserve"> are considered in this dissertation</w:t>
      </w:r>
      <w:r w:rsidRPr="00566BF3">
        <w:rPr>
          <w:rFonts w:ascii="Times New Roman" w:hAnsi="Times New Roman" w:cs="Times New Roman"/>
          <w:sz w:val="24"/>
        </w:rPr>
        <w:t xml:space="preserve">. Data comes from </w:t>
      </w:r>
      <w:r w:rsidR="007D2964">
        <w:rPr>
          <w:rFonts w:ascii="Times New Roman" w:hAnsi="Times New Roman" w:cs="Times New Roman"/>
          <w:sz w:val="24"/>
        </w:rPr>
        <w:t>Findata@</w:t>
      </w:r>
      <w:r w:rsidRPr="00566BF3">
        <w:rPr>
          <w:rFonts w:ascii="Times New Roman" w:hAnsi="Times New Roman" w:cs="Times New Roman"/>
          <w:sz w:val="24"/>
        </w:rPr>
        <w:t>Wits</w:t>
      </w:r>
      <w:r w:rsidR="00107933">
        <w:rPr>
          <w:rFonts w:ascii="Times New Roman" w:hAnsi="Times New Roman" w:cs="Times New Roman"/>
          <w:sz w:val="24"/>
        </w:rPr>
        <w:t>.</w:t>
      </w:r>
      <w:r w:rsidRPr="00566BF3">
        <w:rPr>
          <w:rFonts w:ascii="Times New Roman" w:hAnsi="Times New Roman" w:cs="Times New Roman"/>
          <w:sz w:val="24"/>
        </w:rPr>
        <w:t xml:space="preserve"> </w:t>
      </w:r>
      <w:r w:rsidR="0004281D">
        <w:rPr>
          <w:rFonts w:ascii="Times New Roman" w:hAnsi="Times New Roman" w:cs="Times New Roman"/>
          <w:sz w:val="24"/>
        </w:rPr>
        <w:t xml:space="preserve">Topics such as behavioural finance are dealt with. </w:t>
      </w:r>
      <w:r w:rsidRPr="00566BF3">
        <w:rPr>
          <w:rFonts w:ascii="Times New Roman" w:hAnsi="Times New Roman" w:cs="Times New Roman"/>
          <w:sz w:val="24"/>
        </w:rPr>
        <w:t>Consideration of past literature is looked at - similarities and differences in results, along with comparable methods and markets.</w:t>
      </w:r>
      <w:r w:rsidR="00B90167">
        <w:rPr>
          <w:rFonts w:ascii="Times New Roman" w:hAnsi="Times New Roman" w:cs="Times New Roman"/>
          <w:sz w:val="24"/>
        </w:rPr>
        <w:t xml:space="preserve"> The size and book-to-market variables appear to be the best explanatory variables,</w:t>
      </w:r>
      <w:r w:rsidR="00210792">
        <w:rPr>
          <w:rFonts w:ascii="Times New Roman" w:hAnsi="Times New Roman" w:cs="Times New Roman"/>
          <w:sz w:val="24"/>
        </w:rPr>
        <w:t xml:space="preserve"> proving that whether equally or value weighted, value will still outperform growth in terms of excess returns. T</w:t>
      </w:r>
      <w:r w:rsidR="00B90167">
        <w:rPr>
          <w:rFonts w:ascii="Times New Roman" w:hAnsi="Times New Roman" w:cs="Times New Roman"/>
          <w:sz w:val="24"/>
        </w:rPr>
        <w:t xml:space="preserve">he earnings yield </w:t>
      </w:r>
      <w:r w:rsidR="00210792">
        <w:rPr>
          <w:rFonts w:ascii="Times New Roman" w:hAnsi="Times New Roman" w:cs="Times New Roman"/>
          <w:sz w:val="24"/>
        </w:rPr>
        <w:t>explains stock returns the least</w:t>
      </w:r>
      <w:r w:rsidR="00B90167">
        <w:rPr>
          <w:rFonts w:ascii="Times New Roman" w:hAnsi="Times New Roman" w:cs="Times New Roman"/>
          <w:sz w:val="24"/>
        </w:rPr>
        <w:t xml:space="preserve">. </w:t>
      </w:r>
    </w:p>
    <w:p w:rsidR="00210792" w:rsidRPr="00566BF3" w:rsidRDefault="00210792" w:rsidP="00A02570">
      <w:pPr>
        <w:spacing w:line="360" w:lineRule="auto"/>
        <w:jc w:val="both"/>
        <w:rPr>
          <w:rFonts w:ascii="Times New Roman" w:hAnsi="Times New Roman" w:cs="Times New Roman"/>
          <w:i/>
          <w:color w:val="943634" w:themeColor="accent2" w:themeShade="BF"/>
          <w:sz w:val="24"/>
        </w:rPr>
      </w:pPr>
    </w:p>
    <w:p w:rsidR="0006765D" w:rsidRPr="00566BF3" w:rsidRDefault="0006765D" w:rsidP="00A02570">
      <w:pPr>
        <w:spacing w:line="360" w:lineRule="auto"/>
        <w:jc w:val="both"/>
        <w:rPr>
          <w:rFonts w:ascii="Times New Roman" w:hAnsi="Times New Roman" w:cs="Times New Roman"/>
        </w:rPr>
      </w:pPr>
    </w:p>
    <w:p w:rsidR="007F61F7" w:rsidRDefault="007F61F7" w:rsidP="00A02570">
      <w:pPr>
        <w:spacing w:line="360" w:lineRule="auto"/>
        <w:jc w:val="both"/>
        <w:rPr>
          <w:rFonts w:ascii="Times New Roman" w:hAnsi="Times New Roman" w:cs="Times New Roman"/>
          <w:b/>
          <w:sz w:val="36"/>
          <w:u w:val="single"/>
        </w:rPr>
      </w:pPr>
    </w:p>
    <w:p w:rsidR="00090512" w:rsidRDefault="00090512" w:rsidP="00A02570">
      <w:pPr>
        <w:spacing w:line="360" w:lineRule="auto"/>
        <w:jc w:val="both"/>
        <w:rPr>
          <w:rFonts w:ascii="Times New Roman" w:hAnsi="Times New Roman" w:cs="Times New Roman"/>
          <w:b/>
          <w:sz w:val="36"/>
          <w:u w:val="single"/>
        </w:rPr>
      </w:pPr>
    </w:p>
    <w:p w:rsidR="002B1C5E" w:rsidRDefault="002B1C5E" w:rsidP="00A02570">
      <w:pPr>
        <w:spacing w:line="360" w:lineRule="auto"/>
        <w:jc w:val="both"/>
        <w:rPr>
          <w:rFonts w:ascii="Times New Roman" w:hAnsi="Times New Roman" w:cs="Times New Roman"/>
          <w:b/>
          <w:sz w:val="36"/>
          <w:u w:val="single"/>
        </w:rPr>
      </w:pPr>
    </w:p>
    <w:p w:rsidR="00B90167" w:rsidRDefault="00B90167" w:rsidP="00A02570">
      <w:pPr>
        <w:spacing w:line="360" w:lineRule="auto"/>
        <w:jc w:val="both"/>
        <w:rPr>
          <w:rFonts w:ascii="Times New Roman" w:hAnsi="Times New Roman" w:cs="Times New Roman"/>
          <w:b/>
          <w:sz w:val="36"/>
          <w:u w:val="single"/>
        </w:rPr>
      </w:pPr>
    </w:p>
    <w:p w:rsidR="00090512" w:rsidRDefault="00090512" w:rsidP="00A02570">
      <w:pPr>
        <w:spacing w:line="360" w:lineRule="auto"/>
        <w:jc w:val="both"/>
        <w:rPr>
          <w:rFonts w:ascii="Times New Roman" w:hAnsi="Times New Roman" w:cs="Times New Roman"/>
          <w:b/>
          <w:sz w:val="36"/>
          <w:u w:val="single"/>
        </w:rPr>
      </w:pPr>
    </w:p>
    <w:p w:rsidR="00090512" w:rsidRDefault="00090512" w:rsidP="00A02570">
      <w:pPr>
        <w:spacing w:line="360" w:lineRule="auto"/>
        <w:jc w:val="both"/>
        <w:rPr>
          <w:rFonts w:ascii="Times New Roman" w:hAnsi="Times New Roman" w:cs="Times New Roman"/>
          <w:b/>
          <w:sz w:val="36"/>
          <w:u w:val="single"/>
        </w:rPr>
      </w:pPr>
    </w:p>
    <w:sdt>
      <w:sdtPr>
        <w:rPr>
          <w:rFonts w:asciiTheme="minorHAnsi" w:eastAsiaTheme="minorEastAsia" w:hAnsiTheme="minorHAnsi" w:cstheme="minorBidi"/>
          <w:b w:val="0"/>
          <w:bCs w:val="0"/>
          <w:sz w:val="22"/>
          <w:szCs w:val="22"/>
        </w:rPr>
        <w:id w:val="23496998"/>
        <w:docPartObj>
          <w:docPartGallery w:val="Table of Contents"/>
          <w:docPartUnique/>
        </w:docPartObj>
      </w:sdtPr>
      <w:sdtEndPr>
        <w:rPr>
          <w:rFonts w:ascii="Times New Roman" w:hAnsi="Times New Roman" w:cs="Times New Roman"/>
        </w:rPr>
      </w:sdtEndPr>
      <w:sdtContent>
        <w:bookmarkStart w:id="6" w:name="_Toc305166488" w:displacedByCustomXml="prev"/>
        <w:p w:rsidR="00B90167" w:rsidRDefault="00B90167" w:rsidP="00B90167">
          <w:pPr>
            <w:pStyle w:val="TOCHeading"/>
            <w:outlineLvl w:val="0"/>
            <w:rPr>
              <w:sz w:val="36"/>
              <w:szCs w:val="36"/>
            </w:rPr>
          </w:pPr>
          <w:r w:rsidRPr="00B90167">
            <w:rPr>
              <w:sz w:val="36"/>
              <w:szCs w:val="36"/>
            </w:rPr>
            <w:t>Table of Contents</w:t>
          </w:r>
          <w:bookmarkEnd w:id="6"/>
        </w:p>
        <w:p w:rsidR="00B90167" w:rsidRDefault="00B90167">
          <w:pPr>
            <w:pStyle w:val="TOC1"/>
            <w:tabs>
              <w:tab w:val="right" w:pos="9016"/>
            </w:tabs>
            <w:rPr>
              <w:rFonts w:cstheme="minorBidi"/>
              <w:b w:val="0"/>
              <w:bCs w:val="0"/>
              <w:sz w:val="22"/>
              <w:szCs w:val="22"/>
            </w:rPr>
          </w:pPr>
        </w:p>
        <w:p w:rsidR="00616A24" w:rsidRPr="00616A24" w:rsidRDefault="000963F3">
          <w:pPr>
            <w:pStyle w:val="TOC1"/>
            <w:tabs>
              <w:tab w:val="right" w:pos="9016"/>
            </w:tabs>
            <w:rPr>
              <w:rFonts w:cstheme="minorBidi"/>
              <w:b w:val="0"/>
              <w:bCs w:val="0"/>
              <w:noProof/>
              <w:sz w:val="22"/>
              <w:szCs w:val="22"/>
            </w:rPr>
          </w:pPr>
          <w:r w:rsidRPr="000963F3">
            <w:rPr>
              <w:rFonts w:ascii="Times New Roman" w:hAnsi="Times New Roman" w:cs="Times New Roman"/>
              <w:b w:val="0"/>
            </w:rPr>
            <w:fldChar w:fldCharType="begin"/>
          </w:r>
          <w:r w:rsidR="00B90167" w:rsidRPr="00616A24">
            <w:rPr>
              <w:rFonts w:ascii="Times New Roman" w:hAnsi="Times New Roman" w:cs="Times New Roman"/>
              <w:b w:val="0"/>
            </w:rPr>
            <w:instrText xml:space="preserve"> TOC \o "1-3" \h \z \u </w:instrText>
          </w:r>
          <w:r w:rsidRPr="000963F3">
            <w:rPr>
              <w:rFonts w:ascii="Times New Roman" w:hAnsi="Times New Roman" w:cs="Times New Roman"/>
              <w:b w:val="0"/>
            </w:rPr>
            <w:fldChar w:fldCharType="separate"/>
          </w:r>
          <w:hyperlink w:anchor="_Toc305166484" w:history="1">
            <w:r w:rsidR="00616A24" w:rsidRPr="00616A24">
              <w:rPr>
                <w:rStyle w:val="Hyperlink"/>
                <w:rFonts w:ascii="Times New Roman" w:hAnsi="Times New Roman" w:cs="Times New Roman"/>
                <w:b w:val="0"/>
                <w:noProof/>
              </w:rPr>
              <w:t>Declaration</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_Toc305166484 \h </w:instrText>
            </w:r>
            <w:r w:rsidRPr="00616A24">
              <w:rPr>
                <w:b w:val="0"/>
                <w:noProof/>
                <w:webHidden/>
              </w:rPr>
            </w:r>
            <w:r w:rsidRPr="00616A24">
              <w:rPr>
                <w:b w:val="0"/>
                <w:noProof/>
                <w:webHidden/>
              </w:rPr>
              <w:fldChar w:fldCharType="separate"/>
            </w:r>
            <w:r w:rsidR="00AB32F5">
              <w:rPr>
                <w:b w:val="0"/>
                <w:noProof/>
                <w:webHidden/>
              </w:rPr>
              <w:t>2</w:t>
            </w:r>
            <w:r w:rsidRPr="00616A24">
              <w:rPr>
                <w:b w:val="0"/>
                <w:noProof/>
                <w:webHidden/>
              </w:rPr>
              <w:fldChar w:fldCharType="end"/>
            </w:r>
          </w:hyperlink>
        </w:p>
        <w:p w:rsidR="00616A24" w:rsidRPr="00616A24" w:rsidRDefault="000963F3">
          <w:pPr>
            <w:pStyle w:val="TOC1"/>
            <w:tabs>
              <w:tab w:val="right" w:pos="9016"/>
            </w:tabs>
            <w:rPr>
              <w:rFonts w:cstheme="minorBidi"/>
              <w:b w:val="0"/>
              <w:bCs w:val="0"/>
              <w:noProof/>
              <w:sz w:val="22"/>
              <w:szCs w:val="22"/>
            </w:rPr>
          </w:pPr>
          <w:hyperlink w:anchor="_Toc305166485" w:history="1">
            <w:r w:rsidR="00616A24" w:rsidRPr="00616A24">
              <w:rPr>
                <w:rStyle w:val="Hyperlink"/>
                <w:rFonts w:ascii="Times New Roman" w:hAnsi="Times New Roman" w:cs="Times New Roman"/>
                <w:b w:val="0"/>
                <w:noProof/>
              </w:rPr>
              <w:t>Acknowledgments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_Toc305166485 \h </w:instrText>
            </w:r>
            <w:r w:rsidRPr="00616A24">
              <w:rPr>
                <w:b w:val="0"/>
                <w:noProof/>
                <w:webHidden/>
              </w:rPr>
            </w:r>
            <w:r w:rsidRPr="00616A24">
              <w:rPr>
                <w:b w:val="0"/>
                <w:noProof/>
                <w:webHidden/>
              </w:rPr>
              <w:fldChar w:fldCharType="separate"/>
            </w:r>
            <w:r w:rsidR="00AB32F5">
              <w:rPr>
                <w:b w:val="0"/>
                <w:noProof/>
                <w:webHidden/>
              </w:rPr>
              <w:t>3</w:t>
            </w:r>
            <w:r w:rsidRPr="00616A24">
              <w:rPr>
                <w:b w:val="0"/>
                <w:noProof/>
                <w:webHidden/>
              </w:rPr>
              <w:fldChar w:fldCharType="end"/>
            </w:r>
          </w:hyperlink>
        </w:p>
        <w:p w:rsidR="00616A24" w:rsidRPr="00616A24" w:rsidRDefault="000963F3">
          <w:pPr>
            <w:pStyle w:val="TOC1"/>
            <w:tabs>
              <w:tab w:val="right" w:pos="9016"/>
            </w:tabs>
            <w:rPr>
              <w:rFonts w:cstheme="minorBidi"/>
              <w:b w:val="0"/>
              <w:bCs w:val="0"/>
              <w:noProof/>
              <w:sz w:val="22"/>
              <w:szCs w:val="22"/>
            </w:rPr>
          </w:pPr>
          <w:hyperlink w:anchor="_Toc305166486" w:history="1">
            <w:r w:rsidR="00616A24" w:rsidRPr="00616A24">
              <w:rPr>
                <w:rStyle w:val="Hyperlink"/>
                <w:rFonts w:ascii="Times New Roman" w:hAnsi="Times New Roman" w:cs="Times New Roman"/>
                <w:b w:val="0"/>
                <w:noProof/>
              </w:rPr>
              <w:t>Definition of Terms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_Toc305166486 \h </w:instrText>
            </w:r>
            <w:r w:rsidRPr="00616A24">
              <w:rPr>
                <w:b w:val="0"/>
                <w:noProof/>
                <w:webHidden/>
              </w:rPr>
            </w:r>
            <w:r w:rsidRPr="00616A24">
              <w:rPr>
                <w:b w:val="0"/>
                <w:noProof/>
                <w:webHidden/>
              </w:rPr>
              <w:fldChar w:fldCharType="separate"/>
            </w:r>
            <w:r w:rsidR="00AB32F5">
              <w:rPr>
                <w:b w:val="0"/>
                <w:noProof/>
                <w:webHidden/>
              </w:rPr>
              <w:t>4</w:t>
            </w:r>
            <w:r w:rsidRPr="00616A24">
              <w:rPr>
                <w:b w:val="0"/>
                <w:noProof/>
                <w:webHidden/>
              </w:rPr>
              <w:fldChar w:fldCharType="end"/>
            </w:r>
          </w:hyperlink>
        </w:p>
        <w:p w:rsidR="00616A24" w:rsidRPr="00616A24" w:rsidRDefault="000963F3">
          <w:pPr>
            <w:pStyle w:val="TOC1"/>
            <w:tabs>
              <w:tab w:val="right" w:pos="9016"/>
            </w:tabs>
            <w:rPr>
              <w:rFonts w:cstheme="minorBidi"/>
              <w:b w:val="0"/>
              <w:bCs w:val="0"/>
              <w:noProof/>
              <w:sz w:val="22"/>
              <w:szCs w:val="22"/>
            </w:rPr>
          </w:pPr>
          <w:hyperlink w:anchor="_Toc305166487" w:history="1">
            <w:r w:rsidR="00616A24" w:rsidRPr="00616A24">
              <w:rPr>
                <w:rStyle w:val="Hyperlink"/>
                <w:rFonts w:ascii="Times New Roman" w:hAnsi="Times New Roman" w:cs="Times New Roman"/>
                <w:b w:val="0"/>
                <w:noProof/>
              </w:rPr>
              <w:t>Abstract</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_Toc305166487 \h </w:instrText>
            </w:r>
            <w:r w:rsidRPr="00616A24">
              <w:rPr>
                <w:b w:val="0"/>
                <w:noProof/>
                <w:webHidden/>
              </w:rPr>
            </w:r>
            <w:r w:rsidRPr="00616A24">
              <w:rPr>
                <w:b w:val="0"/>
                <w:noProof/>
                <w:webHidden/>
              </w:rPr>
              <w:fldChar w:fldCharType="separate"/>
            </w:r>
            <w:r w:rsidR="00AB32F5">
              <w:rPr>
                <w:b w:val="0"/>
                <w:noProof/>
                <w:webHidden/>
              </w:rPr>
              <w:t>6</w:t>
            </w:r>
            <w:r w:rsidRPr="00616A24">
              <w:rPr>
                <w:b w:val="0"/>
                <w:noProof/>
                <w:webHidden/>
              </w:rPr>
              <w:fldChar w:fldCharType="end"/>
            </w:r>
          </w:hyperlink>
        </w:p>
        <w:p w:rsidR="00616A24" w:rsidRPr="00616A24" w:rsidRDefault="000963F3">
          <w:pPr>
            <w:pStyle w:val="TOC1"/>
            <w:tabs>
              <w:tab w:val="right" w:pos="9016"/>
            </w:tabs>
            <w:rPr>
              <w:rFonts w:cstheme="minorBidi"/>
              <w:b w:val="0"/>
              <w:bCs w:val="0"/>
              <w:noProof/>
              <w:sz w:val="22"/>
              <w:szCs w:val="22"/>
            </w:rPr>
          </w:pPr>
          <w:hyperlink w:anchor="_Toc305166488" w:history="1">
            <w:r w:rsidR="00616A24" w:rsidRPr="00616A24">
              <w:rPr>
                <w:rStyle w:val="Hyperlink"/>
                <w:b w:val="0"/>
                <w:noProof/>
              </w:rPr>
              <w:t>Table of Contents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_Toc305166488 \h </w:instrText>
            </w:r>
            <w:r w:rsidRPr="00616A24">
              <w:rPr>
                <w:b w:val="0"/>
                <w:noProof/>
                <w:webHidden/>
              </w:rPr>
            </w:r>
            <w:r w:rsidRPr="00616A24">
              <w:rPr>
                <w:b w:val="0"/>
                <w:noProof/>
                <w:webHidden/>
              </w:rPr>
              <w:fldChar w:fldCharType="separate"/>
            </w:r>
            <w:r w:rsidR="00AB32F5">
              <w:rPr>
                <w:b w:val="0"/>
                <w:noProof/>
                <w:webHidden/>
              </w:rPr>
              <w:t>7</w:t>
            </w:r>
            <w:r w:rsidRPr="00616A24">
              <w:rPr>
                <w:b w:val="0"/>
                <w:noProof/>
                <w:webHidden/>
              </w:rPr>
              <w:fldChar w:fldCharType="end"/>
            </w:r>
          </w:hyperlink>
        </w:p>
        <w:p w:rsidR="00616A24" w:rsidRPr="00616A24" w:rsidRDefault="000963F3">
          <w:pPr>
            <w:pStyle w:val="TOC1"/>
            <w:tabs>
              <w:tab w:val="right" w:pos="9016"/>
            </w:tabs>
            <w:rPr>
              <w:rFonts w:cstheme="minorBidi"/>
              <w:b w:val="0"/>
              <w:bCs w:val="0"/>
              <w:noProof/>
              <w:sz w:val="22"/>
              <w:szCs w:val="22"/>
            </w:rPr>
          </w:pPr>
          <w:hyperlink w:anchor="_Toc305166489" w:history="1">
            <w:r w:rsidR="00616A24" w:rsidRPr="00616A24">
              <w:rPr>
                <w:rStyle w:val="Hyperlink"/>
                <w:rFonts w:ascii="Times New Roman" w:hAnsi="Times New Roman" w:cs="Times New Roman"/>
                <w:b w:val="0"/>
                <w:noProof/>
              </w:rPr>
              <w:t>List of Tables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_Toc305166489 \h </w:instrText>
            </w:r>
            <w:r w:rsidRPr="00616A24">
              <w:rPr>
                <w:b w:val="0"/>
                <w:noProof/>
                <w:webHidden/>
              </w:rPr>
            </w:r>
            <w:r w:rsidRPr="00616A24">
              <w:rPr>
                <w:b w:val="0"/>
                <w:noProof/>
                <w:webHidden/>
              </w:rPr>
              <w:fldChar w:fldCharType="separate"/>
            </w:r>
            <w:r w:rsidR="00AB32F5">
              <w:rPr>
                <w:b w:val="0"/>
                <w:noProof/>
                <w:webHidden/>
              </w:rPr>
              <w:t>8</w:t>
            </w:r>
            <w:r w:rsidRPr="00616A24">
              <w:rPr>
                <w:b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490" w:history="1">
            <w:r w:rsidR="00616A24" w:rsidRPr="00616A24">
              <w:rPr>
                <w:rStyle w:val="Hyperlink"/>
                <w:rFonts w:ascii="Times New Roman" w:hAnsi="Times New Roman" w:cs="Times New Roman"/>
                <w:b w:val="0"/>
                <w:noProof/>
              </w:rPr>
              <w:t>1.</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Introduction</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_Toc305166490 \h </w:instrText>
            </w:r>
            <w:r w:rsidRPr="00616A24">
              <w:rPr>
                <w:b w:val="0"/>
                <w:noProof/>
                <w:webHidden/>
              </w:rPr>
            </w:r>
            <w:r w:rsidRPr="00616A24">
              <w:rPr>
                <w:b w:val="0"/>
                <w:noProof/>
                <w:webHidden/>
              </w:rPr>
              <w:fldChar w:fldCharType="separate"/>
            </w:r>
            <w:r w:rsidR="00AB32F5">
              <w:rPr>
                <w:b w:val="0"/>
                <w:noProof/>
                <w:webHidden/>
              </w:rPr>
              <w:t>9</w:t>
            </w:r>
            <w:r w:rsidRPr="00616A24">
              <w:rPr>
                <w:b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491" w:history="1">
            <w:r w:rsidR="00616A24" w:rsidRPr="00616A24">
              <w:rPr>
                <w:rStyle w:val="Hyperlink"/>
                <w:rFonts w:ascii="Times New Roman" w:hAnsi="Times New Roman" w:cs="Times New Roman"/>
                <w:b w:val="0"/>
                <w:noProof/>
              </w:rPr>
              <w:t>2.</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Fundamental Concepts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_Toc305166491 \h </w:instrText>
            </w:r>
            <w:r w:rsidRPr="00616A24">
              <w:rPr>
                <w:b w:val="0"/>
                <w:noProof/>
                <w:webHidden/>
              </w:rPr>
            </w:r>
            <w:r w:rsidRPr="00616A24">
              <w:rPr>
                <w:b w:val="0"/>
                <w:noProof/>
                <w:webHidden/>
              </w:rPr>
              <w:fldChar w:fldCharType="separate"/>
            </w:r>
            <w:r w:rsidR="00AB32F5">
              <w:rPr>
                <w:b w:val="0"/>
                <w:noProof/>
                <w:webHidden/>
              </w:rPr>
              <w:t>13</w:t>
            </w:r>
            <w:r w:rsidRPr="00616A24">
              <w:rPr>
                <w:b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2" w:history="1">
            <w:r w:rsidR="00616A24" w:rsidRPr="00616A24">
              <w:rPr>
                <w:rStyle w:val="Hyperlink"/>
                <w:rFonts w:ascii="Times New Roman" w:hAnsi="Times New Roman" w:cs="Times New Roman"/>
                <w:i w:val="0"/>
                <w:noProof/>
              </w:rPr>
              <w:t>2.1</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Efficient Market Hypothesis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_Toc305166492 \h </w:instrText>
            </w:r>
            <w:r w:rsidRPr="00616A24">
              <w:rPr>
                <w:i w:val="0"/>
                <w:noProof/>
                <w:webHidden/>
              </w:rPr>
            </w:r>
            <w:r w:rsidRPr="00616A24">
              <w:rPr>
                <w:i w:val="0"/>
                <w:noProof/>
                <w:webHidden/>
              </w:rPr>
              <w:fldChar w:fldCharType="separate"/>
            </w:r>
            <w:r w:rsidR="00AB32F5">
              <w:rPr>
                <w:i w:val="0"/>
                <w:noProof/>
                <w:webHidden/>
              </w:rPr>
              <w:t>13</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3" w:history="1">
            <w:r w:rsidR="00616A24" w:rsidRPr="00616A24">
              <w:rPr>
                <w:rStyle w:val="Hyperlink"/>
                <w:rFonts w:ascii="Times New Roman" w:hAnsi="Times New Roman" w:cs="Times New Roman"/>
                <w:i w:val="0"/>
                <w:noProof/>
              </w:rPr>
              <w:t>2.2</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Behavioural Approach</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_Toc305166493 \h </w:instrText>
            </w:r>
            <w:r w:rsidRPr="00616A24">
              <w:rPr>
                <w:i w:val="0"/>
                <w:noProof/>
                <w:webHidden/>
              </w:rPr>
            </w:r>
            <w:r w:rsidRPr="00616A24">
              <w:rPr>
                <w:i w:val="0"/>
                <w:noProof/>
                <w:webHidden/>
              </w:rPr>
              <w:fldChar w:fldCharType="separate"/>
            </w:r>
            <w:r w:rsidR="00AB32F5">
              <w:rPr>
                <w:i w:val="0"/>
                <w:noProof/>
                <w:webHidden/>
              </w:rPr>
              <w:t>21</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4" w:history="1">
            <w:r w:rsidR="00616A24" w:rsidRPr="00616A24">
              <w:rPr>
                <w:rStyle w:val="Hyperlink"/>
                <w:rFonts w:ascii="Times New Roman" w:hAnsi="Times New Roman" w:cs="Times New Roman"/>
                <w:i w:val="0"/>
                <w:noProof/>
              </w:rPr>
              <w:t>2.3</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Agency Factors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_Toc305166494 \h </w:instrText>
            </w:r>
            <w:r w:rsidRPr="00616A24">
              <w:rPr>
                <w:i w:val="0"/>
                <w:noProof/>
                <w:webHidden/>
              </w:rPr>
            </w:r>
            <w:r w:rsidRPr="00616A24">
              <w:rPr>
                <w:i w:val="0"/>
                <w:noProof/>
                <w:webHidden/>
              </w:rPr>
              <w:fldChar w:fldCharType="separate"/>
            </w:r>
            <w:r w:rsidR="00AB32F5">
              <w:rPr>
                <w:i w:val="0"/>
                <w:noProof/>
                <w:webHidden/>
              </w:rPr>
              <w:t>27</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5" w:history="1">
            <w:r w:rsidR="00616A24" w:rsidRPr="00616A24">
              <w:rPr>
                <w:rStyle w:val="Hyperlink"/>
                <w:rFonts w:ascii="Times New Roman" w:hAnsi="Times New Roman" w:cs="Times New Roman"/>
                <w:i w:val="0"/>
                <w:noProof/>
              </w:rPr>
              <w:t>2.4</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Static CAPM and Conditional CAPM</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_Toc305166495 \h </w:instrText>
            </w:r>
            <w:r w:rsidRPr="00616A24">
              <w:rPr>
                <w:i w:val="0"/>
                <w:noProof/>
                <w:webHidden/>
              </w:rPr>
            </w:r>
            <w:r w:rsidRPr="00616A24">
              <w:rPr>
                <w:i w:val="0"/>
                <w:noProof/>
                <w:webHidden/>
              </w:rPr>
              <w:fldChar w:fldCharType="separate"/>
            </w:r>
            <w:r w:rsidR="00AB32F5">
              <w:rPr>
                <w:i w:val="0"/>
                <w:noProof/>
                <w:webHidden/>
              </w:rPr>
              <w:t>29</w:t>
            </w:r>
            <w:r w:rsidRPr="00616A24">
              <w:rPr>
                <w:i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496" w:history="1">
            <w:r w:rsidR="00616A24" w:rsidRPr="00616A24">
              <w:rPr>
                <w:rStyle w:val="Hyperlink"/>
                <w:rFonts w:ascii="Times New Roman" w:hAnsi="Times New Roman" w:cs="Times New Roman"/>
                <w:b w:val="0"/>
                <w:noProof/>
              </w:rPr>
              <w:t>3.</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Risk</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_Toc305166496 \h </w:instrText>
            </w:r>
            <w:r w:rsidRPr="00616A24">
              <w:rPr>
                <w:b w:val="0"/>
                <w:noProof/>
                <w:webHidden/>
              </w:rPr>
            </w:r>
            <w:r w:rsidRPr="00616A24">
              <w:rPr>
                <w:b w:val="0"/>
                <w:noProof/>
                <w:webHidden/>
              </w:rPr>
              <w:fldChar w:fldCharType="separate"/>
            </w:r>
            <w:r w:rsidR="00AB32F5">
              <w:rPr>
                <w:b w:val="0"/>
                <w:noProof/>
                <w:webHidden/>
              </w:rPr>
              <w:t>32</w:t>
            </w:r>
            <w:r w:rsidRPr="00616A24">
              <w:rPr>
                <w:b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497" w:history="1">
            <w:r w:rsidR="00616A24" w:rsidRPr="00616A24">
              <w:rPr>
                <w:rStyle w:val="Hyperlink"/>
                <w:rFonts w:ascii="Times New Roman" w:hAnsi="Times New Roman" w:cs="Times New Roman"/>
                <w:b w:val="0"/>
                <w:noProof/>
              </w:rPr>
              <w:t>4.</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Literature Review</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_Toc305166497 \h </w:instrText>
            </w:r>
            <w:r w:rsidRPr="00616A24">
              <w:rPr>
                <w:b w:val="0"/>
                <w:noProof/>
                <w:webHidden/>
              </w:rPr>
            </w:r>
            <w:r w:rsidRPr="00616A24">
              <w:rPr>
                <w:b w:val="0"/>
                <w:noProof/>
                <w:webHidden/>
              </w:rPr>
              <w:fldChar w:fldCharType="separate"/>
            </w:r>
            <w:r w:rsidR="00AB32F5">
              <w:rPr>
                <w:b w:val="0"/>
                <w:noProof/>
                <w:webHidden/>
              </w:rPr>
              <w:t>50</w:t>
            </w:r>
            <w:r w:rsidRPr="00616A24">
              <w:rPr>
                <w:b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8" w:history="1">
            <w:r w:rsidR="00616A24" w:rsidRPr="00616A24">
              <w:rPr>
                <w:rStyle w:val="Hyperlink"/>
                <w:rFonts w:ascii="Times New Roman" w:hAnsi="Times New Roman" w:cs="Times New Roman"/>
                <w:i w:val="0"/>
                <w:noProof/>
              </w:rPr>
              <w:t>4.1</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General Background to Contrarian Investing</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_Toc305166498 \h </w:instrText>
            </w:r>
            <w:r w:rsidRPr="00616A24">
              <w:rPr>
                <w:i w:val="0"/>
                <w:noProof/>
                <w:webHidden/>
              </w:rPr>
            </w:r>
            <w:r w:rsidRPr="00616A24">
              <w:rPr>
                <w:i w:val="0"/>
                <w:noProof/>
                <w:webHidden/>
              </w:rPr>
              <w:fldChar w:fldCharType="separate"/>
            </w:r>
            <w:r w:rsidR="00AB32F5">
              <w:rPr>
                <w:i w:val="0"/>
                <w:noProof/>
                <w:webHidden/>
              </w:rPr>
              <w:t>50</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499" w:history="1">
            <w:r w:rsidR="00616A24" w:rsidRPr="00616A24">
              <w:rPr>
                <w:rStyle w:val="Hyperlink"/>
                <w:rFonts w:ascii="Times New Roman" w:eastAsia="Times New Roman" w:hAnsi="Times New Roman" w:cs="Times New Roman"/>
                <w:i w:val="0"/>
                <w:noProof/>
                <w:lang w:val="en-GB" w:eastAsia="en-GB"/>
              </w:rPr>
              <w:t>4.2</w:t>
            </w:r>
            <w:r w:rsidR="00616A24" w:rsidRPr="00616A24">
              <w:rPr>
                <w:rFonts w:cstheme="minorBidi"/>
                <w:i w:val="0"/>
                <w:iCs w:val="0"/>
                <w:noProof/>
                <w:sz w:val="22"/>
                <w:szCs w:val="22"/>
              </w:rPr>
              <w:tab/>
            </w:r>
            <w:r w:rsidR="00616A24" w:rsidRPr="00616A24">
              <w:rPr>
                <w:rStyle w:val="Hyperlink"/>
                <w:rFonts w:ascii="Times New Roman" w:eastAsia="Times New Roman" w:hAnsi="Times New Roman" w:cs="Times New Roman"/>
                <w:i w:val="0"/>
                <w:noProof/>
                <w:lang w:val="en-GB" w:eastAsia="en-GB"/>
              </w:rPr>
              <w:t>Value vs. Growth Stocks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_Toc305166499 \h </w:instrText>
            </w:r>
            <w:r w:rsidRPr="00616A24">
              <w:rPr>
                <w:i w:val="0"/>
                <w:noProof/>
                <w:webHidden/>
              </w:rPr>
            </w:r>
            <w:r w:rsidRPr="00616A24">
              <w:rPr>
                <w:i w:val="0"/>
                <w:noProof/>
                <w:webHidden/>
              </w:rPr>
              <w:fldChar w:fldCharType="separate"/>
            </w:r>
            <w:r w:rsidR="00AB32F5">
              <w:rPr>
                <w:i w:val="0"/>
                <w:noProof/>
                <w:webHidden/>
              </w:rPr>
              <w:t>60</w:t>
            </w:r>
            <w:r w:rsidRPr="00616A24">
              <w:rPr>
                <w:i w:val="0"/>
                <w:noProof/>
                <w:webHidden/>
              </w:rPr>
              <w:fldChar w:fldCharType="end"/>
            </w:r>
          </w:hyperlink>
        </w:p>
        <w:p w:rsidR="00616A24" w:rsidRPr="00616A24" w:rsidRDefault="000963F3">
          <w:pPr>
            <w:pStyle w:val="TOC3"/>
            <w:tabs>
              <w:tab w:val="left" w:pos="1100"/>
              <w:tab w:val="right" w:pos="9016"/>
            </w:tabs>
            <w:rPr>
              <w:rFonts w:cstheme="minorBidi"/>
              <w:noProof/>
              <w:sz w:val="22"/>
              <w:szCs w:val="22"/>
            </w:rPr>
          </w:pPr>
          <w:hyperlink w:anchor="_Toc305166506" w:history="1">
            <w:r w:rsidR="00616A24" w:rsidRPr="00616A24">
              <w:rPr>
                <w:rStyle w:val="Hyperlink"/>
                <w:rFonts w:ascii="Times New Roman" w:eastAsia="Times New Roman" w:hAnsi="Times New Roman" w:cs="Times New Roman"/>
                <w:noProof/>
                <w:lang w:eastAsia="en-GB"/>
              </w:rPr>
              <w:t>4.2.1</w:t>
            </w:r>
            <w:r w:rsidR="00616A24" w:rsidRPr="00616A24">
              <w:rPr>
                <w:rFonts w:cstheme="minorBidi"/>
                <w:noProof/>
                <w:sz w:val="22"/>
                <w:szCs w:val="22"/>
              </w:rPr>
              <w:tab/>
            </w:r>
            <w:r w:rsidR="00616A24" w:rsidRPr="00616A24">
              <w:rPr>
                <w:rStyle w:val="Hyperlink"/>
                <w:rFonts w:ascii="Times New Roman" w:eastAsia="Times New Roman" w:hAnsi="Times New Roman" w:cs="Times New Roman"/>
                <w:noProof/>
                <w:lang w:eastAsia="en-GB"/>
              </w:rPr>
              <w:t>Value</w:t>
            </w:r>
            <w:r w:rsidR="00616A24" w:rsidRPr="00616A24">
              <w:rPr>
                <w:noProof/>
                <w:webHidden/>
              </w:rPr>
              <w:tab/>
            </w:r>
            <w:r w:rsidRPr="00616A24">
              <w:rPr>
                <w:noProof/>
                <w:webHidden/>
              </w:rPr>
              <w:fldChar w:fldCharType="begin"/>
            </w:r>
            <w:r w:rsidR="00616A24" w:rsidRPr="00616A24">
              <w:rPr>
                <w:noProof/>
                <w:webHidden/>
              </w:rPr>
              <w:instrText xml:space="preserve"> PAGEREF _Toc305166506 \h </w:instrText>
            </w:r>
            <w:r w:rsidRPr="00616A24">
              <w:rPr>
                <w:noProof/>
                <w:webHidden/>
              </w:rPr>
            </w:r>
            <w:r w:rsidRPr="00616A24">
              <w:rPr>
                <w:noProof/>
                <w:webHidden/>
              </w:rPr>
              <w:fldChar w:fldCharType="separate"/>
            </w:r>
            <w:r w:rsidR="00AB32F5">
              <w:rPr>
                <w:noProof/>
                <w:webHidden/>
              </w:rPr>
              <w:t>64</w:t>
            </w:r>
            <w:r w:rsidRPr="00616A24">
              <w:rPr>
                <w:noProof/>
                <w:webHidden/>
              </w:rPr>
              <w:fldChar w:fldCharType="end"/>
            </w:r>
          </w:hyperlink>
        </w:p>
        <w:p w:rsidR="00616A24" w:rsidRPr="00616A24" w:rsidRDefault="000963F3">
          <w:pPr>
            <w:pStyle w:val="TOC3"/>
            <w:tabs>
              <w:tab w:val="left" w:pos="1100"/>
              <w:tab w:val="right" w:pos="9016"/>
            </w:tabs>
            <w:rPr>
              <w:rFonts w:cstheme="minorBidi"/>
              <w:noProof/>
              <w:sz w:val="22"/>
              <w:szCs w:val="22"/>
            </w:rPr>
          </w:pPr>
          <w:hyperlink w:anchor="_Toc305166507" w:history="1">
            <w:r w:rsidR="00616A24" w:rsidRPr="00616A24">
              <w:rPr>
                <w:rStyle w:val="Hyperlink"/>
                <w:rFonts w:ascii="Times New Roman" w:eastAsia="Times New Roman" w:hAnsi="Times New Roman" w:cs="Times New Roman"/>
                <w:noProof/>
                <w:lang w:val="en-GB" w:eastAsia="en-GB"/>
              </w:rPr>
              <w:t>4.2.2</w:t>
            </w:r>
            <w:r w:rsidR="00616A24" w:rsidRPr="00616A24">
              <w:rPr>
                <w:rFonts w:cstheme="minorBidi"/>
                <w:noProof/>
                <w:sz w:val="22"/>
                <w:szCs w:val="22"/>
              </w:rPr>
              <w:tab/>
            </w:r>
            <w:r w:rsidR="00616A24" w:rsidRPr="00616A24">
              <w:rPr>
                <w:rStyle w:val="Hyperlink"/>
                <w:rFonts w:ascii="Times New Roman" w:eastAsia="Times New Roman" w:hAnsi="Times New Roman" w:cs="Times New Roman"/>
                <w:noProof/>
                <w:lang w:val="en-GB" w:eastAsia="en-GB"/>
              </w:rPr>
              <w:t>Growth</w:t>
            </w:r>
            <w:r w:rsidR="00616A24" w:rsidRPr="00616A24">
              <w:rPr>
                <w:noProof/>
                <w:webHidden/>
              </w:rPr>
              <w:tab/>
            </w:r>
            <w:r w:rsidRPr="00616A24">
              <w:rPr>
                <w:noProof/>
                <w:webHidden/>
              </w:rPr>
              <w:fldChar w:fldCharType="begin"/>
            </w:r>
            <w:r w:rsidR="00616A24" w:rsidRPr="00616A24">
              <w:rPr>
                <w:noProof/>
                <w:webHidden/>
              </w:rPr>
              <w:instrText xml:space="preserve"> PAGEREF _Toc305166507 \h </w:instrText>
            </w:r>
            <w:r w:rsidRPr="00616A24">
              <w:rPr>
                <w:noProof/>
                <w:webHidden/>
              </w:rPr>
            </w:r>
            <w:r w:rsidRPr="00616A24">
              <w:rPr>
                <w:noProof/>
                <w:webHidden/>
              </w:rPr>
              <w:fldChar w:fldCharType="separate"/>
            </w:r>
            <w:r w:rsidR="00AB32F5">
              <w:rPr>
                <w:noProof/>
                <w:webHidden/>
              </w:rPr>
              <w:t>65</w:t>
            </w:r>
            <w:r w:rsidRPr="00616A24">
              <w:rPr>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14" w:history="1">
            <w:r w:rsidR="00616A24" w:rsidRPr="00616A24">
              <w:rPr>
                <w:rStyle w:val="Hyperlink"/>
                <w:rFonts w:ascii="Times New Roman" w:hAnsi="Times New Roman" w:cs="Times New Roman"/>
                <w:i w:val="0"/>
                <w:noProof/>
              </w:rPr>
              <w:t>4.3</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Variables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_Toc305166514 \h </w:instrText>
            </w:r>
            <w:r w:rsidRPr="00616A24">
              <w:rPr>
                <w:i w:val="0"/>
                <w:noProof/>
                <w:webHidden/>
              </w:rPr>
            </w:r>
            <w:r w:rsidRPr="00616A24">
              <w:rPr>
                <w:i w:val="0"/>
                <w:noProof/>
                <w:webHidden/>
              </w:rPr>
              <w:fldChar w:fldCharType="separate"/>
            </w:r>
            <w:r w:rsidR="00AB32F5">
              <w:rPr>
                <w:i w:val="0"/>
                <w:noProof/>
                <w:webHidden/>
              </w:rPr>
              <w:t>66</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15" w:history="1">
            <w:r w:rsidR="00616A24" w:rsidRPr="00616A24">
              <w:rPr>
                <w:rStyle w:val="Hyperlink"/>
                <w:rFonts w:ascii="Times New Roman" w:hAnsi="Times New Roman" w:cs="Times New Roman"/>
                <w:i w:val="0"/>
                <w:noProof/>
              </w:rPr>
              <w:t>4.4</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Small firm effect</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_Toc305166515 \h </w:instrText>
            </w:r>
            <w:r w:rsidRPr="00616A24">
              <w:rPr>
                <w:i w:val="0"/>
                <w:noProof/>
                <w:webHidden/>
              </w:rPr>
            </w:r>
            <w:r w:rsidRPr="00616A24">
              <w:rPr>
                <w:i w:val="0"/>
                <w:noProof/>
                <w:webHidden/>
              </w:rPr>
              <w:fldChar w:fldCharType="separate"/>
            </w:r>
            <w:r w:rsidR="00AB32F5">
              <w:rPr>
                <w:i w:val="0"/>
                <w:noProof/>
                <w:webHidden/>
              </w:rPr>
              <w:t>78</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16" w:history="1">
            <w:r w:rsidR="00616A24" w:rsidRPr="00616A24">
              <w:rPr>
                <w:rStyle w:val="Hyperlink"/>
                <w:rFonts w:ascii="Times New Roman" w:hAnsi="Times New Roman" w:cs="Times New Roman"/>
                <w:i w:val="0"/>
                <w:noProof/>
              </w:rPr>
              <w:t>4.5</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Previous Studies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_Toc305166516 \h </w:instrText>
            </w:r>
            <w:r w:rsidRPr="00616A24">
              <w:rPr>
                <w:i w:val="0"/>
                <w:noProof/>
                <w:webHidden/>
              </w:rPr>
            </w:r>
            <w:r w:rsidRPr="00616A24">
              <w:rPr>
                <w:i w:val="0"/>
                <w:noProof/>
                <w:webHidden/>
              </w:rPr>
              <w:fldChar w:fldCharType="separate"/>
            </w:r>
            <w:r w:rsidR="00AB32F5">
              <w:rPr>
                <w:i w:val="0"/>
                <w:noProof/>
                <w:webHidden/>
              </w:rPr>
              <w:t>82</w:t>
            </w:r>
            <w:r w:rsidRPr="00616A24">
              <w:rPr>
                <w:i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517" w:history="1">
            <w:r w:rsidR="00616A24" w:rsidRPr="00616A24">
              <w:rPr>
                <w:rStyle w:val="Hyperlink"/>
                <w:rFonts w:ascii="Times New Roman" w:hAnsi="Times New Roman" w:cs="Times New Roman"/>
                <w:b w:val="0"/>
                <w:noProof/>
              </w:rPr>
              <w:t>5.</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Data and Methodology</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_Toc305166517 \h </w:instrText>
            </w:r>
            <w:r w:rsidRPr="00616A24">
              <w:rPr>
                <w:b w:val="0"/>
                <w:noProof/>
                <w:webHidden/>
              </w:rPr>
            </w:r>
            <w:r w:rsidRPr="00616A24">
              <w:rPr>
                <w:b w:val="0"/>
                <w:noProof/>
                <w:webHidden/>
              </w:rPr>
              <w:fldChar w:fldCharType="separate"/>
            </w:r>
            <w:r w:rsidR="00AB32F5">
              <w:rPr>
                <w:b w:val="0"/>
                <w:noProof/>
                <w:webHidden/>
              </w:rPr>
              <w:t>132</w:t>
            </w:r>
            <w:r w:rsidRPr="00616A24">
              <w:rPr>
                <w:b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518" w:history="1">
            <w:r w:rsidR="00616A24" w:rsidRPr="00616A24">
              <w:rPr>
                <w:rStyle w:val="Hyperlink"/>
                <w:rFonts w:ascii="Times New Roman" w:hAnsi="Times New Roman" w:cs="Times New Roman"/>
                <w:b w:val="0"/>
                <w:noProof/>
              </w:rPr>
              <w:t>6.</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Empirical Analysis and Results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_Toc305166518 \h </w:instrText>
            </w:r>
            <w:r w:rsidRPr="00616A24">
              <w:rPr>
                <w:b w:val="0"/>
                <w:noProof/>
                <w:webHidden/>
              </w:rPr>
            </w:r>
            <w:r w:rsidRPr="00616A24">
              <w:rPr>
                <w:b w:val="0"/>
                <w:noProof/>
                <w:webHidden/>
              </w:rPr>
              <w:fldChar w:fldCharType="separate"/>
            </w:r>
            <w:r w:rsidR="00AB32F5">
              <w:rPr>
                <w:b w:val="0"/>
                <w:noProof/>
                <w:webHidden/>
              </w:rPr>
              <w:t>147</w:t>
            </w:r>
            <w:r w:rsidRPr="00616A24">
              <w:rPr>
                <w:b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19" w:history="1">
            <w:r w:rsidR="00616A24" w:rsidRPr="00616A24">
              <w:rPr>
                <w:rStyle w:val="Hyperlink"/>
                <w:rFonts w:ascii="Times New Roman" w:hAnsi="Times New Roman" w:cs="Times New Roman"/>
                <w:i w:val="0"/>
                <w:noProof/>
              </w:rPr>
              <w:t>6.1</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One Dimensional Results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_Toc305166519 \h </w:instrText>
            </w:r>
            <w:r w:rsidRPr="00616A24">
              <w:rPr>
                <w:i w:val="0"/>
                <w:noProof/>
                <w:webHidden/>
              </w:rPr>
            </w:r>
            <w:r w:rsidRPr="00616A24">
              <w:rPr>
                <w:i w:val="0"/>
                <w:noProof/>
                <w:webHidden/>
              </w:rPr>
              <w:fldChar w:fldCharType="separate"/>
            </w:r>
            <w:r w:rsidR="00AB32F5">
              <w:rPr>
                <w:i w:val="0"/>
                <w:noProof/>
                <w:webHidden/>
              </w:rPr>
              <w:t>149</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20" w:history="1">
            <w:r w:rsidR="00616A24" w:rsidRPr="00616A24">
              <w:rPr>
                <w:rStyle w:val="Hyperlink"/>
                <w:rFonts w:ascii="Times New Roman" w:hAnsi="Times New Roman" w:cs="Times New Roman"/>
                <w:i w:val="0"/>
                <w:noProof/>
              </w:rPr>
              <w:t>6.2</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Two Dimensional Regression Results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_Toc305166520 \h </w:instrText>
            </w:r>
            <w:r w:rsidRPr="00616A24">
              <w:rPr>
                <w:i w:val="0"/>
                <w:noProof/>
                <w:webHidden/>
              </w:rPr>
            </w:r>
            <w:r w:rsidRPr="00616A24">
              <w:rPr>
                <w:i w:val="0"/>
                <w:noProof/>
                <w:webHidden/>
              </w:rPr>
              <w:fldChar w:fldCharType="separate"/>
            </w:r>
            <w:r w:rsidR="00AB32F5">
              <w:rPr>
                <w:i w:val="0"/>
                <w:noProof/>
                <w:webHidden/>
              </w:rPr>
              <w:t>174</w:t>
            </w:r>
            <w:r w:rsidRPr="00616A24">
              <w:rPr>
                <w:i w:val="0"/>
                <w:noProof/>
                <w:webHidden/>
              </w:rPr>
              <w:fldChar w:fldCharType="end"/>
            </w:r>
          </w:hyperlink>
        </w:p>
        <w:p w:rsidR="00616A24" w:rsidRPr="00616A24" w:rsidRDefault="000963F3">
          <w:pPr>
            <w:pStyle w:val="TOC2"/>
            <w:tabs>
              <w:tab w:val="left" w:pos="880"/>
              <w:tab w:val="right" w:pos="9016"/>
            </w:tabs>
            <w:rPr>
              <w:rFonts w:cstheme="minorBidi"/>
              <w:i w:val="0"/>
              <w:iCs w:val="0"/>
              <w:noProof/>
              <w:sz w:val="22"/>
              <w:szCs w:val="22"/>
            </w:rPr>
          </w:pPr>
          <w:hyperlink w:anchor="_Toc305166521" w:history="1">
            <w:r w:rsidR="00616A24" w:rsidRPr="00616A24">
              <w:rPr>
                <w:rStyle w:val="Hyperlink"/>
                <w:rFonts w:ascii="Times New Roman" w:hAnsi="Times New Roman" w:cs="Times New Roman"/>
                <w:i w:val="0"/>
                <w:noProof/>
              </w:rPr>
              <w:t>6.3</w:t>
            </w:r>
            <w:r w:rsidR="00616A24" w:rsidRPr="00616A24">
              <w:rPr>
                <w:rFonts w:cstheme="minorBidi"/>
                <w:i w:val="0"/>
                <w:iCs w:val="0"/>
                <w:noProof/>
                <w:sz w:val="22"/>
                <w:szCs w:val="22"/>
              </w:rPr>
              <w:tab/>
            </w:r>
            <w:r w:rsidR="00616A24" w:rsidRPr="00616A24">
              <w:rPr>
                <w:rStyle w:val="Hyperlink"/>
                <w:rFonts w:ascii="Times New Roman" w:hAnsi="Times New Roman" w:cs="Times New Roman"/>
                <w:i w:val="0"/>
                <w:noProof/>
              </w:rPr>
              <w:t>Three Factor Regression Results</w:t>
            </w:r>
            <w:r w:rsidR="00616A24" w:rsidRPr="00616A24">
              <w:rPr>
                <w:i w:val="0"/>
                <w:noProof/>
                <w:webHidden/>
              </w:rPr>
              <w:tab/>
            </w:r>
            <w:r w:rsidRPr="00616A24">
              <w:rPr>
                <w:i w:val="0"/>
                <w:noProof/>
                <w:webHidden/>
              </w:rPr>
              <w:fldChar w:fldCharType="begin"/>
            </w:r>
            <w:r w:rsidR="00616A24" w:rsidRPr="00616A24">
              <w:rPr>
                <w:i w:val="0"/>
                <w:noProof/>
                <w:webHidden/>
              </w:rPr>
              <w:instrText xml:space="preserve"> PAGEREF _Toc305166521 \h </w:instrText>
            </w:r>
            <w:r w:rsidRPr="00616A24">
              <w:rPr>
                <w:i w:val="0"/>
                <w:noProof/>
                <w:webHidden/>
              </w:rPr>
            </w:r>
            <w:r w:rsidRPr="00616A24">
              <w:rPr>
                <w:i w:val="0"/>
                <w:noProof/>
                <w:webHidden/>
              </w:rPr>
              <w:fldChar w:fldCharType="separate"/>
            </w:r>
            <w:r w:rsidR="00AB32F5">
              <w:rPr>
                <w:i w:val="0"/>
                <w:noProof/>
                <w:webHidden/>
              </w:rPr>
              <w:t>189</w:t>
            </w:r>
            <w:r w:rsidRPr="00616A24">
              <w:rPr>
                <w:i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522" w:history="1">
            <w:r w:rsidR="00616A24" w:rsidRPr="00616A24">
              <w:rPr>
                <w:rStyle w:val="Hyperlink"/>
                <w:rFonts w:ascii="Times New Roman" w:hAnsi="Times New Roman" w:cs="Times New Roman"/>
                <w:b w:val="0"/>
                <w:noProof/>
              </w:rPr>
              <w:t>7.</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Conclusions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_Toc305166522 \h </w:instrText>
            </w:r>
            <w:r w:rsidRPr="00616A24">
              <w:rPr>
                <w:b w:val="0"/>
                <w:noProof/>
                <w:webHidden/>
              </w:rPr>
            </w:r>
            <w:r w:rsidRPr="00616A24">
              <w:rPr>
                <w:b w:val="0"/>
                <w:noProof/>
                <w:webHidden/>
              </w:rPr>
              <w:fldChar w:fldCharType="separate"/>
            </w:r>
            <w:r w:rsidR="00AB32F5">
              <w:rPr>
                <w:b w:val="0"/>
                <w:noProof/>
                <w:webHidden/>
              </w:rPr>
              <w:t>195</w:t>
            </w:r>
            <w:r w:rsidRPr="00616A24">
              <w:rPr>
                <w:b w:val="0"/>
                <w:noProof/>
                <w:webHidden/>
              </w:rPr>
              <w:fldChar w:fldCharType="end"/>
            </w:r>
          </w:hyperlink>
        </w:p>
        <w:p w:rsidR="00616A24" w:rsidRPr="00616A24" w:rsidRDefault="000963F3">
          <w:pPr>
            <w:pStyle w:val="TOC1"/>
            <w:tabs>
              <w:tab w:val="left" w:pos="440"/>
              <w:tab w:val="right" w:pos="9016"/>
            </w:tabs>
            <w:rPr>
              <w:rFonts w:cstheme="minorBidi"/>
              <w:b w:val="0"/>
              <w:bCs w:val="0"/>
              <w:noProof/>
              <w:sz w:val="22"/>
              <w:szCs w:val="22"/>
            </w:rPr>
          </w:pPr>
          <w:hyperlink w:anchor="_Toc305166523" w:history="1">
            <w:r w:rsidR="00616A24" w:rsidRPr="00616A24">
              <w:rPr>
                <w:rStyle w:val="Hyperlink"/>
                <w:rFonts w:ascii="Times New Roman" w:hAnsi="Times New Roman" w:cs="Times New Roman"/>
                <w:b w:val="0"/>
                <w:noProof/>
              </w:rPr>
              <w:t>8.</w:t>
            </w:r>
            <w:r w:rsidR="00616A24" w:rsidRPr="00616A24">
              <w:rPr>
                <w:rFonts w:cstheme="minorBidi"/>
                <w:b w:val="0"/>
                <w:bCs w:val="0"/>
                <w:noProof/>
                <w:sz w:val="22"/>
                <w:szCs w:val="22"/>
              </w:rPr>
              <w:tab/>
            </w:r>
            <w:r w:rsidR="00616A24" w:rsidRPr="00616A24">
              <w:rPr>
                <w:rStyle w:val="Hyperlink"/>
                <w:rFonts w:ascii="Times New Roman" w:hAnsi="Times New Roman" w:cs="Times New Roman"/>
                <w:b w:val="0"/>
                <w:noProof/>
              </w:rPr>
              <w:t>References</w:t>
            </w:r>
            <w:r w:rsidR="00616A24" w:rsidRPr="00616A24">
              <w:rPr>
                <w:b w:val="0"/>
                <w:noProof/>
                <w:webHidden/>
              </w:rPr>
              <w:tab/>
            </w:r>
            <w:r w:rsidRPr="00616A24">
              <w:rPr>
                <w:b w:val="0"/>
                <w:noProof/>
                <w:webHidden/>
              </w:rPr>
              <w:fldChar w:fldCharType="begin"/>
            </w:r>
            <w:r w:rsidR="00616A24" w:rsidRPr="00616A24">
              <w:rPr>
                <w:b w:val="0"/>
                <w:noProof/>
                <w:webHidden/>
              </w:rPr>
              <w:instrText xml:space="preserve"> PAGEREF _Toc305166523 \h </w:instrText>
            </w:r>
            <w:r w:rsidRPr="00616A24">
              <w:rPr>
                <w:b w:val="0"/>
                <w:noProof/>
                <w:webHidden/>
              </w:rPr>
            </w:r>
            <w:r w:rsidRPr="00616A24">
              <w:rPr>
                <w:b w:val="0"/>
                <w:noProof/>
                <w:webHidden/>
              </w:rPr>
              <w:fldChar w:fldCharType="separate"/>
            </w:r>
            <w:r w:rsidR="00AB32F5">
              <w:rPr>
                <w:b w:val="0"/>
                <w:noProof/>
                <w:webHidden/>
              </w:rPr>
              <w:t>201</w:t>
            </w:r>
            <w:r w:rsidRPr="00616A24">
              <w:rPr>
                <w:b w:val="0"/>
                <w:noProof/>
                <w:webHidden/>
              </w:rPr>
              <w:fldChar w:fldCharType="end"/>
            </w:r>
          </w:hyperlink>
        </w:p>
        <w:p w:rsidR="00B90167" w:rsidRPr="00B90167" w:rsidRDefault="000963F3">
          <w:pPr>
            <w:rPr>
              <w:rFonts w:ascii="Times New Roman" w:hAnsi="Times New Roman" w:cs="Times New Roman"/>
            </w:rPr>
          </w:pPr>
          <w:r w:rsidRPr="00616A24">
            <w:rPr>
              <w:rFonts w:ascii="Times New Roman" w:hAnsi="Times New Roman" w:cs="Times New Roman"/>
            </w:rPr>
            <w:fldChar w:fldCharType="end"/>
          </w:r>
        </w:p>
      </w:sdtContent>
    </w:sdt>
    <w:p w:rsidR="00090512" w:rsidRPr="002B1C5E" w:rsidRDefault="002B1C5E" w:rsidP="002B1C5E">
      <w:pPr>
        <w:pStyle w:val="Heading1"/>
        <w:rPr>
          <w:rFonts w:ascii="Times New Roman" w:hAnsi="Times New Roman" w:cs="Times New Roman"/>
          <w:sz w:val="36"/>
        </w:rPr>
      </w:pPr>
      <w:bookmarkStart w:id="7" w:name="_Toc305166489"/>
      <w:r w:rsidRPr="002B1C5E">
        <w:rPr>
          <w:rFonts w:ascii="Times New Roman" w:hAnsi="Times New Roman" w:cs="Times New Roman"/>
          <w:sz w:val="36"/>
        </w:rPr>
        <w:lastRenderedPageBreak/>
        <w:t>List of Tables</w:t>
      </w:r>
      <w:bookmarkEnd w:id="7"/>
    </w:p>
    <w:p w:rsidR="002B1C5E" w:rsidRPr="00706ABF" w:rsidRDefault="002B1C5E" w:rsidP="00A02570">
      <w:pPr>
        <w:spacing w:line="360" w:lineRule="auto"/>
        <w:jc w:val="both"/>
        <w:rPr>
          <w:rFonts w:ascii="Times New Roman" w:hAnsi="Times New Roman" w:cs="Times New Roman"/>
          <w:sz w:val="24"/>
        </w:rPr>
      </w:pPr>
    </w:p>
    <w:p w:rsidR="00616A24" w:rsidRDefault="000963F3" w:rsidP="00864669">
      <w:pPr>
        <w:pStyle w:val="TableofFigures"/>
        <w:tabs>
          <w:tab w:val="right" w:pos="9016"/>
        </w:tabs>
        <w:rPr>
          <w:noProof/>
        </w:rPr>
      </w:pPr>
      <w:r>
        <w:rPr>
          <w:rFonts w:ascii="Times New Roman" w:hAnsi="Times New Roman" w:cs="Times New Roman"/>
          <w:sz w:val="24"/>
        </w:rPr>
        <w:fldChar w:fldCharType="begin"/>
      </w:r>
      <w:r w:rsidR="008F5D6A">
        <w:rPr>
          <w:rFonts w:ascii="Times New Roman" w:hAnsi="Times New Roman" w:cs="Times New Roman"/>
          <w:sz w:val="24"/>
        </w:rPr>
        <w:instrText xml:space="preserve"> TOC \f F \h \z \c "Table" </w:instrText>
      </w:r>
      <w:r>
        <w:rPr>
          <w:rFonts w:ascii="Times New Roman" w:hAnsi="Times New Roman" w:cs="Times New Roman"/>
          <w:sz w:val="24"/>
        </w:rPr>
        <w:fldChar w:fldCharType="separate"/>
      </w:r>
      <w:hyperlink w:anchor="_Toc305166524" w:history="1">
        <w:r w:rsidR="00616A24" w:rsidRPr="00B849E8">
          <w:rPr>
            <w:rStyle w:val="Hyperlink"/>
            <w:noProof/>
          </w:rPr>
          <w:t>Table 1- Portfolio Share Information</w:t>
        </w:r>
        <w:r w:rsidR="00616A24">
          <w:rPr>
            <w:noProof/>
            <w:webHidden/>
          </w:rPr>
          <w:tab/>
        </w:r>
        <w:r>
          <w:rPr>
            <w:noProof/>
            <w:webHidden/>
          </w:rPr>
          <w:fldChar w:fldCharType="begin"/>
        </w:r>
        <w:r w:rsidR="00616A24">
          <w:rPr>
            <w:noProof/>
            <w:webHidden/>
          </w:rPr>
          <w:instrText xml:space="preserve"> PAGEREF _Toc305166524 \h </w:instrText>
        </w:r>
        <w:r>
          <w:rPr>
            <w:noProof/>
            <w:webHidden/>
          </w:rPr>
        </w:r>
        <w:r>
          <w:rPr>
            <w:noProof/>
            <w:webHidden/>
          </w:rPr>
          <w:fldChar w:fldCharType="separate"/>
        </w:r>
        <w:r w:rsidR="00AB32F5">
          <w:rPr>
            <w:noProof/>
            <w:webHidden/>
          </w:rPr>
          <w:t>135</w:t>
        </w:r>
        <w:r>
          <w:rPr>
            <w:noProof/>
            <w:webHidden/>
          </w:rPr>
          <w:fldChar w:fldCharType="end"/>
        </w:r>
      </w:hyperlink>
    </w:p>
    <w:p w:rsidR="00616A24" w:rsidRDefault="000963F3">
      <w:pPr>
        <w:pStyle w:val="TableofFigures"/>
        <w:tabs>
          <w:tab w:val="right" w:pos="9016"/>
        </w:tabs>
        <w:rPr>
          <w:noProof/>
        </w:rPr>
      </w:pPr>
      <w:hyperlink w:anchor="_Toc305166525" w:history="1">
        <w:r w:rsidR="00616A24" w:rsidRPr="00B849E8">
          <w:rPr>
            <w:rStyle w:val="Hyperlink"/>
            <w:noProof/>
          </w:rPr>
          <w:t>Table 2 - Simple Statistics of Independent, Single Sorted Variables</w:t>
        </w:r>
        <w:r w:rsidR="00616A24">
          <w:rPr>
            <w:noProof/>
            <w:webHidden/>
          </w:rPr>
          <w:tab/>
        </w:r>
        <w:r>
          <w:rPr>
            <w:noProof/>
            <w:webHidden/>
          </w:rPr>
          <w:fldChar w:fldCharType="begin"/>
        </w:r>
        <w:r w:rsidR="00616A24">
          <w:rPr>
            <w:noProof/>
            <w:webHidden/>
          </w:rPr>
          <w:instrText xml:space="preserve"> PAGEREF _Toc305166525 \h </w:instrText>
        </w:r>
        <w:r>
          <w:rPr>
            <w:noProof/>
            <w:webHidden/>
          </w:rPr>
        </w:r>
        <w:r>
          <w:rPr>
            <w:noProof/>
            <w:webHidden/>
          </w:rPr>
          <w:fldChar w:fldCharType="separate"/>
        </w:r>
        <w:r w:rsidR="00AB32F5">
          <w:rPr>
            <w:noProof/>
            <w:webHidden/>
          </w:rPr>
          <w:t>139</w:t>
        </w:r>
        <w:r>
          <w:rPr>
            <w:noProof/>
            <w:webHidden/>
          </w:rPr>
          <w:fldChar w:fldCharType="end"/>
        </w:r>
      </w:hyperlink>
    </w:p>
    <w:p w:rsidR="00616A24" w:rsidRDefault="000963F3">
      <w:pPr>
        <w:pStyle w:val="TableofFigures"/>
        <w:tabs>
          <w:tab w:val="right" w:pos="9016"/>
        </w:tabs>
        <w:rPr>
          <w:noProof/>
        </w:rPr>
      </w:pPr>
      <w:hyperlink w:anchor="_Toc305166526" w:history="1">
        <w:r w:rsidR="00616A24" w:rsidRPr="00B849E8">
          <w:rPr>
            <w:rStyle w:val="Hyperlink"/>
            <w:noProof/>
          </w:rPr>
          <w:t>Table 3 - Simple Statistics of Independent, Dual Sorted Variables</w:t>
        </w:r>
        <w:r w:rsidR="00616A24">
          <w:rPr>
            <w:noProof/>
            <w:webHidden/>
          </w:rPr>
          <w:tab/>
        </w:r>
        <w:r>
          <w:rPr>
            <w:noProof/>
            <w:webHidden/>
          </w:rPr>
          <w:fldChar w:fldCharType="begin"/>
        </w:r>
        <w:r w:rsidR="00616A24">
          <w:rPr>
            <w:noProof/>
            <w:webHidden/>
          </w:rPr>
          <w:instrText xml:space="preserve"> PAGEREF _Toc305166526 \h </w:instrText>
        </w:r>
        <w:r>
          <w:rPr>
            <w:noProof/>
            <w:webHidden/>
          </w:rPr>
        </w:r>
        <w:r>
          <w:rPr>
            <w:noProof/>
            <w:webHidden/>
          </w:rPr>
          <w:fldChar w:fldCharType="separate"/>
        </w:r>
        <w:r w:rsidR="00AB32F5">
          <w:rPr>
            <w:noProof/>
            <w:webHidden/>
          </w:rPr>
          <w:t>142</w:t>
        </w:r>
        <w:r>
          <w:rPr>
            <w:noProof/>
            <w:webHidden/>
          </w:rPr>
          <w:fldChar w:fldCharType="end"/>
        </w:r>
      </w:hyperlink>
    </w:p>
    <w:p w:rsidR="00616A24" w:rsidRDefault="000963F3">
      <w:pPr>
        <w:pStyle w:val="TableofFigures"/>
        <w:tabs>
          <w:tab w:val="right" w:pos="9016"/>
        </w:tabs>
        <w:rPr>
          <w:noProof/>
        </w:rPr>
      </w:pPr>
      <w:hyperlink w:anchor="_Toc305166527" w:history="1">
        <w:r w:rsidR="00616A24" w:rsidRPr="00B849E8">
          <w:rPr>
            <w:rStyle w:val="Hyperlink"/>
            <w:noProof/>
          </w:rPr>
          <w:t>Table 4 - Descriptive Statistics for Dependent Variables</w:t>
        </w:r>
        <w:r w:rsidR="00616A24">
          <w:rPr>
            <w:noProof/>
            <w:webHidden/>
          </w:rPr>
          <w:tab/>
        </w:r>
        <w:r>
          <w:rPr>
            <w:noProof/>
            <w:webHidden/>
          </w:rPr>
          <w:fldChar w:fldCharType="begin"/>
        </w:r>
        <w:r w:rsidR="00616A24">
          <w:rPr>
            <w:noProof/>
            <w:webHidden/>
          </w:rPr>
          <w:instrText xml:space="preserve"> PAGEREF _Toc305166527 \h </w:instrText>
        </w:r>
        <w:r>
          <w:rPr>
            <w:noProof/>
            <w:webHidden/>
          </w:rPr>
        </w:r>
        <w:r>
          <w:rPr>
            <w:noProof/>
            <w:webHidden/>
          </w:rPr>
          <w:fldChar w:fldCharType="separate"/>
        </w:r>
        <w:r w:rsidR="00AB32F5">
          <w:rPr>
            <w:noProof/>
            <w:webHidden/>
          </w:rPr>
          <w:t>145</w:t>
        </w:r>
        <w:r>
          <w:rPr>
            <w:noProof/>
            <w:webHidden/>
          </w:rPr>
          <w:fldChar w:fldCharType="end"/>
        </w:r>
      </w:hyperlink>
    </w:p>
    <w:p w:rsidR="00616A24" w:rsidRDefault="000963F3">
      <w:pPr>
        <w:pStyle w:val="TableofFigures"/>
        <w:tabs>
          <w:tab w:val="right" w:pos="9016"/>
        </w:tabs>
        <w:rPr>
          <w:noProof/>
        </w:rPr>
      </w:pPr>
      <w:hyperlink w:anchor="_Toc305166528" w:history="1">
        <w:r w:rsidR="00616A24" w:rsidRPr="00B849E8">
          <w:rPr>
            <w:rStyle w:val="Hyperlink"/>
            <w:noProof/>
          </w:rPr>
          <w:t>Table 5 - Augmented Dickey-Fuller Tests</w:t>
        </w:r>
        <w:r w:rsidR="00616A24">
          <w:rPr>
            <w:noProof/>
            <w:webHidden/>
          </w:rPr>
          <w:tab/>
        </w:r>
        <w:r>
          <w:rPr>
            <w:noProof/>
            <w:webHidden/>
          </w:rPr>
          <w:fldChar w:fldCharType="begin"/>
        </w:r>
        <w:r w:rsidR="00616A24">
          <w:rPr>
            <w:noProof/>
            <w:webHidden/>
          </w:rPr>
          <w:instrText xml:space="preserve"> PAGEREF _Toc305166528 \h </w:instrText>
        </w:r>
        <w:r>
          <w:rPr>
            <w:noProof/>
            <w:webHidden/>
          </w:rPr>
        </w:r>
        <w:r>
          <w:rPr>
            <w:noProof/>
            <w:webHidden/>
          </w:rPr>
          <w:fldChar w:fldCharType="separate"/>
        </w:r>
        <w:r w:rsidR="00AB32F5">
          <w:rPr>
            <w:noProof/>
            <w:webHidden/>
          </w:rPr>
          <w:t>148</w:t>
        </w:r>
        <w:r>
          <w:rPr>
            <w:noProof/>
            <w:webHidden/>
          </w:rPr>
          <w:fldChar w:fldCharType="end"/>
        </w:r>
      </w:hyperlink>
    </w:p>
    <w:p w:rsidR="00616A24" w:rsidRDefault="000963F3">
      <w:pPr>
        <w:pStyle w:val="TableofFigures"/>
        <w:tabs>
          <w:tab w:val="right" w:pos="9016"/>
        </w:tabs>
        <w:rPr>
          <w:noProof/>
        </w:rPr>
      </w:pPr>
      <w:hyperlink w:anchor="_Toc305166529" w:history="1">
        <w:r w:rsidR="00616A24" w:rsidRPr="00B849E8">
          <w:rPr>
            <w:rStyle w:val="Hyperlink"/>
            <w:noProof/>
          </w:rPr>
          <w:t>Table 6 - Descriptive Statistics of Independent, Single Sorted Portfolios</w:t>
        </w:r>
        <w:r w:rsidR="00616A24">
          <w:rPr>
            <w:noProof/>
            <w:webHidden/>
          </w:rPr>
          <w:tab/>
        </w:r>
        <w:r>
          <w:rPr>
            <w:noProof/>
            <w:webHidden/>
          </w:rPr>
          <w:fldChar w:fldCharType="begin"/>
        </w:r>
        <w:r w:rsidR="00616A24">
          <w:rPr>
            <w:noProof/>
            <w:webHidden/>
          </w:rPr>
          <w:instrText xml:space="preserve"> PAGEREF _Toc305166529 \h </w:instrText>
        </w:r>
        <w:r>
          <w:rPr>
            <w:noProof/>
            <w:webHidden/>
          </w:rPr>
        </w:r>
        <w:r>
          <w:rPr>
            <w:noProof/>
            <w:webHidden/>
          </w:rPr>
          <w:fldChar w:fldCharType="separate"/>
        </w:r>
        <w:r w:rsidR="00AB32F5">
          <w:rPr>
            <w:noProof/>
            <w:webHidden/>
          </w:rPr>
          <w:t>151</w:t>
        </w:r>
        <w:r>
          <w:rPr>
            <w:noProof/>
            <w:webHidden/>
          </w:rPr>
          <w:fldChar w:fldCharType="end"/>
        </w:r>
      </w:hyperlink>
    </w:p>
    <w:p w:rsidR="00616A24" w:rsidRDefault="000963F3">
      <w:pPr>
        <w:pStyle w:val="TableofFigures"/>
        <w:tabs>
          <w:tab w:val="right" w:pos="9016"/>
        </w:tabs>
        <w:rPr>
          <w:noProof/>
        </w:rPr>
      </w:pPr>
      <w:hyperlink w:anchor="_Toc305166530" w:history="1">
        <w:r w:rsidR="00616A24" w:rsidRPr="00B849E8">
          <w:rPr>
            <w:rStyle w:val="Hyperlink"/>
            <w:noProof/>
          </w:rPr>
          <w:t>Table 7 - Correlation Matrix for All Equally Weighted Independent Variables</w:t>
        </w:r>
        <w:r w:rsidR="00616A24">
          <w:rPr>
            <w:noProof/>
            <w:webHidden/>
          </w:rPr>
          <w:tab/>
        </w:r>
        <w:r>
          <w:rPr>
            <w:noProof/>
            <w:webHidden/>
          </w:rPr>
          <w:fldChar w:fldCharType="begin"/>
        </w:r>
        <w:r w:rsidR="00616A24">
          <w:rPr>
            <w:noProof/>
            <w:webHidden/>
          </w:rPr>
          <w:instrText xml:space="preserve"> PAGEREF _Toc305166530 \h </w:instrText>
        </w:r>
        <w:r>
          <w:rPr>
            <w:noProof/>
            <w:webHidden/>
          </w:rPr>
        </w:r>
        <w:r>
          <w:rPr>
            <w:noProof/>
            <w:webHidden/>
          </w:rPr>
          <w:fldChar w:fldCharType="separate"/>
        </w:r>
        <w:r w:rsidR="00AB32F5">
          <w:rPr>
            <w:noProof/>
            <w:webHidden/>
          </w:rPr>
          <w:t>158</w:t>
        </w:r>
        <w:r>
          <w:rPr>
            <w:noProof/>
            <w:webHidden/>
          </w:rPr>
          <w:fldChar w:fldCharType="end"/>
        </w:r>
      </w:hyperlink>
    </w:p>
    <w:p w:rsidR="00616A24" w:rsidRDefault="000963F3">
      <w:pPr>
        <w:pStyle w:val="TableofFigures"/>
        <w:tabs>
          <w:tab w:val="right" w:pos="9016"/>
        </w:tabs>
        <w:rPr>
          <w:noProof/>
        </w:rPr>
      </w:pPr>
      <w:hyperlink w:anchor="_Toc305166531" w:history="1">
        <w:r w:rsidR="00616A24" w:rsidRPr="00B849E8">
          <w:rPr>
            <w:rStyle w:val="Hyperlink"/>
            <w:noProof/>
          </w:rPr>
          <w:t>Table 8 - Correlation Matrix for All Value Weighted Independent Variables</w:t>
        </w:r>
        <w:r w:rsidR="00616A24">
          <w:rPr>
            <w:noProof/>
            <w:webHidden/>
          </w:rPr>
          <w:tab/>
        </w:r>
        <w:r>
          <w:rPr>
            <w:noProof/>
            <w:webHidden/>
          </w:rPr>
          <w:fldChar w:fldCharType="begin"/>
        </w:r>
        <w:r w:rsidR="00616A24">
          <w:rPr>
            <w:noProof/>
            <w:webHidden/>
          </w:rPr>
          <w:instrText xml:space="preserve"> PAGEREF _Toc305166531 \h </w:instrText>
        </w:r>
        <w:r>
          <w:rPr>
            <w:noProof/>
            <w:webHidden/>
          </w:rPr>
        </w:r>
        <w:r>
          <w:rPr>
            <w:noProof/>
            <w:webHidden/>
          </w:rPr>
          <w:fldChar w:fldCharType="separate"/>
        </w:r>
        <w:r w:rsidR="00AB32F5">
          <w:rPr>
            <w:noProof/>
            <w:webHidden/>
          </w:rPr>
          <w:t>159</w:t>
        </w:r>
        <w:r>
          <w:rPr>
            <w:noProof/>
            <w:webHidden/>
          </w:rPr>
          <w:fldChar w:fldCharType="end"/>
        </w:r>
      </w:hyperlink>
    </w:p>
    <w:p w:rsidR="00616A24" w:rsidRDefault="000963F3">
      <w:pPr>
        <w:pStyle w:val="TableofFigures"/>
        <w:tabs>
          <w:tab w:val="right" w:pos="9016"/>
        </w:tabs>
        <w:rPr>
          <w:noProof/>
        </w:rPr>
      </w:pPr>
      <w:hyperlink w:anchor="_Toc305166532" w:history="1">
        <w:r w:rsidR="00616A24" w:rsidRPr="00B849E8">
          <w:rPr>
            <w:rStyle w:val="Hyperlink"/>
            <w:noProof/>
          </w:rPr>
          <w:t>Table 9 - Regression Results for All Equally Weighted Variables Regressed on Large Growth Dependent Variable</w:t>
        </w:r>
        <w:r w:rsidR="00616A24">
          <w:rPr>
            <w:noProof/>
            <w:webHidden/>
          </w:rPr>
          <w:tab/>
        </w:r>
        <w:r>
          <w:rPr>
            <w:noProof/>
            <w:webHidden/>
          </w:rPr>
          <w:fldChar w:fldCharType="begin"/>
        </w:r>
        <w:r w:rsidR="00616A24">
          <w:rPr>
            <w:noProof/>
            <w:webHidden/>
          </w:rPr>
          <w:instrText xml:space="preserve"> PAGEREF _Toc305166532 \h </w:instrText>
        </w:r>
        <w:r>
          <w:rPr>
            <w:noProof/>
            <w:webHidden/>
          </w:rPr>
        </w:r>
        <w:r>
          <w:rPr>
            <w:noProof/>
            <w:webHidden/>
          </w:rPr>
          <w:fldChar w:fldCharType="separate"/>
        </w:r>
        <w:r w:rsidR="00AB32F5">
          <w:rPr>
            <w:noProof/>
            <w:webHidden/>
          </w:rPr>
          <w:t>163</w:t>
        </w:r>
        <w:r>
          <w:rPr>
            <w:noProof/>
            <w:webHidden/>
          </w:rPr>
          <w:fldChar w:fldCharType="end"/>
        </w:r>
      </w:hyperlink>
    </w:p>
    <w:p w:rsidR="00616A24" w:rsidRDefault="000963F3">
      <w:pPr>
        <w:pStyle w:val="TableofFigures"/>
        <w:tabs>
          <w:tab w:val="right" w:pos="9016"/>
        </w:tabs>
        <w:rPr>
          <w:noProof/>
        </w:rPr>
      </w:pPr>
      <w:hyperlink w:anchor="_Toc305166533" w:history="1">
        <w:r w:rsidR="00616A24" w:rsidRPr="00B849E8">
          <w:rPr>
            <w:rStyle w:val="Hyperlink"/>
            <w:noProof/>
          </w:rPr>
          <w:t>Table 10 - Regression Results for All Value Weighted Variables Regressed on Large Growth Dependent Variable</w:t>
        </w:r>
        <w:r w:rsidR="00616A24">
          <w:rPr>
            <w:noProof/>
            <w:webHidden/>
          </w:rPr>
          <w:tab/>
        </w:r>
        <w:r>
          <w:rPr>
            <w:noProof/>
            <w:webHidden/>
          </w:rPr>
          <w:fldChar w:fldCharType="begin"/>
        </w:r>
        <w:r w:rsidR="00616A24">
          <w:rPr>
            <w:noProof/>
            <w:webHidden/>
          </w:rPr>
          <w:instrText xml:space="preserve"> PAGEREF _Toc305166533 \h </w:instrText>
        </w:r>
        <w:r>
          <w:rPr>
            <w:noProof/>
            <w:webHidden/>
          </w:rPr>
        </w:r>
        <w:r>
          <w:rPr>
            <w:noProof/>
            <w:webHidden/>
          </w:rPr>
          <w:fldChar w:fldCharType="separate"/>
        </w:r>
        <w:r w:rsidR="00AB32F5">
          <w:rPr>
            <w:noProof/>
            <w:webHidden/>
          </w:rPr>
          <w:t>164</w:t>
        </w:r>
        <w:r>
          <w:rPr>
            <w:noProof/>
            <w:webHidden/>
          </w:rPr>
          <w:fldChar w:fldCharType="end"/>
        </w:r>
      </w:hyperlink>
    </w:p>
    <w:p w:rsidR="00616A24" w:rsidRDefault="000963F3">
      <w:pPr>
        <w:pStyle w:val="TableofFigures"/>
        <w:tabs>
          <w:tab w:val="right" w:pos="9016"/>
        </w:tabs>
        <w:rPr>
          <w:noProof/>
        </w:rPr>
      </w:pPr>
      <w:hyperlink w:anchor="_Toc305166534" w:history="1">
        <w:r w:rsidR="00616A24" w:rsidRPr="00B849E8">
          <w:rPr>
            <w:rStyle w:val="Hyperlink"/>
            <w:noProof/>
          </w:rPr>
          <w:t>Table 11 - Regression Results for All Equally Weighted Variables Regressed on Large Value Dependent Variable</w:t>
        </w:r>
        <w:r w:rsidR="00616A24">
          <w:rPr>
            <w:noProof/>
            <w:webHidden/>
          </w:rPr>
          <w:tab/>
        </w:r>
        <w:r>
          <w:rPr>
            <w:noProof/>
            <w:webHidden/>
          </w:rPr>
          <w:fldChar w:fldCharType="begin"/>
        </w:r>
        <w:r w:rsidR="00616A24">
          <w:rPr>
            <w:noProof/>
            <w:webHidden/>
          </w:rPr>
          <w:instrText xml:space="preserve"> PAGEREF _Toc305166534 \h </w:instrText>
        </w:r>
        <w:r>
          <w:rPr>
            <w:noProof/>
            <w:webHidden/>
          </w:rPr>
        </w:r>
        <w:r>
          <w:rPr>
            <w:noProof/>
            <w:webHidden/>
          </w:rPr>
          <w:fldChar w:fldCharType="separate"/>
        </w:r>
        <w:r w:rsidR="00AB32F5">
          <w:rPr>
            <w:noProof/>
            <w:webHidden/>
          </w:rPr>
          <w:t>165</w:t>
        </w:r>
        <w:r>
          <w:rPr>
            <w:noProof/>
            <w:webHidden/>
          </w:rPr>
          <w:fldChar w:fldCharType="end"/>
        </w:r>
      </w:hyperlink>
    </w:p>
    <w:p w:rsidR="00616A24" w:rsidRDefault="000963F3">
      <w:pPr>
        <w:pStyle w:val="TableofFigures"/>
        <w:tabs>
          <w:tab w:val="right" w:pos="9016"/>
        </w:tabs>
        <w:rPr>
          <w:noProof/>
        </w:rPr>
      </w:pPr>
      <w:hyperlink w:anchor="_Toc305166535" w:history="1">
        <w:r w:rsidR="00616A24" w:rsidRPr="00B849E8">
          <w:rPr>
            <w:rStyle w:val="Hyperlink"/>
            <w:noProof/>
          </w:rPr>
          <w:t>Table 12 - Regression Results for All Value Weighted Variables Regressed on Large Value Dependent Variable</w:t>
        </w:r>
        <w:r w:rsidR="00616A24">
          <w:rPr>
            <w:noProof/>
            <w:webHidden/>
          </w:rPr>
          <w:tab/>
        </w:r>
        <w:r>
          <w:rPr>
            <w:noProof/>
            <w:webHidden/>
          </w:rPr>
          <w:fldChar w:fldCharType="begin"/>
        </w:r>
        <w:r w:rsidR="00616A24">
          <w:rPr>
            <w:noProof/>
            <w:webHidden/>
          </w:rPr>
          <w:instrText xml:space="preserve"> PAGEREF _Toc305166535 \h </w:instrText>
        </w:r>
        <w:r>
          <w:rPr>
            <w:noProof/>
            <w:webHidden/>
          </w:rPr>
        </w:r>
        <w:r>
          <w:rPr>
            <w:noProof/>
            <w:webHidden/>
          </w:rPr>
          <w:fldChar w:fldCharType="separate"/>
        </w:r>
        <w:r w:rsidR="00AB32F5">
          <w:rPr>
            <w:noProof/>
            <w:webHidden/>
          </w:rPr>
          <w:t>166</w:t>
        </w:r>
        <w:r>
          <w:rPr>
            <w:noProof/>
            <w:webHidden/>
          </w:rPr>
          <w:fldChar w:fldCharType="end"/>
        </w:r>
      </w:hyperlink>
    </w:p>
    <w:p w:rsidR="00616A24" w:rsidRDefault="000963F3">
      <w:pPr>
        <w:pStyle w:val="TableofFigures"/>
        <w:tabs>
          <w:tab w:val="right" w:pos="9016"/>
        </w:tabs>
        <w:rPr>
          <w:noProof/>
        </w:rPr>
      </w:pPr>
      <w:hyperlink w:anchor="_Toc305166536" w:history="1">
        <w:r w:rsidR="00616A24" w:rsidRPr="00B849E8">
          <w:rPr>
            <w:rStyle w:val="Hyperlink"/>
            <w:noProof/>
          </w:rPr>
          <w:t>Table 13 - Regression Results for All Equally Weighted Variables Regressed on Small Growth Dependent Variable</w:t>
        </w:r>
        <w:r w:rsidR="00616A24">
          <w:rPr>
            <w:noProof/>
            <w:webHidden/>
          </w:rPr>
          <w:tab/>
        </w:r>
        <w:r>
          <w:rPr>
            <w:noProof/>
            <w:webHidden/>
          </w:rPr>
          <w:fldChar w:fldCharType="begin"/>
        </w:r>
        <w:r w:rsidR="00616A24">
          <w:rPr>
            <w:noProof/>
            <w:webHidden/>
          </w:rPr>
          <w:instrText xml:space="preserve"> PAGEREF _Toc305166536 \h </w:instrText>
        </w:r>
        <w:r>
          <w:rPr>
            <w:noProof/>
            <w:webHidden/>
          </w:rPr>
        </w:r>
        <w:r>
          <w:rPr>
            <w:noProof/>
            <w:webHidden/>
          </w:rPr>
          <w:fldChar w:fldCharType="separate"/>
        </w:r>
        <w:r w:rsidR="00AB32F5">
          <w:rPr>
            <w:noProof/>
            <w:webHidden/>
          </w:rPr>
          <w:t>168</w:t>
        </w:r>
        <w:r>
          <w:rPr>
            <w:noProof/>
            <w:webHidden/>
          </w:rPr>
          <w:fldChar w:fldCharType="end"/>
        </w:r>
      </w:hyperlink>
    </w:p>
    <w:p w:rsidR="00616A24" w:rsidRDefault="000963F3">
      <w:pPr>
        <w:pStyle w:val="TableofFigures"/>
        <w:tabs>
          <w:tab w:val="right" w:pos="9016"/>
        </w:tabs>
        <w:rPr>
          <w:noProof/>
        </w:rPr>
      </w:pPr>
      <w:hyperlink w:anchor="_Toc305166537" w:history="1">
        <w:r w:rsidR="00616A24" w:rsidRPr="00B849E8">
          <w:rPr>
            <w:rStyle w:val="Hyperlink"/>
            <w:noProof/>
          </w:rPr>
          <w:t>Table 14 - Regression Results for All Value Weighted Variables Regressed on Small Growth Dependent Variable</w:t>
        </w:r>
        <w:r w:rsidR="00616A24">
          <w:rPr>
            <w:noProof/>
            <w:webHidden/>
          </w:rPr>
          <w:tab/>
        </w:r>
        <w:r>
          <w:rPr>
            <w:noProof/>
            <w:webHidden/>
          </w:rPr>
          <w:fldChar w:fldCharType="begin"/>
        </w:r>
        <w:r w:rsidR="00616A24">
          <w:rPr>
            <w:noProof/>
            <w:webHidden/>
          </w:rPr>
          <w:instrText xml:space="preserve"> PAGEREF _Toc305166537 \h </w:instrText>
        </w:r>
        <w:r>
          <w:rPr>
            <w:noProof/>
            <w:webHidden/>
          </w:rPr>
        </w:r>
        <w:r>
          <w:rPr>
            <w:noProof/>
            <w:webHidden/>
          </w:rPr>
          <w:fldChar w:fldCharType="separate"/>
        </w:r>
        <w:r w:rsidR="00AB32F5">
          <w:rPr>
            <w:noProof/>
            <w:webHidden/>
          </w:rPr>
          <w:t>169</w:t>
        </w:r>
        <w:r>
          <w:rPr>
            <w:noProof/>
            <w:webHidden/>
          </w:rPr>
          <w:fldChar w:fldCharType="end"/>
        </w:r>
      </w:hyperlink>
    </w:p>
    <w:p w:rsidR="00616A24" w:rsidRDefault="000963F3">
      <w:pPr>
        <w:pStyle w:val="TableofFigures"/>
        <w:tabs>
          <w:tab w:val="right" w:pos="9016"/>
        </w:tabs>
        <w:rPr>
          <w:noProof/>
        </w:rPr>
      </w:pPr>
      <w:hyperlink w:anchor="_Toc305166538" w:history="1">
        <w:r w:rsidR="00616A24" w:rsidRPr="00B849E8">
          <w:rPr>
            <w:rStyle w:val="Hyperlink"/>
            <w:noProof/>
          </w:rPr>
          <w:t>Table 15 - Regression Results for All Equally Weighted Variables Regressed on Small Value Dependent Variable</w:t>
        </w:r>
        <w:r w:rsidR="00616A24">
          <w:rPr>
            <w:noProof/>
            <w:webHidden/>
          </w:rPr>
          <w:tab/>
        </w:r>
        <w:r>
          <w:rPr>
            <w:noProof/>
            <w:webHidden/>
          </w:rPr>
          <w:fldChar w:fldCharType="begin"/>
        </w:r>
        <w:r w:rsidR="00616A24">
          <w:rPr>
            <w:noProof/>
            <w:webHidden/>
          </w:rPr>
          <w:instrText xml:space="preserve"> PAGEREF _Toc305166538 \h </w:instrText>
        </w:r>
        <w:r>
          <w:rPr>
            <w:noProof/>
            <w:webHidden/>
          </w:rPr>
        </w:r>
        <w:r>
          <w:rPr>
            <w:noProof/>
            <w:webHidden/>
          </w:rPr>
          <w:fldChar w:fldCharType="separate"/>
        </w:r>
        <w:r w:rsidR="00AB32F5">
          <w:rPr>
            <w:noProof/>
            <w:webHidden/>
          </w:rPr>
          <w:t>170</w:t>
        </w:r>
        <w:r>
          <w:rPr>
            <w:noProof/>
            <w:webHidden/>
          </w:rPr>
          <w:fldChar w:fldCharType="end"/>
        </w:r>
      </w:hyperlink>
    </w:p>
    <w:p w:rsidR="00616A24" w:rsidRDefault="000963F3">
      <w:pPr>
        <w:pStyle w:val="TableofFigures"/>
        <w:tabs>
          <w:tab w:val="right" w:pos="9016"/>
        </w:tabs>
        <w:rPr>
          <w:noProof/>
        </w:rPr>
      </w:pPr>
      <w:hyperlink w:anchor="_Toc305166539" w:history="1">
        <w:r w:rsidR="00616A24" w:rsidRPr="00B849E8">
          <w:rPr>
            <w:rStyle w:val="Hyperlink"/>
            <w:noProof/>
          </w:rPr>
          <w:t>Table 16 - Regression Results for All Value Weighted Variables Regressed on Small Value Dependent Variable</w:t>
        </w:r>
        <w:r w:rsidR="00616A24">
          <w:rPr>
            <w:noProof/>
            <w:webHidden/>
          </w:rPr>
          <w:tab/>
        </w:r>
        <w:r>
          <w:rPr>
            <w:noProof/>
            <w:webHidden/>
          </w:rPr>
          <w:fldChar w:fldCharType="begin"/>
        </w:r>
        <w:r w:rsidR="00616A24">
          <w:rPr>
            <w:noProof/>
            <w:webHidden/>
          </w:rPr>
          <w:instrText xml:space="preserve"> PAGEREF _Toc305166539 \h </w:instrText>
        </w:r>
        <w:r>
          <w:rPr>
            <w:noProof/>
            <w:webHidden/>
          </w:rPr>
        </w:r>
        <w:r>
          <w:rPr>
            <w:noProof/>
            <w:webHidden/>
          </w:rPr>
          <w:fldChar w:fldCharType="separate"/>
        </w:r>
        <w:r w:rsidR="00AB32F5">
          <w:rPr>
            <w:noProof/>
            <w:webHidden/>
          </w:rPr>
          <w:t>171</w:t>
        </w:r>
        <w:r>
          <w:rPr>
            <w:noProof/>
            <w:webHidden/>
          </w:rPr>
          <w:fldChar w:fldCharType="end"/>
        </w:r>
      </w:hyperlink>
    </w:p>
    <w:p w:rsidR="00616A24" w:rsidRDefault="000963F3">
      <w:pPr>
        <w:pStyle w:val="TableofFigures"/>
        <w:tabs>
          <w:tab w:val="right" w:pos="9016"/>
        </w:tabs>
        <w:rPr>
          <w:noProof/>
        </w:rPr>
      </w:pPr>
      <w:hyperlink w:anchor="_Toc305166540" w:history="1">
        <w:r w:rsidR="00616A24" w:rsidRPr="00B849E8">
          <w:rPr>
            <w:rStyle w:val="Hyperlink"/>
            <w:noProof/>
          </w:rPr>
          <w:t>Table 17 - Descriptive Statistics of Dual Sorted Portfolios</w:t>
        </w:r>
        <w:r w:rsidR="00616A24">
          <w:rPr>
            <w:noProof/>
            <w:webHidden/>
          </w:rPr>
          <w:tab/>
        </w:r>
        <w:r>
          <w:rPr>
            <w:noProof/>
            <w:webHidden/>
          </w:rPr>
          <w:fldChar w:fldCharType="begin"/>
        </w:r>
        <w:r w:rsidR="00616A24">
          <w:rPr>
            <w:noProof/>
            <w:webHidden/>
          </w:rPr>
          <w:instrText xml:space="preserve"> PAGEREF _Toc305166540 \h </w:instrText>
        </w:r>
        <w:r>
          <w:rPr>
            <w:noProof/>
            <w:webHidden/>
          </w:rPr>
        </w:r>
        <w:r>
          <w:rPr>
            <w:noProof/>
            <w:webHidden/>
          </w:rPr>
          <w:fldChar w:fldCharType="separate"/>
        </w:r>
        <w:r w:rsidR="00AB32F5">
          <w:rPr>
            <w:noProof/>
            <w:webHidden/>
          </w:rPr>
          <w:t>177</w:t>
        </w:r>
        <w:r>
          <w:rPr>
            <w:noProof/>
            <w:webHidden/>
          </w:rPr>
          <w:fldChar w:fldCharType="end"/>
        </w:r>
      </w:hyperlink>
    </w:p>
    <w:p w:rsidR="00616A24" w:rsidRDefault="000963F3">
      <w:pPr>
        <w:pStyle w:val="TableofFigures"/>
        <w:tabs>
          <w:tab w:val="right" w:pos="9016"/>
        </w:tabs>
        <w:rPr>
          <w:noProof/>
        </w:rPr>
      </w:pPr>
      <w:hyperlink w:anchor="_Toc305166541" w:history="1">
        <w:r w:rsidR="00616A24" w:rsidRPr="00B849E8">
          <w:rPr>
            <w:rStyle w:val="Hyperlink"/>
            <w:noProof/>
          </w:rPr>
          <w:t>Table 18 - Correlation Matrix for All Equally Weighted Two-Way Sorted Independent Variables</w:t>
        </w:r>
        <w:r w:rsidR="00616A24">
          <w:rPr>
            <w:noProof/>
            <w:webHidden/>
          </w:rPr>
          <w:tab/>
        </w:r>
        <w:r>
          <w:rPr>
            <w:noProof/>
            <w:webHidden/>
          </w:rPr>
          <w:fldChar w:fldCharType="begin"/>
        </w:r>
        <w:r w:rsidR="00616A24">
          <w:rPr>
            <w:noProof/>
            <w:webHidden/>
          </w:rPr>
          <w:instrText xml:space="preserve"> PAGEREF _Toc305166541 \h </w:instrText>
        </w:r>
        <w:r>
          <w:rPr>
            <w:noProof/>
            <w:webHidden/>
          </w:rPr>
        </w:r>
        <w:r>
          <w:rPr>
            <w:noProof/>
            <w:webHidden/>
          </w:rPr>
          <w:fldChar w:fldCharType="separate"/>
        </w:r>
        <w:r w:rsidR="00AB32F5">
          <w:rPr>
            <w:noProof/>
            <w:webHidden/>
          </w:rPr>
          <w:t>180</w:t>
        </w:r>
        <w:r>
          <w:rPr>
            <w:noProof/>
            <w:webHidden/>
          </w:rPr>
          <w:fldChar w:fldCharType="end"/>
        </w:r>
      </w:hyperlink>
    </w:p>
    <w:p w:rsidR="00616A24" w:rsidRDefault="000963F3">
      <w:pPr>
        <w:pStyle w:val="TableofFigures"/>
        <w:tabs>
          <w:tab w:val="right" w:pos="9016"/>
        </w:tabs>
        <w:rPr>
          <w:noProof/>
        </w:rPr>
      </w:pPr>
      <w:hyperlink w:anchor="_Toc305166542" w:history="1">
        <w:r w:rsidR="00616A24" w:rsidRPr="00B849E8">
          <w:rPr>
            <w:rStyle w:val="Hyperlink"/>
            <w:noProof/>
          </w:rPr>
          <w:t>Table 19 - Regression Results for All Two-Way Sorted Independent Variables Regressed on Large Growth Dependent Variable</w:t>
        </w:r>
        <w:r w:rsidR="00616A24">
          <w:rPr>
            <w:noProof/>
            <w:webHidden/>
          </w:rPr>
          <w:tab/>
        </w:r>
        <w:r>
          <w:rPr>
            <w:noProof/>
            <w:webHidden/>
          </w:rPr>
          <w:fldChar w:fldCharType="begin"/>
        </w:r>
        <w:r w:rsidR="00616A24">
          <w:rPr>
            <w:noProof/>
            <w:webHidden/>
          </w:rPr>
          <w:instrText xml:space="preserve"> PAGEREF _Toc305166542 \h </w:instrText>
        </w:r>
        <w:r>
          <w:rPr>
            <w:noProof/>
            <w:webHidden/>
          </w:rPr>
        </w:r>
        <w:r>
          <w:rPr>
            <w:noProof/>
            <w:webHidden/>
          </w:rPr>
          <w:fldChar w:fldCharType="separate"/>
        </w:r>
        <w:r w:rsidR="00AB32F5">
          <w:rPr>
            <w:noProof/>
            <w:webHidden/>
          </w:rPr>
          <w:t>183</w:t>
        </w:r>
        <w:r>
          <w:rPr>
            <w:noProof/>
            <w:webHidden/>
          </w:rPr>
          <w:fldChar w:fldCharType="end"/>
        </w:r>
      </w:hyperlink>
    </w:p>
    <w:p w:rsidR="00616A24" w:rsidRDefault="000963F3">
      <w:pPr>
        <w:pStyle w:val="TableofFigures"/>
        <w:tabs>
          <w:tab w:val="right" w:pos="9016"/>
        </w:tabs>
        <w:rPr>
          <w:noProof/>
        </w:rPr>
      </w:pPr>
      <w:hyperlink w:anchor="_Toc305166543" w:history="1">
        <w:r w:rsidR="00616A24" w:rsidRPr="00B849E8">
          <w:rPr>
            <w:rStyle w:val="Hyperlink"/>
            <w:noProof/>
          </w:rPr>
          <w:t>Table 20 - Regression Results for All Two-Way Sorted Independent Variables Regressed on Large Value Dependent Variable</w:t>
        </w:r>
        <w:r w:rsidR="00616A24">
          <w:rPr>
            <w:noProof/>
            <w:webHidden/>
          </w:rPr>
          <w:tab/>
        </w:r>
        <w:r>
          <w:rPr>
            <w:noProof/>
            <w:webHidden/>
          </w:rPr>
          <w:fldChar w:fldCharType="begin"/>
        </w:r>
        <w:r w:rsidR="00616A24">
          <w:rPr>
            <w:noProof/>
            <w:webHidden/>
          </w:rPr>
          <w:instrText xml:space="preserve"> PAGEREF _Toc305166543 \h </w:instrText>
        </w:r>
        <w:r>
          <w:rPr>
            <w:noProof/>
            <w:webHidden/>
          </w:rPr>
        </w:r>
        <w:r>
          <w:rPr>
            <w:noProof/>
            <w:webHidden/>
          </w:rPr>
          <w:fldChar w:fldCharType="separate"/>
        </w:r>
        <w:r w:rsidR="00AB32F5">
          <w:rPr>
            <w:noProof/>
            <w:webHidden/>
          </w:rPr>
          <w:t>184</w:t>
        </w:r>
        <w:r>
          <w:rPr>
            <w:noProof/>
            <w:webHidden/>
          </w:rPr>
          <w:fldChar w:fldCharType="end"/>
        </w:r>
      </w:hyperlink>
    </w:p>
    <w:p w:rsidR="00616A24" w:rsidRDefault="000963F3">
      <w:pPr>
        <w:pStyle w:val="TableofFigures"/>
        <w:tabs>
          <w:tab w:val="right" w:pos="9016"/>
        </w:tabs>
        <w:rPr>
          <w:noProof/>
        </w:rPr>
      </w:pPr>
      <w:hyperlink w:anchor="_Toc305166544" w:history="1">
        <w:r w:rsidR="00616A24" w:rsidRPr="00B849E8">
          <w:rPr>
            <w:rStyle w:val="Hyperlink"/>
            <w:noProof/>
          </w:rPr>
          <w:t>Table 21 - Regression Results for All Two-Way Sorted Independent Variables Regressed on Small Growth Dependent Variable</w:t>
        </w:r>
        <w:r w:rsidR="00616A24">
          <w:rPr>
            <w:noProof/>
            <w:webHidden/>
          </w:rPr>
          <w:tab/>
        </w:r>
        <w:r>
          <w:rPr>
            <w:noProof/>
            <w:webHidden/>
          </w:rPr>
          <w:fldChar w:fldCharType="begin"/>
        </w:r>
        <w:r w:rsidR="00616A24">
          <w:rPr>
            <w:noProof/>
            <w:webHidden/>
          </w:rPr>
          <w:instrText xml:space="preserve"> PAGEREF _Toc305166544 \h </w:instrText>
        </w:r>
        <w:r>
          <w:rPr>
            <w:noProof/>
            <w:webHidden/>
          </w:rPr>
        </w:r>
        <w:r>
          <w:rPr>
            <w:noProof/>
            <w:webHidden/>
          </w:rPr>
          <w:fldChar w:fldCharType="separate"/>
        </w:r>
        <w:r w:rsidR="00AB32F5">
          <w:rPr>
            <w:noProof/>
            <w:webHidden/>
          </w:rPr>
          <w:t>185</w:t>
        </w:r>
        <w:r>
          <w:rPr>
            <w:noProof/>
            <w:webHidden/>
          </w:rPr>
          <w:fldChar w:fldCharType="end"/>
        </w:r>
      </w:hyperlink>
    </w:p>
    <w:p w:rsidR="00616A24" w:rsidRDefault="000963F3">
      <w:pPr>
        <w:pStyle w:val="TableofFigures"/>
        <w:tabs>
          <w:tab w:val="right" w:pos="9016"/>
        </w:tabs>
        <w:rPr>
          <w:noProof/>
        </w:rPr>
      </w:pPr>
      <w:hyperlink w:anchor="_Toc305166545" w:history="1">
        <w:r w:rsidR="00616A24" w:rsidRPr="00B849E8">
          <w:rPr>
            <w:rStyle w:val="Hyperlink"/>
            <w:noProof/>
          </w:rPr>
          <w:t>Table 22 - Regression Results for All Two-Way Sorted Independent Variables Regressed on Small Value Dependent Variable</w:t>
        </w:r>
        <w:r w:rsidR="00616A24">
          <w:rPr>
            <w:noProof/>
            <w:webHidden/>
          </w:rPr>
          <w:tab/>
        </w:r>
        <w:r>
          <w:rPr>
            <w:noProof/>
            <w:webHidden/>
          </w:rPr>
          <w:fldChar w:fldCharType="begin"/>
        </w:r>
        <w:r w:rsidR="00616A24">
          <w:rPr>
            <w:noProof/>
            <w:webHidden/>
          </w:rPr>
          <w:instrText xml:space="preserve"> PAGEREF _Toc305166545 \h </w:instrText>
        </w:r>
        <w:r>
          <w:rPr>
            <w:noProof/>
            <w:webHidden/>
          </w:rPr>
        </w:r>
        <w:r>
          <w:rPr>
            <w:noProof/>
            <w:webHidden/>
          </w:rPr>
          <w:fldChar w:fldCharType="separate"/>
        </w:r>
        <w:r w:rsidR="00AB32F5">
          <w:rPr>
            <w:noProof/>
            <w:webHidden/>
          </w:rPr>
          <w:t>186</w:t>
        </w:r>
        <w:r>
          <w:rPr>
            <w:noProof/>
            <w:webHidden/>
          </w:rPr>
          <w:fldChar w:fldCharType="end"/>
        </w:r>
      </w:hyperlink>
    </w:p>
    <w:p w:rsidR="00616A24" w:rsidRDefault="000963F3">
      <w:pPr>
        <w:pStyle w:val="TableofFigures"/>
        <w:tabs>
          <w:tab w:val="right" w:pos="9016"/>
        </w:tabs>
        <w:rPr>
          <w:noProof/>
        </w:rPr>
      </w:pPr>
      <w:hyperlink w:anchor="_Toc305166546" w:history="1">
        <w:r w:rsidR="00616A24" w:rsidRPr="00B849E8">
          <w:rPr>
            <w:rStyle w:val="Hyperlink"/>
            <w:noProof/>
          </w:rPr>
          <w:t>Table 23 - Correlation Estimates of Three Factors</w:t>
        </w:r>
        <w:r w:rsidR="00616A24">
          <w:rPr>
            <w:noProof/>
            <w:webHidden/>
          </w:rPr>
          <w:tab/>
        </w:r>
        <w:r>
          <w:rPr>
            <w:noProof/>
            <w:webHidden/>
          </w:rPr>
          <w:fldChar w:fldCharType="begin"/>
        </w:r>
        <w:r w:rsidR="00616A24">
          <w:rPr>
            <w:noProof/>
            <w:webHidden/>
          </w:rPr>
          <w:instrText xml:space="preserve"> PAGEREF _Toc305166546 \h </w:instrText>
        </w:r>
        <w:r>
          <w:rPr>
            <w:noProof/>
            <w:webHidden/>
          </w:rPr>
        </w:r>
        <w:r>
          <w:rPr>
            <w:noProof/>
            <w:webHidden/>
          </w:rPr>
          <w:fldChar w:fldCharType="separate"/>
        </w:r>
        <w:r w:rsidR="00AB32F5">
          <w:rPr>
            <w:noProof/>
            <w:webHidden/>
          </w:rPr>
          <w:t>190</w:t>
        </w:r>
        <w:r>
          <w:rPr>
            <w:noProof/>
            <w:webHidden/>
          </w:rPr>
          <w:fldChar w:fldCharType="end"/>
        </w:r>
      </w:hyperlink>
    </w:p>
    <w:p w:rsidR="00616A24" w:rsidRDefault="000963F3">
      <w:pPr>
        <w:pStyle w:val="TableofFigures"/>
        <w:tabs>
          <w:tab w:val="right" w:pos="9016"/>
        </w:tabs>
        <w:rPr>
          <w:noProof/>
        </w:rPr>
      </w:pPr>
      <w:hyperlink w:anchor="_Toc305166547" w:history="1">
        <w:r w:rsidR="00616A24" w:rsidRPr="00B849E8">
          <w:rPr>
            <w:rStyle w:val="Hyperlink"/>
            <w:noProof/>
          </w:rPr>
          <w:t>Table 24 - Three Factor Regression</w:t>
        </w:r>
        <w:r w:rsidR="00616A24">
          <w:rPr>
            <w:noProof/>
            <w:webHidden/>
          </w:rPr>
          <w:tab/>
        </w:r>
        <w:r>
          <w:rPr>
            <w:noProof/>
            <w:webHidden/>
          </w:rPr>
          <w:fldChar w:fldCharType="begin"/>
        </w:r>
        <w:r w:rsidR="00616A24">
          <w:rPr>
            <w:noProof/>
            <w:webHidden/>
          </w:rPr>
          <w:instrText xml:space="preserve"> PAGEREF _Toc305166547 \h </w:instrText>
        </w:r>
        <w:r>
          <w:rPr>
            <w:noProof/>
            <w:webHidden/>
          </w:rPr>
        </w:r>
        <w:r>
          <w:rPr>
            <w:noProof/>
            <w:webHidden/>
          </w:rPr>
          <w:fldChar w:fldCharType="separate"/>
        </w:r>
        <w:r w:rsidR="00AB32F5">
          <w:rPr>
            <w:noProof/>
            <w:webHidden/>
          </w:rPr>
          <w:t>193</w:t>
        </w:r>
        <w:r>
          <w:rPr>
            <w:noProof/>
            <w:webHidden/>
          </w:rPr>
          <w:fldChar w:fldCharType="end"/>
        </w:r>
      </w:hyperlink>
    </w:p>
    <w:p w:rsidR="002B1C5E" w:rsidRPr="00706ABF" w:rsidRDefault="000963F3" w:rsidP="00A02570">
      <w:pPr>
        <w:spacing w:line="360" w:lineRule="auto"/>
        <w:jc w:val="both"/>
        <w:rPr>
          <w:rFonts w:ascii="Times New Roman" w:hAnsi="Times New Roman" w:cs="Times New Roman"/>
          <w:sz w:val="24"/>
        </w:rPr>
      </w:pPr>
      <w:r>
        <w:rPr>
          <w:rFonts w:ascii="Times New Roman" w:hAnsi="Times New Roman" w:cs="Times New Roman"/>
          <w:sz w:val="24"/>
        </w:rPr>
        <w:fldChar w:fldCharType="end"/>
      </w:r>
    </w:p>
    <w:p w:rsidR="00E906ED" w:rsidRDefault="00E906ED" w:rsidP="00A02570">
      <w:pPr>
        <w:spacing w:line="360" w:lineRule="auto"/>
        <w:jc w:val="both"/>
        <w:rPr>
          <w:rFonts w:ascii="Times New Roman" w:hAnsi="Times New Roman" w:cs="Times New Roman"/>
          <w:b/>
          <w:sz w:val="36"/>
        </w:rPr>
      </w:pPr>
    </w:p>
    <w:p w:rsidR="00E906ED" w:rsidRDefault="00E906ED" w:rsidP="00A02570">
      <w:pPr>
        <w:spacing w:line="360" w:lineRule="auto"/>
        <w:jc w:val="both"/>
        <w:rPr>
          <w:rFonts w:ascii="Times New Roman" w:hAnsi="Times New Roman" w:cs="Times New Roman"/>
          <w:b/>
          <w:sz w:val="36"/>
        </w:rPr>
      </w:pPr>
    </w:p>
    <w:p w:rsidR="00E47CAD" w:rsidRPr="00566BF3" w:rsidRDefault="00E47CAD" w:rsidP="00A02570">
      <w:pPr>
        <w:pStyle w:val="ListParagraph"/>
        <w:numPr>
          <w:ilvl w:val="0"/>
          <w:numId w:val="2"/>
        </w:numPr>
        <w:spacing w:line="360" w:lineRule="auto"/>
        <w:jc w:val="both"/>
        <w:outlineLvl w:val="0"/>
        <w:rPr>
          <w:rFonts w:ascii="Times New Roman" w:hAnsi="Times New Roman" w:cs="Times New Roman"/>
          <w:b/>
          <w:sz w:val="36"/>
        </w:rPr>
      </w:pPr>
      <w:bookmarkStart w:id="8" w:name="_Toc281403397"/>
      <w:bookmarkStart w:id="9" w:name="_Toc305166490"/>
      <w:r w:rsidRPr="00566BF3">
        <w:rPr>
          <w:rFonts w:ascii="Times New Roman" w:hAnsi="Times New Roman" w:cs="Times New Roman"/>
          <w:b/>
          <w:sz w:val="36"/>
        </w:rPr>
        <w:lastRenderedPageBreak/>
        <w:t>Introduction</w:t>
      </w:r>
      <w:bookmarkEnd w:id="8"/>
      <w:bookmarkEnd w:id="9"/>
    </w:p>
    <w:p w:rsidR="008B7A17" w:rsidRPr="00566BF3" w:rsidRDefault="008B7A17" w:rsidP="00A02570">
      <w:pPr>
        <w:spacing w:line="360" w:lineRule="auto"/>
        <w:jc w:val="both"/>
        <w:rPr>
          <w:rFonts w:ascii="Times New Roman" w:hAnsi="Times New Roman" w:cs="Times New Roman"/>
          <w:sz w:val="24"/>
        </w:rPr>
      </w:pPr>
    </w:p>
    <w:p w:rsidR="008B7A17" w:rsidRPr="001E52F7" w:rsidRDefault="00957ACA" w:rsidP="001E52F7">
      <w:pPr>
        <w:spacing w:line="360" w:lineRule="auto"/>
        <w:jc w:val="both"/>
        <w:rPr>
          <w:rFonts w:ascii="Times New Roman" w:hAnsi="Times New Roman" w:cs="Times New Roman"/>
          <w:sz w:val="24"/>
        </w:rPr>
      </w:pPr>
      <w:r w:rsidRPr="001E52F7">
        <w:rPr>
          <w:rFonts w:ascii="Times New Roman" w:hAnsi="Times New Roman" w:cs="Times New Roman"/>
          <w:sz w:val="24"/>
        </w:rPr>
        <w:t xml:space="preserve">Whether one is using it as a fundamental approach in </w:t>
      </w:r>
      <w:r w:rsidR="00697CBC">
        <w:rPr>
          <w:rFonts w:ascii="Times New Roman" w:hAnsi="Times New Roman" w:cs="Times New Roman"/>
          <w:sz w:val="24"/>
        </w:rPr>
        <w:t>one’s</w:t>
      </w:r>
      <w:r w:rsidRPr="001E52F7">
        <w:rPr>
          <w:rFonts w:ascii="Times New Roman" w:hAnsi="Times New Roman" w:cs="Times New Roman"/>
          <w:sz w:val="24"/>
        </w:rPr>
        <w:t xml:space="preserve"> analysis, or only using an element of it, contrarian investing is able to earn the investor a superior return if </w:t>
      </w:r>
      <w:r w:rsidR="00697CBC">
        <w:rPr>
          <w:rFonts w:ascii="Times New Roman" w:hAnsi="Times New Roman" w:cs="Times New Roman"/>
          <w:sz w:val="24"/>
        </w:rPr>
        <w:t>the investor</w:t>
      </w:r>
      <w:r w:rsidRPr="001E52F7">
        <w:rPr>
          <w:rFonts w:ascii="Times New Roman" w:hAnsi="Times New Roman" w:cs="Times New Roman"/>
          <w:sz w:val="24"/>
        </w:rPr>
        <w:t xml:space="preserve"> performs all the analyses and has the confidence to follow through. Contrarian investing is the manner of investing opposite to conventional thought. It consists of selecting stocks that have had </w:t>
      </w:r>
      <w:r w:rsidR="00175DD9" w:rsidRPr="001E52F7">
        <w:rPr>
          <w:rFonts w:ascii="Times New Roman" w:hAnsi="Times New Roman" w:cs="Times New Roman"/>
          <w:sz w:val="24"/>
        </w:rPr>
        <w:t>good</w:t>
      </w:r>
      <w:r w:rsidRPr="001E52F7">
        <w:rPr>
          <w:rFonts w:ascii="Times New Roman" w:hAnsi="Times New Roman" w:cs="Times New Roman"/>
          <w:sz w:val="24"/>
        </w:rPr>
        <w:t xml:space="preserve"> past performance (growth stocks or winners) and selling them; sele</w:t>
      </w:r>
      <w:r w:rsidR="00175DD9" w:rsidRPr="001E52F7">
        <w:rPr>
          <w:rFonts w:ascii="Times New Roman" w:hAnsi="Times New Roman" w:cs="Times New Roman"/>
          <w:sz w:val="24"/>
        </w:rPr>
        <w:t>cting stocks that have had poor</w:t>
      </w:r>
      <w:r w:rsidRPr="001E52F7">
        <w:rPr>
          <w:rFonts w:ascii="Times New Roman" w:hAnsi="Times New Roman" w:cs="Times New Roman"/>
          <w:sz w:val="24"/>
        </w:rPr>
        <w:t xml:space="preserve"> past per</w:t>
      </w:r>
      <w:r w:rsidR="00B27312" w:rsidRPr="001E52F7">
        <w:rPr>
          <w:rFonts w:ascii="Times New Roman" w:hAnsi="Times New Roman" w:cs="Times New Roman"/>
          <w:sz w:val="24"/>
        </w:rPr>
        <w:t>formance (value stocks or losers) with t</w:t>
      </w:r>
      <w:r w:rsidR="00EE6158" w:rsidRPr="001E52F7">
        <w:rPr>
          <w:rFonts w:ascii="Times New Roman" w:hAnsi="Times New Roman" w:cs="Times New Roman"/>
          <w:sz w:val="24"/>
        </w:rPr>
        <w:t>he intention of purchasing them, according to Lakonishok, Shleifer, and Vishny (1994).</w:t>
      </w:r>
      <w:r w:rsidR="00B27312" w:rsidRPr="001E52F7">
        <w:rPr>
          <w:rFonts w:ascii="Times New Roman" w:hAnsi="Times New Roman" w:cs="Times New Roman"/>
          <w:sz w:val="24"/>
        </w:rPr>
        <w:t xml:space="preserve"> The idea behind this type of strategy is that the stock market overreacts to news, so growth stocks tend to be overvalued and value stocks undervalued by the market. </w:t>
      </w:r>
      <w:r w:rsidR="00D618D1" w:rsidRPr="001E52F7">
        <w:rPr>
          <w:rFonts w:ascii="Times New Roman" w:hAnsi="Times New Roman" w:cs="Times New Roman"/>
          <w:sz w:val="24"/>
        </w:rPr>
        <w:t>Taking advantage of this shortcoming shall benefit the astute investor when stock prices eventually revert to their fundamental values</w:t>
      </w:r>
      <w:r w:rsidR="00B27312" w:rsidRPr="001E52F7">
        <w:rPr>
          <w:rFonts w:ascii="Times New Roman" w:hAnsi="Times New Roman" w:cs="Times New Roman"/>
          <w:sz w:val="24"/>
        </w:rPr>
        <w:t xml:space="preserve">. </w:t>
      </w:r>
      <w:r w:rsidR="00432F9C" w:rsidRPr="001E52F7">
        <w:rPr>
          <w:rFonts w:ascii="Times New Roman" w:hAnsi="Times New Roman" w:cs="Times New Roman"/>
          <w:sz w:val="24"/>
          <w:lang w:val="en-GB"/>
        </w:rPr>
        <w:t>The fact that there are price reversals is fundamental to the contrarian strategy</w:t>
      </w:r>
      <w:r w:rsidR="00B27312" w:rsidRPr="001E52F7">
        <w:rPr>
          <w:rFonts w:ascii="Times New Roman" w:hAnsi="Times New Roman" w:cs="Times New Roman"/>
          <w:sz w:val="24"/>
        </w:rPr>
        <w:t xml:space="preserve">. </w:t>
      </w:r>
    </w:p>
    <w:p w:rsidR="008B7A17" w:rsidRPr="001E52F7" w:rsidRDefault="008B7A17" w:rsidP="001E52F7">
      <w:pPr>
        <w:spacing w:line="360" w:lineRule="auto"/>
        <w:jc w:val="both"/>
        <w:rPr>
          <w:rFonts w:ascii="Times New Roman" w:hAnsi="Times New Roman" w:cs="Times New Roman"/>
          <w:sz w:val="24"/>
        </w:rPr>
      </w:pPr>
    </w:p>
    <w:p w:rsidR="00E47CAD" w:rsidRPr="001E52F7" w:rsidRDefault="00E47CAD" w:rsidP="001E52F7">
      <w:pPr>
        <w:spacing w:line="360" w:lineRule="auto"/>
        <w:jc w:val="both"/>
        <w:rPr>
          <w:rFonts w:ascii="Times New Roman" w:hAnsi="Times New Roman" w:cs="Times New Roman"/>
          <w:sz w:val="24"/>
        </w:rPr>
      </w:pPr>
      <w:r w:rsidRPr="001E52F7">
        <w:rPr>
          <w:rFonts w:ascii="Times New Roman" w:hAnsi="Times New Roman" w:cs="Times New Roman"/>
          <w:sz w:val="24"/>
        </w:rPr>
        <w:t xml:space="preserve">Investors buy and sell assets in order to make a profit. </w:t>
      </w:r>
      <w:r w:rsidR="003951B4" w:rsidRPr="001E52F7">
        <w:rPr>
          <w:rFonts w:ascii="Times New Roman" w:hAnsi="Times New Roman" w:cs="Times New Roman"/>
          <w:sz w:val="24"/>
        </w:rPr>
        <w:t>One strategy that may be undertaken to beat the market is for an investor to include in his portfolio stocks that are out-of-favour or ignored by the majority of market participants as well as those stocks which have values greater than</w:t>
      </w:r>
      <w:r w:rsidR="00A71C40">
        <w:rPr>
          <w:rFonts w:ascii="Times New Roman" w:hAnsi="Times New Roman" w:cs="Times New Roman"/>
          <w:sz w:val="24"/>
        </w:rPr>
        <w:t xml:space="preserve"> that which</w:t>
      </w:r>
      <w:r w:rsidR="003951B4" w:rsidRPr="001E52F7">
        <w:rPr>
          <w:rFonts w:ascii="Times New Roman" w:hAnsi="Times New Roman" w:cs="Times New Roman"/>
          <w:sz w:val="24"/>
        </w:rPr>
        <w:t xml:space="preserve"> the market attaches to them</w:t>
      </w:r>
      <w:r w:rsidR="005636C3" w:rsidRPr="001E52F7">
        <w:rPr>
          <w:rFonts w:ascii="Times New Roman" w:hAnsi="Times New Roman" w:cs="Times New Roman"/>
          <w:sz w:val="24"/>
        </w:rPr>
        <w:t>, according to Mauboussin (2005)</w:t>
      </w:r>
      <w:r w:rsidR="003951B4" w:rsidRPr="001E52F7">
        <w:rPr>
          <w:rFonts w:ascii="Times New Roman" w:hAnsi="Times New Roman" w:cs="Times New Roman"/>
          <w:sz w:val="24"/>
        </w:rPr>
        <w:t xml:space="preserve">. </w:t>
      </w:r>
      <w:r w:rsidR="0006765D" w:rsidRPr="001E52F7">
        <w:rPr>
          <w:rFonts w:ascii="Times New Roman" w:hAnsi="Times New Roman" w:cs="Times New Roman"/>
          <w:sz w:val="24"/>
        </w:rPr>
        <w:t xml:space="preserve">These contrarians run against the crowd, but this does not necessarily mean that </w:t>
      </w:r>
      <w:r w:rsidR="00C63B5A" w:rsidRPr="001E52F7">
        <w:rPr>
          <w:rFonts w:ascii="Times New Roman" w:hAnsi="Times New Roman" w:cs="Times New Roman"/>
          <w:sz w:val="24"/>
        </w:rPr>
        <w:t>t</w:t>
      </w:r>
      <w:r w:rsidR="0006765D" w:rsidRPr="001E52F7">
        <w:rPr>
          <w:rFonts w:ascii="Times New Roman" w:hAnsi="Times New Roman" w:cs="Times New Roman"/>
          <w:sz w:val="24"/>
        </w:rPr>
        <w:t>he</w:t>
      </w:r>
      <w:r w:rsidR="00C63B5A" w:rsidRPr="001E52F7">
        <w:rPr>
          <w:rFonts w:ascii="Times New Roman" w:hAnsi="Times New Roman" w:cs="Times New Roman"/>
          <w:sz w:val="24"/>
        </w:rPr>
        <w:t>y</w:t>
      </w:r>
      <w:r w:rsidR="0006765D" w:rsidRPr="001E52F7">
        <w:rPr>
          <w:rFonts w:ascii="Times New Roman" w:hAnsi="Times New Roman" w:cs="Times New Roman"/>
          <w:sz w:val="24"/>
        </w:rPr>
        <w:t xml:space="preserve"> will make superior profits </w:t>
      </w:r>
      <w:r w:rsidR="00C63B5A" w:rsidRPr="001E52F7">
        <w:rPr>
          <w:rFonts w:ascii="Times New Roman" w:hAnsi="Times New Roman" w:cs="Times New Roman"/>
          <w:sz w:val="24"/>
        </w:rPr>
        <w:t xml:space="preserve">compared </w:t>
      </w:r>
      <w:r w:rsidR="0006765D" w:rsidRPr="001E52F7">
        <w:rPr>
          <w:rFonts w:ascii="Times New Roman" w:hAnsi="Times New Roman" w:cs="Times New Roman"/>
          <w:sz w:val="24"/>
        </w:rPr>
        <w:t xml:space="preserve">to the investor that </w:t>
      </w:r>
      <w:r w:rsidR="00C63B5A" w:rsidRPr="001E52F7">
        <w:rPr>
          <w:rFonts w:ascii="Times New Roman" w:hAnsi="Times New Roman" w:cs="Times New Roman"/>
          <w:sz w:val="24"/>
        </w:rPr>
        <w:t>goes with the crowd</w:t>
      </w:r>
      <w:r w:rsidR="0006765D" w:rsidRPr="001E52F7">
        <w:rPr>
          <w:rFonts w:ascii="Times New Roman" w:hAnsi="Times New Roman" w:cs="Times New Roman"/>
          <w:sz w:val="24"/>
        </w:rPr>
        <w:t>. Conforming seems to make more sense – everyone is investing one way</w:t>
      </w:r>
      <w:r w:rsidR="00C63B5A" w:rsidRPr="001E52F7">
        <w:rPr>
          <w:rFonts w:ascii="Times New Roman" w:hAnsi="Times New Roman" w:cs="Times New Roman"/>
          <w:sz w:val="24"/>
        </w:rPr>
        <w:t xml:space="preserve"> (and sticking to it, so they must be making a profit)</w:t>
      </w:r>
      <w:r w:rsidR="0006765D" w:rsidRPr="001E52F7">
        <w:rPr>
          <w:rFonts w:ascii="Times New Roman" w:hAnsi="Times New Roman" w:cs="Times New Roman"/>
          <w:sz w:val="24"/>
        </w:rPr>
        <w:t>, so why invest in the opposite direction? The contrarian investor needs to be sure that he has a found a gap between fundamentals and expectations</w:t>
      </w:r>
      <w:r w:rsidR="00C63B5A" w:rsidRPr="001E52F7">
        <w:rPr>
          <w:rFonts w:ascii="Times New Roman" w:hAnsi="Times New Roman" w:cs="Times New Roman"/>
          <w:sz w:val="24"/>
        </w:rPr>
        <w:t>, and is able to ignore sentiment or any other behavioural factor that may influence stock choice</w:t>
      </w:r>
      <w:r w:rsidR="005636C3" w:rsidRPr="001E52F7">
        <w:rPr>
          <w:rFonts w:ascii="Times New Roman" w:hAnsi="Times New Roman" w:cs="Times New Roman"/>
          <w:sz w:val="24"/>
        </w:rPr>
        <w:t xml:space="preserve"> (Mauboussin, 2005)</w:t>
      </w:r>
      <w:r w:rsidR="00C63B5A" w:rsidRPr="001E52F7">
        <w:rPr>
          <w:rFonts w:ascii="Times New Roman" w:hAnsi="Times New Roman" w:cs="Times New Roman"/>
          <w:sz w:val="24"/>
        </w:rPr>
        <w:t xml:space="preserve">. </w:t>
      </w:r>
    </w:p>
    <w:p w:rsidR="002D3347" w:rsidRPr="001E52F7" w:rsidRDefault="002D3347" w:rsidP="001E52F7">
      <w:pPr>
        <w:spacing w:line="360" w:lineRule="auto"/>
        <w:jc w:val="both"/>
        <w:rPr>
          <w:rFonts w:ascii="Times New Roman" w:hAnsi="Times New Roman" w:cs="Times New Roman"/>
          <w:sz w:val="24"/>
        </w:rPr>
      </w:pPr>
    </w:p>
    <w:p w:rsidR="002D3347" w:rsidRPr="001E52F7" w:rsidRDefault="002D3347" w:rsidP="001E52F7">
      <w:pPr>
        <w:spacing w:line="360" w:lineRule="auto"/>
        <w:jc w:val="both"/>
        <w:rPr>
          <w:rFonts w:ascii="Times New Roman" w:hAnsi="Times New Roman" w:cs="Times New Roman"/>
          <w:sz w:val="24"/>
        </w:rPr>
      </w:pPr>
      <w:r w:rsidRPr="001E52F7">
        <w:rPr>
          <w:rFonts w:ascii="Times New Roman" w:hAnsi="Times New Roman" w:cs="Times New Roman"/>
          <w:sz w:val="24"/>
        </w:rPr>
        <w:t>There are many reasons as to why contrarian strategies work; one is that people tend to use simple heuristics for decision making, which opens up the possibility of judgmental biases</w:t>
      </w:r>
      <w:r w:rsidR="00175DD9" w:rsidRPr="001E52F7">
        <w:rPr>
          <w:rFonts w:ascii="Times New Roman" w:hAnsi="Times New Roman" w:cs="Times New Roman"/>
          <w:sz w:val="24"/>
        </w:rPr>
        <w:t xml:space="preserve"> in investment behaviour; that is, </w:t>
      </w:r>
      <w:r w:rsidRPr="001E52F7">
        <w:rPr>
          <w:rFonts w:ascii="Times New Roman" w:hAnsi="Times New Roman" w:cs="Times New Roman"/>
          <w:sz w:val="24"/>
        </w:rPr>
        <w:t xml:space="preserve">investors may extrapolate past performance too far into the future. This is usually the case, where investors are too optimistic about the growth prospects of growth stocks and are too pessimistic about value stocks. Analysts are usually too </w:t>
      </w:r>
      <w:r w:rsidRPr="001E52F7">
        <w:rPr>
          <w:rFonts w:ascii="Times New Roman" w:hAnsi="Times New Roman" w:cs="Times New Roman"/>
          <w:sz w:val="24"/>
        </w:rPr>
        <w:lastRenderedPageBreak/>
        <w:t xml:space="preserve">optimistic about the future, and some academics have attributed this </w:t>
      </w:r>
      <w:r w:rsidR="00AB2C61" w:rsidRPr="001E52F7">
        <w:rPr>
          <w:rFonts w:ascii="Times New Roman" w:hAnsi="Times New Roman" w:cs="Times New Roman"/>
          <w:sz w:val="24"/>
        </w:rPr>
        <w:t>to cognitive</w:t>
      </w:r>
      <w:r w:rsidRPr="001E52F7">
        <w:rPr>
          <w:rFonts w:ascii="Times New Roman" w:hAnsi="Times New Roman" w:cs="Times New Roman"/>
          <w:sz w:val="24"/>
        </w:rPr>
        <w:t xml:space="preserve"> biases – the confirmation bias where individuals tend to focus on evidence that supports their beliefs, while downplaying other information that is inconsistent</w:t>
      </w:r>
      <w:r w:rsidR="005636C3" w:rsidRPr="001E52F7">
        <w:rPr>
          <w:rFonts w:ascii="Times New Roman" w:hAnsi="Times New Roman" w:cs="Times New Roman"/>
          <w:sz w:val="24"/>
        </w:rPr>
        <w:t xml:space="preserve"> (Brouwer, van der Put, and Veld, 1997)</w:t>
      </w:r>
      <w:r w:rsidRPr="001E52F7">
        <w:rPr>
          <w:rFonts w:ascii="Times New Roman" w:hAnsi="Times New Roman" w:cs="Times New Roman"/>
          <w:sz w:val="24"/>
        </w:rPr>
        <w:t>. Thus, investors/analysts can be said to be bullish for growth stocks and bearish for value stocks</w:t>
      </w:r>
      <w:r w:rsidR="005636C3" w:rsidRPr="001E52F7">
        <w:rPr>
          <w:rFonts w:ascii="Times New Roman" w:hAnsi="Times New Roman" w:cs="Times New Roman"/>
          <w:sz w:val="24"/>
        </w:rPr>
        <w:t xml:space="preserve"> (Chan, Karceski, and Lakonishok, 2003)</w:t>
      </w:r>
      <w:r w:rsidRPr="001E52F7">
        <w:rPr>
          <w:rFonts w:ascii="Times New Roman" w:hAnsi="Times New Roman" w:cs="Times New Roman"/>
          <w:sz w:val="24"/>
        </w:rPr>
        <w:t>.</w:t>
      </w:r>
      <w:r w:rsidR="00B41E02" w:rsidRPr="001E52F7">
        <w:rPr>
          <w:rFonts w:ascii="Times New Roman" w:hAnsi="Times New Roman" w:cs="Times New Roman"/>
          <w:sz w:val="24"/>
        </w:rPr>
        <w:t xml:space="preserve"> In contrast, however, the contrarian strategy is not for everyone. The investor needs to be certain with his analysis, and must be able to endure the ‘poor’ periods of performance before seeing any reward. Investigation is made into the behavioural side of the contrarian theory. It proves to be an interesting motivator of the strategy. </w:t>
      </w:r>
      <w:r w:rsidR="000066CA" w:rsidRPr="001E52F7">
        <w:rPr>
          <w:rFonts w:ascii="Times New Roman" w:hAnsi="Times New Roman" w:cs="Times New Roman"/>
          <w:sz w:val="24"/>
        </w:rPr>
        <w:t xml:space="preserve">Researchers such as Strong and Xu (1997), Fama and French (1992), and Chin, Prevost, and Gottesman (2002) </w:t>
      </w:r>
      <w:r w:rsidR="00B41E02" w:rsidRPr="001E52F7">
        <w:rPr>
          <w:rFonts w:ascii="Times New Roman" w:hAnsi="Times New Roman" w:cs="Times New Roman"/>
          <w:sz w:val="24"/>
        </w:rPr>
        <w:t xml:space="preserve">have argued that, since beta </w:t>
      </w:r>
      <w:r w:rsidR="001875AA" w:rsidRPr="001E52F7">
        <w:rPr>
          <w:rFonts w:ascii="Times New Roman" w:hAnsi="Times New Roman" w:cs="Times New Roman"/>
          <w:sz w:val="24"/>
        </w:rPr>
        <w:t>does not</w:t>
      </w:r>
      <w:r w:rsidR="00B41E02" w:rsidRPr="001E52F7">
        <w:rPr>
          <w:rFonts w:ascii="Times New Roman" w:hAnsi="Times New Roman" w:cs="Times New Roman"/>
          <w:sz w:val="24"/>
        </w:rPr>
        <w:t xml:space="preserve"> fully capture all the risks inherent in a stock’s returns and that there are other variables that do, the market does not price stocks rationally. Attention is drawn to the susceptibility of investors falling into the ‘trap’ of a range of behavioural biases that may drive the stock price very far from the fundamental</w:t>
      </w:r>
      <w:r w:rsidR="00B03516" w:rsidRPr="001E52F7">
        <w:rPr>
          <w:rFonts w:ascii="Times New Roman" w:hAnsi="Times New Roman" w:cs="Times New Roman"/>
          <w:sz w:val="24"/>
        </w:rPr>
        <w:t xml:space="preserve"> value</w:t>
      </w:r>
      <w:r w:rsidR="00B41E02" w:rsidRPr="001E52F7">
        <w:rPr>
          <w:rFonts w:ascii="Times New Roman" w:hAnsi="Times New Roman" w:cs="Times New Roman"/>
          <w:sz w:val="24"/>
        </w:rPr>
        <w:t xml:space="preserve">. </w:t>
      </w:r>
    </w:p>
    <w:p w:rsidR="00B41E02" w:rsidRPr="001E52F7" w:rsidRDefault="00B41E02" w:rsidP="001E52F7">
      <w:pPr>
        <w:spacing w:line="360" w:lineRule="auto"/>
        <w:jc w:val="both"/>
        <w:rPr>
          <w:rFonts w:ascii="Times New Roman" w:hAnsi="Times New Roman" w:cs="Times New Roman"/>
          <w:sz w:val="24"/>
        </w:rPr>
      </w:pPr>
    </w:p>
    <w:p w:rsidR="00944CBC" w:rsidRPr="001E52F7" w:rsidRDefault="00A71C40" w:rsidP="001E52F7">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 </w:t>
      </w:r>
      <w:r w:rsidR="00944CBC" w:rsidRPr="001E52F7">
        <w:rPr>
          <w:rFonts w:ascii="Times New Roman" w:hAnsi="Times New Roman" w:cs="Times New Roman"/>
          <w:sz w:val="24"/>
          <w:lang w:val="en-GB"/>
        </w:rPr>
        <w:t>Sharpe (</w:t>
      </w:r>
      <w:r w:rsidR="00175DD9" w:rsidRPr="001E52F7">
        <w:rPr>
          <w:rFonts w:ascii="Times New Roman" w:hAnsi="Times New Roman" w:cs="Times New Roman"/>
          <w:sz w:val="24"/>
          <w:lang w:val="en-GB"/>
        </w:rPr>
        <w:t>1964), Lintner (1965) and Black</w:t>
      </w:r>
      <w:r w:rsidR="00944CBC" w:rsidRPr="001E52F7">
        <w:rPr>
          <w:rFonts w:ascii="Times New Roman" w:hAnsi="Times New Roman" w:cs="Times New Roman"/>
          <w:sz w:val="24"/>
          <w:lang w:val="en-GB"/>
        </w:rPr>
        <w:t xml:space="preserve"> (1972) </w:t>
      </w:r>
      <w:r w:rsidR="00CE6C4E" w:rsidRPr="001E52F7">
        <w:rPr>
          <w:rFonts w:ascii="Times New Roman" w:hAnsi="Times New Roman" w:cs="Times New Roman"/>
          <w:sz w:val="24"/>
          <w:lang w:val="en-GB"/>
        </w:rPr>
        <w:t xml:space="preserve">capital asset pricing </w:t>
      </w:r>
      <w:r w:rsidR="00944CBC" w:rsidRPr="001E52F7">
        <w:rPr>
          <w:rFonts w:ascii="Times New Roman" w:hAnsi="Times New Roman" w:cs="Times New Roman"/>
          <w:sz w:val="24"/>
          <w:lang w:val="en-GB"/>
        </w:rPr>
        <w:t>model</w:t>
      </w:r>
      <w:r w:rsidR="00CE6C4E" w:rsidRPr="001E52F7">
        <w:rPr>
          <w:rFonts w:ascii="Times New Roman" w:hAnsi="Times New Roman" w:cs="Times New Roman"/>
          <w:sz w:val="24"/>
          <w:lang w:val="en-GB"/>
        </w:rPr>
        <w:t xml:space="preserve"> (CAPM)</w:t>
      </w:r>
      <w:r w:rsidR="00944CBC" w:rsidRPr="001E52F7">
        <w:rPr>
          <w:rFonts w:ascii="Times New Roman" w:hAnsi="Times New Roman" w:cs="Times New Roman"/>
          <w:sz w:val="24"/>
          <w:lang w:val="en-GB"/>
        </w:rPr>
        <w:t xml:space="preserve"> states that expected returns on securities are positively related to their market betas and that market betas are the sole determinant of the cross-section of expected returns. This model</w:t>
      </w:r>
      <w:r w:rsidR="002151BF">
        <w:rPr>
          <w:rFonts w:ascii="Times New Roman" w:hAnsi="Times New Roman" w:cs="Times New Roman"/>
          <w:sz w:val="24"/>
          <w:lang w:val="en-GB"/>
        </w:rPr>
        <w:t xml:space="preserve"> has its misgivings,</w:t>
      </w:r>
      <w:r w:rsidR="00944CBC" w:rsidRPr="001E52F7">
        <w:rPr>
          <w:rFonts w:ascii="Times New Roman" w:hAnsi="Times New Roman" w:cs="Times New Roman"/>
          <w:sz w:val="24"/>
          <w:lang w:val="en-GB"/>
        </w:rPr>
        <w:t xml:space="preserve"> as</w:t>
      </w:r>
      <w:r w:rsidR="002151BF">
        <w:rPr>
          <w:rFonts w:ascii="Times New Roman" w:hAnsi="Times New Roman" w:cs="Times New Roman"/>
          <w:sz w:val="24"/>
          <w:lang w:val="en-GB"/>
        </w:rPr>
        <w:t xml:space="preserve"> indicated by</w:t>
      </w:r>
      <w:r w:rsidR="00944CBC" w:rsidRPr="001E52F7">
        <w:rPr>
          <w:rFonts w:ascii="Times New Roman" w:hAnsi="Times New Roman" w:cs="Times New Roman"/>
          <w:sz w:val="24"/>
          <w:lang w:val="en-GB"/>
        </w:rPr>
        <w:t xml:space="preserve"> many academics </w:t>
      </w:r>
      <w:r w:rsidR="002151BF">
        <w:rPr>
          <w:rFonts w:ascii="Times New Roman" w:hAnsi="Times New Roman" w:cs="Times New Roman"/>
          <w:sz w:val="24"/>
          <w:lang w:val="en-GB"/>
        </w:rPr>
        <w:t xml:space="preserve">who </w:t>
      </w:r>
      <w:r w:rsidR="00944CBC" w:rsidRPr="001E52F7">
        <w:rPr>
          <w:rFonts w:ascii="Times New Roman" w:hAnsi="Times New Roman" w:cs="Times New Roman"/>
          <w:sz w:val="24"/>
          <w:lang w:val="en-GB"/>
        </w:rPr>
        <w:t>have found other variables that provide better explanations</w:t>
      </w:r>
      <w:r w:rsidR="001B30AE" w:rsidRPr="001E52F7">
        <w:rPr>
          <w:rFonts w:ascii="Times New Roman" w:hAnsi="Times New Roman" w:cs="Times New Roman"/>
          <w:sz w:val="24"/>
          <w:lang w:val="en-GB"/>
        </w:rPr>
        <w:t xml:space="preserve"> for the returns on securities</w:t>
      </w:r>
      <w:r w:rsidR="002151BF">
        <w:rPr>
          <w:rFonts w:ascii="Times New Roman" w:hAnsi="Times New Roman" w:cs="Times New Roman"/>
          <w:sz w:val="24"/>
          <w:lang w:val="en-GB"/>
        </w:rPr>
        <w:t xml:space="preserve"> than the CAPM</w:t>
      </w:r>
      <w:r w:rsidR="001B30AE" w:rsidRPr="001E52F7">
        <w:rPr>
          <w:rFonts w:ascii="Times New Roman" w:hAnsi="Times New Roman" w:cs="Times New Roman"/>
          <w:sz w:val="24"/>
          <w:lang w:val="en-GB"/>
        </w:rPr>
        <w:t>,</w:t>
      </w:r>
      <w:r>
        <w:rPr>
          <w:rFonts w:ascii="Times New Roman" w:hAnsi="Times New Roman" w:cs="Times New Roman"/>
          <w:sz w:val="24"/>
          <w:lang w:val="en-GB"/>
        </w:rPr>
        <w:t xml:space="preserve"> for example:</w:t>
      </w:r>
    </w:p>
    <w:p w:rsidR="00944CBC" w:rsidRPr="001E52F7" w:rsidRDefault="00944CBC" w:rsidP="001E52F7">
      <w:pPr>
        <w:spacing w:line="360" w:lineRule="auto"/>
        <w:jc w:val="both"/>
        <w:rPr>
          <w:rFonts w:ascii="Times New Roman" w:hAnsi="Times New Roman" w:cs="Times New Roman"/>
          <w:sz w:val="24"/>
          <w:lang w:val="en-GB"/>
        </w:rPr>
      </w:pPr>
    </w:p>
    <w:p w:rsidR="00944CBC" w:rsidRPr="001E52F7" w:rsidRDefault="00944CBC" w:rsidP="001E52F7">
      <w:pPr>
        <w:pStyle w:val="ListParagraph"/>
        <w:numPr>
          <w:ilvl w:val="0"/>
          <w:numId w:val="12"/>
        </w:numPr>
        <w:spacing w:line="360" w:lineRule="auto"/>
        <w:jc w:val="both"/>
        <w:rPr>
          <w:rFonts w:ascii="Times New Roman" w:hAnsi="Times New Roman" w:cs="Times New Roman"/>
          <w:sz w:val="24"/>
          <w:lang w:val="en-GB"/>
        </w:rPr>
      </w:pPr>
      <w:r w:rsidRPr="001E52F7">
        <w:rPr>
          <w:rFonts w:ascii="Times New Roman" w:hAnsi="Times New Roman" w:cs="Times New Roman"/>
          <w:sz w:val="24"/>
          <w:lang w:val="en-GB"/>
        </w:rPr>
        <w:t>Basu (1977) – finds there is a positive significance of earnings-to-price (E/P) multiples</w:t>
      </w:r>
    </w:p>
    <w:p w:rsidR="00944CBC" w:rsidRPr="001E52F7" w:rsidRDefault="00944CBC" w:rsidP="001E52F7">
      <w:pPr>
        <w:pStyle w:val="ListParagraph"/>
        <w:numPr>
          <w:ilvl w:val="0"/>
          <w:numId w:val="12"/>
        </w:numPr>
        <w:spacing w:line="360" w:lineRule="auto"/>
        <w:jc w:val="both"/>
        <w:rPr>
          <w:rFonts w:ascii="Times New Roman" w:hAnsi="Times New Roman" w:cs="Times New Roman"/>
          <w:sz w:val="24"/>
          <w:lang w:val="en-GB"/>
        </w:rPr>
      </w:pPr>
      <w:r w:rsidRPr="001E52F7">
        <w:rPr>
          <w:rFonts w:ascii="Times New Roman" w:hAnsi="Times New Roman" w:cs="Times New Roman"/>
          <w:sz w:val="24"/>
          <w:lang w:val="en-GB"/>
        </w:rPr>
        <w:t>Banz (198</w:t>
      </w:r>
      <w:r w:rsidR="00DA4901">
        <w:rPr>
          <w:rFonts w:ascii="Times New Roman" w:hAnsi="Times New Roman" w:cs="Times New Roman"/>
          <w:sz w:val="24"/>
          <w:lang w:val="en-GB"/>
        </w:rPr>
        <w:t>0</w:t>
      </w:r>
      <w:r w:rsidRPr="001E52F7">
        <w:rPr>
          <w:rFonts w:ascii="Times New Roman" w:hAnsi="Times New Roman" w:cs="Times New Roman"/>
          <w:sz w:val="24"/>
          <w:lang w:val="en-GB"/>
        </w:rPr>
        <w:t xml:space="preserve">) – argues size, as measured </w:t>
      </w:r>
      <w:r w:rsidR="00BE5838" w:rsidRPr="001E52F7">
        <w:rPr>
          <w:rFonts w:ascii="Times New Roman" w:hAnsi="Times New Roman" w:cs="Times New Roman"/>
          <w:sz w:val="24"/>
          <w:lang w:val="en-GB"/>
        </w:rPr>
        <w:t>by</w:t>
      </w:r>
      <w:r w:rsidR="00D532F4" w:rsidRPr="001E52F7">
        <w:rPr>
          <w:rFonts w:ascii="Times New Roman" w:hAnsi="Times New Roman" w:cs="Times New Roman"/>
          <w:sz w:val="24"/>
          <w:lang w:val="en-GB"/>
        </w:rPr>
        <w:t xml:space="preserve"> the market value of equity</w:t>
      </w:r>
      <w:r w:rsidRPr="001E52F7">
        <w:rPr>
          <w:rFonts w:ascii="Times New Roman" w:hAnsi="Times New Roman" w:cs="Times New Roman"/>
          <w:sz w:val="24"/>
          <w:lang w:val="en-GB"/>
        </w:rPr>
        <w:t>, can better explain the cross-section of returns. It is negatively associated with average stock returns.</w:t>
      </w:r>
    </w:p>
    <w:p w:rsidR="00944CBC" w:rsidRPr="001E52F7" w:rsidRDefault="00872667" w:rsidP="001E52F7">
      <w:pPr>
        <w:pStyle w:val="ListParagraph"/>
        <w:numPr>
          <w:ilvl w:val="0"/>
          <w:numId w:val="12"/>
        </w:numPr>
        <w:spacing w:line="360" w:lineRule="auto"/>
        <w:jc w:val="both"/>
        <w:rPr>
          <w:rFonts w:ascii="Times New Roman" w:hAnsi="Times New Roman" w:cs="Times New Roman"/>
          <w:sz w:val="24"/>
          <w:lang w:val="en-GB"/>
        </w:rPr>
      </w:pPr>
      <w:r w:rsidRPr="001E52F7">
        <w:rPr>
          <w:rFonts w:ascii="Times New Roman" w:hAnsi="Times New Roman" w:cs="Times New Roman"/>
          <w:sz w:val="24"/>
        </w:rPr>
        <w:t xml:space="preserve">Barber and Lyon (1997) </w:t>
      </w:r>
      <w:r w:rsidRPr="001E52F7">
        <w:rPr>
          <w:rFonts w:ascii="Times New Roman" w:hAnsi="Times New Roman" w:cs="Times New Roman"/>
          <w:sz w:val="24"/>
          <w:lang w:val="en-GB"/>
        </w:rPr>
        <w:t>–</w:t>
      </w:r>
      <w:r w:rsidR="00944CBC" w:rsidRPr="001E52F7">
        <w:rPr>
          <w:rFonts w:ascii="Times New Roman" w:hAnsi="Times New Roman" w:cs="Times New Roman"/>
          <w:sz w:val="24"/>
          <w:lang w:val="en-GB"/>
        </w:rPr>
        <w:t xml:space="preserve"> propose stocks with high book-to-market </w:t>
      </w:r>
      <w:r w:rsidR="008E5DBF" w:rsidRPr="001E52F7">
        <w:rPr>
          <w:rFonts w:ascii="Times New Roman" w:hAnsi="Times New Roman" w:cs="Times New Roman"/>
          <w:sz w:val="24"/>
          <w:lang w:val="en-GB"/>
        </w:rPr>
        <w:t>ratios (BT</w:t>
      </w:r>
      <w:r w:rsidR="00944CBC" w:rsidRPr="001E52F7">
        <w:rPr>
          <w:rFonts w:ascii="Times New Roman" w:hAnsi="Times New Roman" w:cs="Times New Roman"/>
          <w:sz w:val="24"/>
          <w:lang w:val="en-GB"/>
        </w:rPr>
        <w:t xml:space="preserve">M) display higher returns than would be warranted by their CAPM betas. </w:t>
      </w:r>
      <w:r w:rsidRPr="001E52F7">
        <w:rPr>
          <w:rFonts w:ascii="Times New Roman" w:hAnsi="Times New Roman" w:cs="Times New Roman"/>
          <w:sz w:val="24"/>
          <w:lang w:val="en-GB"/>
        </w:rPr>
        <w:t xml:space="preserve">In other words, portfolios sorted on the BTM ratio exhibit premiums. </w:t>
      </w:r>
    </w:p>
    <w:p w:rsidR="00E47CAD" w:rsidRPr="001E52F7" w:rsidRDefault="00E47CAD" w:rsidP="001E52F7">
      <w:pPr>
        <w:spacing w:line="360" w:lineRule="auto"/>
        <w:jc w:val="both"/>
        <w:rPr>
          <w:rFonts w:ascii="Times New Roman" w:hAnsi="Times New Roman" w:cs="Times New Roman"/>
          <w:sz w:val="24"/>
        </w:rPr>
      </w:pPr>
    </w:p>
    <w:p w:rsidR="00E47CAD" w:rsidRPr="001E52F7" w:rsidRDefault="00944CBC" w:rsidP="001E52F7">
      <w:pPr>
        <w:spacing w:line="360" w:lineRule="auto"/>
        <w:jc w:val="both"/>
        <w:rPr>
          <w:rFonts w:ascii="Times New Roman" w:hAnsi="Times New Roman" w:cs="Times New Roman"/>
          <w:sz w:val="24"/>
        </w:rPr>
      </w:pPr>
      <w:r w:rsidRPr="001E52F7">
        <w:rPr>
          <w:rFonts w:ascii="Times New Roman" w:hAnsi="Times New Roman" w:cs="Times New Roman"/>
          <w:sz w:val="24"/>
          <w:lang w:val="en-GB"/>
        </w:rPr>
        <w:lastRenderedPageBreak/>
        <w:t>Initially</w:t>
      </w:r>
      <w:r w:rsidR="00E95C85" w:rsidRPr="001E52F7">
        <w:rPr>
          <w:rFonts w:ascii="Times New Roman" w:hAnsi="Times New Roman" w:cs="Times New Roman"/>
          <w:sz w:val="24"/>
          <w:lang w:val="en-GB"/>
        </w:rPr>
        <w:t>, the</w:t>
      </w:r>
      <w:r w:rsidRPr="001E52F7">
        <w:rPr>
          <w:rFonts w:ascii="Times New Roman" w:hAnsi="Times New Roman" w:cs="Times New Roman"/>
          <w:sz w:val="24"/>
          <w:lang w:val="en-GB"/>
        </w:rPr>
        <w:t xml:space="preserve"> beta</w:t>
      </w:r>
      <w:r w:rsidR="00E95C85" w:rsidRPr="001E52F7">
        <w:rPr>
          <w:rFonts w:ascii="Times New Roman" w:hAnsi="Times New Roman" w:cs="Times New Roman"/>
          <w:sz w:val="24"/>
          <w:lang w:val="en-GB"/>
        </w:rPr>
        <w:t xml:space="preserve"> in CAPM</w:t>
      </w:r>
      <w:r w:rsidRPr="001E52F7">
        <w:rPr>
          <w:rFonts w:ascii="Times New Roman" w:hAnsi="Times New Roman" w:cs="Times New Roman"/>
          <w:sz w:val="24"/>
          <w:lang w:val="en-GB"/>
        </w:rPr>
        <w:t xml:space="preserve"> was thought to be an exceptional explanatory variabl</w:t>
      </w:r>
      <w:r w:rsidR="00E95C85" w:rsidRPr="001E52F7">
        <w:rPr>
          <w:rFonts w:ascii="Times New Roman" w:hAnsi="Times New Roman" w:cs="Times New Roman"/>
          <w:sz w:val="24"/>
          <w:lang w:val="en-GB"/>
        </w:rPr>
        <w:t>e</w:t>
      </w:r>
      <w:r w:rsidR="00497D7D" w:rsidRPr="001E52F7">
        <w:rPr>
          <w:rFonts w:ascii="Times New Roman" w:hAnsi="Times New Roman" w:cs="Times New Roman"/>
          <w:sz w:val="24"/>
          <w:lang w:val="en-GB"/>
        </w:rPr>
        <w:t xml:space="preserve"> but Fama and French (1992) </w:t>
      </w:r>
      <w:r w:rsidR="00E95C85" w:rsidRPr="001E52F7">
        <w:rPr>
          <w:rFonts w:ascii="Times New Roman" w:hAnsi="Times New Roman" w:cs="Times New Roman"/>
          <w:sz w:val="24"/>
          <w:lang w:val="en-GB"/>
        </w:rPr>
        <w:t>refuted beta as such, t</w:t>
      </w:r>
      <w:r w:rsidRPr="001E52F7">
        <w:rPr>
          <w:rFonts w:ascii="Times New Roman" w:hAnsi="Times New Roman" w:cs="Times New Roman"/>
          <w:sz w:val="24"/>
          <w:lang w:val="en-GB"/>
        </w:rPr>
        <w:t>hus</w:t>
      </w:r>
      <w:r w:rsidR="00E95C85" w:rsidRPr="001E52F7">
        <w:rPr>
          <w:rFonts w:ascii="Times New Roman" w:hAnsi="Times New Roman" w:cs="Times New Roman"/>
          <w:sz w:val="24"/>
          <w:lang w:val="en-GB"/>
        </w:rPr>
        <w:t xml:space="preserve"> compelling</w:t>
      </w:r>
      <w:r w:rsidRPr="001E52F7">
        <w:rPr>
          <w:rFonts w:ascii="Times New Roman" w:hAnsi="Times New Roman" w:cs="Times New Roman"/>
          <w:sz w:val="24"/>
          <w:lang w:val="en-GB"/>
        </w:rPr>
        <w:t xml:space="preserve"> academics </w:t>
      </w:r>
      <w:r w:rsidR="00E95C85" w:rsidRPr="001E52F7">
        <w:rPr>
          <w:rFonts w:ascii="Times New Roman" w:hAnsi="Times New Roman" w:cs="Times New Roman"/>
          <w:sz w:val="24"/>
          <w:lang w:val="en-GB"/>
        </w:rPr>
        <w:t>to look</w:t>
      </w:r>
      <w:r w:rsidRPr="001E52F7">
        <w:rPr>
          <w:rFonts w:ascii="Times New Roman" w:hAnsi="Times New Roman" w:cs="Times New Roman"/>
          <w:sz w:val="24"/>
          <w:lang w:val="en-GB"/>
        </w:rPr>
        <w:t xml:space="preserve"> for new variables to explain the cross-section of average stock returns. They </w:t>
      </w:r>
      <w:r w:rsidR="00E95C85" w:rsidRPr="001E52F7">
        <w:rPr>
          <w:rFonts w:ascii="Times New Roman" w:hAnsi="Times New Roman" w:cs="Times New Roman"/>
          <w:sz w:val="24"/>
          <w:lang w:val="en-GB"/>
        </w:rPr>
        <w:t>f</w:t>
      </w:r>
      <w:r w:rsidR="00A71C40">
        <w:rPr>
          <w:rFonts w:ascii="Times New Roman" w:hAnsi="Times New Roman" w:cs="Times New Roman"/>
          <w:sz w:val="24"/>
          <w:lang w:val="en-GB"/>
        </w:rPr>
        <w:t>ou</w:t>
      </w:r>
      <w:r w:rsidR="00E95C85" w:rsidRPr="001E52F7">
        <w:rPr>
          <w:rFonts w:ascii="Times New Roman" w:hAnsi="Times New Roman" w:cs="Times New Roman"/>
          <w:sz w:val="24"/>
          <w:lang w:val="en-GB"/>
        </w:rPr>
        <w:t>nd</w:t>
      </w:r>
      <w:r w:rsidRPr="001E52F7">
        <w:rPr>
          <w:rFonts w:ascii="Times New Roman" w:hAnsi="Times New Roman" w:cs="Times New Roman"/>
          <w:sz w:val="24"/>
          <w:lang w:val="en-GB"/>
        </w:rPr>
        <w:t xml:space="preserve"> book-to-market (BTM) and size to be such variables – when these two variables are accounted for, beta becomes insignificant. Other variables also used to explain the returns of stocks are earnings yield and dividend yield. Ball (1978) and F</w:t>
      </w:r>
      <w:r w:rsidR="00497D7D" w:rsidRPr="001E52F7">
        <w:rPr>
          <w:rFonts w:ascii="Times New Roman" w:hAnsi="Times New Roman" w:cs="Times New Roman"/>
          <w:sz w:val="24"/>
          <w:lang w:val="en-GB"/>
        </w:rPr>
        <w:t xml:space="preserve">ama and </w:t>
      </w:r>
      <w:r w:rsidRPr="001E52F7">
        <w:rPr>
          <w:rFonts w:ascii="Times New Roman" w:hAnsi="Times New Roman" w:cs="Times New Roman"/>
          <w:sz w:val="24"/>
          <w:lang w:val="en-GB"/>
        </w:rPr>
        <w:t>F</w:t>
      </w:r>
      <w:r w:rsidR="00497D7D" w:rsidRPr="001E52F7">
        <w:rPr>
          <w:rFonts w:ascii="Times New Roman" w:hAnsi="Times New Roman" w:cs="Times New Roman"/>
          <w:sz w:val="24"/>
          <w:lang w:val="en-GB"/>
        </w:rPr>
        <w:t>rench (</w:t>
      </w:r>
      <w:r w:rsidRPr="001E52F7">
        <w:rPr>
          <w:rFonts w:ascii="Times New Roman" w:hAnsi="Times New Roman" w:cs="Times New Roman"/>
          <w:sz w:val="24"/>
          <w:lang w:val="en-GB"/>
        </w:rPr>
        <w:t xml:space="preserve">1998) suggest reasons why such variables help to predict returns. Yield proxies such as the earnings yield and the dividend yield are </w:t>
      </w:r>
      <w:r w:rsidR="00E95C85" w:rsidRPr="001E52F7">
        <w:rPr>
          <w:rFonts w:ascii="Times New Roman" w:hAnsi="Times New Roman" w:cs="Times New Roman"/>
          <w:sz w:val="24"/>
          <w:lang w:val="en-GB"/>
        </w:rPr>
        <w:t>able to better proxy for underlying risks that are otherwise unable to be accounted for by the risk measure beta</w:t>
      </w:r>
      <w:r w:rsidRPr="001E52F7">
        <w:rPr>
          <w:rFonts w:ascii="Times New Roman" w:hAnsi="Times New Roman" w:cs="Times New Roman"/>
          <w:sz w:val="24"/>
          <w:lang w:val="en-GB"/>
        </w:rPr>
        <w:t>.</w:t>
      </w:r>
      <w:r w:rsidR="00765446" w:rsidRPr="001E52F7">
        <w:rPr>
          <w:rFonts w:ascii="Times New Roman" w:hAnsi="Times New Roman" w:cs="Times New Roman"/>
          <w:sz w:val="24"/>
          <w:lang w:val="en-GB"/>
        </w:rPr>
        <w:t xml:space="preserve"> Chan and Lakonishok (2004) test the claims of Fama and French (1998) finding that using yield proxies do indeed result in superior profits for the value portfolios.</w:t>
      </w:r>
      <w:r w:rsidR="008E5DBF" w:rsidRPr="001E52F7">
        <w:rPr>
          <w:rFonts w:ascii="Times New Roman" w:hAnsi="Times New Roman" w:cs="Times New Roman"/>
          <w:sz w:val="24"/>
          <w:lang w:val="en-GB"/>
        </w:rPr>
        <w:t xml:space="preserve"> Using various value indicators, including cash flow-to-price (C/P) and book-to-market, similar results were found by Chan and Lakonishok (2004). </w:t>
      </w:r>
      <w:r w:rsidR="00A71C40">
        <w:rPr>
          <w:rFonts w:ascii="Times New Roman" w:hAnsi="Times New Roman" w:cs="Times New Roman"/>
          <w:sz w:val="24"/>
          <w:lang w:val="en-GB"/>
        </w:rPr>
        <w:t xml:space="preserve">It is evident in this study that large </w:t>
      </w:r>
      <w:r w:rsidR="00610C8D">
        <w:rPr>
          <w:rFonts w:ascii="Times New Roman" w:hAnsi="Times New Roman" w:cs="Times New Roman"/>
          <w:sz w:val="24"/>
          <w:lang w:val="en-GB"/>
        </w:rPr>
        <w:t>capitalisation</w:t>
      </w:r>
      <w:r w:rsidR="00A71C40">
        <w:rPr>
          <w:rFonts w:ascii="Times New Roman" w:hAnsi="Times New Roman" w:cs="Times New Roman"/>
          <w:sz w:val="24"/>
          <w:lang w:val="en-GB"/>
        </w:rPr>
        <w:t xml:space="preserve"> stocks in the United States are </w:t>
      </w:r>
      <w:r w:rsidR="00864669">
        <w:rPr>
          <w:rFonts w:ascii="Times New Roman" w:hAnsi="Times New Roman" w:cs="Times New Roman"/>
          <w:sz w:val="24"/>
          <w:lang w:val="en-GB"/>
        </w:rPr>
        <w:t>more popular</w:t>
      </w:r>
      <w:r w:rsidR="00CC3BEB">
        <w:rPr>
          <w:rFonts w:ascii="Times New Roman" w:hAnsi="Times New Roman" w:cs="Times New Roman"/>
          <w:sz w:val="24"/>
          <w:lang w:val="en-GB"/>
        </w:rPr>
        <w:t xml:space="preserve"> </w:t>
      </w:r>
      <w:r w:rsidR="00A71C40">
        <w:rPr>
          <w:rFonts w:ascii="Times New Roman" w:hAnsi="Times New Roman" w:cs="Times New Roman"/>
          <w:sz w:val="24"/>
          <w:lang w:val="en-GB"/>
        </w:rPr>
        <w:t xml:space="preserve">than small </w:t>
      </w:r>
      <w:r w:rsidR="00610C8D">
        <w:rPr>
          <w:rFonts w:ascii="Times New Roman" w:hAnsi="Times New Roman" w:cs="Times New Roman"/>
          <w:sz w:val="24"/>
          <w:lang w:val="en-GB"/>
        </w:rPr>
        <w:t>capitalisation</w:t>
      </w:r>
      <w:r w:rsidR="00A71C40">
        <w:rPr>
          <w:rFonts w:ascii="Times New Roman" w:hAnsi="Times New Roman" w:cs="Times New Roman"/>
          <w:sz w:val="24"/>
          <w:lang w:val="en-GB"/>
        </w:rPr>
        <w:t xml:space="preserve"> stocks because most fund managers find large </w:t>
      </w:r>
      <w:r w:rsidR="00610C8D">
        <w:rPr>
          <w:rFonts w:ascii="Times New Roman" w:hAnsi="Times New Roman" w:cs="Times New Roman"/>
          <w:sz w:val="24"/>
          <w:lang w:val="en-GB"/>
        </w:rPr>
        <w:t>capitalisation</w:t>
      </w:r>
      <w:r w:rsidR="00A71C40">
        <w:rPr>
          <w:rFonts w:ascii="Times New Roman" w:hAnsi="Times New Roman" w:cs="Times New Roman"/>
          <w:sz w:val="24"/>
          <w:lang w:val="en-GB"/>
        </w:rPr>
        <w:t xml:space="preserve"> stocks </w:t>
      </w:r>
      <w:r w:rsidR="00864669">
        <w:rPr>
          <w:rFonts w:ascii="Times New Roman" w:hAnsi="Times New Roman" w:cs="Times New Roman"/>
          <w:sz w:val="24"/>
          <w:lang w:val="en-GB"/>
        </w:rPr>
        <w:t>to be</w:t>
      </w:r>
      <w:r w:rsidR="00A71C40">
        <w:rPr>
          <w:rFonts w:ascii="Times New Roman" w:hAnsi="Times New Roman" w:cs="Times New Roman"/>
          <w:sz w:val="24"/>
          <w:lang w:val="en-GB"/>
        </w:rPr>
        <w:t xml:space="preserve"> more readily available.</w:t>
      </w:r>
      <w:r w:rsidR="00864669">
        <w:rPr>
          <w:rFonts w:ascii="Times New Roman" w:hAnsi="Times New Roman" w:cs="Times New Roman"/>
          <w:sz w:val="24"/>
          <w:lang w:val="en-GB"/>
        </w:rPr>
        <w:t xml:space="preserve"> </w:t>
      </w:r>
    </w:p>
    <w:p w:rsidR="00E47CAD" w:rsidRPr="001E52F7" w:rsidRDefault="00E47CAD" w:rsidP="001E52F7">
      <w:pPr>
        <w:spacing w:line="360" w:lineRule="auto"/>
        <w:jc w:val="both"/>
        <w:rPr>
          <w:rFonts w:ascii="Times New Roman" w:hAnsi="Times New Roman" w:cs="Times New Roman"/>
          <w:sz w:val="24"/>
        </w:rPr>
      </w:pPr>
    </w:p>
    <w:p w:rsidR="00765446" w:rsidRPr="001E52F7" w:rsidRDefault="0033024B" w:rsidP="001E52F7">
      <w:pPr>
        <w:spacing w:line="360" w:lineRule="auto"/>
        <w:jc w:val="both"/>
        <w:rPr>
          <w:rFonts w:ascii="Times New Roman" w:hAnsi="Times New Roman" w:cs="Times New Roman"/>
          <w:sz w:val="24"/>
        </w:rPr>
      </w:pPr>
      <w:r w:rsidRPr="001E52F7">
        <w:rPr>
          <w:rFonts w:ascii="Times New Roman" w:hAnsi="Times New Roman" w:cs="Times New Roman"/>
          <w:sz w:val="24"/>
        </w:rPr>
        <w:t>The Fama and French (1993) three-factor model is proposed</w:t>
      </w:r>
      <w:r w:rsidR="00E968B2" w:rsidRPr="001E52F7">
        <w:rPr>
          <w:rFonts w:ascii="Times New Roman" w:hAnsi="Times New Roman" w:cs="Times New Roman"/>
          <w:sz w:val="24"/>
        </w:rPr>
        <w:t xml:space="preserve"> by Fama and French (1993)</w:t>
      </w:r>
      <w:r w:rsidRPr="001E52F7">
        <w:rPr>
          <w:rFonts w:ascii="Times New Roman" w:hAnsi="Times New Roman" w:cs="Times New Roman"/>
          <w:sz w:val="24"/>
        </w:rPr>
        <w:t xml:space="preserve"> in order to ‘</w:t>
      </w:r>
      <w:r w:rsidR="0039551E" w:rsidRPr="001E52F7">
        <w:rPr>
          <w:rFonts w:ascii="Times New Roman" w:hAnsi="Times New Roman" w:cs="Times New Roman"/>
          <w:sz w:val="24"/>
        </w:rPr>
        <w:t>take over</w:t>
      </w:r>
      <w:r w:rsidRPr="001E52F7">
        <w:rPr>
          <w:rFonts w:ascii="Times New Roman" w:hAnsi="Times New Roman" w:cs="Times New Roman"/>
          <w:sz w:val="24"/>
        </w:rPr>
        <w:t>’ f</w:t>
      </w:r>
      <w:r w:rsidR="0039551E" w:rsidRPr="001E52F7">
        <w:rPr>
          <w:rFonts w:ascii="Times New Roman" w:hAnsi="Times New Roman" w:cs="Times New Roman"/>
          <w:sz w:val="24"/>
        </w:rPr>
        <w:t>rom</w:t>
      </w:r>
      <w:r w:rsidRPr="001E52F7">
        <w:rPr>
          <w:rFonts w:ascii="Times New Roman" w:hAnsi="Times New Roman" w:cs="Times New Roman"/>
          <w:sz w:val="24"/>
        </w:rPr>
        <w:t xml:space="preserve"> CAPM as this model has three factors to capture the variation in portfolio returns. They include the excess return on the market, </w:t>
      </w:r>
      <w:r w:rsidR="00AE658E" w:rsidRPr="001E52F7">
        <w:rPr>
          <w:rFonts w:ascii="Times New Roman" w:hAnsi="Times New Roman" w:cs="Times New Roman"/>
          <w:sz w:val="24"/>
        </w:rPr>
        <w:t xml:space="preserve">the excess return on a portfolio of </w:t>
      </w:r>
      <w:r w:rsidRPr="001E52F7">
        <w:rPr>
          <w:rFonts w:ascii="Times New Roman" w:hAnsi="Times New Roman" w:cs="Times New Roman"/>
          <w:sz w:val="24"/>
        </w:rPr>
        <w:t xml:space="preserve">small minus large </w:t>
      </w:r>
      <w:r w:rsidR="00610C8D">
        <w:rPr>
          <w:rFonts w:ascii="Times New Roman" w:hAnsi="Times New Roman" w:cs="Times New Roman"/>
          <w:sz w:val="24"/>
        </w:rPr>
        <w:t>capitalisation</w:t>
      </w:r>
      <w:r w:rsidR="00AE658E" w:rsidRPr="001E52F7">
        <w:rPr>
          <w:rFonts w:ascii="Times New Roman" w:hAnsi="Times New Roman" w:cs="Times New Roman"/>
          <w:sz w:val="24"/>
        </w:rPr>
        <w:t xml:space="preserve"> stocks (SM</w:t>
      </w:r>
      <w:r w:rsidR="00E968B2" w:rsidRPr="001E52F7">
        <w:rPr>
          <w:rFonts w:ascii="Times New Roman" w:hAnsi="Times New Roman" w:cs="Times New Roman"/>
          <w:sz w:val="24"/>
        </w:rPr>
        <w:t>B</w:t>
      </w:r>
      <w:r w:rsidR="00AE658E" w:rsidRPr="001E52F7">
        <w:rPr>
          <w:rFonts w:ascii="Times New Roman" w:hAnsi="Times New Roman" w:cs="Times New Roman"/>
          <w:sz w:val="24"/>
        </w:rPr>
        <w:t>), and the excess return on a portfolio of high minus low</w:t>
      </w:r>
      <w:r w:rsidR="0039551E" w:rsidRPr="001E52F7">
        <w:rPr>
          <w:rFonts w:ascii="Times New Roman" w:hAnsi="Times New Roman" w:cs="Times New Roman"/>
          <w:sz w:val="24"/>
        </w:rPr>
        <w:t xml:space="preserve"> (HML)</w:t>
      </w:r>
      <w:r w:rsidR="00AE658E" w:rsidRPr="001E52F7">
        <w:rPr>
          <w:rFonts w:ascii="Times New Roman" w:hAnsi="Times New Roman" w:cs="Times New Roman"/>
          <w:sz w:val="24"/>
        </w:rPr>
        <w:t xml:space="preserve"> book-to-market stocks. The test assets</w:t>
      </w:r>
      <w:r w:rsidR="00E968B2" w:rsidRPr="001E52F7">
        <w:rPr>
          <w:rFonts w:ascii="Times New Roman" w:hAnsi="Times New Roman" w:cs="Times New Roman"/>
          <w:sz w:val="24"/>
        </w:rPr>
        <w:t xml:space="preserve"> of Fama and French (1993), </w:t>
      </w:r>
      <w:r w:rsidR="00AE658E" w:rsidRPr="001E52F7">
        <w:rPr>
          <w:rFonts w:ascii="Times New Roman" w:hAnsi="Times New Roman" w:cs="Times New Roman"/>
          <w:sz w:val="24"/>
        </w:rPr>
        <w:t>or portfolios created to test whether these three factors can indeed explain the cross-section of returns</w:t>
      </w:r>
      <w:r w:rsidR="00E968B2" w:rsidRPr="001E52F7">
        <w:rPr>
          <w:rFonts w:ascii="Times New Roman" w:hAnsi="Times New Roman" w:cs="Times New Roman"/>
          <w:sz w:val="24"/>
        </w:rPr>
        <w:t>,</w:t>
      </w:r>
      <w:r w:rsidR="00AE658E" w:rsidRPr="001E52F7">
        <w:rPr>
          <w:rFonts w:ascii="Times New Roman" w:hAnsi="Times New Roman" w:cs="Times New Roman"/>
          <w:sz w:val="24"/>
        </w:rPr>
        <w:t xml:space="preserve"> are </w:t>
      </w:r>
      <w:r w:rsidR="007D40C5">
        <w:rPr>
          <w:rFonts w:ascii="Times New Roman" w:hAnsi="Times New Roman" w:cs="Times New Roman"/>
          <w:sz w:val="24"/>
        </w:rPr>
        <w:t>25</w:t>
      </w:r>
      <w:r w:rsidR="00AE658E" w:rsidRPr="001E52F7">
        <w:rPr>
          <w:rFonts w:ascii="Times New Roman" w:hAnsi="Times New Roman" w:cs="Times New Roman"/>
          <w:sz w:val="24"/>
        </w:rPr>
        <w:t xml:space="preserve"> portfolios sorted on market </w:t>
      </w:r>
      <w:r w:rsidR="00610C8D">
        <w:rPr>
          <w:rFonts w:ascii="Times New Roman" w:hAnsi="Times New Roman" w:cs="Times New Roman"/>
          <w:sz w:val="24"/>
        </w:rPr>
        <w:t>capitalisation</w:t>
      </w:r>
      <w:r w:rsidR="00AE658E" w:rsidRPr="001E52F7">
        <w:rPr>
          <w:rFonts w:ascii="Times New Roman" w:hAnsi="Times New Roman" w:cs="Times New Roman"/>
          <w:sz w:val="24"/>
        </w:rPr>
        <w:t xml:space="preserve"> and book-to-market equity.  </w:t>
      </w:r>
    </w:p>
    <w:p w:rsidR="00765446" w:rsidRPr="001E52F7" w:rsidRDefault="00765446" w:rsidP="001E52F7">
      <w:pPr>
        <w:spacing w:line="360" w:lineRule="auto"/>
        <w:jc w:val="both"/>
        <w:rPr>
          <w:rFonts w:ascii="Times New Roman" w:hAnsi="Times New Roman" w:cs="Times New Roman"/>
          <w:sz w:val="24"/>
        </w:rPr>
      </w:pPr>
    </w:p>
    <w:p w:rsidR="0039551E" w:rsidRPr="001E52F7" w:rsidRDefault="00E968B2" w:rsidP="001E52F7">
      <w:pPr>
        <w:spacing w:line="360" w:lineRule="auto"/>
        <w:jc w:val="both"/>
        <w:rPr>
          <w:rFonts w:ascii="Times New Roman" w:hAnsi="Times New Roman" w:cs="Times New Roman"/>
          <w:sz w:val="24"/>
        </w:rPr>
      </w:pPr>
      <w:r w:rsidRPr="001E52F7">
        <w:rPr>
          <w:rFonts w:ascii="Times New Roman" w:hAnsi="Times New Roman" w:cs="Times New Roman"/>
          <w:sz w:val="24"/>
        </w:rPr>
        <w:t>This dissertation</w:t>
      </w:r>
      <w:r w:rsidR="00B772AF" w:rsidRPr="001E52F7">
        <w:rPr>
          <w:rFonts w:ascii="Times New Roman" w:hAnsi="Times New Roman" w:cs="Times New Roman"/>
          <w:sz w:val="24"/>
        </w:rPr>
        <w:t xml:space="preserve"> </w:t>
      </w:r>
      <w:r w:rsidR="00433321">
        <w:rPr>
          <w:rFonts w:ascii="Times New Roman" w:hAnsi="Times New Roman" w:cs="Times New Roman"/>
          <w:sz w:val="24"/>
        </w:rPr>
        <w:t xml:space="preserve">looks at the returns of value portfolios in comparison to the returns of growth portfolios. The goal is to determine whether value investing can beat growth investing, by selecting stocks for each portfolio based on the idea that value stocks have low prices relative to their book value, dividends, earnings, and cash flows, while growth stocks have high prices relative to their book value, dividends, earnings, and cash flows. This study </w:t>
      </w:r>
      <w:r w:rsidR="00B772AF" w:rsidRPr="001E52F7">
        <w:rPr>
          <w:rFonts w:ascii="Times New Roman" w:hAnsi="Times New Roman" w:cs="Times New Roman"/>
          <w:sz w:val="24"/>
        </w:rPr>
        <w:t>considers the</w:t>
      </w:r>
      <w:r w:rsidR="0039551E" w:rsidRPr="001E52F7">
        <w:rPr>
          <w:rFonts w:ascii="Times New Roman" w:hAnsi="Times New Roman" w:cs="Times New Roman"/>
          <w:sz w:val="24"/>
        </w:rPr>
        <w:t xml:space="preserve"> Johannesburg Stock Exchange (JSE)</w:t>
      </w:r>
      <w:r w:rsidR="00B772AF" w:rsidRPr="001E52F7">
        <w:rPr>
          <w:rFonts w:ascii="Times New Roman" w:hAnsi="Times New Roman" w:cs="Times New Roman"/>
          <w:sz w:val="24"/>
        </w:rPr>
        <w:t xml:space="preserve"> and the data related to the stocks </w:t>
      </w:r>
      <w:r w:rsidR="00C63B5A" w:rsidRPr="001E52F7">
        <w:rPr>
          <w:rFonts w:ascii="Times New Roman" w:hAnsi="Times New Roman" w:cs="Times New Roman"/>
          <w:sz w:val="24"/>
        </w:rPr>
        <w:t>in this market</w:t>
      </w:r>
      <w:r w:rsidR="00083850" w:rsidRPr="001E52F7">
        <w:rPr>
          <w:rFonts w:ascii="Times New Roman" w:hAnsi="Times New Roman" w:cs="Times New Roman"/>
          <w:sz w:val="24"/>
        </w:rPr>
        <w:t xml:space="preserve">, </w:t>
      </w:r>
      <w:r w:rsidR="00C63B5A" w:rsidRPr="001E52F7">
        <w:rPr>
          <w:rFonts w:ascii="Times New Roman" w:hAnsi="Times New Roman" w:cs="Times New Roman"/>
          <w:sz w:val="24"/>
        </w:rPr>
        <w:t>regressions are run</w:t>
      </w:r>
      <w:r w:rsidR="00083850" w:rsidRPr="001E52F7">
        <w:rPr>
          <w:rFonts w:ascii="Times New Roman" w:hAnsi="Times New Roman" w:cs="Times New Roman"/>
          <w:sz w:val="24"/>
        </w:rPr>
        <w:t xml:space="preserve"> using CAPM and the Fama and French three-factor model (FF3)</w:t>
      </w:r>
      <w:r w:rsidRPr="001E52F7">
        <w:rPr>
          <w:rFonts w:ascii="Times New Roman" w:hAnsi="Times New Roman" w:cs="Times New Roman"/>
          <w:sz w:val="24"/>
        </w:rPr>
        <w:t xml:space="preserve"> </w:t>
      </w:r>
      <w:r w:rsidRPr="001E52F7">
        <w:rPr>
          <w:rFonts w:ascii="Times New Roman" w:hAnsi="Times New Roman" w:cs="Times New Roman"/>
          <w:sz w:val="24"/>
        </w:rPr>
        <w:lastRenderedPageBreak/>
        <w:t>and multiple regressions</w:t>
      </w:r>
      <w:r w:rsidR="00083850" w:rsidRPr="001E52F7">
        <w:rPr>
          <w:rFonts w:ascii="Times New Roman" w:hAnsi="Times New Roman" w:cs="Times New Roman"/>
          <w:sz w:val="24"/>
        </w:rPr>
        <w:t>. Portfolios are created based on market</w:t>
      </w:r>
      <w:r w:rsidRPr="001E52F7">
        <w:rPr>
          <w:rFonts w:ascii="Times New Roman" w:hAnsi="Times New Roman" w:cs="Times New Roman"/>
          <w:sz w:val="24"/>
        </w:rPr>
        <w:t xml:space="preserve"> </w:t>
      </w:r>
      <w:r w:rsidR="00610C8D">
        <w:rPr>
          <w:rFonts w:ascii="Times New Roman" w:hAnsi="Times New Roman" w:cs="Times New Roman"/>
          <w:sz w:val="24"/>
        </w:rPr>
        <w:t>capitalisation</w:t>
      </w:r>
      <w:r w:rsidRPr="001E52F7">
        <w:rPr>
          <w:rFonts w:ascii="Times New Roman" w:hAnsi="Times New Roman" w:cs="Times New Roman"/>
          <w:sz w:val="24"/>
        </w:rPr>
        <w:t>, BTM, E/P, C/P and D/P ratios</w:t>
      </w:r>
      <w:r w:rsidR="00083850" w:rsidRPr="001E52F7">
        <w:rPr>
          <w:rFonts w:ascii="Times New Roman" w:hAnsi="Times New Roman" w:cs="Times New Roman"/>
          <w:sz w:val="24"/>
        </w:rPr>
        <w:t>.</w:t>
      </w:r>
      <w:r w:rsidRPr="001E52F7">
        <w:rPr>
          <w:rFonts w:ascii="Times New Roman" w:hAnsi="Times New Roman" w:cs="Times New Roman"/>
          <w:sz w:val="24"/>
        </w:rPr>
        <w:t xml:space="preserve"> Portfolios are sorted on a single value classification and on a two dimension classification.</w:t>
      </w:r>
      <w:r w:rsidR="00083850" w:rsidRPr="001E52F7">
        <w:rPr>
          <w:rFonts w:ascii="Times New Roman" w:hAnsi="Times New Roman" w:cs="Times New Roman"/>
          <w:sz w:val="24"/>
        </w:rPr>
        <w:t xml:space="preserve"> </w:t>
      </w:r>
      <w:r w:rsidR="00C95E4F" w:rsidRPr="001E52F7">
        <w:rPr>
          <w:rFonts w:ascii="Times New Roman" w:hAnsi="Times New Roman" w:cs="Times New Roman"/>
          <w:sz w:val="24"/>
        </w:rPr>
        <w:t xml:space="preserve">The single dimension portfolios, sorted on the dividend yield, market </w:t>
      </w:r>
      <w:r w:rsidR="00610C8D">
        <w:rPr>
          <w:rFonts w:ascii="Times New Roman" w:hAnsi="Times New Roman" w:cs="Times New Roman"/>
          <w:sz w:val="24"/>
        </w:rPr>
        <w:t>capitalisation</w:t>
      </w:r>
      <w:r w:rsidR="00C95E4F" w:rsidRPr="001E52F7">
        <w:rPr>
          <w:rFonts w:ascii="Times New Roman" w:hAnsi="Times New Roman" w:cs="Times New Roman"/>
          <w:sz w:val="24"/>
        </w:rPr>
        <w:t xml:space="preserve">, BTM, E/P or C/P are regressed on 4 dependent variables. The market </w:t>
      </w:r>
      <w:r w:rsidR="00610C8D">
        <w:rPr>
          <w:rFonts w:ascii="Times New Roman" w:hAnsi="Times New Roman" w:cs="Times New Roman"/>
          <w:sz w:val="24"/>
        </w:rPr>
        <w:t>capitalisation</w:t>
      </w:r>
      <w:r w:rsidR="00C95E4F" w:rsidRPr="001E52F7">
        <w:rPr>
          <w:rFonts w:ascii="Times New Roman" w:hAnsi="Times New Roman" w:cs="Times New Roman"/>
          <w:sz w:val="24"/>
        </w:rPr>
        <w:t xml:space="preserve"> variable is the better proxy used to explain the cross-section of returns. The dividend yield also provides an appropriate proxy in order to explain the returns of the dependent variables. The E/P ratio has a smaller effect than anticipated, as authors such as Basu (1977) find the E/P ratio plays a much larger role in explaining the cross-section of returns. The dual sorted portfolios, created on the intersection of the book-to-market ratio with the E/P, C/P, or D/P ratio, are regressed on the same four dependent variables as in the single dimension regressions. The portfolios sorted on the BTM and E/P ratios prove to have the most significance in explaining the returns on the dependent variables. On the other hand, the C/P and D/P ratios appear to add only a </w:t>
      </w:r>
      <w:r w:rsidR="00F81B0C" w:rsidRPr="001E52F7">
        <w:rPr>
          <w:rFonts w:ascii="Times New Roman" w:hAnsi="Times New Roman" w:cs="Times New Roman"/>
          <w:sz w:val="24"/>
        </w:rPr>
        <w:t xml:space="preserve">little to the explanation of returns. </w:t>
      </w:r>
    </w:p>
    <w:p w:rsidR="00E47CAD" w:rsidRPr="001E52F7" w:rsidRDefault="00E47CAD" w:rsidP="001E52F7">
      <w:pPr>
        <w:spacing w:line="360" w:lineRule="auto"/>
        <w:jc w:val="both"/>
        <w:rPr>
          <w:rFonts w:ascii="Times New Roman" w:hAnsi="Times New Roman" w:cs="Times New Roman"/>
          <w:sz w:val="24"/>
        </w:rPr>
      </w:pPr>
    </w:p>
    <w:p w:rsidR="00E47CAD" w:rsidRDefault="00271FF7" w:rsidP="00A02570">
      <w:pPr>
        <w:spacing w:line="360" w:lineRule="auto"/>
        <w:jc w:val="both"/>
        <w:rPr>
          <w:rFonts w:ascii="Times New Roman" w:hAnsi="Times New Roman" w:cs="Times New Roman"/>
          <w:sz w:val="24"/>
        </w:rPr>
      </w:pPr>
      <w:r w:rsidRPr="001E52F7">
        <w:rPr>
          <w:rFonts w:ascii="Times New Roman" w:hAnsi="Times New Roman" w:cs="Times New Roman"/>
          <w:sz w:val="24"/>
        </w:rPr>
        <w:t xml:space="preserve">The rest of the </w:t>
      </w:r>
      <w:r w:rsidR="00F44B06" w:rsidRPr="001E52F7">
        <w:rPr>
          <w:rFonts w:ascii="Times New Roman" w:hAnsi="Times New Roman" w:cs="Times New Roman"/>
          <w:sz w:val="24"/>
        </w:rPr>
        <w:t>dissertation</w:t>
      </w:r>
      <w:r w:rsidRPr="001E52F7">
        <w:rPr>
          <w:rFonts w:ascii="Times New Roman" w:hAnsi="Times New Roman" w:cs="Times New Roman"/>
          <w:sz w:val="24"/>
        </w:rPr>
        <w:t xml:space="preserve"> is structured as follows: </w:t>
      </w:r>
      <w:r w:rsidR="000C1301">
        <w:rPr>
          <w:rFonts w:ascii="Times New Roman" w:hAnsi="Times New Roman" w:cs="Times New Roman"/>
          <w:sz w:val="24"/>
        </w:rPr>
        <w:t>Chapter</w:t>
      </w:r>
      <w:r w:rsidR="000C1301" w:rsidRPr="001E52F7">
        <w:rPr>
          <w:rFonts w:ascii="Times New Roman" w:hAnsi="Times New Roman" w:cs="Times New Roman"/>
          <w:sz w:val="24"/>
        </w:rPr>
        <w:t xml:space="preserve"> </w:t>
      </w:r>
      <w:r w:rsidR="000C1301">
        <w:rPr>
          <w:rFonts w:ascii="Times New Roman" w:hAnsi="Times New Roman" w:cs="Times New Roman"/>
          <w:sz w:val="24"/>
        </w:rPr>
        <w:t>2</w:t>
      </w:r>
      <w:r w:rsidR="000C1301" w:rsidRPr="001E52F7">
        <w:rPr>
          <w:rFonts w:ascii="Times New Roman" w:hAnsi="Times New Roman" w:cs="Times New Roman"/>
          <w:sz w:val="24"/>
        </w:rPr>
        <w:t xml:space="preserve"> examines the fundamental concepts underlying the contrarian theory, while </w:t>
      </w:r>
      <w:r w:rsidR="000C1301">
        <w:rPr>
          <w:rFonts w:ascii="Times New Roman" w:hAnsi="Times New Roman" w:cs="Times New Roman"/>
          <w:sz w:val="24"/>
        </w:rPr>
        <w:t>chapter</w:t>
      </w:r>
      <w:r w:rsidR="000C1301" w:rsidRPr="001E52F7">
        <w:rPr>
          <w:rFonts w:ascii="Times New Roman" w:hAnsi="Times New Roman" w:cs="Times New Roman"/>
          <w:sz w:val="24"/>
        </w:rPr>
        <w:t xml:space="preserve"> </w:t>
      </w:r>
      <w:r w:rsidR="000C1301">
        <w:rPr>
          <w:rFonts w:ascii="Times New Roman" w:hAnsi="Times New Roman" w:cs="Times New Roman"/>
          <w:sz w:val="24"/>
        </w:rPr>
        <w:t>3</w:t>
      </w:r>
      <w:r w:rsidR="000C1301" w:rsidRPr="001E52F7">
        <w:rPr>
          <w:rFonts w:ascii="Times New Roman" w:hAnsi="Times New Roman" w:cs="Times New Roman"/>
          <w:sz w:val="24"/>
        </w:rPr>
        <w:t xml:space="preserve"> takes a look at the role risk plays </w:t>
      </w:r>
      <w:r w:rsidR="000C1301">
        <w:rPr>
          <w:rFonts w:ascii="Times New Roman" w:hAnsi="Times New Roman" w:cs="Times New Roman"/>
          <w:sz w:val="24"/>
        </w:rPr>
        <w:t>in contrarian investing. Chapter</w:t>
      </w:r>
      <w:r w:rsidR="000C1301" w:rsidRPr="001E52F7">
        <w:rPr>
          <w:rFonts w:ascii="Times New Roman" w:hAnsi="Times New Roman" w:cs="Times New Roman"/>
          <w:sz w:val="24"/>
        </w:rPr>
        <w:t xml:space="preserve"> </w:t>
      </w:r>
      <w:r w:rsidR="000C1301">
        <w:rPr>
          <w:rFonts w:ascii="Times New Roman" w:hAnsi="Times New Roman" w:cs="Times New Roman"/>
          <w:sz w:val="24"/>
        </w:rPr>
        <w:t>4</w:t>
      </w:r>
      <w:r w:rsidR="000C1301" w:rsidRPr="001E52F7">
        <w:rPr>
          <w:rFonts w:ascii="Times New Roman" w:hAnsi="Times New Roman" w:cs="Times New Roman"/>
          <w:sz w:val="24"/>
        </w:rPr>
        <w:t xml:space="preserve"> gives the background to contrarian investing and covers the literature review and different markets within previous literature, the variables used in forming a contrarian portfolio, as well as a brief look</w:t>
      </w:r>
      <w:r w:rsidR="000C1301">
        <w:rPr>
          <w:rFonts w:ascii="Times New Roman" w:hAnsi="Times New Roman" w:cs="Times New Roman"/>
          <w:sz w:val="24"/>
        </w:rPr>
        <w:t xml:space="preserve"> at the momentum strategy.</w:t>
      </w:r>
      <w:r w:rsidR="00936390">
        <w:rPr>
          <w:rFonts w:ascii="Times New Roman" w:hAnsi="Times New Roman" w:cs="Times New Roman"/>
          <w:sz w:val="24"/>
        </w:rPr>
        <w:t xml:space="preserve"> Chapter</w:t>
      </w:r>
      <w:r w:rsidR="002708B8" w:rsidRPr="001E52F7">
        <w:rPr>
          <w:rFonts w:ascii="Times New Roman" w:hAnsi="Times New Roman" w:cs="Times New Roman"/>
          <w:sz w:val="24"/>
        </w:rPr>
        <w:t xml:space="preserve"> 5 describes the data and methodology used in this study</w:t>
      </w:r>
      <w:r w:rsidRPr="001E52F7">
        <w:rPr>
          <w:rFonts w:ascii="Times New Roman" w:hAnsi="Times New Roman" w:cs="Times New Roman"/>
          <w:sz w:val="24"/>
        </w:rPr>
        <w:t xml:space="preserve">. Fama and French (1992, 1998) note that value </w:t>
      </w:r>
      <w:r w:rsidR="000B1028" w:rsidRPr="001E52F7">
        <w:rPr>
          <w:rFonts w:ascii="Times New Roman" w:hAnsi="Times New Roman" w:cs="Times New Roman"/>
          <w:sz w:val="24"/>
        </w:rPr>
        <w:t>strategies</w:t>
      </w:r>
      <w:r w:rsidRPr="001E52F7">
        <w:rPr>
          <w:rFonts w:ascii="Times New Roman" w:hAnsi="Times New Roman" w:cs="Times New Roman"/>
          <w:sz w:val="24"/>
        </w:rPr>
        <w:t xml:space="preserve"> are riskier than growth thus </w:t>
      </w:r>
      <w:r w:rsidR="0006032E" w:rsidRPr="001E52F7">
        <w:rPr>
          <w:rFonts w:ascii="Times New Roman" w:hAnsi="Times New Roman" w:cs="Times New Roman"/>
          <w:sz w:val="24"/>
        </w:rPr>
        <w:t>producing</w:t>
      </w:r>
      <w:r w:rsidRPr="001E52F7">
        <w:rPr>
          <w:rFonts w:ascii="Times New Roman" w:hAnsi="Times New Roman" w:cs="Times New Roman"/>
          <w:sz w:val="24"/>
        </w:rPr>
        <w:t xml:space="preserve"> superior returns. This chapter looks at </w:t>
      </w:r>
      <w:r w:rsidR="00181C1D">
        <w:rPr>
          <w:rFonts w:ascii="Times New Roman" w:hAnsi="Times New Roman" w:cs="Times New Roman"/>
          <w:sz w:val="24"/>
        </w:rPr>
        <w:t>how the portfolios are created and tested</w:t>
      </w:r>
      <w:r w:rsidR="0006032E" w:rsidRPr="001E52F7">
        <w:rPr>
          <w:rFonts w:ascii="Times New Roman" w:hAnsi="Times New Roman" w:cs="Times New Roman"/>
          <w:sz w:val="24"/>
        </w:rPr>
        <w:t>. In</w:t>
      </w:r>
      <w:r w:rsidR="00936390">
        <w:rPr>
          <w:rFonts w:ascii="Times New Roman" w:hAnsi="Times New Roman" w:cs="Times New Roman"/>
          <w:sz w:val="24"/>
        </w:rPr>
        <w:t xml:space="preserve"> chapter</w:t>
      </w:r>
      <w:r w:rsidR="000B1028" w:rsidRPr="001E52F7">
        <w:rPr>
          <w:rFonts w:ascii="Times New Roman" w:hAnsi="Times New Roman" w:cs="Times New Roman"/>
          <w:sz w:val="24"/>
        </w:rPr>
        <w:t xml:space="preserve"> </w:t>
      </w:r>
      <w:r w:rsidR="002708B8" w:rsidRPr="001E52F7">
        <w:rPr>
          <w:rFonts w:ascii="Times New Roman" w:hAnsi="Times New Roman" w:cs="Times New Roman"/>
          <w:sz w:val="24"/>
        </w:rPr>
        <w:t xml:space="preserve">6, the </w:t>
      </w:r>
      <w:r w:rsidR="00936390">
        <w:rPr>
          <w:rFonts w:ascii="Times New Roman" w:hAnsi="Times New Roman" w:cs="Times New Roman"/>
          <w:sz w:val="24"/>
        </w:rPr>
        <w:t>dissertation</w:t>
      </w:r>
      <w:r w:rsidR="002708B8" w:rsidRPr="001E52F7">
        <w:rPr>
          <w:rFonts w:ascii="Times New Roman" w:hAnsi="Times New Roman" w:cs="Times New Roman"/>
          <w:sz w:val="24"/>
        </w:rPr>
        <w:t xml:space="preserve"> produces the empirical analysis and analyses the results</w:t>
      </w:r>
      <w:r w:rsidR="000B1028" w:rsidRPr="001E52F7">
        <w:rPr>
          <w:rFonts w:ascii="Times New Roman" w:hAnsi="Times New Roman" w:cs="Times New Roman"/>
          <w:sz w:val="24"/>
        </w:rPr>
        <w:t xml:space="preserve">. </w:t>
      </w:r>
      <w:r w:rsidR="00936390">
        <w:rPr>
          <w:rFonts w:ascii="Times New Roman" w:hAnsi="Times New Roman" w:cs="Times New Roman"/>
          <w:sz w:val="24"/>
        </w:rPr>
        <w:t>Chapter</w:t>
      </w:r>
      <w:r w:rsidR="002708B8" w:rsidRPr="001E52F7">
        <w:rPr>
          <w:rFonts w:ascii="Times New Roman" w:hAnsi="Times New Roman" w:cs="Times New Roman"/>
          <w:sz w:val="24"/>
        </w:rPr>
        <w:t xml:space="preserve"> 7</w:t>
      </w:r>
      <w:r w:rsidR="0006032E" w:rsidRPr="001E52F7">
        <w:rPr>
          <w:rFonts w:ascii="Times New Roman" w:hAnsi="Times New Roman" w:cs="Times New Roman"/>
          <w:sz w:val="24"/>
        </w:rPr>
        <w:t xml:space="preserve"> provides a summary on what has been studied along with conclusions that have been drawn from the methods applied.</w:t>
      </w:r>
      <w:r w:rsidR="002708B8" w:rsidRPr="001E52F7">
        <w:rPr>
          <w:rFonts w:ascii="Times New Roman" w:hAnsi="Times New Roman" w:cs="Times New Roman"/>
          <w:sz w:val="24"/>
        </w:rPr>
        <w:t xml:space="preserve"> </w:t>
      </w:r>
    </w:p>
    <w:p w:rsidR="00F84C09" w:rsidRDefault="00F84C09" w:rsidP="00A02570">
      <w:pPr>
        <w:spacing w:line="360" w:lineRule="auto"/>
        <w:jc w:val="both"/>
        <w:rPr>
          <w:rFonts w:ascii="Times New Roman" w:hAnsi="Times New Roman" w:cs="Times New Roman"/>
          <w:sz w:val="24"/>
        </w:rPr>
      </w:pPr>
    </w:p>
    <w:p w:rsidR="000C1301" w:rsidRDefault="000C1301" w:rsidP="00A02570">
      <w:pPr>
        <w:spacing w:line="360" w:lineRule="auto"/>
        <w:jc w:val="both"/>
        <w:rPr>
          <w:rFonts w:ascii="Times New Roman" w:hAnsi="Times New Roman" w:cs="Times New Roman"/>
          <w:sz w:val="24"/>
        </w:rPr>
      </w:pPr>
    </w:p>
    <w:p w:rsidR="000C1301" w:rsidRDefault="000C1301" w:rsidP="00A02570">
      <w:pPr>
        <w:spacing w:line="360" w:lineRule="auto"/>
        <w:jc w:val="both"/>
        <w:rPr>
          <w:rFonts w:ascii="Times New Roman" w:hAnsi="Times New Roman" w:cs="Times New Roman"/>
          <w:sz w:val="24"/>
        </w:rPr>
      </w:pPr>
    </w:p>
    <w:p w:rsidR="000C1301" w:rsidRDefault="000C1301" w:rsidP="00A02570">
      <w:pPr>
        <w:spacing w:line="360" w:lineRule="auto"/>
        <w:jc w:val="both"/>
        <w:rPr>
          <w:rFonts w:ascii="Times New Roman" w:hAnsi="Times New Roman" w:cs="Times New Roman"/>
          <w:sz w:val="24"/>
        </w:rPr>
      </w:pPr>
    </w:p>
    <w:p w:rsidR="000C1301" w:rsidRDefault="000C1301" w:rsidP="00A02570">
      <w:pPr>
        <w:spacing w:line="360" w:lineRule="auto"/>
        <w:jc w:val="both"/>
        <w:rPr>
          <w:rFonts w:ascii="Times New Roman" w:hAnsi="Times New Roman" w:cs="Times New Roman"/>
          <w:sz w:val="24"/>
        </w:rPr>
      </w:pPr>
    </w:p>
    <w:p w:rsidR="000C1301" w:rsidRDefault="000C1301" w:rsidP="00A02570">
      <w:pPr>
        <w:spacing w:line="360" w:lineRule="auto"/>
        <w:jc w:val="both"/>
        <w:rPr>
          <w:rFonts w:ascii="Times New Roman" w:hAnsi="Times New Roman" w:cs="Times New Roman"/>
          <w:sz w:val="24"/>
        </w:rPr>
      </w:pPr>
    </w:p>
    <w:p w:rsidR="00F84C09" w:rsidRPr="00566BF3" w:rsidRDefault="00F84C09" w:rsidP="00F84C09">
      <w:pPr>
        <w:pStyle w:val="ListParagraph"/>
        <w:numPr>
          <w:ilvl w:val="0"/>
          <w:numId w:val="2"/>
        </w:numPr>
        <w:spacing w:line="360" w:lineRule="auto"/>
        <w:jc w:val="both"/>
        <w:outlineLvl w:val="0"/>
        <w:rPr>
          <w:rFonts w:ascii="Times New Roman" w:hAnsi="Times New Roman" w:cs="Times New Roman"/>
          <w:b/>
          <w:sz w:val="36"/>
        </w:rPr>
      </w:pPr>
      <w:bookmarkStart w:id="10" w:name="_Toc305166491"/>
      <w:r w:rsidRPr="00566BF3">
        <w:rPr>
          <w:rFonts w:ascii="Times New Roman" w:hAnsi="Times New Roman" w:cs="Times New Roman"/>
          <w:b/>
          <w:sz w:val="36"/>
        </w:rPr>
        <w:lastRenderedPageBreak/>
        <w:t>Fundamental Concepts</w:t>
      </w:r>
      <w:bookmarkEnd w:id="10"/>
    </w:p>
    <w:p w:rsidR="00F84C09" w:rsidRPr="00566BF3" w:rsidRDefault="00F84C09" w:rsidP="00F84C09">
      <w:pPr>
        <w:spacing w:line="360" w:lineRule="auto"/>
        <w:jc w:val="both"/>
        <w:rPr>
          <w:rFonts w:ascii="Times New Roman" w:hAnsi="Times New Roman" w:cs="Times New Roman"/>
        </w:rPr>
      </w:pPr>
    </w:p>
    <w:p w:rsidR="00F84C09" w:rsidRPr="00566BF3" w:rsidRDefault="00F84C09" w:rsidP="00F84C09">
      <w:pPr>
        <w:pStyle w:val="ListParagraph"/>
        <w:numPr>
          <w:ilvl w:val="1"/>
          <w:numId w:val="2"/>
        </w:numPr>
        <w:spacing w:line="360" w:lineRule="auto"/>
        <w:jc w:val="both"/>
        <w:outlineLvl w:val="1"/>
        <w:rPr>
          <w:rFonts w:ascii="Times New Roman" w:hAnsi="Times New Roman" w:cs="Times New Roman"/>
          <w:b/>
          <w:sz w:val="32"/>
        </w:rPr>
      </w:pPr>
      <w:bookmarkStart w:id="11" w:name="_Toc305166492"/>
      <w:r w:rsidRPr="00566BF3">
        <w:rPr>
          <w:rFonts w:ascii="Times New Roman" w:hAnsi="Times New Roman" w:cs="Times New Roman"/>
          <w:b/>
          <w:sz w:val="32"/>
        </w:rPr>
        <w:t xml:space="preserve">Efficient Market </w:t>
      </w:r>
      <w:r>
        <w:rPr>
          <w:rFonts w:ascii="Times New Roman" w:hAnsi="Times New Roman" w:cs="Times New Roman"/>
          <w:b/>
          <w:sz w:val="32"/>
        </w:rPr>
        <w:t>Hypothesis</w:t>
      </w:r>
      <w:bookmarkEnd w:id="11"/>
    </w:p>
    <w:p w:rsidR="00F84C09" w:rsidRPr="00566BF3" w:rsidRDefault="00F84C09" w:rsidP="00F84C09">
      <w:pPr>
        <w:spacing w:line="360" w:lineRule="auto"/>
        <w:jc w:val="both"/>
        <w:rPr>
          <w:rFonts w:ascii="Times New Roman" w:hAnsi="Times New Roman" w:cs="Times New Roman"/>
        </w:rPr>
      </w:pPr>
    </w:p>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An efficient</w:t>
      </w:r>
      <w:r w:rsidRPr="00566BF3">
        <w:rPr>
          <w:rFonts w:ascii="Times New Roman" w:hAnsi="Times New Roman" w:cs="Times New Roman"/>
          <w:sz w:val="24"/>
        </w:rPr>
        <w:t xml:space="preserve"> market is one in which the prices at any time fully reflect all available information, thus implying that investors cannot use past information to predict future returns</w:t>
      </w:r>
      <w:r>
        <w:rPr>
          <w:rFonts w:ascii="Times New Roman" w:hAnsi="Times New Roman" w:cs="Times New Roman"/>
          <w:sz w:val="24"/>
        </w:rPr>
        <w:t xml:space="preserve"> (Basu, 1977)</w:t>
      </w:r>
      <w:r w:rsidRPr="00566BF3">
        <w:rPr>
          <w:rFonts w:ascii="Times New Roman" w:hAnsi="Times New Roman" w:cs="Times New Roman"/>
          <w:sz w:val="24"/>
        </w:rPr>
        <w:t xml:space="preserve">. An ideal market is an efficient one, implying that the price of a stock is a precise indication of the firm’s </w:t>
      </w:r>
      <w:r>
        <w:rPr>
          <w:rFonts w:ascii="Times New Roman" w:hAnsi="Times New Roman" w:cs="Times New Roman"/>
          <w:sz w:val="24"/>
        </w:rPr>
        <w:t>fundamental value</w:t>
      </w:r>
      <w:r w:rsidRPr="00566BF3">
        <w:rPr>
          <w:rFonts w:ascii="Times New Roman" w:hAnsi="Times New Roman" w:cs="Times New Roman"/>
          <w:sz w:val="24"/>
        </w:rPr>
        <w:t xml:space="preserve">. Stock prices are assumed to follow a random walk, meaning that successive price changes are independent of </w:t>
      </w:r>
      <w:r>
        <w:rPr>
          <w:rFonts w:ascii="Times New Roman" w:hAnsi="Times New Roman" w:cs="Times New Roman"/>
          <w:sz w:val="24"/>
        </w:rPr>
        <w:t>previous changes</w:t>
      </w:r>
      <w:r w:rsidRPr="00566BF3">
        <w:rPr>
          <w:rFonts w:ascii="Times New Roman" w:hAnsi="Times New Roman" w:cs="Times New Roman"/>
          <w:sz w:val="24"/>
        </w:rPr>
        <w:t xml:space="preserve"> (Fama, 1970). This “efficient” market is only really applicable in theory as there are several assumptions that are violated in reality: there are no transaction costs when trading stocks, all available information is obtainable at no cost to all market participants and all these participants agree on the implications of the current information on the stock price. Attention must be drawn to the suggestion that even if certain investors have access to information others </w:t>
      </w:r>
      <w:r>
        <w:rPr>
          <w:rFonts w:ascii="Times New Roman" w:hAnsi="Times New Roman" w:cs="Times New Roman"/>
          <w:sz w:val="24"/>
        </w:rPr>
        <w:t>did not</w:t>
      </w:r>
      <w:r w:rsidRPr="00566BF3">
        <w:rPr>
          <w:rFonts w:ascii="Times New Roman" w:hAnsi="Times New Roman" w:cs="Times New Roman"/>
          <w:sz w:val="24"/>
        </w:rPr>
        <w:t xml:space="preserve">, and even if there is disagreement about the effect information will have on stock prices, it still does not resolutely conclude that there is market inefficiency; all it </w:t>
      </w:r>
      <w:r>
        <w:rPr>
          <w:rFonts w:ascii="Times New Roman" w:hAnsi="Times New Roman" w:cs="Times New Roman"/>
          <w:sz w:val="24"/>
        </w:rPr>
        <w:t>implies</w:t>
      </w:r>
      <w:r w:rsidRPr="00566BF3">
        <w:rPr>
          <w:rFonts w:ascii="Times New Roman" w:hAnsi="Times New Roman" w:cs="Times New Roman"/>
          <w:sz w:val="24"/>
        </w:rPr>
        <w:t xml:space="preserve"> is </w:t>
      </w:r>
      <w:r>
        <w:rPr>
          <w:rFonts w:ascii="Times New Roman" w:hAnsi="Times New Roman" w:cs="Times New Roman"/>
          <w:sz w:val="24"/>
        </w:rPr>
        <w:t xml:space="preserve">that </w:t>
      </w:r>
      <w:r w:rsidRPr="00566BF3">
        <w:rPr>
          <w:rFonts w:ascii="Times New Roman" w:hAnsi="Times New Roman" w:cs="Times New Roman"/>
          <w:sz w:val="24"/>
        </w:rPr>
        <w:t>these may be potential sources of the market’s inefficiency</w:t>
      </w:r>
      <w:r>
        <w:rPr>
          <w:rFonts w:ascii="Times New Roman" w:hAnsi="Times New Roman" w:cs="Times New Roman"/>
          <w:sz w:val="24"/>
        </w:rPr>
        <w:t>, Fama (1970)</w:t>
      </w:r>
      <w:r w:rsidRPr="00566BF3">
        <w:rPr>
          <w:rFonts w:ascii="Times New Roman" w:hAnsi="Times New Roman" w:cs="Times New Roman"/>
          <w:sz w:val="24"/>
        </w:rPr>
        <w:t xml:space="preserve"> Essentially an investor would like to be investing in an efficient market as the entire firm’s investment decisions will be fully reflected in the price of the stock. The investor thus knows what he is buying in to. </w:t>
      </w:r>
    </w:p>
    <w:p w:rsidR="00F84C09" w:rsidRPr="00566BF3" w:rsidRDefault="00F84C09" w:rsidP="00F84C09">
      <w:pPr>
        <w:spacing w:line="360" w:lineRule="auto"/>
        <w:jc w:val="both"/>
        <w:rPr>
          <w:rFonts w:ascii="Times New Roman" w:hAnsi="Times New Roman" w:cs="Times New Roman"/>
          <w:sz w:val="24"/>
        </w:rPr>
      </w:pPr>
    </w:p>
    <w:p w:rsidR="00CE050C"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Chan (1988) explains the contrarian strategy patently: one buy</w:t>
      </w:r>
      <w:r>
        <w:rPr>
          <w:rFonts w:ascii="Times New Roman" w:hAnsi="Times New Roman" w:cs="Times New Roman"/>
          <w:sz w:val="24"/>
        </w:rPr>
        <w:t>s</w:t>
      </w:r>
      <w:r w:rsidRPr="00566BF3">
        <w:rPr>
          <w:rFonts w:ascii="Times New Roman" w:hAnsi="Times New Roman" w:cs="Times New Roman"/>
          <w:sz w:val="24"/>
        </w:rPr>
        <w:t xml:space="preserve"> stocks that have underperformed the market, and sell</w:t>
      </w:r>
      <w:r w:rsidR="00DB3D62">
        <w:rPr>
          <w:rFonts w:ascii="Times New Roman" w:hAnsi="Times New Roman" w:cs="Times New Roman"/>
          <w:sz w:val="24"/>
        </w:rPr>
        <w:t>s</w:t>
      </w:r>
      <w:r w:rsidRPr="00566BF3">
        <w:rPr>
          <w:rFonts w:ascii="Times New Roman" w:hAnsi="Times New Roman" w:cs="Times New Roman"/>
          <w:sz w:val="24"/>
        </w:rPr>
        <w:t xml:space="preserve"> stocks that have </w:t>
      </w:r>
      <w:r>
        <w:rPr>
          <w:rFonts w:ascii="Times New Roman" w:hAnsi="Times New Roman" w:cs="Times New Roman"/>
          <w:sz w:val="24"/>
        </w:rPr>
        <w:t>outperformed the market</w:t>
      </w:r>
      <w:r w:rsidRPr="00566BF3">
        <w:rPr>
          <w:rFonts w:ascii="Times New Roman" w:hAnsi="Times New Roman" w:cs="Times New Roman"/>
          <w:sz w:val="24"/>
        </w:rPr>
        <w:t xml:space="preserve">, based on the premise that the stock market overreacts to news. An investor who exploits such inefficiency will gain when the stock prices revert to their fundamental values. This strategy has many critics, however, as any trading rule that is based on past prices violates the weak form of market efficiency. Fama (1970) argues that the random walk theory should be considered an extension of the fair game model. </w:t>
      </w:r>
    </w:p>
    <w:p w:rsidR="00CE050C" w:rsidRDefault="00CE050C"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 xml:space="preserve">The fair game model, recognised by Mandelbrot (1966) and Samuelson (1965), and given by the equation: </w:t>
      </w:r>
    </w:p>
    <w:p w:rsidR="00F84C09" w:rsidRPr="00566BF3" w:rsidRDefault="00F84C09" w:rsidP="00F84C09">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F84C09" w:rsidTr="00CC694D">
        <w:tc>
          <w:tcPr>
            <w:tcW w:w="750" w:type="pct"/>
          </w:tcPr>
          <w:p w:rsidR="00F84C09" w:rsidRDefault="00F84C09" w:rsidP="00CC694D">
            <w:pPr>
              <w:spacing w:line="360" w:lineRule="auto"/>
              <w:jc w:val="both"/>
              <w:rPr>
                <w:rFonts w:ascii="Times New Roman" w:eastAsia="Times New Roman" w:hAnsi="Times New Roman" w:cs="Times New Roman"/>
                <w:sz w:val="24"/>
              </w:rPr>
            </w:pPr>
          </w:p>
        </w:tc>
        <w:tc>
          <w:tcPr>
            <w:tcW w:w="3750" w:type="pct"/>
            <w:vAlign w:val="center"/>
          </w:tcPr>
          <w:p w:rsidR="00F84C09" w:rsidRPr="00D95628" w:rsidRDefault="00F84C09" w:rsidP="00CC694D">
            <w:pPr>
              <w:spacing w:line="360" w:lineRule="auto"/>
              <w:jc w:val="center"/>
              <w:rPr>
                <w:rFonts w:ascii="Times New Roman" w:hAnsi="Times New Roman" w:cs="Times New Roman"/>
                <w:sz w:val="24"/>
              </w:rPr>
            </w:pPr>
            <m:oMathPara>
              <m:oMath>
                <m:r>
                  <w:rPr>
                    <w:rFonts w:ascii="Cambria Math" w:hAnsi="Cambria Math" w:cs="Times New Roman"/>
                    <w:sz w:val="24"/>
                  </w:rPr>
                  <m:t>E</m:t>
                </m:r>
                <m:d>
                  <m:dPr>
                    <m:ctrlPr>
                      <w:rPr>
                        <w:rFonts w:ascii="Cambria Math" w:hAnsi="Times New Roman" w:cs="Times New Roman"/>
                        <w:i/>
                        <w:sz w:val="24"/>
                      </w:rPr>
                    </m:ctrlPr>
                  </m:dPr>
                  <m:e>
                    <m:sSub>
                      <m:sSubPr>
                        <m:ctrlPr>
                          <w:rPr>
                            <w:rFonts w:ascii="Cambria Math" w:hAnsi="Times New Roman" w:cs="Times New Roman"/>
                            <w:i/>
                            <w:sz w:val="24"/>
                          </w:rPr>
                        </m:ctrlPr>
                      </m:sSubPr>
                      <m:e>
                        <m:acc>
                          <m:accPr>
                            <m:chr m:val="̃"/>
                            <m:ctrlPr>
                              <w:rPr>
                                <w:rFonts w:ascii="Cambria Math" w:hAnsi="Times New Roman" w:cs="Times New Roman"/>
                                <w:i/>
                                <w:sz w:val="24"/>
                              </w:rPr>
                            </m:ctrlPr>
                          </m:accPr>
                          <m:e>
                            <m:r>
                              <w:rPr>
                                <w:rFonts w:ascii="Cambria Math" w:hAnsi="Cambria Math" w:cs="Times New Roman"/>
                                <w:sz w:val="24"/>
                              </w:rPr>
                              <m:t>p</m:t>
                            </m:r>
                          </m:e>
                        </m:acc>
                      </m:e>
                      <m:sub>
                        <m:r>
                          <w:rPr>
                            <w:rFonts w:ascii="Cambria Math" w:hAnsi="Cambria Math" w:cs="Times New Roman"/>
                            <w:sz w:val="24"/>
                          </w:rPr>
                          <m:t>j</m:t>
                        </m:r>
                        <m:r>
                          <w:rPr>
                            <w:rFonts w:ascii="Cambria Math" w:hAnsi="Times New Roman" w:cs="Times New Roman"/>
                            <w:sz w:val="24"/>
                          </w:rPr>
                          <m:t xml:space="preserve">, </m:t>
                        </m:r>
                        <m:r>
                          <w:rPr>
                            <w:rFonts w:ascii="Cambria Math" w:hAnsi="Cambria Math" w:cs="Times New Roman"/>
                            <w:sz w:val="24"/>
                          </w:rPr>
                          <m:t>t</m:t>
                        </m:r>
                        <m:r>
                          <w:rPr>
                            <w:rFonts w:ascii="Cambria Math" w:hAnsi="Times New Roman" w:cs="Times New Roman"/>
                            <w:sz w:val="24"/>
                          </w:rPr>
                          <m:t>+1</m:t>
                        </m:r>
                      </m:sub>
                    </m:sSub>
                  </m:e>
                  <m:e>
                    <m:sSub>
                      <m:sSubPr>
                        <m:ctrlPr>
                          <w:rPr>
                            <w:rFonts w:ascii="Cambria Math" w:hAnsi="Times New Roman" w:cs="Times New Roman"/>
                            <w:i/>
                            <w:sz w:val="24"/>
                          </w:rPr>
                        </m:ctrlPr>
                      </m:sSubPr>
                      <m:e>
                        <m:r>
                          <m:rPr>
                            <m:sty m:val="p"/>
                          </m:rPr>
                          <w:rPr>
                            <w:rFonts w:ascii="Cambria Math" w:hAnsi="Cambria Math" w:cs="Times New Roman"/>
                            <w:sz w:val="24"/>
                          </w:rPr>
                          <m:t>φ</m:t>
                        </m:r>
                      </m:e>
                      <m:sub>
                        <m:r>
                          <w:rPr>
                            <w:rFonts w:ascii="Cambria Math" w:hAnsi="Cambria Math" w:cs="Times New Roman"/>
                            <w:sz w:val="24"/>
                          </w:rPr>
                          <m:t>t</m:t>
                        </m:r>
                      </m:sub>
                    </m:sSub>
                  </m:e>
                </m:d>
                <m:r>
                  <w:rPr>
                    <w:rFonts w:ascii="Cambria Math" w:hAnsi="Times New Roman" w:cs="Times New Roman"/>
                    <w:sz w:val="24"/>
                  </w:rPr>
                  <m:t xml:space="preserve">= </m:t>
                </m:r>
                <m:d>
                  <m:dPr>
                    <m:begChr m:val="["/>
                    <m:endChr m:val="]"/>
                    <m:ctrlPr>
                      <w:rPr>
                        <w:rFonts w:ascii="Cambria Math" w:hAnsi="Times New Roman" w:cs="Times New Roman"/>
                        <w:i/>
                        <w:sz w:val="24"/>
                      </w:rPr>
                    </m:ctrlPr>
                  </m:dPr>
                  <m:e>
                    <m:r>
                      <w:rPr>
                        <w:rFonts w:ascii="Cambria Math" w:hAnsi="Times New Roman" w:cs="Times New Roman"/>
                        <w:sz w:val="24"/>
                      </w:rPr>
                      <m:t>1+</m:t>
                    </m:r>
                    <m:r>
                      <w:rPr>
                        <w:rFonts w:ascii="Cambria Math" w:hAnsi="Cambria Math" w:cs="Times New Roman"/>
                        <w:sz w:val="24"/>
                      </w:rPr>
                      <m:t>E</m:t>
                    </m:r>
                    <m:d>
                      <m:dPr>
                        <m:ctrlPr>
                          <w:rPr>
                            <w:rFonts w:ascii="Cambria Math" w:hAnsi="Times New Roman" w:cs="Times New Roman"/>
                            <w:i/>
                            <w:sz w:val="24"/>
                          </w:rPr>
                        </m:ctrlPr>
                      </m:dPr>
                      <m:e>
                        <m:sSub>
                          <m:sSubPr>
                            <m:ctrlPr>
                              <w:rPr>
                                <w:rFonts w:ascii="Cambria Math" w:hAnsi="Times New Roman" w:cs="Times New Roman"/>
                                <w:i/>
                                <w:sz w:val="24"/>
                              </w:rPr>
                            </m:ctrlPr>
                          </m:sSubPr>
                          <m:e>
                            <m:acc>
                              <m:accPr>
                                <m:chr m:val="̃"/>
                                <m:ctrlPr>
                                  <w:rPr>
                                    <w:rFonts w:ascii="Cambria Math" w:hAnsi="Times New Roman" w:cs="Times New Roman"/>
                                    <w:i/>
                                    <w:sz w:val="24"/>
                                  </w:rPr>
                                </m:ctrlPr>
                              </m:accPr>
                              <m:e>
                                <m:r>
                                  <w:rPr>
                                    <w:rFonts w:ascii="Cambria Math" w:hAnsi="Cambria Math" w:cs="Times New Roman"/>
                                    <w:sz w:val="24"/>
                                  </w:rPr>
                                  <m:t>r</m:t>
                                </m:r>
                              </m:e>
                            </m:acc>
                          </m:e>
                          <m:sub>
                            <m:r>
                              <w:rPr>
                                <w:rFonts w:ascii="Cambria Math" w:hAnsi="Cambria Math" w:cs="Times New Roman"/>
                                <w:sz w:val="24"/>
                              </w:rPr>
                              <m:t>j</m:t>
                            </m:r>
                            <m:r>
                              <w:rPr>
                                <w:rFonts w:ascii="Cambria Math" w:hAnsi="Times New Roman" w:cs="Times New Roman"/>
                                <w:sz w:val="24"/>
                              </w:rPr>
                              <m:t xml:space="preserve">, </m:t>
                            </m:r>
                            <m:r>
                              <w:rPr>
                                <w:rFonts w:ascii="Cambria Math" w:hAnsi="Cambria Math" w:cs="Times New Roman"/>
                                <w:sz w:val="24"/>
                              </w:rPr>
                              <m:t>t</m:t>
                            </m:r>
                            <m:r>
                              <w:rPr>
                                <w:rFonts w:ascii="Cambria Math" w:hAnsi="Times New Roman" w:cs="Times New Roman"/>
                                <w:sz w:val="24"/>
                              </w:rPr>
                              <m:t>+1</m:t>
                            </m:r>
                          </m:sub>
                        </m:sSub>
                      </m:e>
                      <m:e>
                        <m:sSub>
                          <m:sSubPr>
                            <m:ctrlPr>
                              <w:rPr>
                                <w:rFonts w:ascii="Cambria Math" w:hAnsi="Times New Roman" w:cs="Times New Roman"/>
                                <w:i/>
                                <w:sz w:val="24"/>
                              </w:rPr>
                            </m:ctrlPr>
                          </m:sSubPr>
                          <m:e>
                            <m:r>
                              <m:rPr>
                                <m:sty m:val="p"/>
                              </m:rPr>
                              <w:rPr>
                                <w:rFonts w:ascii="Cambria Math" w:hAnsi="Cambria Math" w:cs="Times New Roman"/>
                                <w:sz w:val="24"/>
                              </w:rPr>
                              <m:t>φ</m:t>
                            </m:r>
                          </m:e>
                          <m:sub>
                            <m:r>
                              <w:rPr>
                                <w:rFonts w:ascii="Cambria Math" w:hAnsi="Cambria Math" w:cs="Times New Roman"/>
                                <w:sz w:val="24"/>
                              </w:rPr>
                              <m:t>t</m:t>
                            </m:r>
                          </m:sub>
                        </m:sSub>
                      </m:e>
                    </m:d>
                  </m:e>
                </m:d>
                <m:sSub>
                  <m:sSubPr>
                    <m:ctrlPr>
                      <w:rPr>
                        <w:rFonts w:ascii="Cambria Math" w:hAnsi="Times New Roman" w:cs="Times New Roman"/>
                        <w:i/>
                        <w:sz w:val="24"/>
                      </w:rPr>
                    </m:ctrlPr>
                  </m:sSubPr>
                  <m:e>
                    <m:r>
                      <w:rPr>
                        <w:rFonts w:ascii="Cambria Math" w:hAnsi="Cambria Math" w:cs="Times New Roman"/>
                        <w:sz w:val="24"/>
                      </w:rPr>
                      <m:t>p</m:t>
                    </m:r>
                  </m:e>
                  <m:sub>
                    <m:r>
                      <w:rPr>
                        <w:rFonts w:ascii="Cambria Math" w:hAnsi="Cambria Math" w:cs="Times New Roman"/>
                        <w:sz w:val="24"/>
                      </w:rPr>
                      <m:t>jt</m:t>
                    </m:r>
                  </m:sub>
                </m:sSub>
              </m:oMath>
            </m:oMathPara>
          </w:p>
        </w:tc>
        <w:tc>
          <w:tcPr>
            <w:tcW w:w="750" w:type="pct"/>
            <w:vAlign w:val="center"/>
          </w:tcPr>
          <w:p w:rsidR="00F84C09" w:rsidRDefault="00F84C09" w:rsidP="00664ED3">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(1)</w:t>
            </w:r>
          </w:p>
        </w:tc>
      </w:tr>
    </w:tbl>
    <w:p w:rsidR="00F84C09"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Where: </w:t>
      </w:r>
    </w:p>
    <w:tbl>
      <w:tblPr>
        <w:tblStyle w:val="TableGrid"/>
        <w:tblW w:w="0" w:type="auto"/>
        <w:tblInd w:w="124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701"/>
        <w:gridCol w:w="3969"/>
      </w:tblGrid>
      <w:tr w:rsidR="00F84C09" w:rsidRPr="00566BF3" w:rsidTr="00CC694D">
        <w:trPr>
          <w:trHeight w:val="829"/>
        </w:trPr>
        <w:tc>
          <w:tcPr>
            <w:tcW w:w="1701"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 xml:space="preserve">   p</w:t>
            </w:r>
            <w:r w:rsidRPr="00566BF3">
              <w:rPr>
                <w:rFonts w:ascii="Times New Roman" w:hAnsi="Times New Roman" w:cs="Times New Roman"/>
                <w:sz w:val="24"/>
                <w:vertAlign w:val="subscript"/>
              </w:rPr>
              <w:t>jt</w:t>
            </w:r>
            <w:r w:rsidRPr="00566BF3">
              <w:rPr>
                <w:rFonts w:ascii="Times New Roman" w:hAnsi="Times New Roman" w:cs="Times New Roman"/>
                <w:sz w:val="24"/>
              </w:rPr>
              <w:t xml:space="preserve"> =</w:t>
            </w:r>
          </w:p>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 xml:space="preserve"> </w:t>
            </w:r>
          </w:p>
        </w:tc>
        <w:tc>
          <w:tcPr>
            <w:tcW w:w="3969"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Price of security j at time t</w:t>
            </w:r>
          </w:p>
          <w:p w:rsidR="00F84C09" w:rsidRPr="00566BF3" w:rsidRDefault="00F84C09" w:rsidP="00CC694D">
            <w:pPr>
              <w:spacing w:line="360" w:lineRule="auto"/>
              <w:jc w:val="both"/>
              <w:rPr>
                <w:rFonts w:ascii="Times New Roman" w:hAnsi="Times New Roman" w:cs="Times New Roman"/>
                <w:sz w:val="24"/>
              </w:rPr>
            </w:pPr>
          </w:p>
        </w:tc>
      </w:tr>
      <w:tr w:rsidR="00F84C09" w:rsidRPr="00566BF3" w:rsidTr="00CC694D">
        <w:trPr>
          <w:trHeight w:val="438"/>
        </w:trPr>
        <w:tc>
          <w:tcPr>
            <w:tcW w:w="1701"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p</w:t>
            </w:r>
            <w:r w:rsidRPr="00566BF3">
              <w:rPr>
                <w:rFonts w:ascii="Times New Roman" w:hAnsi="Times New Roman" w:cs="Times New Roman"/>
                <w:sz w:val="24"/>
                <w:vertAlign w:val="subscript"/>
              </w:rPr>
              <w:t>j,t+1</w:t>
            </w:r>
            <w:r w:rsidRPr="00566BF3">
              <w:rPr>
                <w:rFonts w:ascii="Times New Roman" w:hAnsi="Times New Roman" w:cs="Times New Roman"/>
                <w:sz w:val="24"/>
              </w:rPr>
              <w:t xml:space="preserve"> =</w:t>
            </w:r>
          </w:p>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 xml:space="preserve"> </w:t>
            </w:r>
          </w:p>
        </w:tc>
        <w:tc>
          <w:tcPr>
            <w:tcW w:w="3969"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Price of security j at time t+1</w:t>
            </w:r>
          </w:p>
          <w:p w:rsidR="00F84C09" w:rsidRPr="00566BF3" w:rsidRDefault="00F84C09" w:rsidP="00CC694D">
            <w:pPr>
              <w:spacing w:line="360" w:lineRule="auto"/>
              <w:jc w:val="both"/>
              <w:rPr>
                <w:rFonts w:ascii="Times New Roman" w:hAnsi="Times New Roman" w:cs="Times New Roman"/>
                <w:sz w:val="24"/>
              </w:rPr>
            </w:pPr>
          </w:p>
        </w:tc>
      </w:tr>
      <w:tr w:rsidR="00F84C09" w:rsidRPr="00566BF3" w:rsidTr="00CC694D">
        <w:tc>
          <w:tcPr>
            <w:tcW w:w="1701"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r</w:t>
            </w:r>
            <w:r w:rsidRPr="00566BF3">
              <w:rPr>
                <w:rFonts w:ascii="Times New Roman" w:hAnsi="Times New Roman" w:cs="Times New Roman"/>
                <w:sz w:val="24"/>
                <w:vertAlign w:val="subscript"/>
              </w:rPr>
              <w:t xml:space="preserve">j,t+1 </w:t>
            </w:r>
            <w:r w:rsidRPr="00566BF3">
              <w:rPr>
                <w:rFonts w:ascii="Times New Roman" w:hAnsi="Times New Roman" w:cs="Times New Roman"/>
                <w:sz w:val="24"/>
              </w:rPr>
              <w:t xml:space="preserve">= </w:t>
            </w:r>
          </w:p>
          <w:p w:rsidR="00F84C09" w:rsidRPr="00566BF3" w:rsidRDefault="00F84C09" w:rsidP="00CC694D">
            <w:pPr>
              <w:spacing w:line="360" w:lineRule="auto"/>
              <w:jc w:val="both"/>
              <w:rPr>
                <w:rFonts w:ascii="Times New Roman" w:hAnsi="Times New Roman" w:cs="Times New Roman"/>
                <w:sz w:val="24"/>
              </w:rPr>
            </w:pPr>
          </w:p>
        </w:tc>
        <w:tc>
          <w:tcPr>
            <w:tcW w:w="3969"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One-period percentage return</w:t>
            </w:r>
          </w:p>
          <w:p w:rsidR="00F84C09" w:rsidRPr="00566BF3" w:rsidRDefault="00F84C09" w:rsidP="00CC694D">
            <w:pPr>
              <w:spacing w:line="360" w:lineRule="auto"/>
              <w:jc w:val="both"/>
              <w:rPr>
                <w:rFonts w:ascii="Times New Roman" w:hAnsi="Times New Roman" w:cs="Times New Roman"/>
                <w:sz w:val="24"/>
              </w:rPr>
            </w:pPr>
          </w:p>
        </w:tc>
      </w:tr>
      <w:tr w:rsidR="00F84C09" w:rsidRPr="00566BF3" w:rsidTr="00CC694D">
        <w:tc>
          <w:tcPr>
            <w:tcW w:w="1701" w:type="dxa"/>
            <w:vAlign w:val="center"/>
          </w:tcPr>
          <w:p w:rsidR="00F84C09" w:rsidRPr="00566BF3" w:rsidRDefault="000963F3" w:rsidP="00CC694D">
            <w:pPr>
              <w:spacing w:line="360" w:lineRule="auto"/>
              <w:jc w:val="both"/>
              <w:rPr>
                <w:rFonts w:ascii="Times New Roman" w:hAnsi="Times New Roman" w:cs="Times New Roman"/>
                <w:sz w:val="24"/>
              </w:rPr>
            </w:pPr>
            <m:oMath>
              <m:sSub>
                <m:sSubPr>
                  <m:ctrlPr>
                    <w:rPr>
                      <w:rFonts w:ascii="Cambria Math" w:hAnsi="Cambria Math"/>
                      <w:i/>
                      <w:sz w:val="24"/>
                      <w:vertAlign w:val="subscript"/>
                    </w:rPr>
                  </m:ctrlPr>
                </m:sSubPr>
                <m:e>
                  <m:r>
                    <w:rPr>
                      <w:rFonts w:ascii="Cambria Math" w:hAnsi="Cambria Math"/>
                      <w:sz w:val="24"/>
                      <w:vertAlign w:val="subscript"/>
                    </w:rPr>
                    <m:t>φ</m:t>
                  </m:r>
                </m:e>
                <m:sub>
                  <m:r>
                    <w:rPr>
                      <w:rFonts w:ascii="Cambria Math" w:hAnsi="Cambria Math"/>
                      <w:sz w:val="24"/>
                      <w:vertAlign w:val="subscript"/>
                    </w:rPr>
                    <m:t>t</m:t>
                  </m:r>
                </m:sub>
              </m:sSub>
            </m:oMath>
            <w:r w:rsidR="00F84C09" w:rsidRPr="00566BF3">
              <w:rPr>
                <w:rFonts w:ascii="Times New Roman" w:hAnsi="Times New Roman" w:cs="Times New Roman"/>
                <w:sz w:val="24"/>
                <w:vertAlign w:val="subscript"/>
              </w:rPr>
              <w:t xml:space="preserve"> </w:t>
            </w:r>
            <w:r w:rsidR="00F84C09" w:rsidRPr="00566BF3">
              <w:rPr>
                <w:rFonts w:ascii="Times New Roman" w:hAnsi="Times New Roman" w:cs="Times New Roman"/>
                <w:sz w:val="24"/>
              </w:rPr>
              <w:t xml:space="preserve">= </w:t>
            </w:r>
          </w:p>
          <w:p w:rsidR="00F84C09" w:rsidRPr="00566BF3" w:rsidRDefault="00F84C09" w:rsidP="00CC694D">
            <w:pPr>
              <w:spacing w:line="360" w:lineRule="auto"/>
              <w:jc w:val="both"/>
              <w:rPr>
                <w:rFonts w:ascii="Times New Roman" w:hAnsi="Times New Roman" w:cs="Times New Roman"/>
                <w:sz w:val="24"/>
              </w:rPr>
            </w:pPr>
          </w:p>
          <w:p w:rsidR="00F84C09" w:rsidRPr="00566BF3" w:rsidRDefault="00F84C09" w:rsidP="00CC694D">
            <w:pPr>
              <w:spacing w:line="360" w:lineRule="auto"/>
              <w:jc w:val="both"/>
              <w:rPr>
                <w:rFonts w:ascii="Times New Roman" w:hAnsi="Times New Roman" w:cs="Times New Roman"/>
                <w:sz w:val="24"/>
              </w:rPr>
            </w:pPr>
          </w:p>
          <w:p w:rsidR="00F84C09" w:rsidRPr="00566BF3" w:rsidRDefault="00F84C09" w:rsidP="00CC694D">
            <w:pPr>
              <w:spacing w:line="360" w:lineRule="auto"/>
              <w:jc w:val="both"/>
              <w:rPr>
                <w:rFonts w:ascii="Times New Roman" w:hAnsi="Times New Roman" w:cs="Times New Roman"/>
                <w:sz w:val="24"/>
              </w:rPr>
            </w:pPr>
          </w:p>
        </w:tc>
        <w:tc>
          <w:tcPr>
            <w:tcW w:w="3969"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Indicates whatever information assumed to be entirely reflected in security price at time t</w:t>
            </w:r>
          </w:p>
          <w:p w:rsidR="00F84C09" w:rsidRPr="00566BF3" w:rsidRDefault="00F84C09" w:rsidP="00CC694D">
            <w:pPr>
              <w:spacing w:line="360" w:lineRule="auto"/>
              <w:jc w:val="both"/>
              <w:rPr>
                <w:rFonts w:ascii="Times New Roman" w:hAnsi="Times New Roman" w:cs="Times New Roman"/>
                <w:sz w:val="24"/>
              </w:rPr>
            </w:pPr>
          </w:p>
        </w:tc>
      </w:tr>
      <w:tr w:rsidR="00F84C09" w:rsidRPr="00566BF3" w:rsidTr="00CC694D">
        <w:tc>
          <w:tcPr>
            <w:tcW w:w="1701"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Tildes =</w:t>
            </w:r>
          </w:p>
          <w:p w:rsidR="00F84C09" w:rsidRPr="00566BF3" w:rsidRDefault="00F84C09" w:rsidP="00CC694D">
            <w:pPr>
              <w:spacing w:line="360" w:lineRule="auto"/>
              <w:jc w:val="both"/>
              <w:rPr>
                <w:rFonts w:ascii="Times New Roman" w:hAnsi="Times New Roman" w:cs="Times New Roman"/>
                <w:sz w:val="24"/>
              </w:rPr>
            </w:pPr>
          </w:p>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 xml:space="preserve"> </w:t>
            </w:r>
          </w:p>
        </w:tc>
        <w:tc>
          <w:tcPr>
            <w:tcW w:w="3969" w:type="dxa"/>
            <w:vAlign w:val="center"/>
          </w:tcPr>
          <w:p w:rsidR="00F84C09" w:rsidRPr="00566BF3" w:rsidRDefault="00F84C09" w:rsidP="00CC694D">
            <w:pPr>
              <w:spacing w:line="360" w:lineRule="auto"/>
              <w:jc w:val="both"/>
              <w:rPr>
                <w:rFonts w:ascii="Times New Roman" w:hAnsi="Times New Roman" w:cs="Times New Roman"/>
                <w:sz w:val="24"/>
              </w:rPr>
            </w:pPr>
            <w:r w:rsidRPr="00566BF3">
              <w:rPr>
                <w:rFonts w:ascii="Times New Roman" w:hAnsi="Times New Roman" w:cs="Times New Roman"/>
                <w:sz w:val="24"/>
              </w:rPr>
              <w:t>The price of the security (p</w:t>
            </w:r>
            <w:r w:rsidRPr="00566BF3">
              <w:rPr>
                <w:rFonts w:ascii="Times New Roman" w:hAnsi="Times New Roman" w:cs="Times New Roman"/>
                <w:sz w:val="24"/>
                <w:vertAlign w:val="subscript"/>
              </w:rPr>
              <w:t>j,t+1</w:t>
            </w:r>
            <w:r w:rsidRPr="00566BF3">
              <w:rPr>
                <w:rFonts w:ascii="Times New Roman" w:hAnsi="Times New Roman" w:cs="Times New Roman"/>
                <w:sz w:val="24"/>
              </w:rPr>
              <w:t>) and one-period percentage return (r</w:t>
            </w:r>
            <w:r w:rsidRPr="00566BF3">
              <w:rPr>
                <w:rFonts w:ascii="Times New Roman" w:hAnsi="Times New Roman" w:cs="Times New Roman"/>
                <w:sz w:val="24"/>
                <w:vertAlign w:val="subscript"/>
              </w:rPr>
              <w:t>j,t+1</w:t>
            </w:r>
            <w:r w:rsidRPr="00566BF3">
              <w:rPr>
                <w:rFonts w:ascii="Times New Roman" w:hAnsi="Times New Roman" w:cs="Times New Roman"/>
                <w:sz w:val="24"/>
              </w:rPr>
              <w:t>) are random variables at time t</w:t>
            </w:r>
          </w:p>
        </w:tc>
      </w:tr>
    </w:tbl>
    <w:p w:rsidR="00F84C09" w:rsidRPr="00566BF3"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 xml:space="preserve">The model is expected to show that, whichever return model is used, the information being considered and denoted by </w:t>
      </w:r>
      <m:oMath>
        <m:sSub>
          <m:sSubPr>
            <m:ctrlPr>
              <w:rPr>
                <w:rFonts w:ascii="Cambria Math" w:hAnsi="Times New Roman" w:cs="Times New Roman"/>
                <w:i/>
                <w:sz w:val="24"/>
                <w:vertAlign w:val="subscript"/>
              </w:rPr>
            </m:ctrlPr>
          </m:sSubPr>
          <m:e>
            <m:r>
              <w:rPr>
                <w:rFonts w:ascii="Cambria Math" w:hAnsi="Cambria Math" w:cs="Times New Roman"/>
                <w:sz w:val="24"/>
                <w:vertAlign w:val="subscript"/>
              </w:rPr>
              <m:t>φ</m:t>
            </m:r>
          </m:e>
          <m:sub>
            <m:r>
              <w:rPr>
                <w:rFonts w:ascii="Cambria Math" w:hAnsi="Cambria Math" w:cs="Times New Roman"/>
                <w:sz w:val="24"/>
                <w:vertAlign w:val="subscript"/>
              </w:rPr>
              <m:t>t</m:t>
            </m:r>
          </m:sub>
        </m:sSub>
      </m:oMath>
      <w:r w:rsidRPr="001E52F7">
        <w:rPr>
          <w:rFonts w:ascii="Times New Roman" w:hAnsi="Times New Roman" w:cs="Times New Roman"/>
          <w:sz w:val="24"/>
          <w:vertAlign w:val="subscript"/>
        </w:rPr>
        <w:t xml:space="preserve">  </w:t>
      </w:r>
      <w:r w:rsidRPr="001E52F7">
        <w:rPr>
          <w:rFonts w:ascii="Times New Roman" w:hAnsi="Times New Roman" w:cs="Times New Roman"/>
          <w:sz w:val="24"/>
        </w:rPr>
        <w:t>is</w:t>
      </w:r>
      <w:r w:rsidRPr="001E52F7">
        <w:rPr>
          <w:rFonts w:ascii="Times New Roman" w:hAnsi="Times New Roman" w:cs="Times New Roman"/>
          <w:sz w:val="24"/>
          <w:vertAlign w:val="subscript"/>
        </w:rPr>
        <w:t xml:space="preserve"> </w:t>
      </w:r>
      <w:r w:rsidRPr="001E52F7">
        <w:rPr>
          <w:rFonts w:ascii="Times New Roman" w:hAnsi="Times New Roman" w:cs="Times New Roman"/>
          <w:sz w:val="24"/>
        </w:rPr>
        <w:t xml:space="preserve">fully reflected in the expected return calculation. This model has implications for the random walk theory as a market in which the stock prices fully reflect all available information implies that stock price changes are independent of previous changes, hence Fama (1970) concluding the random walk model is an extension of the fair game one. If an investor engages in speculative trades in the market it should be a fair game one. In other words, the expected profit for that speculator should be zero and not positive. In this way it almost appears that the argument that the stock market follows a random walk leads to significant justification for fair game. However, there is some statistical evidence in favour of stock price dependencies, but Fama (1970) notes that it is not sufficient to conclude that the market is inefficient. The fair game model, however, does have an implication for </w:t>
      </w:r>
      <w:r w:rsidRPr="001E52F7">
        <w:rPr>
          <w:rFonts w:ascii="Times New Roman" w:hAnsi="Times New Roman" w:cs="Times New Roman"/>
          <w:sz w:val="24"/>
        </w:rPr>
        <w:lastRenderedPageBreak/>
        <w:t>trading rules – they should not be able to work. The contrarian strategy should thus, in theory, not be possible.</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 xml:space="preserve">Fama (1970) finds that a sizable change in daily stock prices precedes sizable </w:t>
      </w:r>
      <w:r>
        <w:rPr>
          <w:rFonts w:ascii="Times New Roman" w:hAnsi="Times New Roman" w:cs="Times New Roman"/>
          <w:sz w:val="24"/>
        </w:rPr>
        <w:t xml:space="preserve">future </w:t>
      </w:r>
      <w:r w:rsidRPr="001E52F7">
        <w:rPr>
          <w:rFonts w:ascii="Times New Roman" w:hAnsi="Times New Roman" w:cs="Times New Roman"/>
          <w:sz w:val="24"/>
        </w:rPr>
        <w:t xml:space="preserve">daily changes. </w:t>
      </w:r>
      <w:r>
        <w:rPr>
          <w:rFonts w:ascii="Times New Roman" w:hAnsi="Times New Roman" w:cs="Times New Roman"/>
          <w:sz w:val="24"/>
        </w:rPr>
        <w:t xml:space="preserve">That is, the author notes that a change in the price of a stock can be predicted somewhat by looking at the stock price from the preceding day. </w:t>
      </w:r>
      <w:r w:rsidRPr="001E52F7">
        <w:rPr>
          <w:rFonts w:ascii="Times New Roman" w:hAnsi="Times New Roman" w:cs="Times New Roman"/>
          <w:sz w:val="24"/>
        </w:rPr>
        <w:t xml:space="preserve">The random walk phenomenon does not appear to exist. The sign of the future changes are not always the same as the initial stock price change. The author contemplates why such movement happens, realising that the EMH is not violated, only the random walk theory. New information cannot always be processed and evaluated as quickly as the theory suggests, meaning new and important information takes time to have its full effect on the market. At times the stock price will undergo a smaller change than the information implies, while other times the price will undergo a larger change and thus needs to decrease somewhere in the future. </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There is substantial evidence that the Efficient Market Hypothesis holds in the market (Fama, 1970; Kaplan and Roll, 1972; Malkiel, 2003)</w:t>
      </w:r>
      <w:r w:rsidRPr="001E52F7">
        <w:rPr>
          <w:rFonts w:ascii="Times New Roman" w:hAnsi="Times New Roman" w:cs="Times New Roman"/>
          <w:color w:val="00B050"/>
          <w:sz w:val="24"/>
        </w:rPr>
        <w:t xml:space="preserve"> </w:t>
      </w:r>
      <w:r w:rsidRPr="001E52F7">
        <w:rPr>
          <w:rFonts w:ascii="Times New Roman" w:hAnsi="Times New Roman" w:cs="Times New Roman"/>
          <w:sz w:val="24"/>
        </w:rPr>
        <w:t>but there are still some analysts who believe that they can predict future returns, for example, some investors believe that the P/E ratio is an indicator of future investment performance of a share (Basu, 1977). People who do not believe in the EMH believe that investors can earn superior returns by timing the market. Active portfolio management will lead to better returns and with this portfolio beating the market. Conversely, those who believe markets are efficient agree that market participants are all well-informed individuals, and any arbitrage opportunities are expunged by transaction costs and taxes. The supporters insist that, even if the market is not fully efficient, any undervalued stock will have its price bid up by increased demand, while any overpriced stock will lose value as investors decide to sell it if they own it, or ignore it if they do not.</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 xml:space="preserve">Fama (1970) conducts weak form tests; they include testing whether past price history has any effect on the future prices of stocks; in other words, do trading rules based on historical information work? An implication of the weak form of the EMH is that technical analysis is not useful in attempting to make an abnormal profit. Technical analysis, specifically, is based on the supposition that stock prices do not adjust immediately to information, thus an investor </w:t>
      </w:r>
      <w:r w:rsidRPr="001E52F7">
        <w:rPr>
          <w:rFonts w:ascii="Times New Roman" w:hAnsi="Times New Roman" w:cs="Times New Roman"/>
          <w:sz w:val="24"/>
        </w:rPr>
        <w:lastRenderedPageBreak/>
        <w:t xml:space="preserve">who has the ability to spot a trend can use it to his/her advantage by reaping positive gains over the adjustment period (Fama and Blume, 1966). Fama (1965) and Fama (1970) find markets to be weak form efficient, albeit in the short term. When the weak form of market efficiency is found to be supported, attention is turned to the semi-strong form tests. These tests consider the rate at which stock prices adjust to publicly available information. The semi-strong form of the EMH asserts that fundamental analysis of a firm’s statement of financial position, statement of comprehensive income, or financial news will not result in abnormal profit-making. The final test is that of strong form, here the focus is on whether any particular group of investors have access to better-quality information than other investors or information not otherwise available to ‘normal’ market participants, and whether this information has any effect on stock prices. Fama and Blume (1966) demonstrate that the strong form of the EMH emphasizes that insider information will have no effect on profits even if it is true. While Fama (1970) considers all three categories of the EMH he finds, as one should, the most evidence for the weak form category. What he finds is immediately in favour of market efficiency, pausing only to acknowledge that there are some findings of price dependencies, but they are hardly significant to say the market is not efficient. Using trading rules will only result in the odd investor profiting. </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De Bondt and Thaler (1985) are well known for their argument that people tend to overreact to unexpected and remarkable events, thus concluding abnormal returns can be earned from the contrarian strategy. The two most common methods of indentifying value stocks are the P/E ratio and the BTM ratio, Malkiel (2003). Value stocks, or stocks with low P/E ratios, are found to produce higher rates of returns for investors (Ball, 1978 and Nicholson, 1960). Behavioural finance indicates that investors are overconfident in their ability to forecast earnings growth and as a result they overpay for stocks with high P/E ratios, (Kahneman and Riepe, 1998).</w:t>
      </w:r>
    </w:p>
    <w:p w:rsidR="00F84C09" w:rsidRPr="001E52F7"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In violation of the semi-strong form of the EMH, Basu</w:t>
      </w:r>
      <w:r w:rsidR="005A5B72">
        <w:rPr>
          <w:rFonts w:ascii="Times New Roman" w:hAnsi="Times New Roman" w:cs="Times New Roman"/>
          <w:sz w:val="24"/>
        </w:rPr>
        <w:t>’s</w:t>
      </w:r>
      <w:r w:rsidRPr="001E52F7">
        <w:rPr>
          <w:rFonts w:ascii="Times New Roman" w:hAnsi="Times New Roman" w:cs="Times New Roman"/>
          <w:sz w:val="24"/>
        </w:rPr>
        <w:t xml:space="preserve"> (1977) results show that the P/E ratio is not entirely reflected in the stock price. He forms a minimum of two portfolios, in any given period, with stocks with similar P/E ratios. The returns of the low P/E portfolios are compared to the returns of a portfolio composed of stocks selected at random; however they must have similar levels of total risk. If a market is made up of risk-averse investors, it would </w:t>
      </w:r>
      <w:r w:rsidRPr="001E52F7">
        <w:rPr>
          <w:rFonts w:ascii="Times New Roman" w:hAnsi="Times New Roman" w:cs="Times New Roman"/>
          <w:sz w:val="24"/>
        </w:rPr>
        <w:lastRenderedPageBreak/>
        <w:t>be intuitive that the measure of performance for a stock or portfolio would be one that incorporates both risk and return.</w:t>
      </w:r>
      <w:r>
        <w:rPr>
          <w:rFonts w:ascii="Times New Roman" w:hAnsi="Times New Roman" w:cs="Times New Roman"/>
          <w:sz w:val="24"/>
        </w:rPr>
        <w:t xml:space="preserve"> </w:t>
      </w:r>
      <w:r w:rsidRPr="001E52F7">
        <w:rPr>
          <w:rFonts w:ascii="Times New Roman" w:hAnsi="Times New Roman" w:cs="Times New Roman"/>
          <w:sz w:val="24"/>
        </w:rPr>
        <w:t xml:space="preserve">As suggested by the semi-strong form of the EMH all stock price information should be fully reflected in security prices in a timely fashion, as to avoid any arbitrage opportunities. Basu (1977) is wary to deem the market inefficient, but does suggest there are times when transaction costs and taxes may play a part in preventing (or at least encumbering) exploitation of abnormal returns due to slow market reaction. </w:t>
      </w:r>
    </w:p>
    <w:p w:rsidR="00B155B5" w:rsidRPr="001E52F7" w:rsidRDefault="00B155B5"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The validity of the EMH is based on rational markets, that is, rational investors in the market. Investor rationality takes for granted that each investor has unlimited access to information and the ability to process such information. Most investors do not have exceptional skills in processing information, instead using rules to change the information into estimates required. Their translations are almost always biased by their gut feeling or a hunch. Bayes Theorem simply put states that a rational investor (one who has obtained information from different sources) must weigh the information according to its accuracy, regardless of whether the information is new or old, sourced from others or by the investor himself. A problem arises from such a theory as investors are self-assured. They place a higher weighting on the information they collect because they are overconfident about the accuracy of it. It is unlikely that investors’ overconfidence will affect all stock prices equally. Firms that exhibit stable operations and are not considered growth firms in that they did not have many growth options are more likely to have very stable stock prices. Any investor overconfidence should not result in large pricing bias. Conversely, companies that have many future growth opportunities, and also probably intangible assets, are at risk when it comes to investors’ self-assurance. These firms’ stock prices are sensitive to investor expectations, thus are more susceptible to mispricing caused by overconfidence.</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EMH has the profound implication that buying and selling stocks in order to outperform the market will prove a fruitless attempt by any investor as it is a matter of chance rather than skill. However, if the EMH in actuality holds, then people working in industries that rely on timing the market, or analysing and making decisions based on their analyses, would be out of jobs (</w:t>
      </w:r>
      <w:r>
        <w:rPr>
          <w:rFonts w:ascii="Times New Roman" w:hAnsi="Times New Roman" w:cs="Times New Roman"/>
          <w:sz w:val="24"/>
        </w:rPr>
        <w:t>Fama and Blume, 196</w:t>
      </w:r>
      <w:r w:rsidRPr="001E52F7">
        <w:rPr>
          <w:rFonts w:ascii="Times New Roman" w:hAnsi="Times New Roman" w:cs="Times New Roman"/>
          <w:sz w:val="24"/>
        </w:rPr>
        <w:t xml:space="preserve">6). Malkiel (2003) reminds the reader that it is important to realise that the positive results of such contrarian strategies may be reliant on the time period under consideration. This is the crux of this dissertation – it needs to be determined whether </w:t>
      </w:r>
      <w:r w:rsidRPr="001E52F7">
        <w:rPr>
          <w:rFonts w:ascii="Times New Roman" w:hAnsi="Times New Roman" w:cs="Times New Roman"/>
          <w:sz w:val="24"/>
        </w:rPr>
        <w:lastRenderedPageBreak/>
        <w:t>the contrarian strategy indeed holds in all periods of time under consideration. The market cannot be perfectly efficient, as Grossman and Stiglitz (1980) point out, because there would be no motivation for experts to find new information.</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Fama and French (1992) hold the position that the EMH attributes the higher returns of value portfolios to their increased risk. Firms that have low future prospects are penalized by the market with higher costs of capital. In an efficient market, securities that offer the highest expected returns should be those that offer cash flows that covary the most with aggregate consumption growth. These securities should have significantly higher risks while offering a higher return. This makes sense if returns to value strategies embody some form of compensation for their sensitivity to unobserved risk factors. They should be correlated with macroeconomic variables that act as proxies for consumption growth (Gregory, Harris, and Michou, 2003).</w:t>
      </w:r>
    </w:p>
    <w:p w:rsidR="00F84C09" w:rsidRPr="001E52F7" w:rsidRDefault="00F84C09" w:rsidP="00F84C09">
      <w:pPr>
        <w:spacing w:line="360" w:lineRule="auto"/>
        <w:jc w:val="both"/>
        <w:rPr>
          <w:rFonts w:ascii="Times New Roman" w:hAnsi="Times New Roman" w:cs="Times New Roman"/>
          <w:color w:val="00B050"/>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 xml:space="preserve">The overreaction hypothesis (contrarian strategy) is based on the idea that stock prices systematically deviate from their fundamental values so that, by using historical information specifically related to their returns, the direction of their changes can be predicted. This clearly violates the weak form of the Efficient Market Hypothesis as it is based on the idea that past returns cannot predict future performance. If the stock market does overreact, it will indicate that the weak form efficient hypothesis is not efficient at all, as an investor can use past price history in order to predict future portfolio returns. The overreaction hypothesis suggests the market is inefficient in providing the investor with a risk-adjusted return. The market becomes inefficient as investors over/under react to recent stock returns. An implication of the weak form theory is that abnormal returns should not be able to be earned persistently using historical information. The efficient market hypothesis, if it holds in weak form, predicts that the value and growth portfolios’ abnormal returns will not be significantly different from zero. It will be tested that these abnormal returns are different from zero because this </w:t>
      </w:r>
      <w:r>
        <w:rPr>
          <w:rFonts w:ascii="Times New Roman" w:hAnsi="Times New Roman" w:cs="Times New Roman"/>
          <w:sz w:val="24"/>
        </w:rPr>
        <w:t>dissertation</w:t>
      </w:r>
      <w:r w:rsidRPr="001E52F7">
        <w:rPr>
          <w:rFonts w:ascii="Times New Roman" w:hAnsi="Times New Roman" w:cs="Times New Roman"/>
          <w:sz w:val="24"/>
        </w:rPr>
        <w:t xml:space="preserve"> looks to prove value outperforms growth investing.</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The Adaptive Expectations Hypothesis states that investors make their investment decisions based on the direction of recent historical data to forecast returns</w:t>
      </w:r>
      <w:r>
        <w:rPr>
          <w:rFonts w:ascii="Times New Roman" w:hAnsi="Times New Roman" w:cs="Times New Roman"/>
          <w:sz w:val="24"/>
        </w:rPr>
        <w:t>, Bauman and Miller (1997)</w:t>
      </w:r>
      <w:r w:rsidRPr="001E52F7">
        <w:rPr>
          <w:rFonts w:ascii="Times New Roman" w:hAnsi="Times New Roman" w:cs="Times New Roman"/>
          <w:sz w:val="24"/>
        </w:rPr>
        <w:t xml:space="preserve">. </w:t>
      </w:r>
      <w:r w:rsidRPr="001E52F7">
        <w:rPr>
          <w:rFonts w:ascii="Times New Roman" w:hAnsi="Times New Roman" w:cs="Times New Roman"/>
          <w:sz w:val="24"/>
        </w:rPr>
        <w:lastRenderedPageBreak/>
        <w:t xml:space="preserve">Bauman and Miller (1997) propose that investors rely too much on observed past trends when they formulate their expectations about the future; hence the resulting </w:t>
      </w:r>
      <w:r>
        <w:rPr>
          <w:rFonts w:ascii="Times New Roman" w:hAnsi="Times New Roman" w:cs="Times New Roman"/>
          <w:sz w:val="24"/>
        </w:rPr>
        <w:t>bias</w:t>
      </w:r>
      <w:r w:rsidRPr="001E52F7">
        <w:rPr>
          <w:rFonts w:ascii="Times New Roman" w:hAnsi="Times New Roman" w:cs="Times New Roman"/>
          <w:sz w:val="24"/>
        </w:rPr>
        <w:t xml:space="preserve"> in forecasts of future returns. Compelling arguments, however, ask whether using this past information really does result in above-average risk-adjusted returns. Markets are not frictionless. Market friction is anything that interferes with trading. We know markets are not frictionless because there are costs such as transaction and information. These are the costs of trading: electricity to run your computer, internet access, data analysis, the opportunity cost of time, taxes, etc. These costs occur when any investor buys or sells stocks. Certain authors, Cohen</w:t>
      </w:r>
      <w:r w:rsidRPr="001E52F7">
        <w:rPr>
          <w:rFonts w:ascii="Times New Roman" w:hAnsi="Times New Roman" w:cs="Times New Roman"/>
          <w:noProof/>
          <w:sz w:val="24"/>
          <w:szCs w:val="24"/>
        </w:rPr>
        <w:t xml:space="preserve">, Hawawini, Maier, Schwartz, and Whitcomb </w:t>
      </w:r>
      <w:r w:rsidRPr="001E52F7">
        <w:rPr>
          <w:rFonts w:ascii="Times New Roman" w:hAnsi="Times New Roman" w:cs="Times New Roman"/>
          <w:sz w:val="24"/>
        </w:rPr>
        <w:t>(1980) and Mech (1993), argue that these costs are the cause of the market not functioning properly and for the improbability of the contrarian strategy to be a profitable strategy. This is obvious for two reasons; first, the contrarian strategy profits are based on the assumption that investors can buy and short sell stocks without transaction costs and investors are not subject to any short-selling constraints. Second, market frictions have the ability to slow-down trades that could</w:t>
      </w:r>
      <w:r>
        <w:rPr>
          <w:rFonts w:ascii="Times New Roman" w:hAnsi="Times New Roman" w:cs="Times New Roman"/>
          <w:sz w:val="24"/>
        </w:rPr>
        <w:t xml:space="preserve"> ha</w:t>
      </w:r>
      <w:r w:rsidRPr="001E52F7">
        <w:rPr>
          <w:rFonts w:ascii="Times New Roman" w:hAnsi="Times New Roman" w:cs="Times New Roman"/>
          <w:sz w:val="24"/>
        </w:rPr>
        <w:t>ve exploited pricing errors. Timing is crucial. This restriction could then decrease the rate at which prices react to new information, making it very difficult for a contrarian to make the necessary adjustments to his portfolio.</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Bauman and Miller</w:t>
      </w:r>
      <w:r w:rsidR="003D4902">
        <w:rPr>
          <w:rFonts w:ascii="Times New Roman" w:hAnsi="Times New Roman" w:cs="Times New Roman"/>
          <w:sz w:val="24"/>
        </w:rPr>
        <w:t>’s</w:t>
      </w:r>
      <w:r w:rsidRPr="001E52F7">
        <w:rPr>
          <w:rFonts w:ascii="Times New Roman" w:hAnsi="Times New Roman" w:cs="Times New Roman"/>
          <w:sz w:val="24"/>
        </w:rPr>
        <w:t xml:space="preserve"> (1997) goal is to determine whether analysts rely too heavily on past earnings growth rates, extrapolating them into the future, rather than analysing the firm as a whole to determine if it will indeed have high future earnings growth. The authors use past earnings growth rates as well as earnings surprises. The four portfolios created are based on past earnings growth. Taking into account the performance of each portfolio and the earnings surprise indicators the following conclusions are made. For the growth portfolio, as is suspected, the earnings are overestimated, while the value portfolios’ earnings are underestimated in three non-consecutive years. Thus, in support of the adaptive hypothesis, Bauman and Miller (1997) conclude that analysts tend to overestimate the growth in earnings of growth stocks, while underestimating it in value stocks. </w:t>
      </w:r>
    </w:p>
    <w:p w:rsidR="00F84C09" w:rsidRPr="001E52F7"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 xml:space="preserve">Ball (1992) argues that there are two ways in which the E/P ratio can produce abnormal returns. One way is that, because the market is deemed inefficient, any earnings information that comes into the market can provide abnormal returns at no cost to the market participant. The alternative view is that the market is in fact efficient and the abnormal returns reported </w:t>
      </w:r>
      <w:r w:rsidRPr="001E52F7">
        <w:rPr>
          <w:rFonts w:ascii="Times New Roman" w:hAnsi="Times New Roman" w:cs="Times New Roman"/>
          <w:sz w:val="24"/>
        </w:rPr>
        <w:lastRenderedPageBreak/>
        <w:t xml:space="preserve">by investors are misestimates due to costs not included in the calculation of rates of return, or are misestimated due to errors in risk parameters. Ball (1992) focuses on the failures or misgivings of the investor in the earnings anomaly in his study. </w:t>
      </w:r>
      <w:r>
        <w:rPr>
          <w:rFonts w:ascii="Times New Roman" w:hAnsi="Times New Roman" w:cs="Times New Roman"/>
          <w:sz w:val="24"/>
        </w:rPr>
        <w:t xml:space="preserve">The author performs no empirical analysis, but instead looks at the literature surrounding the earnings announcements. The most likely explanations for the earnings-price anomaly are found by Ball (1992) to be: costs to process new information, market inefficiency, and errors in return estimation. </w:t>
      </w:r>
    </w:p>
    <w:p w:rsidR="00F84C09" w:rsidRPr="001E52F7"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sidRPr="001E52F7">
        <w:rPr>
          <w:rFonts w:ascii="Times New Roman" w:hAnsi="Times New Roman" w:cs="Times New Roman"/>
          <w:sz w:val="24"/>
        </w:rPr>
        <w:t>As evidence for the EMH, daily returns of equities are generally found to be uncorrelated from one period to the next (Mech, 1993). However, this theory is flawed as authors have found predictable components of a stock’s returns. Specifically, monthly returns have been found to be positively autocorrelate</w:t>
      </w:r>
      <w:r>
        <w:rPr>
          <w:rFonts w:ascii="Times New Roman" w:hAnsi="Times New Roman" w:cs="Times New Roman"/>
          <w:sz w:val="24"/>
        </w:rPr>
        <w:t>d,</w:t>
      </w:r>
      <w:r w:rsidRPr="001E52F7">
        <w:rPr>
          <w:rFonts w:ascii="Times New Roman" w:hAnsi="Times New Roman" w:cs="Times New Roman"/>
          <w:sz w:val="24"/>
        </w:rPr>
        <w:t xml:space="preserve"> Mech (1993) considers three distinct possibilities as to why this strong positive autocorrelation exists. Old trades and dealers, as well as autocorrelation in underlying returns are proposed theories. The main theory that Mech (1993) considers is that autocorrelation is a result of stock mispricing. This occurs when stock prices do not fully reflect all available information and is thus subject to information delays. Mech (1993) tests all theories coming to the conclusion that return autocorrelation must be due to mispricing as its too large to be justified by non-trading and autocorrelation in underlying stock returns. The non-trading hypothesis attests that there are price adjustment delays caused by stocks not trading on certain days. </w:t>
      </w:r>
    </w:p>
    <w:p w:rsidR="00F84C09" w:rsidRDefault="00F84C09" w:rsidP="00F84C09">
      <w:pPr>
        <w:spacing w:line="360" w:lineRule="auto"/>
        <w:jc w:val="both"/>
        <w:rPr>
          <w:rFonts w:ascii="Times New Roman" w:hAnsi="Times New Roman" w:cs="Times New Roman"/>
          <w:sz w:val="24"/>
        </w:rPr>
      </w:pPr>
    </w:p>
    <w:p w:rsidR="00F84C09" w:rsidRPr="001E52F7"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If the stock market is efficient then past information will have no </w:t>
      </w:r>
      <w:r w:rsidR="00AB2C61">
        <w:rPr>
          <w:rFonts w:ascii="Times New Roman" w:hAnsi="Times New Roman" w:cs="Times New Roman"/>
          <w:sz w:val="24"/>
        </w:rPr>
        <w:t>power</w:t>
      </w:r>
      <w:r>
        <w:rPr>
          <w:rFonts w:ascii="Times New Roman" w:hAnsi="Times New Roman" w:cs="Times New Roman"/>
          <w:sz w:val="24"/>
        </w:rPr>
        <w:t xml:space="preserve"> in predicting future stock prices. This implies that sorting portfolios of stocks based on their high BTM, E/P, C/P, and D/P ratios will not produce superior returns. If there are stock price dependencies then an investor will be able to make superior risk-adjusted returns. Transaction costs may play a large role in the efficiency of the market. These costs may inhibit effective trades. The weak form of the Efficient Market Hypothesis is supported by prior research</w:t>
      </w:r>
      <w:r w:rsidR="00A16082">
        <w:rPr>
          <w:rFonts w:ascii="Times New Roman" w:hAnsi="Times New Roman" w:cs="Times New Roman"/>
          <w:sz w:val="24"/>
        </w:rPr>
        <w:t xml:space="preserve"> (Fama,</w:t>
      </w:r>
      <w:r w:rsidR="00A16082" w:rsidRPr="001E52F7">
        <w:rPr>
          <w:rFonts w:ascii="Times New Roman" w:hAnsi="Times New Roman" w:cs="Times New Roman"/>
          <w:sz w:val="24"/>
        </w:rPr>
        <w:t xml:space="preserve"> 1965</w:t>
      </w:r>
      <w:r w:rsidR="00A16082">
        <w:rPr>
          <w:rFonts w:ascii="Times New Roman" w:hAnsi="Times New Roman" w:cs="Times New Roman"/>
          <w:sz w:val="24"/>
        </w:rPr>
        <w:t xml:space="preserve"> and Fama,</w:t>
      </w:r>
      <w:r w:rsidR="00A16082" w:rsidRPr="001E52F7">
        <w:rPr>
          <w:rFonts w:ascii="Times New Roman" w:hAnsi="Times New Roman" w:cs="Times New Roman"/>
          <w:sz w:val="24"/>
        </w:rPr>
        <w:t>1970)</w:t>
      </w:r>
      <w:r>
        <w:rPr>
          <w:rFonts w:ascii="Times New Roman" w:hAnsi="Times New Roman" w:cs="Times New Roman"/>
          <w:sz w:val="24"/>
        </w:rPr>
        <w:t>, while the semi-strong and strong forms of the EMH are not fully supported</w:t>
      </w:r>
      <w:r w:rsidR="00A16082">
        <w:rPr>
          <w:rFonts w:ascii="Times New Roman" w:hAnsi="Times New Roman" w:cs="Times New Roman"/>
          <w:sz w:val="24"/>
        </w:rPr>
        <w:t xml:space="preserve"> (Basu, 1977)</w:t>
      </w:r>
      <w:r>
        <w:rPr>
          <w:rFonts w:ascii="Times New Roman" w:hAnsi="Times New Roman" w:cs="Times New Roman"/>
          <w:sz w:val="24"/>
        </w:rPr>
        <w:t xml:space="preserve">. While there is evidence in favour of these forms, they are found to be not fully efficient. In the semi-strong and strong forms of the EMH it is noted that even though the market is not efficient in these forms it does not mean all investors will profit. A trading rule has the ability to become profitable, but not for long. The semi-strong form of the EMH is </w:t>
      </w:r>
      <w:r>
        <w:rPr>
          <w:rFonts w:ascii="Times New Roman" w:hAnsi="Times New Roman" w:cs="Times New Roman"/>
          <w:sz w:val="24"/>
        </w:rPr>
        <w:lastRenderedPageBreak/>
        <w:t xml:space="preserve">key to the value and growth strategies because stocks are sorted according to their financial ratios. </w:t>
      </w:r>
    </w:p>
    <w:p w:rsidR="00FF500C" w:rsidRPr="00566BF3" w:rsidRDefault="00FF500C" w:rsidP="00F84C09">
      <w:pPr>
        <w:spacing w:line="360" w:lineRule="auto"/>
        <w:jc w:val="both"/>
        <w:rPr>
          <w:rFonts w:ascii="Times New Roman" w:hAnsi="Times New Roman" w:cs="Times New Roman"/>
        </w:rPr>
      </w:pPr>
    </w:p>
    <w:p w:rsidR="00F84C09" w:rsidRPr="00566BF3" w:rsidRDefault="00F84C09" w:rsidP="00F84C09">
      <w:pPr>
        <w:pStyle w:val="ListParagraph"/>
        <w:numPr>
          <w:ilvl w:val="1"/>
          <w:numId w:val="2"/>
        </w:numPr>
        <w:spacing w:line="360" w:lineRule="auto"/>
        <w:jc w:val="both"/>
        <w:outlineLvl w:val="1"/>
        <w:rPr>
          <w:rFonts w:ascii="Times New Roman" w:hAnsi="Times New Roman" w:cs="Times New Roman"/>
          <w:b/>
          <w:sz w:val="32"/>
        </w:rPr>
      </w:pPr>
      <w:bookmarkStart w:id="12" w:name="_Toc305166493"/>
      <w:r w:rsidRPr="00566BF3">
        <w:rPr>
          <w:rFonts w:ascii="Times New Roman" w:hAnsi="Times New Roman" w:cs="Times New Roman"/>
          <w:b/>
          <w:sz w:val="32"/>
        </w:rPr>
        <w:t>Behavioural Approach</w:t>
      </w:r>
      <w:bookmarkEnd w:id="12"/>
    </w:p>
    <w:p w:rsidR="00F84C09" w:rsidRPr="00566BF3" w:rsidRDefault="00F84C09" w:rsidP="00F84C09">
      <w:pPr>
        <w:spacing w:line="360" w:lineRule="auto"/>
        <w:jc w:val="both"/>
        <w:rPr>
          <w:rFonts w:ascii="Times New Roman" w:hAnsi="Times New Roman" w:cs="Times New Roman"/>
        </w:rPr>
      </w:pPr>
    </w:p>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In the f</w:t>
      </w:r>
      <w:r w:rsidRPr="00566BF3">
        <w:rPr>
          <w:rFonts w:ascii="Times New Roman" w:hAnsi="Times New Roman" w:cs="Times New Roman"/>
          <w:sz w:val="24"/>
        </w:rPr>
        <w:t xml:space="preserve">inance world investors are subject to uncertainties in a high risk, highly stressful environment. This is why they must rely on their intuition in order to make investment decisions. However, these intuitive decisions are the cause of a lot of behavioural biases, so the investor has to determine whether he is using his actual intuition or is simply observing judgement biases. The trick is to find a balance between being confident and optimistic. If an investor overestimates the likelihood of a good investment or good outcome then he will be setting himself up for disappointment. Underestimating the risks of an investment is also a huge downfall. Overreaction to events, that is, successive change events, have the ability to tempt the investor into thinking that there is a pattern when there is not. Applying this to contrarian investing, naive investors look to past fundamentals to determine future price movements. They may find (because they are looking for it) patterns or changes in the historical data and base their investment decisions on such. This behavioural failure leads investors to make investment decisions on trends that simply do not exist except for chance (Kahneman and Riepe, 1998). While La Porta, </w:t>
      </w:r>
      <w:r w:rsidRPr="00962075">
        <w:rPr>
          <w:rFonts w:ascii="Times New Roman" w:hAnsi="Times New Roman" w:cs="Times New Roman"/>
          <w:i/>
          <w:sz w:val="24"/>
        </w:rPr>
        <w:t>et al.</w:t>
      </w:r>
      <w:r w:rsidRPr="00566BF3">
        <w:rPr>
          <w:rFonts w:ascii="Times New Roman" w:hAnsi="Times New Roman" w:cs="Times New Roman"/>
          <w:sz w:val="24"/>
        </w:rPr>
        <w:t xml:space="preserve"> (1997) state that value stocks are underpriced due to behavioural reasons, they also assert that there is reason to believe that value stocks are underpriced due to institutional reasons.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In contrast, overestimating the probability of a down-and-out stock to outperform a well performing stock in the next year is also a behavioural bias, but that of a contrarian investor. Here, </w:t>
      </w:r>
      <w:r>
        <w:rPr>
          <w:rFonts w:ascii="Times New Roman" w:hAnsi="Times New Roman" w:cs="Times New Roman"/>
          <w:sz w:val="24"/>
        </w:rPr>
        <w:t>t</w:t>
      </w:r>
      <w:r w:rsidRPr="00566BF3">
        <w:rPr>
          <w:rFonts w:ascii="Times New Roman" w:hAnsi="Times New Roman" w:cs="Times New Roman"/>
          <w:sz w:val="24"/>
        </w:rPr>
        <w:t>he</w:t>
      </w:r>
      <w:r>
        <w:rPr>
          <w:rFonts w:ascii="Times New Roman" w:hAnsi="Times New Roman" w:cs="Times New Roman"/>
          <w:sz w:val="24"/>
        </w:rPr>
        <w:t xml:space="preserve"> contrarian investor</w:t>
      </w:r>
      <w:r w:rsidRPr="00566BF3">
        <w:rPr>
          <w:rFonts w:ascii="Times New Roman" w:hAnsi="Times New Roman" w:cs="Times New Roman"/>
          <w:sz w:val="24"/>
        </w:rPr>
        <w:t xml:space="preserve"> may be subject to the possibility of underweighting high probabilities (such as the probability of a growth stock doing well) and overweighting the small chance of a potential value stock doing well in the future. This is what the contrarian investor does, relying on the lower possibility of the outcome to be in favour of the value portfolio (Kahneman and Riepe, 1998). </w:t>
      </w:r>
    </w:p>
    <w:p w:rsidR="00F84C09" w:rsidRPr="00566BF3" w:rsidRDefault="00F84C09" w:rsidP="00F84C09">
      <w:pPr>
        <w:spacing w:line="360" w:lineRule="auto"/>
        <w:jc w:val="both"/>
        <w:rPr>
          <w:rFonts w:ascii="Times New Roman" w:hAnsi="Times New Roman" w:cs="Times New Roman"/>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 xml:space="preserve">Behavioural finance appears to play a significant role in the contrarian investment strategy. Dreman and Berry (1995) explain that investor rationality is not always absolute because of behavioural influences in an environment rife with uncertainty and risk, where information availability and processing is convoluted. Investors overreact (or underreact) to news or events, thus allowing abnormal profits to be earned from a technical trading strategy such as the contrarian strategy (Chan, 1988). Fama (1998) specifically looks at the way in which stock returns overreact to unexpected news events. He examines long-term event studies, acknowledging that investors’ judgement bias may be the factor in over- and under reaction to events.  </w:t>
      </w:r>
      <w:r>
        <w:rPr>
          <w:rFonts w:ascii="Times New Roman" w:hAnsi="Times New Roman" w:cs="Times New Roman"/>
          <w:sz w:val="24"/>
        </w:rPr>
        <w:t xml:space="preserve">Ultimately, after careful examination of many researchers’ findings, Fama (1998) comes to the conclusion that estimating abnormal returns is determined by the method used. Furthermore, it is apparent in the author’s study that these anomalies cannot be replicated when using different data, time periods, etc.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Investors are not always rational, according to Dreman and Berry (1995).</w:t>
      </w:r>
      <w:r>
        <w:rPr>
          <w:rFonts w:ascii="Times New Roman" w:hAnsi="Times New Roman" w:cs="Times New Roman"/>
          <w:sz w:val="24"/>
        </w:rPr>
        <w:t xml:space="preserve"> A rational investor is one who uses diversification to decrease the risk of their portfolio while increasing the return – hence optimizing it.</w:t>
      </w:r>
      <w:r w:rsidRPr="00566BF3">
        <w:rPr>
          <w:rFonts w:ascii="Times New Roman" w:hAnsi="Times New Roman" w:cs="Times New Roman"/>
          <w:sz w:val="24"/>
        </w:rPr>
        <w:t xml:space="preserve"> Investor rationality is a key assumption in modern portfolio theory, </w:t>
      </w:r>
      <w:r w:rsidRPr="00566BF3">
        <w:rPr>
          <w:rStyle w:val="FootnoteReference"/>
          <w:rFonts w:ascii="Times New Roman" w:hAnsi="Times New Roman" w:cs="Times New Roman"/>
          <w:sz w:val="24"/>
        </w:rPr>
        <w:t xml:space="preserve"> </w:t>
      </w:r>
      <w:r w:rsidRPr="00566BF3">
        <w:rPr>
          <w:rFonts w:ascii="Times New Roman" w:hAnsi="Times New Roman" w:cs="Times New Roman"/>
          <w:sz w:val="24"/>
        </w:rPr>
        <w:t xml:space="preserve">as well as the Efficient Market </w:t>
      </w:r>
      <w:r>
        <w:rPr>
          <w:rFonts w:ascii="Times New Roman" w:hAnsi="Times New Roman" w:cs="Times New Roman"/>
          <w:sz w:val="24"/>
        </w:rPr>
        <w:t>Hypothesis</w:t>
      </w:r>
      <w:r w:rsidRPr="00566BF3">
        <w:rPr>
          <w:rFonts w:ascii="Times New Roman" w:hAnsi="Times New Roman" w:cs="Times New Roman"/>
          <w:sz w:val="24"/>
        </w:rPr>
        <w:t>.</w:t>
      </w:r>
      <w:r>
        <w:rPr>
          <w:rFonts w:ascii="Times New Roman" w:hAnsi="Times New Roman" w:cs="Times New Roman"/>
          <w:sz w:val="24"/>
        </w:rPr>
        <w:t xml:space="preserve"> Modern portfolio theory is based on the premise that investors are rational and markets are efficient. If these assumptions are met then the investor will try to maximise his return and minimise his risk using the Efficient Frontier. The theory looks to reduce the total variance of a portfolio.</w:t>
      </w:r>
      <w:r w:rsidRPr="00566BF3">
        <w:rPr>
          <w:rFonts w:ascii="Times New Roman" w:hAnsi="Times New Roman" w:cs="Times New Roman"/>
          <w:sz w:val="24"/>
        </w:rPr>
        <w:t xml:space="preserve"> In reality,</w:t>
      </w:r>
      <w:r>
        <w:rPr>
          <w:rFonts w:ascii="Times New Roman" w:hAnsi="Times New Roman" w:cs="Times New Roman"/>
          <w:sz w:val="24"/>
        </w:rPr>
        <w:t xml:space="preserve"> some</w:t>
      </w:r>
      <w:r w:rsidRPr="00566BF3">
        <w:rPr>
          <w:rFonts w:ascii="Times New Roman" w:hAnsi="Times New Roman" w:cs="Times New Roman"/>
          <w:sz w:val="24"/>
        </w:rPr>
        <w:t xml:space="preserve"> investors are motivated by emotion more than common sense</w:t>
      </w:r>
      <w:r>
        <w:rPr>
          <w:rFonts w:ascii="Times New Roman" w:hAnsi="Times New Roman" w:cs="Times New Roman"/>
          <w:sz w:val="24"/>
        </w:rPr>
        <w:t xml:space="preserve"> (Saville, 2009)</w:t>
      </w:r>
      <w:r w:rsidRPr="00566BF3">
        <w:rPr>
          <w:rFonts w:ascii="Times New Roman" w:hAnsi="Times New Roman" w:cs="Times New Roman"/>
          <w:sz w:val="24"/>
        </w:rPr>
        <w:t>.</w:t>
      </w:r>
      <w:r>
        <w:rPr>
          <w:rFonts w:ascii="Times New Roman" w:hAnsi="Times New Roman" w:cs="Times New Roman"/>
          <w:sz w:val="24"/>
        </w:rPr>
        <w:t xml:space="preserve"> This argument stems from the idea that investors seem to overreact to news and events, causing stock prices to fluctuate and returns to be distorted.</w:t>
      </w:r>
      <w:r w:rsidRPr="00566BF3">
        <w:rPr>
          <w:rFonts w:ascii="Times New Roman" w:hAnsi="Times New Roman" w:cs="Times New Roman"/>
          <w:sz w:val="24"/>
        </w:rPr>
        <w:t xml:space="preserve"> Markets are thus assumed efficient due to the supposition that most of the investors in the market, that are buying and selling shares, are rational in order to obtain a rational response. Irrational investors appear to have inflated expectations with respect to earnings and dividends, Smidt (1968). Stocks with low price-to-earnings ratios are expected to continue with their low prices, according to these investors, while high price-to-earnings stocks are deemed to be ‘optimistic’ stocks where these investors will want to continue investing in them.</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The simple heuristics investors use for decision making touches on topics such as cognitive biases, judgemental biases etc. (Kahneman and Riepe, 1998). </w:t>
      </w:r>
      <w:r>
        <w:rPr>
          <w:rFonts w:ascii="Times New Roman" w:hAnsi="Times New Roman" w:cs="Times New Roman"/>
          <w:sz w:val="24"/>
        </w:rPr>
        <w:t>One example of</w:t>
      </w:r>
      <w:r w:rsidRPr="00566BF3">
        <w:rPr>
          <w:rFonts w:ascii="Times New Roman" w:hAnsi="Times New Roman" w:cs="Times New Roman"/>
          <w:sz w:val="24"/>
        </w:rPr>
        <w:t xml:space="preserve"> human failure </w:t>
      </w:r>
      <w:r w:rsidRPr="00566BF3">
        <w:rPr>
          <w:rFonts w:ascii="Times New Roman" w:hAnsi="Times New Roman" w:cs="Times New Roman"/>
          <w:sz w:val="24"/>
        </w:rPr>
        <w:lastRenderedPageBreak/>
        <w:t>with regard to investment choices</w:t>
      </w:r>
      <w:r>
        <w:rPr>
          <w:rFonts w:ascii="Times New Roman" w:hAnsi="Times New Roman" w:cs="Times New Roman"/>
          <w:sz w:val="24"/>
        </w:rPr>
        <w:t xml:space="preserve"> is an</w:t>
      </w:r>
      <w:r w:rsidRPr="00566BF3">
        <w:rPr>
          <w:rFonts w:ascii="Times New Roman" w:hAnsi="Times New Roman" w:cs="Times New Roman"/>
          <w:sz w:val="24"/>
        </w:rPr>
        <w:t xml:space="preserve"> investor</w:t>
      </w:r>
      <w:r>
        <w:rPr>
          <w:rFonts w:ascii="Times New Roman" w:hAnsi="Times New Roman" w:cs="Times New Roman"/>
          <w:sz w:val="24"/>
        </w:rPr>
        <w:t xml:space="preserve"> considering an event, information or theory in isolation rather than taking into account its impact on the greater scheme of the investment. </w:t>
      </w:r>
      <w:r w:rsidRPr="00566BF3">
        <w:rPr>
          <w:rFonts w:ascii="Times New Roman" w:hAnsi="Times New Roman" w:cs="Times New Roman"/>
          <w:sz w:val="24"/>
        </w:rPr>
        <w:t xml:space="preserve">This leads to skewed interpretations or results. Investors take investment losses too seriously, dwelling on them and in turn making poor current investment decisions. Investors lacking self-control may purposely exclude certain shares or options to invest in or techniques to follow in order to create some false sense of self-discipline. Investors may simply be too naive to consider the idea that past performance cannot be the sole predictor of future performance. They, instead, tend to extrapolate historical returns and growth rates too far into the future, expecting returns similar to what was in the past (Chan and Lakonishok, 2004). La Porta, </w:t>
      </w:r>
      <w:r w:rsidRPr="00962075">
        <w:rPr>
          <w:rFonts w:ascii="Times New Roman" w:hAnsi="Times New Roman" w:cs="Times New Roman"/>
          <w:i/>
          <w:sz w:val="24"/>
        </w:rPr>
        <w:t>et al.</w:t>
      </w:r>
      <w:r w:rsidRPr="00566BF3">
        <w:rPr>
          <w:rFonts w:ascii="Times New Roman" w:hAnsi="Times New Roman" w:cs="Times New Roman"/>
          <w:sz w:val="24"/>
        </w:rPr>
        <w:t xml:space="preserve"> (1997) support this view that investors think that there is more consistency in growth than in reality. Using heuristics, whether consciously or otherwise, they disregard stocks with past disappointments as they believe their poor growth performance will continue to be lacklustre in the future.</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Chin, Prevost, and Gottesman (2002) discuss naive investors and their relation to the superior performance of value stocks. Expectational errors made by the naive investor can be proxied by valuation variables to be discussed later in th</w:t>
      </w:r>
      <w:r>
        <w:rPr>
          <w:rFonts w:ascii="Times New Roman" w:hAnsi="Times New Roman" w:cs="Times New Roman"/>
          <w:sz w:val="24"/>
        </w:rPr>
        <w:t>is</w:t>
      </w:r>
      <w:r w:rsidRPr="00566BF3">
        <w:rPr>
          <w:rFonts w:ascii="Times New Roman" w:hAnsi="Times New Roman" w:cs="Times New Roman"/>
          <w:sz w:val="24"/>
        </w:rPr>
        <w:t xml:space="preserve"> </w:t>
      </w:r>
      <w:r>
        <w:rPr>
          <w:rFonts w:ascii="Times New Roman" w:hAnsi="Times New Roman" w:cs="Times New Roman"/>
          <w:sz w:val="24"/>
        </w:rPr>
        <w:t>dissertation</w:t>
      </w:r>
      <w:r w:rsidRPr="00566BF3">
        <w:rPr>
          <w:rFonts w:ascii="Times New Roman" w:hAnsi="Times New Roman" w:cs="Times New Roman"/>
          <w:sz w:val="24"/>
        </w:rPr>
        <w:t>. The suboptimal behaviour of naïve investors is their failure to consider the mean reversion of growth estimates. Contrarian investors have the opportunity to take advantage of such naivety by exploiting this behaviour and earning themselves superior returns (Lakonishok, Shleifer, and Vishny, 1994).</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The investor overreaction concept is not a new idea; several authors have given much consideration to it when it comes to contrarian investing. Garza-G</w:t>
      </w:r>
      <w:r>
        <w:rPr>
          <w:rFonts w:ascii="Times New Roman" w:hAnsi="Times New Roman" w:cs="Times New Roman"/>
          <w:sz w:val="24"/>
        </w:rPr>
        <w:t>ó</w:t>
      </w:r>
      <w:r w:rsidRPr="00566BF3">
        <w:rPr>
          <w:rFonts w:ascii="Times New Roman" w:hAnsi="Times New Roman" w:cs="Times New Roman"/>
          <w:sz w:val="24"/>
        </w:rPr>
        <w:t xml:space="preserve">mez (2001), Forner and Marhuenda (2003), and Daniel, Hirshleifer, and Subrahmanyam (2001) to name but a few, address the overreaction </w:t>
      </w:r>
      <w:r>
        <w:rPr>
          <w:rFonts w:ascii="Times New Roman" w:hAnsi="Times New Roman" w:cs="Times New Roman"/>
          <w:sz w:val="24"/>
        </w:rPr>
        <w:t>hypothesis</w:t>
      </w:r>
      <w:r w:rsidRPr="00566BF3">
        <w:rPr>
          <w:rFonts w:ascii="Times New Roman" w:hAnsi="Times New Roman" w:cs="Times New Roman"/>
          <w:sz w:val="24"/>
        </w:rPr>
        <w:t>, detailing that excessive optimism (for growth stocks) or excessive pessimism (for value stocks) due to a series of favourable or unfavourable news announcements will lead to the stock price temporarily deviating from its fundamental value. Specifically, Forner and Marhuenda (2003) explain that inexperienced investors overreaction will ultimately cause a reversal when they realise that the market value of the stock has deviated from its fundamental value. The premium created by these investors is due to extrapolation of historical performance.</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Overconfidence is another key factor in the contrarian strategy. Investors tend to believe that they possess more skills than they truly have, and thus overvalue their competence and abilities, whether it</w:t>
      </w:r>
      <w:r>
        <w:rPr>
          <w:rFonts w:ascii="Times New Roman" w:hAnsi="Times New Roman" w:cs="Times New Roman"/>
          <w:sz w:val="24"/>
        </w:rPr>
        <w:t xml:space="preserve"> i</w:t>
      </w:r>
      <w:r w:rsidRPr="00566BF3">
        <w:rPr>
          <w:rFonts w:ascii="Times New Roman" w:hAnsi="Times New Roman" w:cs="Times New Roman"/>
          <w:sz w:val="24"/>
        </w:rPr>
        <w:t xml:space="preserve">s their ability to forecast growth, earnings, returns, or simply when to trade. Overconfidence leads to investors overestimating their chance of success, while underestimating the likelihood to fail. Being overconfident about their abilities, investors amplify the quality of news signals. When this happens, and the information signal is positive, the price of the stock will be </w:t>
      </w:r>
      <w:r>
        <w:rPr>
          <w:rFonts w:ascii="Times New Roman" w:hAnsi="Times New Roman" w:cs="Times New Roman"/>
          <w:sz w:val="24"/>
        </w:rPr>
        <w:t>too high. Thus, if the price is</w:t>
      </w:r>
      <w:r w:rsidRPr="00566BF3">
        <w:rPr>
          <w:rFonts w:ascii="Times New Roman" w:hAnsi="Times New Roman" w:cs="Times New Roman"/>
          <w:sz w:val="24"/>
        </w:rPr>
        <w:t xml:space="preserve"> the denominator of a valuation proxy, the proxy will decrease. This is why stocks with low fundamental-to-price ratios are growth stocks, thus being overvalued, and stocks with high fundamental-to-price ratios are value stocks, being undervalued (Daniel, Hirshleifer, and Subrahmanyam, 2001).</w:t>
      </w:r>
      <w:r w:rsidR="00AA7216" w:rsidRPr="00AA7216">
        <w:rPr>
          <w:rFonts w:ascii="Times New Roman" w:hAnsi="Times New Roman" w:cs="Times New Roman"/>
          <w:sz w:val="24"/>
          <w:szCs w:val="24"/>
        </w:rPr>
        <w:t xml:space="preserve"> The ‘fundamentals’ in this dissertation are the book value, cash flow, dividend and earnings variables.</w:t>
      </w:r>
      <w:r w:rsidRPr="00566BF3">
        <w:rPr>
          <w:rFonts w:ascii="Times New Roman" w:hAnsi="Times New Roman" w:cs="Times New Roman"/>
          <w:sz w:val="24"/>
        </w:rPr>
        <w:t xml:space="preserve"> Theory suggests that these undervalued stocks will, in the future, produce higher returns than that of overvalued stocks. A high fundamental-to-price has the ability to predict returns, for example, a stock with a high book-to-market ratio can infer higher returns due to either increased risk or investor overreaction to an adverse signal.</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Another behavioural factor suggested by Kahneman and Riepe (1998) that can be considered to be concerned with the contrarian investor is that of commitment. An investor who takes a short-term view on his investments will most probably not be the contrarian investor as he is lo</w:t>
      </w:r>
      <w:r>
        <w:rPr>
          <w:rFonts w:ascii="Times New Roman" w:hAnsi="Times New Roman" w:cs="Times New Roman"/>
          <w:sz w:val="24"/>
        </w:rPr>
        <w:t>oking at fluctuations in prices or e</w:t>
      </w:r>
      <w:r w:rsidRPr="00566BF3">
        <w:rPr>
          <w:rFonts w:ascii="Times New Roman" w:hAnsi="Times New Roman" w:cs="Times New Roman"/>
          <w:sz w:val="24"/>
        </w:rPr>
        <w:t>arnings</w:t>
      </w:r>
      <w:r>
        <w:rPr>
          <w:rFonts w:ascii="Times New Roman" w:hAnsi="Times New Roman" w:cs="Times New Roman"/>
          <w:sz w:val="24"/>
        </w:rPr>
        <w:t xml:space="preserve"> or </w:t>
      </w:r>
      <w:r w:rsidRPr="00566BF3">
        <w:rPr>
          <w:rFonts w:ascii="Times New Roman" w:hAnsi="Times New Roman" w:cs="Times New Roman"/>
          <w:sz w:val="24"/>
        </w:rPr>
        <w:t xml:space="preserve">growth. A contrarian investor must take a long-term view as his choices may take a lot longer to produce the benefits he seeks. This is not to say that he hardly looks at the monthly data regarding the stocks in his portfolio, rather, it is more that he is aware of the fluctuations but regards them in terms of the ‘bigger picture’.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Value investing is said to be the most rewarding due to cognitive biases and agency costs of investment management, as suggested by Lakonishok, Shleifer, and Vishny (1994). </w:t>
      </w:r>
      <w:r>
        <w:rPr>
          <w:rFonts w:ascii="Times New Roman" w:hAnsi="Times New Roman" w:cs="Times New Roman"/>
          <w:sz w:val="24"/>
        </w:rPr>
        <w:t xml:space="preserve">Cognitive biases are distortions in the way a person perceives reality. The investor tends to derive incorrect conclusions due to the fact that he does not consider the evidence correctly, Kahneman and Riepe (1998). </w:t>
      </w:r>
      <w:r w:rsidRPr="00566BF3">
        <w:rPr>
          <w:rFonts w:ascii="Times New Roman" w:hAnsi="Times New Roman" w:cs="Times New Roman"/>
          <w:sz w:val="24"/>
        </w:rPr>
        <w:t xml:space="preserve">Professional money management issues will be dealt with a little later. Long-term estimates made by investors or analysts have the </w:t>
      </w:r>
      <w:r>
        <w:rPr>
          <w:rFonts w:ascii="Times New Roman" w:hAnsi="Times New Roman" w:cs="Times New Roman"/>
          <w:sz w:val="24"/>
        </w:rPr>
        <w:t>tendency to be optimistic (i.e.,</w:t>
      </w:r>
      <w:r w:rsidRPr="00566BF3">
        <w:rPr>
          <w:rFonts w:ascii="Times New Roman" w:hAnsi="Times New Roman" w:cs="Times New Roman"/>
          <w:sz w:val="24"/>
        </w:rPr>
        <w:t xml:space="preserve"> positive past good fortune has been extrapolated into the future) because of cognitive biases such as the confirmation bias. Investors have the tendency to focus on </w:t>
      </w:r>
      <w:r w:rsidRPr="00566BF3">
        <w:rPr>
          <w:rFonts w:ascii="Times New Roman" w:hAnsi="Times New Roman" w:cs="Times New Roman"/>
          <w:sz w:val="24"/>
        </w:rPr>
        <w:lastRenderedPageBreak/>
        <w:t>information that can confirm or support their beliefs, while simultaneously ignoring or downplaying any information that does not fit in with, or contradicts, their beliefs. Chan, Karceski, and Lakonishok (2003) go on to say that investors will be bullish and bearish for growth and value stocks respectively.</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Researchers such as Daniel, Hirshleifer, and Subrahmanyam (2001) recognise the overconfidence bias’s complexity. Evidence of investors’ overconfidence is found to be greater in situations where the feedback on their information, signals, news, or decisions is slow or incomplete, than where the feedback is clear, precise, and quick. Such a statement should lead intuitively to the fact that errors in valuation should be more pronounced for firms that require more analysis to evaluate and, evidently, where the quality of feedback is obscure. Daniel, Hirshleifer, and Subrahmanyam (2001) suggest that, when calculating whether a firm’s stock is value or growth, the effects of the fundamental-to-price ratio should be stronger for those firms that are more difficult to value (such as research and development, and service industries). What is crucial to observe from the overconfidence bias is that these self-assured investors update their confidence over time about their signals, thus exacerbating the deviation before correcting.</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These behavioural principles have revolutionized thinking, moving away from traditional analysis and including a more ‘human’ element. The rational behaviour assumption, however, does not take into account these human responses, and this is a problem. Theories such as modern portfolio and arbitrage pricing base themselves on the assumption of rational investors, as does CAPM. Investors are not Bayesian.</w:t>
      </w:r>
      <w:r>
        <w:rPr>
          <w:rFonts w:ascii="Times New Roman" w:hAnsi="Times New Roman" w:cs="Times New Roman"/>
          <w:sz w:val="24"/>
        </w:rPr>
        <w:t xml:space="preserve"> Thomas Bayes proposed the theory where investors make an initial decision based on the information that they have on hand, but revise their decision when new information comes into the market. They continue this process until the time comes for them to act upon their decision made. Investors have been shown to be poor Bayesian investors. They tend to give more weighting to recent information and underweight previous information, according to Kahneman and Tversky (1974). </w:t>
      </w:r>
    </w:p>
    <w:p w:rsidR="00F84C09" w:rsidRPr="00566BF3"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The regular investor in the market is probably more prone to invest in stocks that the majority of investors are investing in because of loss aversion (Kahneman and Riepe, 1998). If all the </w:t>
      </w:r>
      <w:r w:rsidRPr="00566BF3">
        <w:rPr>
          <w:rFonts w:ascii="Times New Roman" w:hAnsi="Times New Roman" w:cs="Times New Roman"/>
          <w:sz w:val="24"/>
        </w:rPr>
        <w:lastRenderedPageBreak/>
        <w:t xml:space="preserve">stock participants are choosing certain (specific) stocks then surely they </w:t>
      </w:r>
      <w:r>
        <w:rPr>
          <w:rFonts w:ascii="Times New Roman" w:hAnsi="Times New Roman" w:cs="Times New Roman"/>
          <w:sz w:val="24"/>
        </w:rPr>
        <w:t>cannot</w:t>
      </w:r>
      <w:r w:rsidRPr="00566BF3">
        <w:rPr>
          <w:rFonts w:ascii="Times New Roman" w:hAnsi="Times New Roman" w:cs="Times New Roman"/>
          <w:sz w:val="24"/>
        </w:rPr>
        <w:t xml:space="preserve"> be losing value? Investors value losses two and a half times more than gains (Kahneman and Riepe, 1998), so when faced with the prospect of investing in either depressed earnings stocks or high potential growth stocks they are surely going to go with the latter. The attractiveness of higher risk-higher reward is overcome by the possibility of losing more than what the investor may in actual fact lose. Thus Kahneman and Riepe (1998) propose that the combination of overweighting the probability of loss with the higher weighting of losses leaves the naive investor with only one option – to invest in the safe asset. </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Kahneman and Tversky (1974) describe the behavioural characteristic of insensitivity to predictability as analysts and investors behaving in a representative manner. If they are asked to value a good company they would attach to it a good price because it is a highly regarded firm. The same idea is explained by Kahneman and Tversky (1974) for predicting a firm’s future profit. If a firm is described favourably then the prediction of its future profit is generally favourable. However, if the description of a firm is unfavourable then the investor or analyst is likely to attach a lower expected future profit to it. This leads investors and analysts to become unaffected by the reliability of the evidence presented to them, because they are predicting profits based solely on the type of description of the firm.  The theory continues by suggesting that if investors are able to perfectly predict future profits of firms then the prediction should match the observation. However, investors and analysts are not able to perfectly predict future profits so Kahneman and Tversky (1974) propose that the predictability is nil, thus any predictions made will be without any regard to the evidence obtained by the investors or analysts. </w:t>
      </w:r>
    </w:p>
    <w:p w:rsidR="00F84C09"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Investor behaviour plays an important role in the value vs. growth argument, especially since contrarian investors make the choice to invest against the general investor population. Investor overreaction is just one of the biases covered in this section. Judgemental biases and cognitive biases are also examined, where investors may not look at the impact of new information as a whole, or where investors purposely disregard certain stocks. Excessive optimism or pessimism for certain stocks could cause those stocks’ prices to move away from their fundamental values. Value investing has the possibility to be a very rewarding strategy because of cognitive biases and agency costs. </w:t>
      </w:r>
    </w:p>
    <w:p w:rsidR="00F84C09" w:rsidRPr="00566BF3" w:rsidRDefault="00F84C09" w:rsidP="00F84C09">
      <w:pPr>
        <w:pStyle w:val="ListParagraph"/>
        <w:numPr>
          <w:ilvl w:val="1"/>
          <w:numId w:val="2"/>
        </w:numPr>
        <w:spacing w:line="360" w:lineRule="auto"/>
        <w:jc w:val="both"/>
        <w:outlineLvl w:val="1"/>
        <w:rPr>
          <w:rFonts w:ascii="Times New Roman" w:hAnsi="Times New Roman" w:cs="Times New Roman"/>
          <w:b/>
          <w:sz w:val="32"/>
        </w:rPr>
      </w:pPr>
      <w:bookmarkStart w:id="13" w:name="_Toc305166494"/>
      <w:r w:rsidRPr="00566BF3">
        <w:rPr>
          <w:rFonts w:ascii="Times New Roman" w:hAnsi="Times New Roman" w:cs="Times New Roman"/>
          <w:b/>
          <w:sz w:val="32"/>
        </w:rPr>
        <w:lastRenderedPageBreak/>
        <w:t>Agency Factors</w:t>
      </w:r>
      <w:bookmarkEnd w:id="13"/>
    </w:p>
    <w:p w:rsidR="00F84C09" w:rsidRPr="00566BF3" w:rsidRDefault="00F84C09" w:rsidP="00F84C09">
      <w:pPr>
        <w:spacing w:line="360" w:lineRule="auto"/>
        <w:jc w:val="both"/>
        <w:rPr>
          <w:rFonts w:ascii="Times New Roman" w:hAnsi="Times New Roman" w:cs="Times New Roman"/>
        </w:rPr>
      </w:pPr>
    </w:p>
    <w:p w:rsidR="00F84C09" w:rsidRPr="001E52F7" w:rsidRDefault="00F84C09" w:rsidP="00F84C09">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 xml:space="preserve">While some authors agree that the Efficient Market Hypothesis </w:t>
      </w:r>
      <w:r>
        <w:rPr>
          <w:rFonts w:ascii="Times New Roman" w:eastAsia="Times New Roman" w:hAnsi="Times New Roman" w:cs="Times New Roman"/>
          <w:sz w:val="24"/>
          <w:szCs w:val="24"/>
          <w:lang w:val="en-GB" w:eastAsia="en-GB"/>
        </w:rPr>
        <w:t>explains that high risk is rewarded with high returns</w:t>
      </w:r>
      <w:r w:rsidRPr="001E52F7">
        <w:rPr>
          <w:rFonts w:ascii="Times New Roman" w:eastAsia="Times New Roman" w:hAnsi="Times New Roman" w:cs="Times New Roman"/>
          <w:sz w:val="24"/>
          <w:szCs w:val="24"/>
          <w:lang w:val="en-GB" w:eastAsia="en-GB"/>
        </w:rPr>
        <w:t>, other authors (Lakonishok, Shleifer and Vishny, 1994) advocate that cognitive biases underlying investor behaviour and the agency costs of professional investment management are the foundation of the rewards to value investing.</w:t>
      </w:r>
    </w:p>
    <w:p w:rsidR="00F84C09"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A serious consideration of the contrarian strategy is that not all investors are individuals; some are professional money managers, while others are institutional investors.</w:t>
      </w:r>
      <w:r>
        <w:rPr>
          <w:rFonts w:ascii="Times New Roman" w:hAnsi="Times New Roman" w:cs="Times New Roman"/>
          <w:sz w:val="24"/>
        </w:rPr>
        <w:t xml:space="preserve"> Obviously this is not the entire universe of investors; it is much more diverse.</w:t>
      </w:r>
      <w:r w:rsidRPr="00566BF3">
        <w:rPr>
          <w:rFonts w:ascii="Times New Roman" w:hAnsi="Times New Roman" w:cs="Times New Roman"/>
          <w:sz w:val="24"/>
        </w:rPr>
        <w:t xml:space="preserve"> If investors are investing other people’s money then their behaviour might differ from that of individual investors (Barber, Heath, and Odean, 2003). Analysts or money managers are almost expected to produce upbeat forecasts when predicting the likes of growth and earning</w:t>
      </w:r>
      <w:r>
        <w:rPr>
          <w:rFonts w:ascii="Times New Roman" w:hAnsi="Times New Roman" w:cs="Times New Roman"/>
          <w:sz w:val="24"/>
        </w:rPr>
        <w:t>s. Generally analysts are paid a</w:t>
      </w:r>
      <w:r w:rsidRPr="00566BF3">
        <w:rPr>
          <w:rFonts w:ascii="Times New Roman" w:hAnsi="Times New Roman" w:cs="Times New Roman"/>
          <w:sz w:val="24"/>
        </w:rPr>
        <w:t xml:space="preserve"> commission, so they have an incentive to appear optimistic about future stocks and firms. Chan, Karceski, and Lakonishok (2003) suggest that analysts who follow such methods will generate business from those firms that the analyst has represented in a positive light. Remembering that money managers can easily lose their jobs for a few short periods of poor performance, the risk of a contrarian strategy then seems to be high. Managers could then be persuaded to follow short-term strategies in order to make quick profits, basing their strategies on technical and not fundamental analysis (Lakonishok, Shleifer, and Vishny, 1991). They may even use other types (other than contrarian) of feedback trading</w:t>
      </w:r>
      <w:r>
        <w:rPr>
          <w:rFonts w:ascii="Times New Roman" w:hAnsi="Times New Roman" w:cs="Times New Roman"/>
          <w:sz w:val="24"/>
        </w:rPr>
        <w:t xml:space="preserve">. An example of another type of feedback trading is positive feedback trading, which involves buying stocks that are considered growth and selling stocks considered to be value. De Long, Shleifer, Summers, and Waldmann (1990), and Cutler, Poterba, and Summers (1990) all discuss this type of feedback trading as momentum trading. The belief is the complete opposite to the contrarian strategy as stocks that are performing very well are expected to continue in this respect, while stock with lacklustre performance are dropped from the portfolio. Managers have the incentive to only retain well-performing stocks so as to indicate to their clients as well as their superiors that they are making good investments. </w:t>
      </w:r>
    </w:p>
    <w:p w:rsidR="00F84C09" w:rsidRPr="00566BF3"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 xml:space="preserve">Contrarian investing </w:t>
      </w:r>
      <w:r>
        <w:rPr>
          <w:rFonts w:ascii="Times New Roman" w:hAnsi="Times New Roman" w:cs="Times New Roman"/>
          <w:sz w:val="24"/>
        </w:rPr>
        <w:t>is not</w:t>
      </w:r>
      <w:r w:rsidRPr="00566BF3">
        <w:rPr>
          <w:rFonts w:ascii="Times New Roman" w:hAnsi="Times New Roman" w:cs="Times New Roman"/>
          <w:sz w:val="24"/>
        </w:rPr>
        <w:t xml:space="preserve"> necessarily about going against stead-fast rules, but rather about taking advantage of the differences between fundamentals and expectations (that is, the crowd expectations). The question that arises with discussion of the contrarian strategy is why </w:t>
      </w:r>
      <w:r>
        <w:rPr>
          <w:rFonts w:ascii="Times New Roman" w:hAnsi="Times New Roman" w:cs="Times New Roman"/>
          <w:sz w:val="24"/>
        </w:rPr>
        <w:t>there are not</w:t>
      </w:r>
      <w:r w:rsidRPr="00566BF3">
        <w:rPr>
          <w:rFonts w:ascii="Times New Roman" w:hAnsi="Times New Roman" w:cs="Times New Roman"/>
          <w:sz w:val="24"/>
        </w:rPr>
        <w:t xml:space="preserve"> more people engaging in this type of active trading? One reason may be that of agency costs. Many individual investors do not have the resources to invest in a well-diversified portfolio, instead they look to investment companies and mutual funds to take their money and pool it with other investors with similar goals. The problem with this approach is that investors’ and fund managers’ goals </w:t>
      </w:r>
      <w:r>
        <w:rPr>
          <w:rFonts w:ascii="Times New Roman" w:hAnsi="Times New Roman" w:cs="Times New Roman"/>
          <w:sz w:val="24"/>
        </w:rPr>
        <w:t>are not</w:t>
      </w:r>
      <w:r w:rsidRPr="00566BF3">
        <w:rPr>
          <w:rFonts w:ascii="Times New Roman" w:hAnsi="Times New Roman" w:cs="Times New Roman"/>
          <w:sz w:val="24"/>
        </w:rPr>
        <w:t xml:space="preserve"> exactly aligned. Investors want the reward for a certain amount of risk, but managers have to justify which stocks they invest in. They are also paid commission or management fees which are determined by the percentage return the portfolio makes. In this case, managers may look to maximize short-term returns in order to earn higher fees, but in the long-term this may be detrimental for the investors in the fund.</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When equity is overvalued, firms are not able to deliver the performance that this overestimated equity suggests, Jensen (2005). Towards the end of the 1990’s and beginning of the 2000’s, Jensen (2005) noted there was a lot of equity misevaluation thanks to investors overvaluing all the new concepts and innovations. Along with these investors, managers, investment analysts, banks etc. contributed to the overestimation of some shares’ values. </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Lakonishok, Shleifer, and Vishny (1994) justify the use of larger stocks in their sample by arguing that institutional investors are more concerned with investing in larger stocks rather than smaller stocks. These larger stocks are assumed to be monitored much more than smaller stocks, which may go undetected for periods of time. The assumption is that these larger stock prices are closer to their fundamental values than smaller stocks are. Smaller stocks ma</w:t>
      </w:r>
      <w:r w:rsidR="003D4902">
        <w:rPr>
          <w:rFonts w:ascii="Times New Roman" w:hAnsi="Times New Roman" w:cs="Times New Roman"/>
          <w:sz w:val="24"/>
        </w:rPr>
        <w:t>y not be effectively prices (</w:t>
      </w:r>
      <w:r>
        <w:rPr>
          <w:rFonts w:ascii="Times New Roman" w:hAnsi="Times New Roman" w:cs="Times New Roman"/>
          <w:sz w:val="24"/>
        </w:rPr>
        <w:t>Lakonishok, Shleifer, and Vishny</w:t>
      </w:r>
      <w:r w:rsidR="003D4902">
        <w:rPr>
          <w:rFonts w:ascii="Times New Roman" w:hAnsi="Times New Roman" w:cs="Times New Roman"/>
          <w:sz w:val="24"/>
        </w:rPr>
        <w:t xml:space="preserve">, </w:t>
      </w:r>
      <w:r>
        <w:rPr>
          <w:rFonts w:ascii="Times New Roman" w:hAnsi="Times New Roman" w:cs="Times New Roman"/>
          <w:sz w:val="24"/>
        </w:rPr>
        <w:t xml:space="preserve">1994). Further, the authors point out that, because of the survivorship bias caused by Compustat adding data retrospectively, larger stocks are less likely to be affected. </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Investors who do not have the resources or knowledge to invest in diversified portfolios pay investment managers to do this for them. It is not always the case that these managers have </w:t>
      </w:r>
      <w:r>
        <w:rPr>
          <w:rFonts w:ascii="Times New Roman" w:hAnsi="Times New Roman" w:cs="Times New Roman"/>
          <w:sz w:val="24"/>
        </w:rPr>
        <w:lastRenderedPageBreak/>
        <w:t xml:space="preserve">the investors’ best interests in mind. The institutional investors may have their own goals. In many cases, institutional investors are hired, fired, and compensated based on the percentage return on their portfolios. Therefore, they may hold larger stocks in their portfolios, ignoring small market capitalisation stocks. The institutional investors may also chase returns instead of protecting capital. Maximising short-term returns may also be a goal of the manager but not the individual investor. In these ways agency costs have a role to play in the contrarian strategy. </w:t>
      </w:r>
    </w:p>
    <w:p w:rsidR="00F84C09" w:rsidRDefault="00F84C09" w:rsidP="00F84C09">
      <w:pPr>
        <w:spacing w:line="360" w:lineRule="auto"/>
        <w:jc w:val="both"/>
        <w:rPr>
          <w:rFonts w:ascii="Times New Roman" w:hAnsi="Times New Roman" w:cs="Times New Roman"/>
          <w:sz w:val="24"/>
        </w:rPr>
      </w:pPr>
    </w:p>
    <w:p w:rsidR="00F84C09" w:rsidRPr="00F92487" w:rsidRDefault="00F84C09" w:rsidP="00F84C09">
      <w:pPr>
        <w:pStyle w:val="ListParagraph"/>
        <w:numPr>
          <w:ilvl w:val="1"/>
          <w:numId w:val="2"/>
        </w:numPr>
        <w:spacing w:line="360" w:lineRule="auto"/>
        <w:jc w:val="both"/>
        <w:outlineLvl w:val="1"/>
        <w:rPr>
          <w:rFonts w:ascii="Times New Roman" w:hAnsi="Times New Roman" w:cs="Times New Roman"/>
          <w:b/>
          <w:sz w:val="32"/>
        </w:rPr>
      </w:pPr>
      <w:bookmarkStart w:id="14" w:name="_Toc305166495"/>
      <w:r w:rsidRPr="00F92487">
        <w:rPr>
          <w:rFonts w:ascii="Times New Roman" w:hAnsi="Times New Roman" w:cs="Times New Roman"/>
          <w:b/>
          <w:sz w:val="32"/>
        </w:rPr>
        <w:t xml:space="preserve">Static CAPM </w:t>
      </w:r>
      <w:r>
        <w:rPr>
          <w:rFonts w:ascii="Times New Roman" w:hAnsi="Times New Roman" w:cs="Times New Roman"/>
          <w:b/>
          <w:sz w:val="32"/>
        </w:rPr>
        <w:t>and</w:t>
      </w:r>
      <w:r w:rsidRPr="00F92487">
        <w:rPr>
          <w:rFonts w:ascii="Times New Roman" w:hAnsi="Times New Roman" w:cs="Times New Roman"/>
          <w:b/>
          <w:sz w:val="32"/>
        </w:rPr>
        <w:t xml:space="preserve"> Conditional CAPM</w:t>
      </w:r>
      <w:bookmarkEnd w:id="14"/>
    </w:p>
    <w:p w:rsidR="00F84C09" w:rsidRPr="00566BF3" w:rsidRDefault="00F84C09" w:rsidP="00F84C09"/>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The idea that beta does not fully capture all the risks inherent in a stock’s return brings up the question of the validity of CAPM. CAPM plays a major part in the theory behind this study. If beta fully explains the cross section of stock returns then the inclusion of the variables BTM, E/P, C/P, D/P, and size should have no further explanatory value. </w:t>
      </w:r>
      <w:r w:rsidRPr="00566BF3">
        <w:rPr>
          <w:rFonts w:ascii="Times New Roman" w:hAnsi="Times New Roman" w:cs="Times New Roman"/>
          <w:sz w:val="24"/>
        </w:rPr>
        <w:t xml:space="preserve">Fama and French (1992) use a large set of assets to demonstrate that static CAPM is incapable of explaining the cross-section of average returns so widely accounted for in </w:t>
      </w:r>
      <w:r>
        <w:rPr>
          <w:rFonts w:ascii="Times New Roman" w:hAnsi="Times New Roman" w:cs="Times New Roman"/>
          <w:sz w:val="24"/>
        </w:rPr>
        <w:t xml:space="preserve">prior </w:t>
      </w:r>
      <w:r w:rsidRPr="00566BF3">
        <w:rPr>
          <w:rFonts w:ascii="Times New Roman" w:hAnsi="Times New Roman" w:cs="Times New Roman"/>
          <w:sz w:val="24"/>
        </w:rPr>
        <w:t>papers. The authors consider the relationship between beta and average return, finding that size is a better predictor of average returns than beta. Jagannathan and Wang (1996) propose that conditional CAPM is able to better explain average returns than the static CAPM, as well as rendering the size and book-to-market factors somewhat useless in explaining the unexplained. The authors run the static CAPM and conditional CAPM with a slight modification to</w:t>
      </w:r>
      <w:r>
        <w:rPr>
          <w:rFonts w:ascii="Times New Roman" w:hAnsi="Times New Roman" w:cs="Times New Roman"/>
          <w:sz w:val="24"/>
        </w:rPr>
        <w:t xml:space="preserve"> that of Fama and French (1992). T</w:t>
      </w:r>
      <w:r w:rsidRPr="00566BF3">
        <w:rPr>
          <w:rFonts w:ascii="Times New Roman" w:hAnsi="Times New Roman" w:cs="Times New Roman"/>
          <w:sz w:val="24"/>
        </w:rPr>
        <w:t xml:space="preserve">hey value-weight the stocks listed on the New York Stock Exchange (NYSE) and the American Stock Exchange (AMEX) and add another component, the return on human capital, to create a new market proxy . They believe that the failings in CAPM are somewhat caused by the poor choice of market proxy. The conditional CAPM is regarded by Jagannathan and Wang (1996) to be a better predictor of returns as it allows for the variation in beta and expected returns, where the static CAPM does not.  </w:t>
      </w:r>
    </w:p>
    <w:p w:rsidR="00F84C09" w:rsidRDefault="00F84C09" w:rsidP="00F84C09">
      <w:pPr>
        <w:spacing w:line="360" w:lineRule="auto"/>
        <w:jc w:val="both"/>
        <w:rPr>
          <w:rFonts w:ascii="Times New Roman" w:hAnsi="Times New Roman" w:cs="Times New Roman"/>
          <w:sz w:val="24"/>
        </w:rPr>
      </w:pPr>
    </w:p>
    <w:p w:rsidR="00FF500C" w:rsidRDefault="00FF500C" w:rsidP="00F84C09">
      <w:pPr>
        <w:spacing w:line="360" w:lineRule="auto"/>
        <w:jc w:val="both"/>
        <w:rPr>
          <w:rFonts w:ascii="Times New Roman" w:hAnsi="Times New Roman" w:cs="Times New Roman"/>
          <w:sz w:val="24"/>
        </w:rPr>
      </w:pPr>
    </w:p>
    <w:p w:rsidR="00FF500C" w:rsidRPr="00566BF3" w:rsidRDefault="00FF500C"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The static CAPM is given by the following equation:</w:t>
      </w:r>
    </w:p>
    <w:p w:rsidR="00F84C09" w:rsidRPr="00566BF3" w:rsidRDefault="00F84C09" w:rsidP="00F84C09">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F84C09" w:rsidTr="00CC694D">
        <w:tc>
          <w:tcPr>
            <w:tcW w:w="750" w:type="pct"/>
          </w:tcPr>
          <w:p w:rsidR="00F84C09" w:rsidRDefault="00F84C09" w:rsidP="00CC694D">
            <w:pPr>
              <w:spacing w:line="360" w:lineRule="auto"/>
              <w:jc w:val="both"/>
              <w:rPr>
                <w:rFonts w:ascii="Times New Roman" w:hAnsi="Times New Roman" w:cs="Times New Roman"/>
                <w:sz w:val="24"/>
              </w:rPr>
            </w:pPr>
          </w:p>
        </w:tc>
        <w:tc>
          <w:tcPr>
            <w:tcW w:w="3750" w:type="pct"/>
          </w:tcPr>
          <w:p w:rsidR="00F84C09" w:rsidRPr="00283425" w:rsidRDefault="00F84C09" w:rsidP="00CC694D">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E</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m:t>
                        </m:r>
                      </m:sub>
                    </m:sSub>
                  </m:e>
                </m:d>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i</m:t>
                    </m:r>
                  </m:sub>
                </m:sSub>
                <m:d>
                  <m:dPr>
                    <m:begChr m:val="["/>
                    <m:endChr m:val="]"/>
                    <m:ctrlPr>
                      <w:rPr>
                        <w:rFonts w:ascii="Cambria Math" w:hAnsi="Times New Roman" w:cs="Times New Roman"/>
                        <w:i/>
                        <w:sz w:val="24"/>
                        <w:szCs w:val="24"/>
                      </w:rPr>
                    </m:ctrlPr>
                  </m:dPr>
                  <m:e>
                    <m:r>
                      <w:rPr>
                        <w:rFonts w:ascii="Cambria Math" w:hAnsi="Cambria Math" w:cs="Times New Roman"/>
                        <w:sz w:val="24"/>
                        <w:szCs w:val="24"/>
                      </w:rPr>
                      <m:t>E</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sub>
                        </m:sSub>
                      </m:e>
                    </m:d>
                    <m:r>
                      <w:rPr>
                        <w:rFonts w:ascii="Times New Roman"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e>
                </m:d>
              </m:oMath>
            </m:oMathPara>
          </w:p>
        </w:tc>
        <w:tc>
          <w:tcPr>
            <w:tcW w:w="750" w:type="pct"/>
            <w:vAlign w:val="center"/>
          </w:tcPr>
          <w:p w:rsidR="00F84C09" w:rsidRDefault="00F84C09" w:rsidP="00664ED3">
            <w:pPr>
              <w:spacing w:line="360" w:lineRule="auto"/>
              <w:jc w:val="right"/>
              <w:rPr>
                <w:rFonts w:ascii="Times New Roman" w:hAnsi="Times New Roman" w:cs="Times New Roman"/>
                <w:sz w:val="24"/>
              </w:rPr>
            </w:pPr>
            <w:r>
              <w:rPr>
                <w:rFonts w:ascii="Times New Roman" w:hAnsi="Times New Roman" w:cs="Times New Roman"/>
                <w:sz w:val="24"/>
              </w:rPr>
              <w:t>(</w:t>
            </w:r>
            <w:r w:rsidR="00664ED3">
              <w:rPr>
                <w:rFonts w:ascii="Times New Roman" w:hAnsi="Times New Roman" w:cs="Times New Roman"/>
                <w:sz w:val="24"/>
              </w:rPr>
              <w:t>2</w:t>
            </w:r>
            <w:r>
              <w:rPr>
                <w:rFonts w:ascii="Times New Roman" w:hAnsi="Times New Roman" w:cs="Times New Roman"/>
                <w:sz w:val="24"/>
              </w:rPr>
              <w:t>)</w:t>
            </w:r>
          </w:p>
        </w:tc>
      </w:tr>
    </w:tbl>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szCs w:val="24"/>
        </w:rPr>
      </w:pPr>
      <w:r w:rsidRPr="00566BF3">
        <w:rPr>
          <w:rFonts w:ascii="Times New Roman" w:hAnsi="Times New Roman" w:cs="Times New Roman"/>
          <w:sz w:val="24"/>
          <w:szCs w:val="24"/>
        </w:rPr>
        <w:t xml:space="preserve">Where </w:t>
      </w:r>
      <m:oMath>
        <m:r>
          <w:rPr>
            <w:rFonts w:ascii="Cambria Math" w:hAnsi="Cambria Math" w:cs="Times New Roman"/>
            <w:sz w:val="24"/>
            <w:szCs w:val="24"/>
          </w:rPr>
          <m:t>E</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m:t>
                </m:r>
              </m:sub>
            </m:sSub>
          </m:e>
        </m:d>
      </m:oMath>
      <w:r w:rsidRPr="00566BF3">
        <w:rPr>
          <w:rFonts w:ascii="Times New Roman" w:hAnsi="Times New Roman" w:cs="Times New Roman"/>
          <w:sz w:val="24"/>
          <w:szCs w:val="24"/>
        </w:rPr>
        <w:t xml:space="preserve"> is the expected return on asset i, </w:t>
      </w:r>
      <m:oMath>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oMath>
      <w:r w:rsidRPr="00566BF3">
        <w:rPr>
          <w:rFonts w:ascii="Times New Roman" w:hAnsi="Times New Roman" w:cs="Times New Roman"/>
          <w:sz w:val="24"/>
          <w:szCs w:val="24"/>
        </w:rPr>
        <w:t xml:space="preserve"> is the risk-free rate,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i</m:t>
            </m:r>
          </m:sub>
        </m:sSub>
      </m:oMath>
      <w:r w:rsidRPr="00566BF3">
        <w:rPr>
          <w:rFonts w:ascii="Times New Roman" w:hAnsi="Times New Roman" w:cs="Times New Roman"/>
          <w:sz w:val="24"/>
          <w:szCs w:val="24"/>
        </w:rPr>
        <w:t xml:space="preserve"> is the beta of asset i, where beta is given by the equation:</w:t>
      </w:r>
      <m:oMath>
        <m:sSub>
          <m:sSubPr>
            <m:ctrlPr>
              <w:rPr>
                <w:rFonts w:ascii="Cambria Math" w:hAnsi="Times New Roman" w:cs="Times New Roman"/>
                <w:i/>
                <w:sz w:val="24"/>
                <w:szCs w:val="24"/>
              </w:rPr>
            </m:ctrlPr>
          </m:sSubPr>
          <m:e>
            <m:r>
              <w:rPr>
                <w:rFonts w:ascii="Cambria Math" w:hAnsi="Times New Roman" w:cs="Times New Roman"/>
                <w:sz w:val="24"/>
                <w:szCs w:val="24"/>
              </w:rPr>
              <m:t xml:space="preserve"> </m:t>
            </m:r>
            <m:r>
              <w:rPr>
                <w:rFonts w:ascii="Cambria Math" w:hAnsi="Cambria Math" w:cs="Times New Roman"/>
                <w:sz w:val="24"/>
                <w:szCs w:val="24"/>
              </w:rPr>
              <m:t>β</m:t>
            </m:r>
          </m:e>
          <m:sub>
            <m:r>
              <w:rPr>
                <w:rFonts w:ascii="Cambria Math" w:hAnsi="Cambria Math" w:cs="Times New Roman"/>
                <w:sz w:val="24"/>
                <w:szCs w:val="24"/>
              </w:rPr>
              <m:t>i</m:t>
            </m:r>
          </m:sub>
        </m:sSub>
        <m:r>
          <w:rPr>
            <w:rFonts w:ascii="Cambria Math" w:hAnsi="Times New Roman" w:cs="Times New Roman"/>
            <w:sz w:val="24"/>
            <w:szCs w:val="24"/>
          </w:rPr>
          <m:t xml:space="preserve">= </m:t>
        </m:r>
        <m:f>
          <m:fPr>
            <m:ctrlPr>
              <w:rPr>
                <w:rFonts w:ascii="Cambria Math" w:hAnsi="Times New Roman" w:cs="Times New Roman"/>
                <w:i/>
                <w:sz w:val="24"/>
                <w:szCs w:val="24"/>
              </w:rPr>
            </m:ctrlPr>
          </m:fPr>
          <m:num>
            <m:r>
              <w:rPr>
                <w:rFonts w:ascii="Cambria Math" w:hAnsi="Cambria Math" w:cs="Times New Roman"/>
                <w:sz w:val="24"/>
                <w:szCs w:val="24"/>
              </w:rPr>
              <m:t>Cov</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sub>
            </m:sSub>
            <m:r>
              <w:rPr>
                <w:rFonts w:ascii="Cambria Math" w:hAnsi="Times New Roman" w:cs="Times New Roman"/>
                <w:sz w:val="24"/>
                <w:szCs w:val="24"/>
              </w:rPr>
              <m:t>)</m:t>
            </m:r>
          </m:num>
          <m:den>
            <m:r>
              <w:rPr>
                <w:rFonts w:ascii="Cambria Math" w:hAnsi="Cambria Math" w:cs="Times New Roman"/>
                <w:sz w:val="24"/>
                <w:szCs w:val="24"/>
              </w:rPr>
              <m:t>Var</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r>
                  <w:rPr>
                    <w:rFonts w:ascii="Cambria Math" w:hAnsi="Times New Roman" w:cs="Times New Roman"/>
                    <w:sz w:val="24"/>
                    <w:szCs w:val="24"/>
                  </w:rPr>
                  <m:t>)</m:t>
                </m:r>
              </m:sub>
            </m:sSub>
          </m:den>
        </m:f>
      </m:oMath>
      <w:r w:rsidRPr="00566BF3">
        <w:rPr>
          <w:rFonts w:ascii="Times New Roman" w:hAnsi="Times New Roman" w:cs="Times New Roman"/>
          <w:sz w:val="24"/>
          <w:szCs w:val="24"/>
        </w:rPr>
        <w:t xml:space="preserve"> , and </w:t>
      </w:r>
      <m:oMath>
        <m:r>
          <w:rPr>
            <w:rFonts w:ascii="Cambria Math" w:hAnsi="Cambria Math" w:cs="Times New Roman"/>
            <w:sz w:val="24"/>
            <w:szCs w:val="24"/>
          </w:rPr>
          <m:t>E</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sub>
            </m:sSub>
          </m:e>
        </m:d>
      </m:oMath>
      <w:r w:rsidRPr="00566BF3">
        <w:rPr>
          <w:rFonts w:ascii="Times New Roman" w:hAnsi="Times New Roman" w:cs="Times New Roman"/>
          <w:sz w:val="24"/>
          <w:szCs w:val="24"/>
        </w:rPr>
        <w:t xml:space="preserve"> is the expected return</w:t>
      </w:r>
      <w:r w:rsidRPr="00566BF3">
        <w:rPr>
          <w:rFonts w:ascii="Times New Roman" w:hAnsi="Times New Roman" w:cs="Times New Roman"/>
          <w:sz w:val="24"/>
        </w:rPr>
        <w:t xml:space="preserve"> of the market. In this case, CAPM is static because the beta is unconditional and thus has nothing to do with determining excess returns. CAPM is unsuccessful in explaining why </w:t>
      </w:r>
      <w:r w:rsidRPr="00566BF3">
        <w:rPr>
          <w:rFonts w:ascii="Times New Roman" w:hAnsi="Times New Roman" w:cs="Times New Roman"/>
          <w:sz w:val="24"/>
          <w:szCs w:val="24"/>
        </w:rPr>
        <w:t xml:space="preserve">small stocks are able to outperform large stocks, or why firms classified with high book-to-market ratios produce better returns than firms with low book-to-market ratios. </w:t>
      </w:r>
    </w:p>
    <w:p w:rsidR="00F84C09" w:rsidRPr="00566BF3" w:rsidRDefault="00F84C09" w:rsidP="00F84C09">
      <w:pPr>
        <w:spacing w:line="360" w:lineRule="auto"/>
        <w:jc w:val="both"/>
        <w:rPr>
          <w:rFonts w:ascii="Times New Roman" w:hAnsi="Times New Roman" w:cs="Times New Roman"/>
          <w:sz w:val="24"/>
          <w:szCs w:val="24"/>
        </w:rPr>
      </w:pPr>
    </w:p>
    <w:p w:rsidR="00F84C09" w:rsidRPr="00566BF3" w:rsidRDefault="00F84C09" w:rsidP="00F84C09">
      <w:pPr>
        <w:spacing w:line="360" w:lineRule="auto"/>
        <w:jc w:val="both"/>
        <w:rPr>
          <w:rFonts w:ascii="Times New Roman" w:hAnsi="Times New Roman" w:cs="Times New Roman"/>
          <w:sz w:val="24"/>
          <w:szCs w:val="24"/>
        </w:rPr>
      </w:pPr>
      <w:r w:rsidRPr="00566BF3">
        <w:rPr>
          <w:rFonts w:ascii="Times New Roman" w:hAnsi="Times New Roman" w:cs="Times New Roman"/>
          <w:sz w:val="24"/>
          <w:szCs w:val="24"/>
        </w:rPr>
        <w:t>The conditional CAPM is given by:</w:t>
      </w:r>
    </w:p>
    <w:p w:rsidR="00F84C09" w:rsidRPr="00566BF3" w:rsidRDefault="00F84C09" w:rsidP="00F84C09">
      <w:pPr>
        <w:spacing w:line="360" w:lineRule="auto"/>
        <w:jc w:val="both"/>
        <w:rPr>
          <w:rFonts w:ascii="Times New Roman" w:hAnsi="Times New Roman" w:cs="Times New Roman"/>
          <w:sz w:val="24"/>
          <w:szCs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F84C09" w:rsidTr="00CC694D">
        <w:tc>
          <w:tcPr>
            <w:tcW w:w="750" w:type="pct"/>
          </w:tcPr>
          <w:p w:rsidR="00F84C09" w:rsidRDefault="00F84C09" w:rsidP="00CC694D">
            <w:pPr>
              <w:spacing w:line="360" w:lineRule="auto"/>
              <w:jc w:val="both"/>
              <w:rPr>
                <w:rFonts w:ascii="Times New Roman" w:hAnsi="Times New Roman" w:cs="Times New Roman"/>
                <w:sz w:val="24"/>
                <w:szCs w:val="24"/>
              </w:rPr>
            </w:pPr>
          </w:p>
        </w:tc>
        <w:tc>
          <w:tcPr>
            <w:tcW w:w="3750" w:type="pct"/>
          </w:tcPr>
          <w:p w:rsidR="00F84C09" w:rsidRDefault="00F84C09" w:rsidP="00CC694D">
            <w:pPr>
              <w:spacing w:line="360" w:lineRule="auto"/>
              <w:jc w:val="both"/>
              <w:rPr>
                <w:rFonts w:ascii="Times New Roman" w:hAnsi="Times New Roman" w:cs="Times New Roman"/>
                <w:sz w:val="24"/>
                <w:szCs w:val="24"/>
              </w:rPr>
            </w:pPr>
            <m:oMathPara>
              <m:oMath>
                <m:r>
                  <w:rPr>
                    <w:rFonts w:ascii="Cambria Math" w:hAnsi="Cambria Math" w:cs="Times New Roman"/>
                    <w:sz w:val="24"/>
                    <w:szCs w:val="24"/>
                  </w:rPr>
                  <m:t>E</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it</m:t>
                        </m:r>
                      </m:sub>
                    </m:sSub>
                  </m:e>
                </m:d>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γ</m:t>
                    </m:r>
                  </m:e>
                  <m:sub>
                    <m:r>
                      <w:rPr>
                        <w:rFonts w:ascii="Cambria Math" w:hAnsi="Times New Roman" w:cs="Times New Roman"/>
                        <w:sz w:val="24"/>
                        <w:szCs w:val="24"/>
                      </w:rPr>
                      <m:t>0</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γ</m:t>
                    </m:r>
                  </m:e>
                  <m:sub>
                    <m:r>
                      <w:rPr>
                        <w:rFonts w:ascii="Cambria Math" w:hAnsi="Times New Roman" w:cs="Times New Roman"/>
                        <w:sz w:val="24"/>
                        <w:szCs w:val="24"/>
                      </w:rPr>
                      <m:t>1</m:t>
                    </m:r>
                  </m:sub>
                </m:sSub>
                <m:sSub>
                  <m:sSubPr>
                    <m:ctrlPr>
                      <w:rPr>
                        <w:rFonts w:ascii="Cambria Math" w:hAnsi="Times New Roman" w:cs="Times New Roman"/>
                        <w:i/>
                        <w:sz w:val="24"/>
                        <w:szCs w:val="24"/>
                      </w:rPr>
                    </m:ctrlPr>
                  </m:sSubPr>
                  <m:e>
                    <m:acc>
                      <m:accPr>
                        <m:chr m:val="̅"/>
                        <m:ctrlPr>
                          <w:rPr>
                            <w:rFonts w:ascii="Cambria Math" w:hAnsi="Times New Roman" w:cs="Times New Roman"/>
                            <w:i/>
                            <w:sz w:val="24"/>
                            <w:szCs w:val="24"/>
                          </w:rPr>
                        </m:ctrlPr>
                      </m:accPr>
                      <m:e>
                        <m:r>
                          <w:rPr>
                            <w:rFonts w:ascii="Cambria Math" w:hAnsi="Cambria Math" w:cs="Times New Roman"/>
                            <w:sz w:val="24"/>
                            <w:szCs w:val="24"/>
                          </w:rPr>
                          <m:t>β</m:t>
                        </m:r>
                      </m:e>
                    </m:acc>
                  </m:e>
                  <m:sub>
                    <m:r>
                      <w:rPr>
                        <w:rFonts w:ascii="Cambria Math" w:hAnsi="Cambria Math" w:cs="Times New Roman"/>
                        <w:sz w:val="24"/>
                        <w:szCs w:val="24"/>
                      </w:rPr>
                      <m:t>i</m:t>
                    </m:r>
                  </m:sub>
                </m:sSub>
                <m:r>
                  <w:rPr>
                    <w:rFonts w:ascii="Cambria Math" w:hAnsi="Times New Roman" w:cs="Times New Roman"/>
                    <w:sz w:val="24"/>
                    <w:szCs w:val="24"/>
                  </w:rPr>
                  <m:t xml:space="preserve">+ </m:t>
                </m:r>
                <m:r>
                  <w:rPr>
                    <w:rFonts w:ascii="Cambria Math" w:hAnsi="Cambria Math" w:cs="Times New Roman"/>
                    <w:sz w:val="24"/>
                    <w:szCs w:val="24"/>
                  </w:rPr>
                  <m:t>Cov</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γ</m:t>
                        </m:r>
                      </m:e>
                      <m:sub>
                        <m:r>
                          <w:rPr>
                            <w:rFonts w:ascii="Cambria Math" w:hAnsi="Times New Roman" w:cs="Times New Roman"/>
                            <w:sz w:val="24"/>
                            <w:szCs w:val="24"/>
                          </w:rPr>
                          <m:t>1,</m:t>
                        </m:r>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i</m:t>
                        </m:r>
                        <m:r>
                          <w:rPr>
                            <w:rFonts w:ascii="Cambria Math" w:hAnsi="Times New Roman" w:cs="Times New Roman"/>
                            <w:sz w:val="24"/>
                            <w:szCs w:val="24"/>
                          </w:rPr>
                          <m:t>,</m:t>
                        </m:r>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e>
                </m:d>
              </m:oMath>
            </m:oMathPara>
          </w:p>
        </w:tc>
        <w:tc>
          <w:tcPr>
            <w:tcW w:w="750" w:type="pct"/>
            <w:vAlign w:val="center"/>
          </w:tcPr>
          <w:p w:rsidR="00F84C09" w:rsidRDefault="00F84C09" w:rsidP="00664ED3">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00664ED3">
              <w:rPr>
                <w:rFonts w:ascii="Times New Roman" w:hAnsi="Times New Roman" w:cs="Times New Roman"/>
                <w:sz w:val="24"/>
                <w:szCs w:val="24"/>
              </w:rPr>
              <w:t>3</w:t>
            </w:r>
            <w:r>
              <w:rPr>
                <w:rFonts w:ascii="Times New Roman" w:hAnsi="Times New Roman" w:cs="Times New Roman"/>
                <w:sz w:val="24"/>
                <w:szCs w:val="24"/>
              </w:rPr>
              <w:t>)</w:t>
            </w:r>
          </w:p>
        </w:tc>
      </w:tr>
    </w:tbl>
    <w:p w:rsidR="00F84C09" w:rsidRPr="00566BF3" w:rsidRDefault="00F84C09" w:rsidP="00F84C09">
      <w:pPr>
        <w:spacing w:line="360" w:lineRule="auto"/>
        <w:jc w:val="both"/>
        <w:rPr>
          <w:rFonts w:ascii="Times New Roman" w:hAnsi="Times New Roman" w:cs="Times New Roman"/>
          <w:sz w:val="24"/>
          <w:szCs w:val="24"/>
        </w:rPr>
      </w:pPr>
    </w:p>
    <w:p w:rsidR="00F84C09" w:rsidRPr="00566BF3" w:rsidRDefault="00F84C09" w:rsidP="00F84C09">
      <w:pPr>
        <w:spacing w:line="360" w:lineRule="auto"/>
        <w:jc w:val="both"/>
        <w:rPr>
          <w:rFonts w:ascii="Times New Roman" w:hAnsi="Times New Roman" w:cs="Times New Roman"/>
          <w:sz w:val="24"/>
          <w:szCs w:val="24"/>
        </w:rPr>
      </w:pPr>
      <w:r w:rsidRPr="00566BF3">
        <w:rPr>
          <w:rFonts w:ascii="Times New Roman" w:hAnsi="Times New Roman" w:cs="Times New Roman"/>
          <w:sz w:val="24"/>
          <w:szCs w:val="24"/>
        </w:rPr>
        <w:t xml:space="preserve">Considering this equation one can see that  </w:t>
      </w:r>
      <m:oMath>
        <m:sSub>
          <m:sSubPr>
            <m:ctrlPr>
              <w:rPr>
                <w:rFonts w:ascii="Cambria Math" w:hAnsi="Times New Roman" w:cs="Times New Roman"/>
                <w:i/>
                <w:sz w:val="24"/>
                <w:szCs w:val="24"/>
              </w:rPr>
            </m:ctrlPr>
          </m:sSubPr>
          <m:e>
            <m:r>
              <w:rPr>
                <w:rFonts w:ascii="Cambria Math" w:hAnsi="Cambria Math" w:cs="Times New Roman"/>
                <w:sz w:val="24"/>
                <w:szCs w:val="24"/>
              </w:rPr>
              <m:t>γ</m:t>
            </m:r>
          </m:e>
          <m:sub>
            <m:r>
              <w:rPr>
                <w:rFonts w:ascii="Cambria Math" w:hAnsi="Times New Roman" w:cs="Times New Roman"/>
                <w:sz w:val="24"/>
                <w:szCs w:val="24"/>
              </w:rPr>
              <m:t>1</m:t>
            </m:r>
          </m:sub>
        </m:sSub>
      </m:oMath>
      <w:r w:rsidRPr="00566BF3">
        <w:rPr>
          <w:rFonts w:ascii="Times New Roman" w:hAnsi="Times New Roman" w:cs="Times New Roman"/>
          <w:sz w:val="24"/>
          <w:szCs w:val="24"/>
        </w:rPr>
        <w:t xml:space="preserve"> is the expected market risk premium, while  </w:t>
      </w:r>
      <m:oMath>
        <m:sSub>
          <m:sSubPr>
            <m:ctrlPr>
              <w:rPr>
                <w:rFonts w:ascii="Cambria Math" w:hAnsi="Times New Roman" w:cs="Times New Roman"/>
                <w:i/>
                <w:sz w:val="24"/>
                <w:szCs w:val="24"/>
              </w:rPr>
            </m:ctrlPr>
          </m:sSubPr>
          <m:e>
            <m:acc>
              <m:accPr>
                <m:chr m:val="̅"/>
                <m:ctrlPr>
                  <w:rPr>
                    <w:rFonts w:ascii="Cambria Math" w:hAnsi="Times New Roman" w:cs="Times New Roman"/>
                    <w:i/>
                    <w:sz w:val="24"/>
                    <w:szCs w:val="24"/>
                  </w:rPr>
                </m:ctrlPr>
              </m:accPr>
              <m:e>
                <m:r>
                  <w:rPr>
                    <w:rFonts w:ascii="Cambria Math" w:hAnsi="Cambria Math" w:cs="Times New Roman"/>
                    <w:sz w:val="24"/>
                    <w:szCs w:val="24"/>
                  </w:rPr>
                  <m:t>β</m:t>
                </m:r>
              </m:e>
            </m:acc>
          </m:e>
          <m:sub>
            <m:r>
              <w:rPr>
                <w:rFonts w:ascii="Cambria Math" w:hAnsi="Cambria Math" w:cs="Times New Roman"/>
                <w:sz w:val="24"/>
                <w:szCs w:val="24"/>
              </w:rPr>
              <m:t>i</m:t>
            </m:r>
          </m:sub>
        </m:sSub>
      </m:oMath>
      <w:r w:rsidRPr="00566BF3">
        <w:rPr>
          <w:rFonts w:ascii="Times New Roman" w:hAnsi="Times New Roman" w:cs="Times New Roman"/>
          <w:sz w:val="24"/>
          <w:szCs w:val="24"/>
        </w:rPr>
        <w:t xml:space="preserve"> is not the unconditional beta, but rather the expected beta. If the last component of the equation is equal to zero then one would have the regular (static CAPM). </w:t>
      </w:r>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i</m:t>
            </m:r>
            <m:r>
              <w:rPr>
                <w:rFonts w:ascii="Cambria Math" w:hAnsi="Times New Roman" w:cs="Times New Roman"/>
                <w:sz w:val="24"/>
                <w:szCs w:val="24"/>
              </w:rPr>
              <m:t>,</m:t>
            </m:r>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oMath>
      <w:r w:rsidRPr="00566BF3">
        <w:rPr>
          <w:rFonts w:ascii="Times New Roman" w:hAnsi="Times New Roman" w:cs="Times New Roman"/>
          <w:sz w:val="24"/>
          <w:szCs w:val="24"/>
        </w:rPr>
        <w:t xml:space="preserve"> is the conditional beta of asset i, its definition being: </w:t>
      </w:r>
    </w:p>
    <w:p w:rsidR="00F84C09" w:rsidRPr="00566BF3" w:rsidRDefault="00F84C09" w:rsidP="00F84C09">
      <w:pPr>
        <w:spacing w:line="360" w:lineRule="auto"/>
        <w:jc w:val="both"/>
        <w:rPr>
          <w:rFonts w:ascii="Times New Roman" w:hAnsi="Times New Roman" w:cs="Times New Roman"/>
          <w:sz w:val="24"/>
          <w:szCs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F84C09" w:rsidTr="00CC694D">
        <w:tc>
          <w:tcPr>
            <w:tcW w:w="750" w:type="pct"/>
          </w:tcPr>
          <w:p w:rsidR="00F84C09" w:rsidRDefault="00F84C09" w:rsidP="00CC694D">
            <w:pPr>
              <w:spacing w:line="360" w:lineRule="auto"/>
              <w:jc w:val="both"/>
              <w:rPr>
                <w:rFonts w:ascii="Times New Roman" w:hAnsi="Times New Roman" w:cs="Times New Roman"/>
                <w:b/>
                <w:szCs w:val="36"/>
                <w:u w:val="single"/>
              </w:rPr>
            </w:pPr>
          </w:p>
        </w:tc>
        <w:tc>
          <w:tcPr>
            <w:tcW w:w="3750" w:type="pct"/>
          </w:tcPr>
          <w:p w:rsidR="00F84C09" w:rsidRPr="00283425" w:rsidRDefault="000963F3" w:rsidP="00CC694D">
            <w:pPr>
              <w:spacing w:line="360" w:lineRule="auto"/>
              <w:jc w:val="both"/>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i</m:t>
                    </m:r>
                    <m:r>
                      <w:rPr>
                        <w:rFonts w:ascii="Cambria Math" w:hAnsi="Times New Roman" w:cs="Times New Roman"/>
                        <w:sz w:val="24"/>
                        <w:szCs w:val="24"/>
                      </w:rPr>
                      <m:t>.</m:t>
                    </m:r>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r>
                  <w:rPr>
                    <w:rFonts w:ascii="Cambria Math" w:hAnsi="Times New Roman" w:cs="Times New Roman"/>
                    <w:sz w:val="24"/>
                    <w:szCs w:val="24"/>
                  </w:rPr>
                  <m:t>=</m:t>
                </m:r>
                <m:f>
                  <m:fPr>
                    <m:ctrlPr>
                      <w:rPr>
                        <w:rFonts w:ascii="Cambria Math" w:hAnsi="Times New Roman" w:cs="Times New Roman"/>
                        <w:i/>
                        <w:sz w:val="24"/>
                        <w:szCs w:val="24"/>
                      </w:rPr>
                    </m:ctrlPr>
                  </m:fPr>
                  <m:num>
                    <m:r>
                      <w:rPr>
                        <w:rFonts w:ascii="Cambria Math" w:hAnsi="Cambria Math" w:cs="Times New Roman"/>
                        <w:sz w:val="24"/>
                        <w:szCs w:val="24"/>
                      </w:rPr>
                      <m:t>Cov</m:t>
                    </m:r>
                    <m:d>
                      <m:dPr>
                        <m:ctrlPr>
                          <w:rPr>
                            <w:rFonts w:ascii="Cambria Math" w:hAnsi="Times New Roman" w:cs="Times New Roman"/>
                            <w:i/>
                            <w:sz w:val="24"/>
                            <w:szCs w:val="24"/>
                          </w:rPr>
                        </m:ctrlPr>
                      </m:dPr>
                      <m:e>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it</m:t>
                                </m:r>
                              </m:sub>
                            </m:sSub>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mt</m:t>
                                </m:r>
                              </m:sub>
                            </m:sSub>
                          </m:e>
                        </m:d>
                      </m:e>
                      <m:e>
                        <m:sSub>
                          <m:sSubPr>
                            <m:ctrlPr>
                              <w:rPr>
                                <w:rFonts w:ascii="Cambria Math" w:hAnsi="Times New Roman"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e>
                    </m:d>
                  </m:num>
                  <m:den>
                    <m:r>
                      <w:rPr>
                        <w:rFonts w:ascii="Cambria Math" w:hAnsi="Cambria Math" w:cs="Times New Roman"/>
                        <w:sz w:val="24"/>
                        <w:szCs w:val="24"/>
                      </w:rPr>
                      <m:t>Var</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mt</m:t>
                            </m:r>
                          </m:sub>
                        </m:sSub>
                      </m:e>
                      <m:e>
                        <m:sSub>
                          <m:sSubPr>
                            <m:ctrlPr>
                              <w:rPr>
                                <w:rFonts w:ascii="Cambria Math" w:hAnsi="Times New Roman" w:cs="Times New Roman"/>
                                <w:i/>
                                <w:sz w:val="24"/>
                                <w:szCs w:val="24"/>
                              </w:rPr>
                            </m:ctrlPr>
                          </m:sSubPr>
                          <m:e>
                            <m:r>
                              <w:rPr>
                                <w:rFonts w:ascii="Cambria Math" w:hAnsi="Cambria Math" w:cs="Times New Roman"/>
                                <w:sz w:val="24"/>
                                <w:szCs w:val="24"/>
                              </w:rPr>
                              <m:t>I</m:t>
                            </m:r>
                          </m:e>
                          <m:sub>
                            <m:r>
                              <w:rPr>
                                <w:rFonts w:ascii="Cambria Math" w:hAnsi="Cambria Math" w:cs="Times New Roman"/>
                                <w:sz w:val="24"/>
                                <w:szCs w:val="24"/>
                              </w:rPr>
                              <m:t>t</m:t>
                            </m:r>
                            <m:r>
                              <w:rPr>
                                <w:rFonts w:ascii="Times New Roman" w:hAnsi="Times New Roman" w:cs="Times New Roman"/>
                                <w:sz w:val="24"/>
                                <w:szCs w:val="24"/>
                              </w:rPr>
                              <m:t>-</m:t>
                            </m:r>
                            <m:r>
                              <w:rPr>
                                <w:rFonts w:ascii="Cambria Math" w:hAnsi="Times New Roman" w:cs="Times New Roman"/>
                                <w:sz w:val="24"/>
                                <w:szCs w:val="24"/>
                              </w:rPr>
                              <m:t>1</m:t>
                            </m:r>
                          </m:sub>
                        </m:sSub>
                      </m:e>
                    </m:d>
                  </m:den>
                </m:f>
              </m:oMath>
            </m:oMathPara>
          </w:p>
        </w:tc>
        <w:tc>
          <w:tcPr>
            <w:tcW w:w="750" w:type="pct"/>
            <w:vAlign w:val="center"/>
          </w:tcPr>
          <w:p w:rsidR="00F84C09" w:rsidRPr="00283425" w:rsidRDefault="00F84C09" w:rsidP="00664ED3">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00664ED3">
              <w:rPr>
                <w:rFonts w:ascii="Times New Roman" w:hAnsi="Times New Roman" w:cs="Times New Roman"/>
                <w:sz w:val="24"/>
                <w:szCs w:val="24"/>
              </w:rPr>
              <w:t>4</w:t>
            </w:r>
            <w:r w:rsidRPr="00283425">
              <w:rPr>
                <w:rFonts w:ascii="Times New Roman" w:hAnsi="Times New Roman" w:cs="Times New Roman"/>
                <w:sz w:val="24"/>
                <w:szCs w:val="24"/>
              </w:rPr>
              <w:t>)</w:t>
            </w:r>
          </w:p>
        </w:tc>
      </w:tr>
    </w:tbl>
    <w:p w:rsidR="00F84C09" w:rsidRPr="00566BF3" w:rsidRDefault="00F84C09" w:rsidP="00F84C09">
      <w:pPr>
        <w:spacing w:line="360" w:lineRule="auto"/>
        <w:jc w:val="both"/>
        <w:rPr>
          <w:rFonts w:ascii="Times New Roman" w:hAnsi="Times New Roman" w:cs="Times New Roman"/>
          <w:b/>
          <w:szCs w:val="36"/>
          <w:u w:val="single"/>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szCs w:val="36"/>
        </w:rPr>
        <w:t>The CAPM asserts that the linear relationship between the market risk premium and the market beta accounts for the entire cross sectional variation of average returns. Any other variables that are included in this regression should not add anything to the explanation of asset return</w:t>
      </w:r>
      <w:r>
        <w:rPr>
          <w:rFonts w:ascii="Times New Roman" w:hAnsi="Times New Roman" w:cs="Times New Roman"/>
          <w:sz w:val="24"/>
          <w:szCs w:val="36"/>
        </w:rPr>
        <w:t>s, according to Jagannathan and Wang (1996)</w:t>
      </w:r>
      <w:r w:rsidRPr="00566BF3">
        <w:rPr>
          <w:rFonts w:ascii="Times New Roman" w:hAnsi="Times New Roman" w:cs="Times New Roman"/>
          <w:sz w:val="24"/>
          <w:szCs w:val="36"/>
        </w:rPr>
        <w:t xml:space="preserve">. </w:t>
      </w:r>
      <w:r w:rsidRPr="00566BF3">
        <w:rPr>
          <w:rFonts w:ascii="Times New Roman" w:hAnsi="Times New Roman" w:cs="Times New Roman"/>
          <w:sz w:val="24"/>
        </w:rPr>
        <w:t xml:space="preserve">Michailidis, Tsopoglou, and Papanastasiou (2007) further state that if the CAPM and if the differences in returns are </w:t>
      </w:r>
      <w:r w:rsidRPr="00566BF3">
        <w:rPr>
          <w:rFonts w:ascii="Times New Roman" w:hAnsi="Times New Roman" w:cs="Times New Roman"/>
          <w:sz w:val="24"/>
        </w:rPr>
        <w:lastRenderedPageBreak/>
        <w:t>explained by beta then any additional explanatory variables added to the regression should have slopes that are not significantly different from zero.</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One assumption of CAPM is investor heterogeneity. However, as Ball (1992) points out, investors have access to different information so when it comes to obtaining new information, some investors may require more or different information depending on their existing beliefs. In this vein, investors do not face the same costs in acquiring information. The role of information gathering and processing is important. An investor who believes that he has access to information that other market participants do not has to still process this information and determine whether it has already had any effect on the price of the stock already. All these ‘motions’ come at a cost, Ball (1992). The short-coming of using a single factor model such as CAPM is that the returns will only be explained by this single factor. In order to explain the value vs. growth anomaly a multifactor explanation is deemed appropriate (Antoniou, Galariotis, and Spyrou, 2006). The three-factor model of Fama and French (1993) takes into account firm-specific factors as well as market factors.</w:t>
      </w:r>
      <w:r>
        <w:rPr>
          <w:rFonts w:ascii="Times New Roman" w:hAnsi="Times New Roman" w:cs="Times New Roman"/>
          <w:sz w:val="24"/>
        </w:rPr>
        <w:t xml:space="preserve"> Schwert (1983) points out that asset pricing models such as the CAPM are dependent on investors being risk averse, so there must be a direct relationship between asset risk and return. Schwert (1983) continues by acknowledging the weak evidence supporting this positive expected relationship – there is only marginal statistical significance supporting CAPM.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szCs w:val="36"/>
        </w:rPr>
        <w:t>C</w:t>
      </w:r>
      <w:r w:rsidRPr="00566BF3">
        <w:rPr>
          <w:rFonts w:ascii="Times New Roman" w:hAnsi="Times New Roman" w:cs="Times New Roman"/>
          <w:sz w:val="24"/>
        </w:rPr>
        <w:t>ontrary to the CAPM, Michailidis, Tsopoglou, and Papanastasiou (2007) find no relation between beta and average returns when the portfolios used in the regression based on only size. With the same portfolio they find no relation between size and average return, contradictory to Banz (198</w:t>
      </w:r>
      <w:r>
        <w:rPr>
          <w:rFonts w:ascii="Times New Roman" w:hAnsi="Times New Roman" w:cs="Times New Roman"/>
          <w:sz w:val="24"/>
        </w:rPr>
        <w:t>0</w:t>
      </w:r>
      <w:r w:rsidRPr="00566BF3">
        <w:rPr>
          <w:rFonts w:ascii="Times New Roman" w:hAnsi="Times New Roman" w:cs="Times New Roman"/>
          <w:sz w:val="24"/>
        </w:rPr>
        <w:t>). The authors test whether there is any relation between average return and beta when the portfolios are sorted on size and beta. There is no significant relationship.</w:t>
      </w:r>
      <w:r>
        <w:rPr>
          <w:rFonts w:ascii="Times New Roman" w:hAnsi="Times New Roman" w:cs="Times New Roman"/>
          <w:sz w:val="24"/>
        </w:rPr>
        <w:t xml:space="preserve"> This documented relationship between beta and stock returns acknowledged above leads one to </w:t>
      </w:r>
      <w:r w:rsidR="00367171">
        <w:rPr>
          <w:rFonts w:ascii="Times New Roman" w:hAnsi="Times New Roman" w:cs="Times New Roman"/>
          <w:sz w:val="24"/>
        </w:rPr>
        <w:t>accept that there are</w:t>
      </w:r>
      <w:r>
        <w:rPr>
          <w:rFonts w:ascii="Times New Roman" w:hAnsi="Times New Roman" w:cs="Times New Roman"/>
          <w:sz w:val="24"/>
        </w:rPr>
        <w:t xml:space="preserve"> other variables</w:t>
      </w:r>
      <w:r w:rsidR="00367171">
        <w:rPr>
          <w:rFonts w:ascii="Times New Roman" w:hAnsi="Times New Roman" w:cs="Times New Roman"/>
          <w:sz w:val="24"/>
        </w:rPr>
        <w:t xml:space="preserve"> that are</w:t>
      </w:r>
      <w:r>
        <w:rPr>
          <w:rFonts w:ascii="Times New Roman" w:hAnsi="Times New Roman" w:cs="Times New Roman"/>
          <w:sz w:val="24"/>
        </w:rPr>
        <w:t xml:space="preserve"> able to capture the variation in returns</w:t>
      </w:r>
      <w:r w:rsidR="00367171">
        <w:rPr>
          <w:rFonts w:ascii="Times New Roman" w:hAnsi="Times New Roman" w:cs="Times New Roman"/>
          <w:sz w:val="24"/>
        </w:rPr>
        <w:t xml:space="preserve"> better than beta</w:t>
      </w:r>
      <w:r>
        <w:rPr>
          <w:rFonts w:ascii="Times New Roman" w:hAnsi="Times New Roman" w:cs="Times New Roman"/>
          <w:sz w:val="24"/>
        </w:rPr>
        <w:t>.</w:t>
      </w:r>
    </w:p>
    <w:p w:rsidR="00936390" w:rsidRDefault="00936390" w:rsidP="00A02570">
      <w:pPr>
        <w:spacing w:line="360" w:lineRule="auto"/>
        <w:jc w:val="both"/>
        <w:rPr>
          <w:rFonts w:ascii="Times New Roman" w:hAnsi="Times New Roman" w:cs="Times New Roman"/>
        </w:rPr>
      </w:pPr>
    </w:p>
    <w:p w:rsidR="00FF500C" w:rsidRDefault="00FF500C" w:rsidP="00A02570">
      <w:pPr>
        <w:spacing w:line="360" w:lineRule="auto"/>
        <w:jc w:val="both"/>
        <w:rPr>
          <w:rFonts w:ascii="Times New Roman" w:hAnsi="Times New Roman" w:cs="Times New Roman"/>
        </w:rPr>
      </w:pPr>
    </w:p>
    <w:p w:rsidR="00FF500C" w:rsidRDefault="00FF500C" w:rsidP="00A02570">
      <w:pPr>
        <w:spacing w:line="360" w:lineRule="auto"/>
        <w:jc w:val="both"/>
        <w:rPr>
          <w:rFonts w:ascii="Times New Roman" w:hAnsi="Times New Roman" w:cs="Times New Roman"/>
        </w:rPr>
      </w:pPr>
    </w:p>
    <w:p w:rsidR="00F84C09" w:rsidRPr="00566BF3" w:rsidRDefault="00F84C09" w:rsidP="00F84C09">
      <w:pPr>
        <w:pStyle w:val="ListParagraph"/>
        <w:numPr>
          <w:ilvl w:val="0"/>
          <w:numId w:val="2"/>
        </w:numPr>
        <w:spacing w:line="360" w:lineRule="auto"/>
        <w:jc w:val="both"/>
        <w:outlineLvl w:val="0"/>
        <w:rPr>
          <w:rFonts w:ascii="Times New Roman" w:hAnsi="Times New Roman" w:cs="Times New Roman"/>
          <w:b/>
          <w:sz w:val="36"/>
        </w:rPr>
      </w:pPr>
      <w:bookmarkStart w:id="15" w:name="_Toc305166496"/>
      <w:r w:rsidRPr="00566BF3">
        <w:rPr>
          <w:rFonts w:ascii="Times New Roman" w:hAnsi="Times New Roman" w:cs="Times New Roman"/>
          <w:b/>
          <w:sz w:val="36"/>
        </w:rPr>
        <w:lastRenderedPageBreak/>
        <w:t>Risk</w:t>
      </w:r>
      <w:bookmarkEnd w:id="15"/>
    </w:p>
    <w:p w:rsidR="00F84C09" w:rsidRDefault="00F84C09" w:rsidP="00F84C09">
      <w:pPr>
        <w:spacing w:line="360" w:lineRule="auto"/>
        <w:jc w:val="both"/>
        <w:rPr>
          <w:rFonts w:ascii="Times New Roman" w:hAnsi="Times New Roman" w:cs="Times New Roman"/>
        </w:rPr>
      </w:pPr>
    </w:p>
    <w:p w:rsidR="00F84C09" w:rsidRDefault="00F84C09" w:rsidP="00F84C09">
      <w:pPr>
        <w:spacing w:line="360" w:lineRule="auto"/>
        <w:jc w:val="both"/>
        <w:rPr>
          <w:rFonts w:ascii="Times New Roman" w:hAnsi="Times New Roman" w:cs="Times New Roman"/>
          <w:sz w:val="24"/>
        </w:rPr>
      </w:pPr>
      <w:r w:rsidRPr="008B084D">
        <w:rPr>
          <w:rFonts w:ascii="Times New Roman" w:hAnsi="Times New Roman" w:cs="Times New Roman"/>
          <w:sz w:val="24"/>
        </w:rPr>
        <w:t xml:space="preserve">The risk of a stock or portfolio is generally </w:t>
      </w:r>
      <w:r>
        <w:rPr>
          <w:rFonts w:ascii="Times New Roman" w:hAnsi="Times New Roman" w:cs="Times New Roman"/>
          <w:sz w:val="24"/>
        </w:rPr>
        <w:t xml:space="preserve">captured by beta. In this study other sources of risks, or risk proxies are studied because beta is thought to be an insufficient risk proxy. Firms with poor future prospects, firms with a higher chance of failure, and firms with low earnings are all considered risky firms and so they are awarded with higher discount rates. </w:t>
      </w:r>
    </w:p>
    <w:p w:rsidR="00F84C09" w:rsidRPr="0077255B"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Fama and French (1992, 1998) are the common denominator in th</w:t>
      </w:r>
      <w:r>
        <w:rPr>
          <w:rFonts w:ascii="Times New Roman" w:hAnsi="Times New Roman" w:cs="Times New Roman"/>
          <w:sz w:val="24"/>
        </w:rPr>
        <w:t>is risk section</w:t>
      </w:r>
      <w:r w:rsidRPr="00566BF3">
        <w:rPr>
          <w:rFonts w:ascii="Times New Roman" w:hAnsi="Times New Roman" w:cs="Times New Roman"/>
          <w:sz w:val="24"/>
        </w:rPr>
        <w:t xml:space="preserve"> as they seem to be the basis of all arguments rooted in the contrarian value-is-riskier dispute. The Efficient Market </w:t>
      </w:r>
      <w:r>
        <w:rPr>
          <w:rFonts w:ascii="Times New Roman" w:hAnsi="Times New Roman" w:cs="Times New Roman"/>
          <w:sz w:val="24"/>
        </w:rPr>
        <w:t>Hypothesis</w:t>
      </w:r>
      <w:r w:rsidRPr="00566BF3">
        <w:rPr>
          <w:rFonts w:ascii="Times New Roman" w:hAnsi="Times New Roman" w:cs="Times New Roman"/>
          <w:sz w:val="24"/>
        </w:rPr>
        <w:t xml:space="preserve"> is </w:t>
      </w:r>
      <w:r>
        <w:rPr>
          <w:rFonts w:ascii="Times New Roman" w:hAnsi="Times New Roman" w:cs="Times New Roman"/>
          <w:sz w:val="24"/>
        </w:rPr>
        <w:t>attributed as a</w:t>
      </w:r>
      <w:r w:rsidRPr="00566BF3">
        <w:rPr>
          <w:rFonts w:ascii="Times New Roman" w:hAnsi="Times New Roman" w:cs="Times New Roman"/>
          <w:sz w:val="24"/>
        </w:rPr>
        <w:t xml:space="preserve"> reason why value strategies have higher returns – because they have increased risk</w:t>
      </w:r>
      <w:r>
        <w:rPr>
          <w:rFonts w:ascii="Times New Roman" w:hAnsi="Times New Roman" w:cs="Times New Roman"/>
          <w:sz w:val="24"/>
        </w:rPr>
        <w:t xml:space="preserve"> (Fama and French, 1992)</w:t>
      </w:r>
      <w:r w:rsidRPr="00566BF3">
        <w:rPr>
          <w:rFonts w:ascii="Times New Roman" w:hAnsi="Times New Roman" w:cs="Times New Roman"/>
          <w:sz w:val="24"/>
        </w:rPr>
        <w:t xml:space="preserve">.  La Porta (1996) furthers what Fama and French (1992) propose, asking if the returns earned on value strategies are large enough in order to compensate investors for the increased risk of the value stocks or are their returns greater than growth stocks because naive investors continue to underestimate their future performance? Markowitz (1952) stipulates that stocks have two very distinct features – their risk and return. Rational, risk-averse investors aim to hold the most efficient portfolio – one with the least variance for a given return. </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Money managers or investment teams are paid not for what they do, but what they do in relation to some goal or target. Jensen (2005) posits that this leads to targets being changed, or the way in which these managers meet their goals are altered. Capital markets reward and punish firms based on whether or not they meet analysts’ forecasts. If a firm can produce earnings greater than what is predicted by the analyst consensus then it is rewarded with a higher price, but if the firm cannot reach the target set by the analysts then the stock price falls, Jensen (2005). What Jensen (2005) notices is that while managers are able to create short term value they simultaneously destroy long term value. This tends to destroy the core value of the firm, leaving it susceptible to underperforming the market’s expectations in the future. Jensen (2005) further points out that when the managers of the firms can no longer sustain superior performance the CEOs will look to bring in new managers and fire the old ones. All of this leads to the conclusion that growth is not necessarily a good thing as in the </w:t>
      </w:r>
      <w:r>
        <w:rPr>
          <w:rFonts w:ascii="Times New Roman" w:hAnsi="Times New Roman" w:cs="Times New Roman"/>
          <w:sz w:val="24"/>
        </w:rPr>
        <w:lastRenderedPageBreak/>
        <w:t xml:space="preserve">long run it is very difficult to sustain. Furthermore, Jensen (2005) states that a growth firm is not the same as a good firm or a firm with true core value.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CAPM cannot explain why high BTM stocks outperform low BTM stocks; it </w:t>
      </w:r>
      <w:r>
        <w:rPr>
          <w:rFonts w:ascii="Times New Roman" w:hAnsi="Times New Roman" w:cs="Times New Roman"/>
          <w:sz w:val="24"/>
        </w:rPr>
        <w:t xml:space="preserve">is </w:t>
      </w:r>
      <w:r w:rsidRPr="00566BF3">
        <w:rPr>
          <w:rFonts w:ascii="Times New Roman" w:hAnsi="Times New Roman" w:cs="Times New Roman"/>
          <w:sz w:val="24"/>
        </w:rPr>
        <w:t xml:space="preserve">why the contrarian strategy of investing in value stocks classified by high BTM ratios is considered an anomaly. The BTM ratio has a very important role to play in understanding and explaining returns, however even though its role is understood, its reason is not. Some authors (including Fama and French, 1992) find BTM explains stock returns better than market </w:t>
      </w:r>
      <w:r>
        <w:rPr>
          <w:rFonts w:ascii="Times New Roman" w:hAnsi="Times New Roman" w:cs="Times New Roman"/>
          <w:sz w:val="24"/>
        </w:rPr>
        <w:t>capitalisation does, while other authors,</w:t>
      </w:r>
      <w:r w:rsidRPr="00566BF3">
        <w:rPr>
          <w:rFonts w:ascii="Times New Roman" w:hAnsi="Times New Roman" w:cs="Times New Roman"/>
          <w:sz w:val="24"/>
        </w:rPr>
        <w:t xml:space="preserve"> including Chen</w:t>
      </w:r>
      <w:r>
        <w:rPr>
          <w:rFonts w:ascii="Times New Roman" w:hAnsi="Times New Roman" w:cs="Times New Roman"/>
          <w:sz w:val="24"/>
        </w:rPr>
        <w:t xml:space="preserve"> </w:t>
      </w:r>
      <w:r w:rsidRPr="00962075">
        <w:rPr>
          <w:rFonts w:ascii="Times New Roman" w:hAnsi="Times New Roman" w:cs="Times New Roman"/>
          <w:i/>
          <w:sz w:val="24"/>
        </w:rPr>
        <w:t>et al.</w:t>
      </w:r>
      <w:r w:rsidRPr="00566BF3">
        <w:rPr>
          <w:rFonts w:ascii="Times New Roman" w:hAnsi="Times New Roman" w:cs="Times New Roman"/>
          <w:sz w:val="24"/>
        </w:rPr>
        <w:t xml:space="preserve"> </w:t>
      </w:r>
      <w:r>
        <w:rPr>
          <w:rFonts w:ascii="Times New Roman" w:hAnsi="Times New Roman" w:cs="Times New Roman"/>
          <w:sz w:val="24"/>
        </w:rPr>
        <w:t>(2005)</w:t>
      </w:r>
      <w:r w:rsidRPr="00566BF3">
        <w:rPr>
          <w:rFonts w:ascii="Times New Roman" w:hAnsi="Times New Roman" w:cs="Times New Roman"/>
          <w:sz w:val="24"/>
        </w:rPr>
        <w:t xml:space="preserve"> find size explains returns better than BTM. The complication arises from the lack of agreement about what BTM actually measures. The initial concept is readily accepted by academics as the market values a stock’s prospects, so a lacklustre stock would have a low market value of equity and therefore a high BTM ratio. One could then classify this stock as a value stock. Fama and French (1992) propose that, because there is a direct relationship between share returns and the BTM ratio, in order to satisfy the theory of rational and efficient pricing in markets, BTM must be related to risk. High risk leads to high</w:t>
      </w:r>
      <w:r>
        <w:rPr>
          <w:rFonts w:ascii="Times New Roman" w:hAnsi="Times New Roman" w:cs="Times New Roman"/>
          <w:sz w:val="24"/>
        </w:rPr>
        <w:t>er</w:t>
      </w:r>
      <w:r w:rsidRPr="00566BF3">
        <w:rPr>
          <w:rFonts w:ascii="Times New Roman" w:hAnsi="Times New Roman" w:cs="Times New Roman"/>
          <w:sz w:val="24"/>
        </w:rPr>
        <w:t xml:space="preserve"> returns, and a high BTM ratio is indicative of high</w:t>
      </w:r>
      <w:r>
        <w:rPr>
          <w:rFonts w:ascii="Times New Roman" w:hAnsi="Times New Roman" w:cs="Times New Roman"/>
          <w:sz w:val="24"/>
        </w:rPr>
        <w:t>er</w:t>
      </w:r>
      <w:r w:rsidRPr="00566BF3">
        <w:rPr>
          <w:rFonts w:ascii="Times New Roman" w:hAnsi="Times New Roman" w:cs="Times New Roman"/>
          <w:sz w:val="24"/>
        </w:rPr>
        <w:t xml:space="preserve"> return.</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There is a possibility that beta cannot capture all the relevant risks of a portfolio, Chan and Lakonishok (2004). The CAPM explicitly states that a stock’s market beta is the only determinant of its cross-section of return</w:t>
      </w:r>
      <w:r>
        <w:rPr>
          <w:rFonts w:ascii="Times New Roman" w:hAnsi="Times New Roman" w:cs="Times New Roman"/>
          <w:sz w:val="24"/>
        </w:rPr>
        <w:t xml:space="preserve">, Jagannathan and Wang (1996). </w:t>
      </w:r>
      <w:r w:rsidRPr="00DA4D09">
        <w:rPr>
          <w:rFonts w:ascii="Times New Roman" w:hAnsi="Times New Roman" w:cs="Times New Roman"/>
          <w:sz w:val="24"/>
        </w:rPr>
        <w:t>Also, CAPM states the expected return of a stock has a direct relationship with the market beta, implying as the stock’s systematic risk increases so too should its return.</w:t>
      </w:r>
      <w:r>
        <w:t xml:space="preserve"> </w:t>
      </w:r>
      <w:r w:rsidRPr="00566BF3">
        <w:rPr>
          <w:rFonts w:ascii="Times New Roman" w:hAnsi="Times New Roman" w:cs="Times New Roman"/>
          <w:sz w:val="24"/>
        </w:rPr>
        <w:t>Daniel, Hirshleifer, and Subrahmanyam (2001) look at evidence provided by several researchers who consider the benefit of knowing the level of covariance risk in predicting future returns. The authors find that if one performs a regression using a fundamental-to-price ratio or size, it weakens the predictability beta has. Daniel, Hirshleifer, and Subrahmanyam (2001) come to the conclusion that, even though beta can forecast future returns, fundamental-to-price ratios are much better forecasters. Further, Chan and Lakonishok (2004) agree with this concept, stating that it</w:t>
      </w:r>
      <w:r>
        <w:rPr>
          <w:rFonts w:ascii="Times New Roman" w:hAnsi="Times New Roman" w:cs="Times New Roman"/>
          <w:sz w:val="24"/>
        </w:rPr>
        <w:t xml:space="preserve"> i</w:t>
      </w:r>
      <w:r w:rsidRPr="00566BF3">
        <w:rPr>
          <w:rFonts w:ascii="Times New Roman" w:hAnsi="Times New Roman" w:cs="Times New Roman"/>
          <w:sz w:val="24"/>
        </w:rPr>
        <w:t>s possible that beta and volatility, as proxies, have very little weighting.</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 xml:space="preserve">Naive investors have been found to make at least two types of persistent errors that La Porta (1996) attributes to the above-average returns of value strategies. First, naive investors make errors about the risk of value stocks; second, they make misvaluations when it comes to forecasting growth in earnings. La Porta (1996) considers investors to be naive when they </w:t>
      </w:r>
      <w:r>
        <w:rPr>
          <w:rFonts w:ascii="Times New Roman" w:hAnsi="Times New Roman" w:cs="Times New Roman"/>
          <w:sz w:val="24"/>
        </w:rPr>
        <w:t>are not</w:t>
      </w:r>
      <w:r w:rsidRPr="00566BF3">
        <w:rPr>
          <w:rFonts w:ascii="Times New Roman" w:hAnsi="Times New Roman" w:cs="Times New Roman"/>
          <w:sz w:val="24"/>
        </w:rPr>
        <w:t xml:space="preserve"> able to, or </w:t>
      </w:r>
      <w:r>
        <w:rPr>
          <w:rFonts w:ascii="Times New Roman" w:hAnsi="Times New Roman" w:cs="Times New Roman"/>
          <w:sz w:val="24"/>
        </w:rPr>
        <w:t>do not</w:t>
      </w:r>
      <w:r w:rsidRPr="00566BF3">
        <w:rPr>
          <w:rFonts w:ascii="Times New Roman" w:hAnsi="Times New Roman" w:cs="Times New Roman"/>
          <w:sz w:val="24"/>
        </w:rPr>
        <w:t>, distinguish between a stock’s systematic (or market) and idiosyncratic (or diversifiable) risk.</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The risk </w:t>
      </w:r>
      <w:r>
        <w:rPr>
          <w:rFonts w:ascii="Times New Roman" w:hAnsi="Times New Roman" w:cs="Times New Roman"/>
          <w:sz w:val="24"/>
        </w:rPr>
        <w:t>hypothesis</w:t>
      </w:r>
      <w:r w:rsidRPr="00566BF3">
        <w:rPr>
          <w:rFonts w:ascii="Times New Roman" w:hAnsi="Times New Roman" w:cs="Times New Roman"/>
          <w:sz w:val="24"/>
        </w:rPr>
        <w:t xml:space="preserve"> proposed by La Porta (1996) predicts that investors’ forecasts should not have any explanatory power in the returns of stocks. This is based on the premise that forecasts are rational and growth rates are in no way related with risk factors.</w:t>
      </w:r>
      <w:r w:rsidRPr="00566BF3">
        <w:rPr>
          <w:rFonts w:ascii="Times New Roman" w:hAnsi="Times New Roman" w:cs="Times New Roman"/>
          <w:color w:val="943634" w:themeColor="accent2" w:themeShade="BF"/>
          <w:sz w:val="24"/>
        </w:rPr>
        <w:t xml:space="preserve"> </w:t>
      </w:r>
      <w:r w:rsidRPr="00566BF3">
        <w:rPr>
          <w:rFonts w:ascii="Times New Roman" w:hAnsi="Times New Roman" w:cs="Times New Roman"/>
          <w:sz w:val="24"/>
        </w:rPr>
        <w:t xml:space="preserve">In disagreement with the risk </w:t>
      </w:r>
      <w:r>
        <w:rPr>
          <w:rFonts w:ascii="Times New Roman" w:hAnsi="Times New Roman" w:cs="Times New Roman"/>
          <w:sz w:val="24"/>
        </w:rPr>
        <w:t>hypothesis</w:t>
      </w:r>
      <w:r w:rsidRPr="00566BF3">
        <w:rPr>
          <w:rFonts w:ascii="Times New Roman" w:hAnsi="Times New Roman" w:cs="Times New Roman"/>
          <w:sz w:val="24"/>
        </w:rPr>
        <w:t xml:space="preserve">, La Porta </w:t>
      </w:r>
      <w:r w:rsidRPr="00962075">
        <w:rPr>
          <w:rFonts w:ascii="Times New Roman" w:hAnsi="Times New Roman" w:cs="Times New Roman"/>
          <w:i/>
          <w:sz w:val="24"/>
        </w:rPr>
        <w:t>et al.</w:t>
      </w:r>
      <w:r w:rsidRPr="00566BF3">
        <w:rPr>
          <w:rFonts w:ascii="Times New Roman" w:hAnsi="Times New Roman" w:cs="Times New Roman"/>
          <w:sz w:val="24"/>
        </w:rPr>
        <w:t xml:space="preserve"> (1997) find that there is a higher chance of the value premium being due to </w:t>
      </w:r>
      <w:r w:rsidR="00AB2C61" w:rsidRPr="00566BF3">
        <w:rPr>
          <w:rFonts w:ascii="Times New Roman" w:hAnsi="Times New Roman" w:cs="Times New Roman"/>
          <w:sz w:val="24"/>
        </w:rPr>
        <w:t>expec</w:t>
      </w:r>
      <w:r w:rsidR="00AB2C61">
        <w:rPr>
          <w:rFonts w:ascii="Times New Roman" w:hAnsi="Times New Roman" w:cs="Times New Roman"/>
          <w:sz w:val="24"/>
        </w:rPr>
        <w:t>t</w:t>
      </w:r>
      <w:r w:rsidR="00AB2C61" w:rsidRPr="00566BF3">
        <w:rPr>
          <w:rFonts w:ascii="Times New Roman" w:hAnsi="Times New Roman" w:cs="Times New Roman"/>
          <w:sz w:val="24"/>
        </w:rPr>
        <w:t>ational</w:t>
      </w:r>
      <w:r w:rsidRPr="00566BF3">
        <w:rPr>
          <w:rFonts w:ascii="Times New Roman" w:hAnsi="Times New Roman" w:cs="Times New Roman"/>
          <w:sz w:val="24"/>
        </w:rPr>
        <w:t xml:space="preserve"> errors made by the market about earnings. They find returns after earnings announcements are higher for value portfolios formed on the one-way BTM sort and the two-way CP and GS sort. If the risk </w:t>
      </w:r>
      <w:r>
        <w:rPr>
          <w:rFonts w:ascii="Times New Roman" w:hAnsi="Times New Roman" w:cs="Times New Roman"/>
          <w:sz w:val="24"/>
        </w:rPr>
        <w:t>hypothesis</w:t>
      </w:r>
      <w:r w:rsidRPr="00566BF3">
        <w:rPr>
          <w:rFonts w:ascii="Times New Roman" w:hAnsi="Times New Roman" w:cs="Times New Roman"/>
          <w:sz w:val="24"/>
        </w:rPr>
        <w:t xml:space="preserve"> is to hold, the returns for growth stocks on event days should be lower than the returns for growth stocks on any other (typical) day.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Stocks that have been given low prices by the market to reflect their poor prospects are considered value stocks by contrarian investors. In this section, the concern is on</w:t>
      </w:r>
      <w:r>
        <w:rPr>
          <w:rFonts w:ascii="Times New Roman" w:hAnsi="Times New Roman" w:cs="Times New Roman"/>
          <w:sz w:val="24"/>
        </w:rPr>
        <w:t xml:space="preserve"> the riskiness of these stocks. Gregory, Harris, and Michou (2003), as an example, consider value stocks, with these low prices, to be riskier. Why, if</w:t>
      </w:r>
      <w:r w:rsidRPr="00566BF3">
        <w:rPr>
          <w:rFonts w:ascii="Times New Roman" w:hAnsi="Times New Roman" w:cs="Times New Roman"/>
          <w:sz w:val="24"/>
        </w:rPr>
        <w:t xml:space="preserve"> their values are low, do they become more risky? </w:t>
      </w:r>
      <w:r>
        <w:rPr>
          <w:rFonts w:ascii="Times New Roman" w:hAnsi="Times New Roman" w:cs="Times New Roman"/>
          <w:sz w:val="24"/>
        </w:rPr>
        <w:t xml:space="preserve">This question is asked as theory suggests that the riskier an asset, the higher its price must be to compensate the investor. The fact that a stock may have a lower price because it is indeed riskier seems to be ignored. </w:t>
      </w:r>
      <w:r w:rsidRPr="00566BF3">
        <w:rPr>
          <w:rFonts w:ascii="Times New Roman" w:hAnsi="Times New Roman" w:cs="Times New Roman"/>
          <w:sz w:val="24"/>
        </w:rPr>
        <w:t xml:space="preserve">There are many reasons for </w:t>
      </w:r>
      <w:r>
        <w:rPr>
          <w:rFonts w:ascii="Times New Roman" w:hAnsi="Times New Roman" w:cs="Times New Roman"/>
          <w:sz w:val="24"/>
        </w:rPr>
        <w:t>a value stock to be riskier</w:t>
      </w:r>
      <w:r w:rsidRPr="00566BF3">
        <w:rPr>
          <w:rFonts w:ascii="Times New Roman" w:hAnsi="Times New Roman" w:cs="Times New Roman"/>
          <w:sz w:val="24"/>
        </w:rPr>
        <w:t xml:space="preserve">, as Chan (1988) explains, if a firm’s value changes, there is the possibility that this change will have a greater effect on the market value of equity rather than its debt. If the firm </w:t>
      </w:r>
      <w:r>
        <w:rPr>
          <w:rFonts w:ascii="Times New Roman" w:hAnsi="Times New Roman" w:cs="Times New Roman"/>
          <w:sz w:val="24"/>
        </w:rPr>
        <w:t>does not</w:t>
      </w:r>
      <w:r w:rsidRPr="00566BF3">
        <w:rPr>
          <w:rFonts w:ascii="Times New Roman" w:hAnsi="Times New Roman" w:cs="Times New Roman"/>
          <w:sz w:val="24"/>
        </w:rPr>
        <w:t xml:space="preserve"> do anything to counteract this effect, it will appear as if </w:t>
      </w:r>
      <w:r>
        <w:rPr>
          <w:rFonts w:ascii="Times New Roman" w:hAnsi="Times New Roman" w:cs="Times New Roman"/>
          <w:sz w:val="24"/>
        </w:rPr>
        <w:t>the firm</w:t>
      </w:r>
      <w:r w:rsidRPr="00566BF3">
        <w:rPr>
          <w:rFonts w:ascii="Times New Roman" w:hAnsi="Times New Roman" w:cs="Times New Roman"/>
          <w:sz w:val="24"/>
        </w:rPr>
        <w:t xml:space="preserve"> has more financial leverage because the market value of equity has decreased. Greater financial leverage is interpreted by inv</w:t>
      </w:r>
      <w:r>
        <w:rPr>
          <w:rFonts w:ascii="Times New Roman" w:hAnsi="Times New Roman" w:cs="Times New Roman"/>
          <w:sz w:val="24"/>
        </w:rPr>
        <w:t>estors as greater risk. Garza-Gó</w:t>
      </w:r>
      <w:r w:rsidRPr="00566BF3">
        <w:rPr>
          <w:rFonts w:ascii="Times New Roman" w:hAnsi="Times New Roman" w:cs="Times New Roman"/>
          <w:sz w:val="24"/>
        </w:rPr>
        <w:t xml:space="preserve">mez (2001) finds in his study that larger sized firms in fact have higher leverage than smaller companies, thus challenging the small-firm effect. However, he is able to suggest a positive outcome for such an anomaly: a larger firm has a larger capacity to borrow funds. Smaller firms, with their reduced ability to issue debt may </w:t>
      </w:r>
      <w:r w:rsidRPr="00566BF3">
        <w:rPr>
          <w:rFonts w:ascii="Times New Roman" w:hAnsi="Times New Roman" w:cs="Times New Roman"/>
          <w:sz w:val="24"/>
        </w:rPr>
        <w:lastRenderedPageBreak/>
        <w:t>look riskier to investors, while larger firms have a good credit rating.</w:t>
      </w:r>
      <w:r>
        <w:rPr>
          <w:rFonts w:ascii="Times New Roman" w:hAnsi="Times New Roman" w:cs="Times New Roman"/>
          <w:sz w:val="24"/>
        </w:rPr>
        <w:t xml:space="preserve"> The study performed by Chan (1988) proposes a concept completely different to that of De Bondt and Thaler (1985). Instead of basing the contrarian strategy on the idea of investor overreaction to unexpected news or events, Chan (1988) offers the theory that the risks of value and growth portfolios are not constant, instead, they fluctuate over time. </w:t>
      </w:r>
    </w:p>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Chan (1988) explains this idea of fluctuating risks in terms of the expected market risk premium. The expected market risk premium and the risk of the value or growth strategy are related according to Chan (1988). The author notes that the beta of the value portfolio is positively correlated with the expected market risk premium, while the growth portfolio is negatively correlated with the expected market risk premium. Chan (1988) explains that the stock selection process can be a cause of the above correlations as very risky value stocks are selected when the expected market risk premium is high. When it is low, less risky value stocks are selected. This results in the correlation between the expected market risk premium and the difference between the risk of the value and growth stocks to be positive, Chan (1988). The assumption underlying the expected market risk premium is that it is affected by real output of the economy. With the cross sectional betas of the stocks in Chan (1988) study having to add up to one, it leads to the idea that as the value portfolio’s beta increases the growth portfolio’s beta must decrease. Thus the risks of the value and growth portfolios are dependent on the activity of the economy, fluctuating over time.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Chen and Zhang (1998) suggest financial leverage as one of the factors that should be considered in equity investing. They look at the return-to-asset and return-to-equity ratios, finding that the US, Thailand, and Hong Kong have lower return-to-assets ratios for the portfolios formed on the two-way sort of small-cap and high BTM ratio. In comparison, Taiwan has a lower return-to-asset ratio for portfolios formed on the two-way sort of large-cap and low BTM ratios. </w:t>
      </w:r>
      <w:r>
        <w:rPr>
          <w:rFonts w:ascii="Times New Roman" w:hAnsi="Times New Roman" w:cs="Times New Roman"/>
          <w:sz w:val="24"/>
        </w:rPr>
        <w:t>This is i</w:t>
      </w:r>
      <w:r w:rsidRPr="001B1828">
        <w:rPr>
          <w:rFonts w:ascii="Times New Roman" w:hAnsi="Times New Roman" w:cs="Times New Roman"/>
          <w:sz w:val="24"/>
        </w:rPr>
        <w:t>n comparison to the large capitalisation, low BTM ratio portfolios.</w:t>
      </w:r>
      <w:r>
        <w:rPr>
          <w:rFonts w:ascii="Times New Roman" w:hAnsi="Times New Roman" w:cs="Times New Roman"/>
          <w:sz w:val="24"/>
        </w:rPr>
        <w:t xml:space="preserve"> </w:t>
      </w:r>
      <w:r w:rsidRPr="00566BF3">
        <w:rPr>
          <w:rFonts w:ascii="Times New Roman" w:hAnsi="Times New Roman" w:cs="Times New Roman"/>
          <w:sz w:val="24"/>
        </w:rPr>
        <w:t>Another measure of risk is the standard deviation of the E/P ratio.</w:t>
      </w:r>
      <w:r>
        <w:rPr>
          <w:rFonts w:ascii="Times New Roman" w:hAnsi="Times New Roman" w:cs="Times New Roman"/>
          <w:sz w:val="24"/>
        </w:rPr>
        <w:t xml:space="preserve"> The a</w:t>
      </w:r>
      <w:r w:rsidRPr="00566BF3">
        <w:rPr>
          <w:rFonts w:ascii="Times New Roman" w:hAnsi="Times New Roman" w:cs="Times New Roman"/>
          <w:sz w:val="24"/>
        </w:rPr>
        <w:t xml:space="preserve">uthors argue that because earnings are uncertain and unpredictable, the standard deviation of the E/P ratio should capture this risk. </w:t>
      </w:r>
      <w:r>
        <w:rPr>
          <w:rFonts w:ascii="Times New Roman" w:hAnsi="Times New Roman" w:cs="Times New Roman"/>
          <w:sz w:val="24"/>
        </w:rPr>
        <w:t xml:space="preserve">What Chen and Zhang (1998) prove is that the value effect is not as pervasive in Thailand and Taiwan as it is in the US economy. The authors argue that the economy plays a major role in this finding. With growing economies such as Thailand </w:t>
      </w:r>
      <w:r>
        <w:rPr>
          <w:rFonts w:ascii="Times New Roman" w:hAnsi="Times New Roman" w:cs="Times New Roman"/>
          <w:sz w:val="24"/>
        </w:rPr>
        <w:lastRenderedPageBreak/>
        <w:t xml:space="preserve">and Taiwan, it is found that even marginal firms are benefitting from the growing economy. This implies that even value stocks, that could have been priced lower, will have a relatively higher price because of the expansion of the economy. The more stable economy of the US exhibits a value effect, possibly due to price misestimates, under- or overreaction to news, and future uncertainty of the stock price, Chen and Zhang (1998).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A firm may be profitable because it has economies of scale, if value falls and the firm loses these economies, its risk will increase. A growth firm benefits from operating leverage as it minimizes the risk of the firm’s stock as the value increase (Chan, 1988). Fama and French (1996) propose value stocks to be more risky because these stocks with high book-to-market ratios are more prone to financial distress. This argument should make a great deal of sense as the market has ‘awarded’ value stocks with low prices, so they may indeed land up in some financial trouble if they </w:t>
      </w:r>
      <w:r>
        <w:rPr>
          <w:rFonts w:ascii="Times New Roman" w:hAnsi="Times New Roman" w:cs="Times New Roman"/>
          <w:sz w:val="24"/>
        </w:rPr>
        <w:t>are not</w:t>
      </w:r>
      <w:r w:rsidRPr="00566BF3">
        <w:rPr>
          <w:rFonts w:ascii="Times New Roman" w:hAnsi="Times New Roman" w:cs="Times New Roman"/>
          <w:sz w:val="24"/>
        </w:rPr>
        <w:t xml:space="preserve"> already in it. The authors followed a methodology of Merton (1973) – a multi-factor asset pricing model. The return on assets can be an indication of a firm’s distress risk, as Griffin and Lemmon (2002) discuss, they measure return on assets as income before extraordinary items divided by total assets. They find the firm’s return on assets is generally indirectly related to the BTM ratio, also finding that the return on assets appears to decrease as a firm’s distress risk increases. The return on assets and the return on book equity must be distinguished. A firm may have very costly debt, and a lot of it, thus decreasing its return on equity, however, its return on assets may still be at a normal level.</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In Japan, Hong Kong and the US</w:t>
      </w:r>
      <w:r w:rsidRPr="00566BF3">
        <w:rPr>
          <w:rFonts w:ascii="Times New Roman" w:hAnsi="Times New Roman" w:cs="Times New Roman"/>
          <w:sz w:val="24"/>
        </w:rPr>
        <w:t xml:space="preserve"> markets small firms (as indicated by their market </w:t>
      </w:r>
      <w:r>
        <w:rPr>
          <w:rFonts w:ascii="Times New Roman" w:hAnsi="Times New Roman" w:cs="Times New Roman"/>
          <w:sz w:val="24"/>
        </w:rPr>
        <w:t>capitalisation</w:t>
      </w:r>
      <w:r w:rsidRPr="00566BF3">
        <w:rPr>
          <w:rFonts w:ascii="Times New Roman" w:hAnsi="Times New Roman" w:cs="Times New Roman"/>
          <w:sz w:val="24"/>
        </w:rPr>
        <w:t xml:space="preserve">s) have high BTM ratio – as one would expect because the small firm stock is generally considered to be a value stock, and value stocks are classified by high book-to-market values. However, Malaysia, Taiwan and Thailand have different size characteristics. Both small and large firms have similar BTM ratios, implying that there is no risk-return differential between small-cap and large-cap stocks. In fact, Chen and Zhang (1998) theorize that this happens due to the growth of the Malaysian market, and high-growth of the Taiwanese and Thai markets. If these markets have such growth potential then the market awards all stocks with higher market values.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Risk is measured by standard deviation, variance, and beta. Chan and Lakonishok (2004) find in their results that the return volatility differentials were not extremely large, or significant. This implies</w:t>
      </w:r>
      <w:r>
        <w:rPr>
          <w:rFonts w:ascii="Times New Roman" w:hAnsi="Times New Roman" w:cs="Times New Roman"/>
          <w:sz w:val="24"/>
        </w:rPr>
        <w:t xml:space="preserve"> that</w:t>
      </w:r>
      <w:r w:rsidRPr="00566BF3">
        <w:rPr>
          <w:rFonts w:ascii="Times New Roman" w:hAnsi="Times New Roman" w:cs="Times New Roman"/>
          <w:sz w:val="24"/>
        </w:rPr>
        <w:t xml:space="preserve"> the risks of both value and growth strategies are similar (at least in the authors’ study). Lakonishok, Shleifer, and Vishny (1994) acknowledge that there is a difference in returns between value and growth strategies and risk </w:t>
      </w:r>
      <w:r>
        <w:rPr>
          <w:rFonts w:ascii="Times New Roman" w:hAnsi="Times New Roman" w:cs="Times New Roman"/>
          <w:sz w:val="24"/>
        </w:rPr>
        <w:t>does not</w:t>
      </w:r>
      <w:r w:rsidRPr="00566BF3">
        <w:rPr>
          <w:rFonts w:ascii="Times New Roman" w:hAnsi="Times New Roman" w:cs="Times New Roman"/>
          <w:sz w:val="24"/>
        </w:rPr>
        <w:t xml:space="preserve"> explain this difference. To take into account the risk of a strategy, the number of times good and poor performances occur need to be considered, as well as the standard deviation and betas of the strategies, and how each strategy performs in down markets. The authors find that value portfolios produced higher returns than growth portfolios; increasing the length of period under consideration, value continues to outperform growth with increased consistency. </w:t>
      </w:r>
    </w:p>
    <w:p w:rsidR="00F84C09" w:rsidRDefault="00F84C09" w:rsidP="00F84C09">
      <w:pPr>
        <w:spacing w:line="360" w:lineRule="auto"/>
        <w:jc w:val="both"/>
        <w:rPr>
          <w:rFonts w:ascii="Times New Roman" w:hAnsi="Times New Roman" w:cs="Times New Roman"/>
          <w:color w:val="7030A0"/>
          <w:sz w:val="24"/>
        </w:rPr>
      </w:pPr>
    </w:p>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rPr>
        <w:t xml:space="preserve">The risk explanation, argued by Lakonishok, Shleifer, and Vishny (1994) that value portfolios need to underperform growth stocks in down states of the market in order to be deemed fundamentally riskier than growth stocks is considered by </w:t>
      </w:r>
      <w:r>
        <w:rPr>
          <w:rFonts w:ascii="Times New Roman" w:eastAsia="Times New Roman" w:hAnsi="Times New Roman" w:cs="Times New Roman"/>
          <w:sz w:val="24"/>
          <w:lang w:val="en-GB" w:eastAsia="en-GB"/>
        </w:rPr>
        <w:t xml:space="preserve">Brouwer, van der Put, and Veld (1997). The two years the market performed poorly in their study (when the market has negative returns) the value portfolio sorted on the C/P ratio still outperforms the growth portfolio sorted on the same ratio. Even though the authors find high variability for the C/P sorted portfolio, they fail to find any underperformance of the value portfolio. Their Sharpe ratio, calculated as the average portfolio excess return divided by the standard deviation of the portfolio return, is high for the high C/P portfolio. Brouwer, van der Put, and Veld (1997) thus conclude that the value strategy is not riskier, if it is deemed riskier when value underperforms growth in a down market. </w:t>
      </w:r>
      <w:r>
        <w:rPr>
          <w:rFonts w:ascii="Times New Roman" w:hAnsi="Times New Roman" w:cs="Times New Roman"/>
          <w:sz w:val="24"/>
          <w:szCs w:val="36"/>
        </w:rPr>
        <w:t xml:space="preserve">Gregory, Harris, and Michou (2003) test this hypothesis that value portfolios should underperform growth in down states of the market using the portfolios sorted on one-dimension and two-dimension classifications. The authors take the worst 25 months along with the best 25 months, negative 44 and positive 128 months and consider each variable’s returns in these four different periods. The VMG portfolio (with only the single most extreme value portfolio minus the single most extreme growth portfolio) for the BTM single sorted group exhibits a negative return difference in the best 25 months, but a very small difference at that. When the VMG portfolio is defined by the two extreme value and two extreme growth portfolios all the value minus growth returns are positive, even in the worst 25 months and when the market returns are negative. This result indicates that the value strategy is not fundamentally riskier than the growth strategy. </w:t>
      </w:r>
    </w:p>
    <w:p w:rsidR="00F84C09" w:rsidRPr="00566BF3" w:rsidRDefault="00F84C09" w:rsidP="00F84C09">
      <w:pPr>
        <w:spacing w:line="360" w:lineRule="auto"/>
        <w:jc w:val="both"/>
        <w:rPr>
          <w:rFonts w:ascii="Times New Roman" w:hAnsi="Times New Roman" w:cs="Times New Roman"/>
          <w:color w:val="7030A0"/>
          <w:sz w:val="24"/>
        </w:rPr>
      </w:pPr>
    </w:p>
    <w:p w:rsidR="00F84C09"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While Lakonishok, Shleifer, and Vishny (1994) agree that there are higher returns attributed to value rather than growth strategies, and that these returns can be explained by the Fama and French (1993) three-factor model, they find little evidence detailing value stocks as riskier than growth.</w:t>
      </w:r>
      <w:r>
        <w:rPr>
          <w:rFonts w:ascii="Times New Roman" w:hAnsi="Times New Roman" w:cs="Times New Roman"/>
          <w:sz w:val="24"/>
        </w:rPr>
        <w:t xml:space="preserve"> If one uses a multifactor model, such as Fama and French (1993, 1996) three-factor model or Ross (1976) APT, the fundamental test is to determine whether the model explains the differences in average returns, Fama and French (1993). </w:t>
      </w:r>
      <w:r w:rsidRPr="00566BF3">
        <w:rPr>
          <w:rFonts w:ascii="Times New Roman" w:hAnsi="Times New Roman" w:cs="Times New Roman"/>
          <w:sz w:val="24"/>
        </w:rPr>
        <w:t xml:space="preserve"> If value stocks are fundamentally riskier than growth stocks, then they are expected to underperform growth stocks when the world markets </w:t>
      </w:r>
      <w:r>
        <w:rPr>
          <w:rFonts w:ascii="Times New Roman" w:hAnsi="Times New Roman" w:cs="Times New Roman"/>
          <w:sz w:val="24"/>
        </w:rPr>
        <w:t>are not</w:t>
      </w:r>
      <w:r w:rsidRPr="00566BF3">
        <w:rPr>
          <w:rFonts w:ascii="Times New Roman" w:hAnsi="Times New Roman" w:cs="Times New Roman"/>
          <w:sz w:val="24"/>
        </w:rPr>
        <w:t xml:space="preserve"> doing very well, that is, when the marginal utility of wealth is high. Chan and Lakonishok (2004) and Gregory, Harris, and Michou (2003) consider this perception detailing that the most important part of this theory is identifying when these adverse states of the market are. One needs to look at when the stock markets, in general, performed poorly, looking for the lowest return on an equally-weighted proxy for a market index. Gregory, Harris, and Michou (2003) test this </w:t>
      </w:r>
      <w:r>
        <w:rPr>
          <w:rFonts w:ascii="Times New Roman" w:hAnsi="Times New Roman" w:cs="Times New Roman"/>
          <w:sz w:val="24"/>
        </w:rPr>
        <w:t>hypothesis</w:t>
      </w:r>
      <w:r w:rsidRPr="00566BF3">
        <w:rPr>
          <w:rFonts w:ascii="Times New Roman" w:hAnsi="Times New Roman" w:cs="Times New Roman"/>
          <w:sz w:val="24"/>
        </w:rPr>
        <w:t>, coming to the conclusion that value strategies are not fundamentally riskier than growth stocks because value and growth stocks performed just as poorly as one another in adverse states of the market.</w:t>
      </w:r>
    </w:p>
    <w:p w:rsidR="00F84C09"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While Lakonishok, Shleifer, and Vishny (1994) investigate the risk theory that value strategies are riskier than growth strategies and this is the reason why value strategies outperform growth ones in the first post formation year, Chin, Prevost, and Gottesman (2002) investigate if growth strategies are riskier than value strategies as they find that growth outperforms value in the first post formation year. In order to determine which strategy is riskier, Chin, Prevost, and Gottesman (2002) form a table of the first post formation year return with its standard deviation next to it, so as to compare value with growth. The risk explanation for the contrarian strategy states that value stocks will have higher standard deviations and in order to compensate the investor for this increased risk, a higher return must be earned in the year to come. The results of Chin, Prevost, and Gottesman (2002) standard deviation and return table show that in only two instances do value portfolios outperform growth and are simultaneously riskier. Albeit they are found to be much riskier than the growth portfolios, they do not necessarily outperform the growth strategies. The first post formation year is largely dominated by growth outperforming value by about 66%, Chin, Prevost, and Gottesman (2002).</w:t>
      </w:r>
    </w:p>
    <w:p w:rsidR="00F84C09" w:rsidRDefault="00F84C09" w:rsidP="00F84C09">
      <w:pPr>
        <w:spacing w:line="360" w:lineRule="auto"/>
        <w:jc w:val="both"/>
        <w:rPr>
          <w:rFonts w:ascii="Times New Roman" w:hAnsi="Times New Roman" w:cs="Times New Roman"/>
          <w:sz w:val="24"/>
        </w:rPr>
      </w:pPr>
    </w:p>
    <w:p w:rsidR="00F84C09" w:rsidRDefault="00F84C09" w:rsidP="00F84C0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The following discussion centres on the risk-adjusted methods developed by Treynor (1966), Jensen (1969), and Sharpe (1966) as cited in Bodie, Kane, and Marcus (2009). These measures, as described in Bodie, Kane and Marcus (2009) use mean-variance as an evaluation measure. The Sharpe measure describes a portfolio’s returns as result of excess risk. In other words, two portfolios can be comparable in returns but one may have higher risk and the Sharpe measure is able to determine which portfolio is more risky, according to Bodie, Kane and Marcus (2009). The greater the ratio the better the portfolio’s risk-adjusted performance. If the result of the quotient of expected portfolio return and portfolio standard deviation is negative then a risk-free asset would be a better performing investment than the portfolio under consideration. The Sharpe measure is given by the formula:</w:t>
      </w:r>
    </w:p>
    <w:p w:rsidR="00FF500C" w:rsidRPr="00C90E92" w:rsidRDefault="00FF500C" w:rsidP="00F84C09">
      <w:pPr>
        <w:pStyle w:val="ListParagraph"/>
        <w:spacing w:line="360" w:lineRule="auto"/>
        <w:ind w:left="0"/>
        <w:jc w:val="both"/>
        <w:rPr>
          <w:rFonts w:ascii="Times New Roman" w:hAnsi="Times New Roman" w:cs="Times New Roman"/>
          <w:szCs w:val="24"/>
        </w:rPr>
      </w:pPr>
    </w:p>
    <w:tbl>
      <w:tblPr>
        <w:tblStyle w:val="TableGrid"/>
        <w:tblpPr w:leftFromText="180" w:rightFromText="180" w:vertAnchor="text" w:horzAnchor="margin" w:tblpY="24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6"/>
        <w:gridCol w:w="6932"/>
        <w:gridCol w:w="924"/>
      </w:tblGrid>
      <w:tr w:rsidR="00F84C09" w:rsidTr="00CC694D">
        <w:tc>
          <w:tcPr>
            <w:tcW w:w="750" w:type="pct"/>
            <w:vAlign w:val="center"/>
          </w:tcPr>
          <w:p w:rsidR="00F84C09" w:rsidRDefault="00F84C09" w:rsidP="00CC694D">
            <w:pPr>
              <w:pStyle w:val="ListParagraph"/>
              <w:spacing w:line="360" w:lineRule="auto"/>
              <w:ind w:left="0"/>
              <w:jc w:val="both"/>
              <w:rPr>
                <w:rFonts w:ascii="Times New Roman" w:hAnsi="Times New Roman" w:cs="Times New Roman"/>
                <w:sz w:val="24"/>
                <w:szCs w:val="24"/>
              </w:rPr>
            </w:pPr>
          </w:p>
        </w:tc>
        <w:tc>
          <w:tcPr>
            <w:tcW w:w="3750" w:type="pct"/>
          </w:tcPr>
          <w:p w:rsidR="00F84C09" w:rsidRDefault="000963F3" w:rsidP="00CC694D">
            <w:pPr>
              <w:pStyle w:val="ListParagraph"/>
              <w:spacing w:line="360" w:lineRule="auto"/>
              <w:ind w:left="0"/>
              <w:jc w:val="both"/>
              <w:rPr>
                <w:rFonts w:ascii="Times New Roman" w:hAnsi="Times New Roman" w:cs="Times New Roman"/>
                <w:sz w:val="24"/>
                <w:szCs w:val="24"/>
              </w:rPr>
            </w:pPr>
            <m:oMathPara>
              <m:oMath>
                <m:f>
                  <m:fPr>
                    <m:type m:val="lin"/>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p</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f</m:t>
                            </m:r>
                          </m:sub>
                        </m:sSub>
                      </m:e>
                    </m:d>
                  </m:num>
                  <m:den>
                    <m:sSub>
                      <m:sSubPr>
                        <m:ctrlPr>
                          <w:rPr>
                            <w:rFonts w:ascii="Cambria Math" w:hAnsi="Cambria Math" w:cs="Times New Roman"/>
                            <w:i/>
                            <w:sz w:val="24"/>
                            <w:szCs w:val="24"/>
                          </w:rPr>
                        </m:ctrlPr>
                      </m:sSubPr>
                      <m:e>
                        <m:r>
                          <w:rPr>
                            <w:rFonts w:ascii="Cambria Math" w:hAnsi="Cambria Math" w:cs="Times New Roman"/>
                            <w:sz w:val="24"/>
                            <w:szCs w:val="24"/>
                          </w:rPr>
                          <m:t>σ</m:t>
                        </m:r>
                      </m:e>
                      <m:sub>
                        <m:r>
                          <w:rPr>
                            <w:rFonts w:ascii="Cambria Math" w:hAnsi="Cambria Math" w:cs="Times New Roman"/>
                            <w:sz w:val="24"/>
                            <w:szCs w:val="24"/>
                          </w:rPr>
                          <m:t>p</m:t>
                        </m:r>
                      </m:sub>
                    </m:sSub>
                  </m:den>
                </m:f>
              </m:oMath>
            </m:oMathPara>
          </w:p>
        </w:tc>
        <w:tc>
          <w:tcPr>
            <w:tcW w:w="500" w:type="pct"/>
          </w:tcPr>
          <w:p w:rsidR="00F84C09" w:rsidRDefault="00F84C09" w:rsidP="00664ED3">
            <w:pPr>
              <w:pStyle w:val="ListParagraph"/>
              <w:spacing w:line="360" w:lineRule="auto"/>
              <w:ind w:left="0"/>
              <w:jc w:val="right"/>
              <w:rPr>
                <w:rFonts w:ascii="Times New Roman" w:hAnsi="Times New Roman" w:cs="Times New Roman"/>
                <w:sz w:val="24"/>
                <w:szCs w:val="24"/>
              </w:rPr>
            </w:pPr>
            <w:r>
              <w:rPr>
                <w:rFonts w:ascii="Times New Roman" w:hAnsi="Times New Roman" w:cs="Times New Roman"/>
                <w:sz w:val="24"/>
                <w:szCs w:val="24"/>
              </w:rPr>
              <w:t>(</w:t>
            </w:r>
            <w:r w:rsidR="00664ED3">
              <w:rPr>
                <w:rFonts w:ascii="Times New Roman" w:hAnsi="Times New Roman" w:cs="Times New Roman"/>
                <w:sz w:val="24"/>
                <w:szCs w:val="24"/>
              </w:rPr>
              <w:t>5</w:t>
            </w:r>
            <w:r>
              <w:rPr>
                <w:rFonts w:ascii="Times New Roman" w:hAnsi="Times New Roman" w:cs="Times New Roman"/>
                <w:sz w:val="24"/>
                <w:szCs w:val="24"/>
              </w:rPr>
              <w:t>)</w:t>
            </w:r>
          </w:p>
        </w:tc>
      </w:tr>
    </w:tbl>
    <w:p w:rsidR="00F84C09" w:rsidRDefault="00F84C09" w:rsidP="00F84C09">
      <w:pPr>
        <w:pStyle w:val="ListParagraph"/>
        <w:spacing w:line="360" w:lineRule="auto"/>
        <w:ind w:left="0"/>
        <w:jc w:val="both"/>
        <w:outlineLvl w:val="0"/>
        <w:rPr>
          <w:rFonts w:ascii="Times New Roman" w:hAnsi="Times New Roman" w:cs="Times New Roman"/>
          <w:sz w:val="24"/>
          <w:szCs w:val="24"/>
        </w:rPr>
      </w:pPr>
    </w:p>
    <w:p w:rsidR="00F84C09" w:rsidRDefault="00F84C09" w:rsidP="00F84C0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Where r</w:t>
      </w:r>
      <w:r>
        <w:rPr>
          <w:rFonts w:ascii="Times New Roman" w:hAnsi="Times New Roman" w:cs="Times New Roman"/>
          <w:sz w:val="24"/>
          <w:szCs w:val="24"/>
          <w:vertAlign w:val="subscript"/>
        </w:rPr>
        <w:t>p</w:t>
      </w:r>
      <w:r>
        <w:rPr>
          <w:rFonts w:ascii="Times New Roman" w:hAnsi="Times New Roman" w:cs="Times New Roman"/>
          <w:sz w:val="24"/>
          <w:szCs w:val="24"/>
        </w:rPr>
        <w:t xml:space="preserve"> is the average monthly return on the portfolio, r</w:t>
      </w:r>
      <w:r>
        <w:rPr>
          <w:rFonts w:ascii="Times New Roman" w:hAnsi="Times New Roman" w:cs="Times New Roman"/>
          <w:sz w:val="24"/>
          <w:szCs w:val="24"/>
          <w:vertAlign w:val="subscript"/>
        </w:rPr>
        <w:t>f</w:t>
      </w:r>
      <w:r>
        <w:rPr>
          <w:rFonts w:ascii="Times New Roman" w:hAnsi="Times New Roman" w:cs="Times New Roman"/>
          <w:sz w:val="24"/>
          <w:szCs w:val="24"/>
        </w:rPr>
        <w:t xml:space="preserve"> is the average monthly risk-free return as proxied for by the treasury bill rate. In this dissertation the risk free rate will be proxied for by the 90-day banker’s acceptance rate. The denominator is the portfolio’s standard deviation. Bodie, Kane, and Marcus (2009) describe the Treynor measure as similar to that of the Sharpe ratio except the denominator in this case is the beta of the portfolio and not the standard deviation. This is risk-adjusted return measure is based on systematic risk rather than total risk. The Treynor measure is given by the following formula:</w:t>
      </w:r>
    </w:p>
    <w:p w:rsidR="00F84C09" w:rsidRDefault="00F84C09" w:rsidP="00F84C09">
      <w:pPr>
        <w:pStyle w:val="ListParagraph"/>
        <w:spacing w:line="360" w:lineRule="auto"/>
        <w:ind w:left="0"/>
        <w:jc w:val="both"/>
        <w:outlineLvl w:val="0"/>
        <w:rPr>
          <w:rFonts w:ascii="Times New Roman" w:hAnsi="Times New Roman" w:cs="Times New Roman"/>
          <w:sz w:val="24"/>
          <w:szCs w:val="24"/>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21"/>
        <w:gridCol w:w="6867"/>
        <w:gridCol w:w="1054"/>
      </w:tblGrid>
      <w:tr w:rsidR="00F84C09" w:rsidTr="00CC694D">
        <w:trPr>
          <w:jc w:val="center"/>
        </w:trPr>
        <w:tc>
          <w:tcPr>
            <w:tcW w:w="750" w:type="pct"/>
          </w:tcPr>
          <w:p w:rsidR="00F84C09" w:rsidRDefault="00F84C09" w:rsidP="00CC694D">
            <w:pPr>
              <w:pStyle w:val="ListParagraph"/>
              <w:spacing w:line="360" w:lineRule="auto"/>
              <w:ind w:left="0"/>
              <w:jc w:val="both"/>
              <w:rPr>
                <w:rFonts w:ascii="Times New Roman" w:hAnsi="Times New Roman" w:cs="Times New Roman"/>
                <w:sz w:val="24"/>
                <w:szCs w:val="24"/>
              </w:rPr>
            </w:pPr>
          </w:p>
        </w:tc>
        <w:tc>
          <w:tcPr>
            <w:tcW w:w="3750" w:type="pct"/>
          </w:tcPr>
          <w:p w:rsidR="00F84C09" w:rsidRDefault="000963F3" w:rsidP="00CC694D">
            <w:pPr>
              <w:pStyle w:val="ListParagraph"/>
              <w:spacing w:line="360" w:lineRule="auto"/>
              <w:ind w:left="0"/>
              <w:jc w:val="center"/>
              <w:rPr>
                <w:rFonts w:ascii="Times New Roman" w:hAnsi="Times New Roman" w:cs="Times New Roman"/>
                <w:sz w:val="24"/>
                <w:szCs w:val="24"/>
              </w:rPr>
            </w:pPr>
            <m:oMathPara>
              <m:oMath>
                <m:f>
                  <m:fPr>
                    <m:type m:val="lin"/>
                    <m:ctrlPr>
                      <w:rPr>
                        <w:rFonts w:ascii="Cambria Math" w:hAnsi="Cambria Math" w:cs="Times New Roman"/>
                        <w:i/>
                        <w:sz w:val="24"/>
                        <w:szCs w:val="24"/>
                      </w:rPr>
                    </m:ctrlPr>
                  </m:fPr>
                  <m:num>
                    <m:d>
                      <m:dPr>
                        <m:ctrlPr>
                          <w:rPr>
                            <w:rFonts w:ascii="Cambria Math" w:hAnsi="Cambria Math" w:cs="Times New Roman"/>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p</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f</m:t>
                            </m:r>
                          </m:sub>
                        </m:sSub>
                      </m:e>
                    </m:d>
                  </m:num>
                  <m:den>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p</m:t>
                        </m:r>
                      </m:sub>
                    </m:sSub>
                  </m:den>
                </m:f>
              </m:oMath>
            </m:oMathPara>
          </w:p>
        </w:tc>
        <w:tc>
          <w:tcPr>
            <w:tcW w:w="750" w:type="pct"/>
            <w:vAlign w:val="center"/>
          </w:tcPr>
          <w:p w:rsidR="00F84C09" w:rsidRDefault="00F84C09" w:rsidP="00664ED3">
            <w:pPr>
              <w:pStyle w:val="ListParagraph"/>
              <w:tabs>
                <w:tab w:val="right" w:pos="838"/>
              </w:tabs>
              <w:spacing w:line="360" w:lineRule="auto"/>
              <w:ind w:left="0"/>
              <w:rPr>
                <w:rFonts w:ascii="Times New Roman" w:hAnsi="Times New Roman" w:cs="Times New Roman"/>
                <w:sz w:val="24"/>
                <w:szCs w:val="24"/>
              </w:rPr>
            </w:pPr>
            <w:r>
              <w:rPr>
                <w:rFonts w:ascii="Times New Roman" w:hAnsi="Times New Roman" w:cs="Times New Roman"/>
                <w:sz w:val="24"/>
                <w:szCs w:val="24"/>
              </w:rPr>
              <w:tab/>
              <w:t>(</w:t>
            </w:r>
            <w:r w:rsidR="00664ED3">
              <w:rPr>
                <w:rFonts w:ascii="Times New Roman" w:hAnsi="Times New Roman" w:cs="Times New Roman"/>
                <w:sz w:val="24"/>
                <w:szCs w:val="24"/>
              </w:rPr>
              <w:t>6</w:t>
            </w:r>
            <w:r>
              <w:rPr>
                <w:rFonts w:ascii="Times New Roman" w:hAnsi="Times New Roman" w:cs="Times New Roman"/>
                <w:sz w:val="24"/>
                <w:szCs w:val="24"/>
              </w:rPr>
              <w:t>)</w:t>
            </w:r>
          </w:p>
        </w:tc>
      </w:tr>
    </w:tbl>
    <w:p w:rsidR="00F84C09" w:rsidRDefault="00F84C09" w:rsidP="00F84C09">
      <w:pPr>
        <w:pStyle w:val="ListParagraph"/>
        <w:spacing w:line="360" w:lineRule="auto"/>
        <w:ind w:left="0"/>
        <w:jc w:val="both"/>
        <w:outlineLvl w:val="0"/>
        <w:rPr>
          <w:rFonts w:ascii="Times New Roman" w:hAnsi="Times New Roman" w:cs="Times New Roman"/>
          <w:sz w:val="24"/>
          <w:szCs w:val="24"/>
        </w:rPr>
      </w:pPr>
    </w:p>
    <w:p w:rsidR="00F84C09" w:rsidRDefault="00F84C09" w:rsidP="00F84C0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The numerator is the same as in equation (16), while β</w:t>
      </w:r>
      <w:r>
        <w:rPr>
          <w:rFonts w:ascii="Times New Roman" w:hAnsi="Times New Roman" w:cs="Times New Roman"/>
          <w:sz w:val="24"/>
          <w:szCs w:val="24"/>
          <w:vertAlign w:val="subscript"/>
        </w:rPr>
        <w:t>p</w:t>
      </w:r>
      <w:r>
        <w:rPr>
          <w:rFonts w:ascii="Times New Roman" w:hAnsi="Times New Roman" w:cs="Times New Roman"/>
          <w:sz w:val="24"/>
          <w:szCs w:val="24"/>
        </w:rPr>
        <w:t xml:space="preserve"> is the systematic risk of the portfolio under consideration. The final risk-adjusted measure considered is Jensen’s Alpha. Bodie, Kane, and Marcus (2009) describe this measure as an indicator of whether the portfolio is earning excess returns, even when it is earning a decent return for its level of risk. The formula is given by: </w:t>
      </w:r>
    </w:p>
    <w:p w:rsidR="00F84C09" w:rsidRDefault="00F84C09" w:rsidP="00F84C09">
      <w:pPr>
        <w:pStyle w:val="ListParagraph"/>
        <w:spacing w:line="360" w:lineRule="auto"/>
        <w:ind w:left="0"/>
        <w:jc w:val="both"/>
        <w:outlineLvl w:val="0"/>
        <w:rPr>
          <w:rFonts w:ascii="Times New Roman" w:hAnsi="Times New Roman" w:cs="Times New Roman"/>
          <w:sz w:val="24"/>
          <w:szCs w:val="24"/>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5"/>
        <w:gridCol w:w="6471"/>
        <w:gridCol w:w="1386"/>
      </w:tblGrid>
      <w:tr w:rsidR="00F84C09" w:rsidTr="00CC694D">
        <w:trPr>
          <w:jc w:val="center"/>
        </w:trPr>
        <w:tc>
          <w:tcPr>
            <w:tcW w:w="749" w:type="pct"/>
            <w:vAlign w:val="center"/>
          </w:tcPr>
          <w:p w:rsidR="00F84C09" w:rsidRDefault="00F84C09" w:rsidP="00CC694D">
            <w:pPr>
              <w:pStyle w:val="ListParagraph"/>
              <w:spacing w:line="360" w:lineRule="auto"/>
              <w:ind w:left="0"/>
              <w:jc w:val="both"/>
              <w:rPr>
                <w:rFonts w:ascii="Times New Roman" w:hAnsi="Times New Roman" w:cs="Times New Roman"/>
                <w:sz w:val="24"/>
                <w:szCs w:val="24"/>
              </w:rPr>
            </w:pPr>
          </w:p>
        </w:tc>
        <w:tc>
          <w:tcPr>
            <w:tcW w:w="3500" w:type="pct"/>
          </w:tcPr>
          <w:p w:rsidR="00F84C09" w:rsidRDefault="000963F3" w:rsidP="00CC694D">
            <w:pPr>
              <w:pStyle w:val="ListParagraph"/>
              <w:spacing w:line="360" w:lineRule="auto"/>
              <w:ind w:left="0"/>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p</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p</m:t>
                    </m:r>
                  </m:sub>
                </m:sSub>
                <m:r>
                  <w:rPr>
                    <w:rFonts w:ascii="Cambria Math" w:hAnsi="Cambria Math" w:cs="Times New Roman"/>
                    <w:sz w:val="24"/>
                    <w:szCs w:val="24"/>
                  </w:rPr>
                  <m:t>-</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f</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p</m:t>
                        </m:r>
                      </m:sub>
                    </m:sSub>
                    <m:d>
                      <m:dPr>
                        <m:ctrlPr>
                          <w:rPr>
                            <w:rFonts w:ascii="Cambria Math" w:hAnsi="Cambria Math" w:cs="Times New Roman"/>
                            <w:i/>
                            <w:sz w:val="24"/>
                            <w:szCs w:val="24"/>
                          </w:rPr>
                        </m:ctrlPr>
                      </m:dPr>
                      <m:e>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m</m:t>
                            </m:r>
                          </m:sub>
                        </m:sSub>
                        <m:r>
                          <w:rPr>
                            <w:rFonts w:ascii="Cambria Math" w:hAnsi="Cambria Math" w:cs="Times New Roman"/>
                            <w:sz w:val="24"/>
                            <w:szCs w:val="24"/>
                          </w:rPr>
                          <m:t>-</m:t>
                        </m:r>
                        <m:sSub>
                          <m:sSubPr>
                            <m:ctrlPr>
                              <w:rPr>
                                <w:rFonts w:ascii="Cambria Math" w:hAnsi="Cambria Math" w:cs="Times New Roman"/>
                                <w:i/>
                                <w:sz w:val="24"/>
                                <w:szCs w:val="24"/>
                              </w:rPr>
                            </m:ctrlPr>
                          </m:sSubPr>
                          <m:e>
                            <m:acc>
                              <m:accPr>
                                <m:chr m:val="̅"/>
                                <m:ctrlPr>
                                  <w:rPr>
                                    <w:rFonts w:ascii="Cambria Math" w:hAnsi="Cambria Math" w:cs="Times New Roman"/>
                                    <w:i/>
                                    <w:sz w:val="24"/>
                                    <w:szCs w:val="24"/>
                                  </w:rPr>
                                </m:ctrlPr>
                              </m:accPr>
                              <m:e>
                                <m:r>
                                  <w:rPr>
                                    <w:rFonts w:ascii="Cambria Math" w:hAnsi="Cambria Math" w:cs="Times New Roman"/>
                                    <w:sz w:val="24"/>
                                    <w:szCs w:val="24"/>
                                  </w:rPr>
                                  <m:t>r</m:t>
                                </m:r>
                              </m:e>
                            </m:acc>
                          </m:e>
                          <m:sub>
                            <m:r>
                              <w:rPr>
                                <w:rFonts w:ascii="Cambria Math" w:hAnsi="Cambria Math" w:cs="Times New Roman"/>
                                <w:sz w:val="24"/>
                                <w:szCs w:val="24"/>
                              </w:rPr>
                              <m:t>f</m:t>
                            </m:r>
                          </m:sub>
                        </m:sSub>
                      </m:e>
                    </m:d>
                  </m:e>
                </m:d>
              </m:oMath>
            </m:oMathPara>
          </w:p>
        </w:tc>
        <w:tc>
          <w:tcPr>
            <w:tcW w:w="750" w:type="pct"/>
          </w:tcPr>
          <w:p w:rsidR="00F84C09" w:rsidRDefault="00F84C09" w:rsidP="00664ED3">
            <w:pPr>
              <w:pStyle w:val="ListParagraph"/>
              <w:spacing w:line="360" w:lineRule="auto"/>
              <w:ind w:left="0"/>
              <w:jc w:val="right"/>
              <w:rPr>
                <w:rFonts w:ascii="Times New Roman" w:hAnsi="Times New Roman" w:cs="Times New Roman"/>
                <w:sz w:val="24"/>
                <w:szCs w:val="24"/>
              </w:rPr>
            </w:pPr>
            <w:r>
              <w:rPr>
                <w:rFonts w:ascii="Times New Roman" w:hAnsi="Times New Roman" w:cs="Times New Roman"/>
                <w:sz w:val="24"/>
                <w:szCs w:val="24"/>
              </w:rPr>
              <w:t>(</w:t>
            </w:r>
            <w:r w:rsidR="00664ED3">
              <w:rPr>
                <w:rFonts w:ascii="Times New Roman" w:hAnsi="Times New Roman" w:cs="Times New Roman"/>
                <w:sz w:val="24"/>
                <w:szCs w:val="24"/>
              </w:rPr>
              <w:t>7</w:t>
            </w:r>
            <w:r>
              <w:rPr>
                <w:rFonts w:ascii="Times New Roman" w:hAnsi="Times New Roman" w:cs="Times New Roman"/>
                <w:sz w:val="24"/>
                <w:szCs w:val="24"/>
              </w:rPr>
              <w:t>)</w:t>
            </w:r>
          </w:p>
        </w:tc>
      </w:tr>
    </w:tbl>
    <w:p w:rsidR="00F84C09" w:rsidRDefault="00F84C09" w:rsidP="00F84C09">
      <w:pPr>
        <w:pStyle w:val="ListParagraph"/>
        <w:spacing w:line="360" w:lineRule="auto"/>
        <w:ind w:left="0"/>
        <w:jc w:val="both"/>
        <w:outlineLvl w:val="0"/>
        <w:rPr>
          <w:rFonts w:ascii="Times New Roman" w:hAnsi="Times New Roman" w:cs="Times New Roman"/>
          <w:sz w:val="24"/>
          <w:szCs w:val="24"/>
        </w:rPr>
      </w:pPr>
    </w:p>
    <w:p w:rsidR="00F84C09" w:rsidRDefault="00F84C09" w:rsidP="00F84C09">
      <w:pPr>
        <w:pStyle w:val="ListParagraph"/>
        <w:spacing w:line="360" w:lineRule="auto"/>
        <w:ind w:left="0"/>
        <w:jc w:val="both"/>
        <w:outlineLvl w:val="0"/>
        <w:rPr>
          <w:rFonts w:ascii="Times New Roman" w:hAnsi="Times New Roman" w:cs="Times New Roman"/>
          <w:sz w:val="24"/>
          <w:szCs w:val="24"/>
        </w:rPr>
      </w:pPr>
    </w:p>
    <w:p w:rsidR="00F84C09" w:rsidRDefault="00F84C09" w:rsidP="00F84C09">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The CAPM regression should be apparent in equation 4. This is because Jensen’s alpha gives the average monthly return on the portfolio in excess of what is predicted by CAPM. The two variables necessary for this equation is the portfolio’s monthly beta and the average monthly market return.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Basu (1977) studies the results obtained by portfolios sorted on the P/E ratio. Specifically, he looks at the three performance measures of Jensen, Treynor, and Sharpe. Looking at the Jensen measure, Basu (1977) sets out to determine if the superior returns of the low P/E portfolios are a result of higher systematic risk. He notices the lowest P/E portfolios still earn a small percentage more than what their systematic risk implies. Furthermore, and more pertinent to this argument, the highest P/E portfolios produced returns lower than what their risk implies.</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To determine whether the value strategies are riskier, Gregory, Harris, and Michou (2003) looked at both the volatility and Sharpe ratio of both strategies and find that the standard deviations of the value strategies are greater than the standard deviation of the size factor in their model.</w:t>
      </w:r>
      <w:r>
        <w:rPr>
          <w:rFonts w:ascii="Times New Roman" w:hAnsi="Times New Roman" w:cs="Times New Roman"/>
          <w:sz w:val="24"/>
        </w:rPr>
        <w:t xml:space="preserve"> </w:t>
      </w:r>
      <w:r w:rsidRPr="001B1828">
        <w:rPr>
          <w:rFonts w:ascii="Times New Roman" w:hAnsi="Times New Roman" w:cs="Times New Roman"/>
          <w:sz w:val="24"/>
        </w:rPr>
        <w:t>The Sharpe ratio is</w:t>
      </w:r>
      <w:r>
        <w:rPr>
          <w:rFonts w:ascii="Times New Roman" w:hAnsi="Times New Roman" w:cs="Times New Roman"/>
          <w:sz w:val="24"/>
        </w:rPr>
        <w:t xml:space="preserve"> calculated by Gregory, Harris, and Michou (2003) as</w:t>
      </w:r>
      <w:r w:rsidRPr="001B1828">
        <w:rPr>
          <w:rFonts w:ascii="Times New Roman" w:hAnsi="Times New Roman" w:cs="Times New Roman"/>
          <w:sz w:val="24"/>
        </w:rPr>
        <w:t xml:space="preserve"> the excess return of the portfolio divided by the standard deviation of the portfolio.</w:t>
      </w:r>
      <w:r w:rsidRPr="00566BF3">
        <w:rPr>
          <w:rFonts w:ascii="Times New Roman" w:hAnsi="Times New Roman" w:cs="Times New Roman"/>
          <w:sz w:val="24"/>
        </w:rPr>
        <w:t xml:space="preserve"> It was stated previously that these authors find no evidence to support the concept that value strategies should underperform growth stocks almost always in poor states of the market. Further, they do not find value strategies to be riskier than their counterparts as measured by their Sharpe ratios and volatility. The authors even go so far as to intimate some of the value strategies’ Sharpe ratios were so high that it </w:t>
      </w:r>
      <w:r>
        <w:rPr>
          <w:rFonts w:ascii="Times New Roman" w:hAnsi="Times New Roman" w:cs="Times New Roman"/>
          <w:sz w:val="24"/>
        </w:rPr>
        <w:t>could not</w:t>
      </w:r>
      <w:r w:rsidRPr="00566BF3">
        <w:rPr>
          <w:rFonts w:ascii="Times New Roman" w:hAnsi="Times New Roman" w:cs="Times New Roman"/>
          <w:sz w:val="24"/>
        </w:rPr>
        <w:t xml:space="preserve"> possibly be consistent with rational risk pricing; this is consistent with </w:t>
      </w:r>
      <w:r w:rsidRPr="00566BF3">
        <w:rPr>
          <w:rFonts w:ascii="Times New Roman" w:hAnsi="Times New Roman" w:cs="Times New Roman"/>
          <w:sz w:val="24"/>
          <w:szCs w:val="36"/>
        </w:rPr>
        <w:t xml:space="preserve">Brouwer, van der Put, and Veld (1997), who find the Sharpe ratio is high with regard to the value portfolio. </w:t>
      </w:r>
      <w:r w:rsidRPr="00566BF3">
        <w:rPr>
          <w:rFonts w:ascii="Times New Roman" w:hAnsi="Times New Roman" w:cs="Times New Roman"/>
          <w:sz w:val="24"/>
        </w:rPr>
        <w:t xml:space="preserve"> Gregory, Harris, and Michou (2003) s</w:t>
      </w:r>
      <w:r>
        <w:rPr>
          <w:rFonts w:ascii="Times New Roman" w:hAnsi="Times New Roman" w:cs="Times New Roman"/>
          <w:sz w:val="24"/>
        </w:rPr>
        <w:t>uggest that, because they could not</w:t>
      </w:r>
      <w:r w:rsidRPr="00566BF3">
        <w:rPr>
          <w:rFonts w:ascii="Times New Roman" w:hAnsi="Times New Roman" w:cs="Times New Roman"/>
          <w:sz w:val="24"/>
        </w:rPr>
        <w:t xml:space="preserve"> find a link between known risk factors and excess return, that value strategies produce superior results due to investor mispricing. Consistent with rational asset pricing theory, Fama and French (1992) propose that size and the book-to-market ratio capture a fair amount of the cross-section of stock returns. La Porta (1996) further explains that these two variables can be used as appropriate proxies for unobservable risk factors.</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The premium for distress risk faces several arguments. One argument is that CAPM holds but the premium is a result of survivorship bias. The time old assertion that data includes surviving firms, while ignoring the firms that have failed is dismissed by Chan,</w:t>
      </w:r>
      <w:r>
        <w:rPr>
          <w:rFonts w:ascii="Times New Roman" w:hAnsi="Times New Roman" w:cs="Times New Roman"/>
          <w:sz w:val="24"/>
        </w:rPr>
        <w:t xml:space="preserve"> Jegadeesh, and Lakonishok (1996</w:t>
      </w:r>
      <w:r w:rsidRPr="00566BF3">
        <w:rPr>
          <w:rFonts w:ascii="Times New Roman" w:hAnsi="Times New Roman" w:cs="Times New Roman"/>
          <w:sz w:val="24"/>
        </w:rPr>
        <w:t xml:space="preserve">). </w:t>
      </w:r>
      <w:r>
        <w:rPr>
          <w:rFonts w:ascii="Times New Roman" w:hAnsi="Times New Roman" w:cs="Times New Roman"/>
          <w:sz w:val="24"/>
        </w:rPr>
        <w:t xml:space="preserve">The authors limit their sample to only large stocks, in order to determine if their results are distorted by survivorship bias. Chan, Jegadeesh, and Lakonishok (1996) find there is not distortion. </w:t>
      </w:r>
      <w:r w:rsidRPr="00566BF3">
        <w:rPr>
          <w:rFonts w:ascii="Times New Roman" w:hAnsi="Times New Roman" w:cs="Times New Roman"/>
          <w:sz w:val="24"/>
        </w:rPr>
        <w:t xml:space="preserve">There is the contention that the likelihood of authors findings a distress risk premium because their sample contains a larger proportion of value stocks (characterised here by the high BTM ratio) than growth stocks. Then there is the classic assertion of data snooping – the researcher, knowing what he is looking for, will look to those variables that can justify his claim. Certain anomalies may be the result of analysts actively looking for them and finding </w:t>
      </w:r>
      <w:r>
        <w:rPr>
          <w:rFonts w:ascii="Times New Roman" w:hAnsi="Times New Roman" w:cs="Times New Roman"/>
          <w:sz w:val="24"/>
        </w:rPr>
        <w:t>them in only specific data sets according to</w:t>
      </w:r>
      <w:r w:rsidRPr="00566BF3">
        <w:rPr>
          <w:rFonts w:ascii="Times New Roman" w:hAnsi="Times New Roman" w:cs="Times New Roman"/>
          <w:sz w:val="24"/>
        </w:rPr>
        <w:t xml:space="preserve"> Lo and </w:t>
      </w:r>
      <w:r>
        <w:rPr>
          <w:rFonts w:ascii="Times New Roman" w:hAnsi="Times New Roman" w:cs="Times New Roman"/>
          <w:sz w:val="24"/>
        </w:rPr>
        <w:t>MacKinlay</w:t>
      </w:r>
      <w:r w:rsidRPr="00566BF3">
        <w:rPr>
          <w:rFonts w:ascii="Times New Roman" w:hAnsi="Times New Roman" w:cs="Times New Roman"/>
          <w:sz w:val="24"/>
        </w:rPr>
        <w:t xml:space="preserve"> (1988). Of course data snooping is inevitable when an analyst is looking for something specific – say value stocks outperforming growth stocks – because the analyst is looking for results to confirm his theory. What needs to be acknowledged is the period under consideration and using different markets but similar models and methodology. The last argument prese</w:t>
      </w:r>
      <w:r>
        <w:rPr>
          <w:rFonts w:ascii="Times New Roman" w:hAnsi="Times New Roman" w:cs="Times New Roman"/>
          <w:sz w:val="24"/>
        </w:rPr>
        <w:t>nted here is touched on in the b</w:t>
      </w:r>
      <w:r w:rsidRPr="00566BF3">
        <w:rPr>
          <w:rFonts w:ascii="Times New Roman" w:hAnsi="Times New Roman" w:cs="Times New Roman"/>
          <w:sz w:val="24"/>
        </w:rPr>
        <w:t xml:space="preserve">ehavioural </w:t>
      </w:r>
      <w:r>
        <w:rPr>
          <w:rFonts w:ascii="Times New Roman" w:hAnsi="Times New Roman" w:cs="Times New Roman"/>
          <w:sz w:val="24"/>
        </w:rPr>
        <w:t>section (pg. 56)</w:t>
      </w:r>
      <w:r w:rsidRPr="00566BF3">
        <w:rPr>
          <w:rFonts w:ascii="Times New Roman" w:hAnsi="Times New Roman" w:cs="Times New Roman"/>
          <w:sz w:val="24"/>
        </w:rPr>
        <w:t xml:space="preserve"> – investor overreaction. The distress risk premium is a direct result of the irrationality and overreaction of naive investors.</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Barber and Lyon (1997) test the strength of the tests performed by Fama and French (1992). Their reason behind this is that they fear the tests may not be as robust as a reader thinks because of data-snooping. Fama and French (1992) left out of their tests the financial firms. For this reason, Barber and Lyon (1997) choose to explore the relation of size, BTM and returns for these financial stocks. </w:t>
      </w:r>
      <w:r w:rsidR="00AB2C61" w:rsidRPr="00566BF3">
        <w:rPr>
          <w:rFonts w:ascii="Times New Roman" w:hAnsi="Times New Roman" w:cs="Times New Roman"/>
          <w:sz w:val="24"/>
        </w:rPr>
        <w:t>If results are similar to that of Fama and French (1992) then Barber and Lyon (1997) will be able to conclude that the former authors’ results are robust and not a result of data-snooping</w:t>
      </w:r>
      <w:r w:rsidR="00AB2C61">
        <w:rPr>
          <w:rFonts w:ascii="Times New Roman" w:hAnsi="Times New Roman" w:cs="Times New Roman"/>
          <w:sz w:val="24"/>
        </w:rPr>
        <w:t xml:space="preserve">. When Compustat extended its database to include NASDAQ firms, the main concern among researchers was that there would be a look-ahead bias when data is added to the database retrospectively. </w:t>
      </w:r>
      <w:r>
        <w:rPr>
          <w:rFonts w:ascii="Times New Roman" w:hAnsi="Times New Roman" w:cs="Times New Roman"/>
          <w:sz w:val="24"/>
        </w:rPr>
        <w:t xml:space="preserve">Lakonishok, Shleifer, and Vishny (1994) point out that only firms that do well and have started out with small market capitalisation or are awarded low prices by the stock market are included in the database. This essentially implies that only the firms that succeeded or, at least, did well in the past five years, are added to the database retrospectively.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Having presented concerns with the distress risk premium, there may be complications if a value stock is classified as such due to its distress risk factor. Industri</w:t>
      </w:r>
      <w:r>
        <w:rPr>
          <w:rFonts w:ascii="Times New Roman" w:hAnsi="Times New Roman" w:cs="Times New Roman"/>
          <w:sz w:val="24"/>
        </w:rPr>
        <w:t>es tend to move through cycles. A</w:t>
      </w:r>
      <w:r w:rsidRPr="00566BF3">
        <w:rPr>
          <w:rFonts w:ascii="Times New Roman" w:hAnsi="Times New Roman" w:cs="Times New Roman"/>
          <w:sz w:val="24"/>
        </w:rPr>
        <w:t xml:space="preserve">t some point a firm within the industry will appear relatively distressed and would at that time be classified as a value stock (assuming of course that the firm is sensitive to changes within its industry). However, as the industry’s prospects increase so does the leaning towards a growth stock, and so that same firm will change from a value to a growth stock. Using this characteristic model poses the problem that an analyst cannot distinguish properly between the risk theory and the characteristic </w:t>
      </w:r>
      <w:r>
        <w:rPr>
          <w:rFonts w:ascii="Times New Roman" w:hAnsi="Times New Roman" w:cs="Times New Roman"/>
          <w:sz w:val="24"/>
        </w:rPr>
        <w:t>theory</w:t>
      </w:r>
      <w:r w:rsidRPr="00566BF3">
        <w:rPr>
          <w:rFonts w:ascii="Times New Roman" w:hAnsi="Times New Roman" w:cs="Times New Roman"/>
          <w:sz w:val="24"/>
        </w:rPr>
        <w:t>.</w:t>
      </w:r>
      <w:r>
        <w:rPr>
          <w:rFonts w:ascii="Times New Roman" w:hAnsi="Times New Roman" w:cs="Times New Roman"/>
          <w:sz w:val="24"/>
        </w:rPr>
        <w:t xml:space="preserve"> </w:t>
      </w:r>
      <w:r w:rsidRPr="000B404B">
        <w:rPr>
          <w:rFonts w:ascii="Times New Roman" w:hAnsi="Times New Roman" w:cs="Times New Roman"/>
          <w:sz w:val="24"/>
          <w:lang w:val="en-GB"/>
        </w:rPr>
        <w:t xml:space="preserve">The risk theory is put forward by Fama and French (1993), while the characteristic theory is </w:t>
      </w:r>
      <w:r w:rsidRPr="000B404B">
        <w:rPr>
          <w:rFonts w:ascii="Times New Roman" w:hAnsi="Times New Roman" w:cs="Times New Roman"/>
          <w:sz w:val="24"/>
        </w:rPr>
        <w:t>proposed by Daniel and Titman (1997).</w:t>
      </w:r>
      <w:r w:rsidRPr="00566BF3">
        <w:rPr>
          <w:rFonts w:ascii="Times New Roman" w:hAnsi="Times New Roman" w:cs="Times New Roman"/>
          <w:sz w:val="24"/>
        </w:rPr>
        <w:t xml:space="preserve"> With the characteristics theory, a good, well-managed firm in a distressed industry will have low returns because it is still a good firm, thus the market need not assign additional return for additional risk. A distressed firm in a thriving industry is going to have a high return to compensate for its increased risk. Considering the good firm in the distressed industry, it will have higher risk attached to it as there is covariation of returns within industries. It follows that this firm’s expected return is too low for the given risk. However, one does not know if the risk loading on the firm is high – if this is the case, the firm’s return should be higher.  The opposite is true for the distressed firm in a thriving industry (Daniel and Titman, 1997).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Davis, Fama and French (2000) continue what is discussed by Daniel and Titman (1997) above, proposing that, even though the book-to-market ratio is a proxy for relative distress of a firm, the characteristics </w:t>
      </w:r>
      <w:r>
        <w:rPr>
          <w:rFonts w:ascii="Times New Roman" w:hAnsi="Times New Roman" w:cs="Times New Roman"/>
          <w:sz w:val="24"/>
        </w:rPr>
        <w:t>hypothesis</w:t>
      </w:r>
      <w:r w:rsidRPr="00566BF3">
        <w:rPr>
          <w:rFonts w:ascii="Times New Roman" w:hAnsi="Times New Roman" w:cs="Times New Roman"/>
          <w:sz w:val="24"/>
        </w:rPr>
        <w:t xml:space="preserve"> implies distress drives returns and this </w:t>
      </w:r>
      <w:r>
        <w:rPr>
          <w:rFonts w:ascii="Times New Roman" w:hAnsi="Times New Roman" w:cs="Times New Roman"/>
          <w:sz w:val="24"/>
        </w:rPr>
        <w:t>implies</w:t>
      </w:r>
      <w:r w:rsidRPr="00566BF3">
        <w:rPr>
          <w:rFonts w:ascii="Times New Roman" w:hAnsi="Times New Roman" w:cs="Times New Roman"/>
          <w:sz w:val="24"/>
        </w:rPr>
        <w:t xml:space="preserve"> the BTM ratio must come into play. When portfolios are created they run the risk of incorporating industry-specific covariation. This </w:t>
      </w:r>
      <w:r>
        <w:rPr>
          <w:rFonts w:ascii="Times New Roman" w:hAnsi="Times New Roman" w:cs="Times New Roman"/>
          <w:sz w:val="24"/>
        </w:rPr>
        <w:t>suggests</w:t>
      </w:r>
      <w:r w:rsidRPr="00566BF3">
        <w:rPr>
          <w:rFonts w:ascii="Times New Roman" w:hAnsi="Times New Roman" w:cs="Times New Roman"/>
          <w:sz w:val="24"/>
        </w:rPr>
        <w:t xml:space="preserve"> that, if the portfolio is designed to capture a single risk factor, it will also include other risk factors related to the industries the incorporated stocks are from. </w:t>
      </w:r>
      <w:r>
        <w:rPr>
          <w:rFonts w:ascii="Times New Roman" w:hAnsi="Times New Roman" w:cs="Times New Roman"/>
          <w:sz w:val="24"/>
        </w:rPr>
        <w:t>R</w:t>
      </w:r>
      <w:r w:rsidRPr="00566BF3">
        <w:rPr>
          <w:rFonts w:ascii="Times New Roman" w:hAnsi="Times New Roman" w:cs="Times New Roman"/>
          <w:sz w:val="24"/>
        </w:rPr>
        <w:t xml:space="preserve">esults may be interpreted as returns covarying with a risk factor, when in fact it is due to two characteristics – growth and distress. One should notice that some firms will have growth or risk characteristics that are not in line with the amount of risk. Daniel and Titman (1997) perform tests to determine whether the characteristics model or risk theory better explains returns. They use a sample period of just over twenty years, while Davis, Fama, and French (2000) consider 68 years worth of data. This is the reason for the contradictory results: Daniel and Titman (1997) surmise the characteristics model is the </w:t>
      </w:r>
      <w:r w:rsidRPr="00566BF3">
        <w:rPr>
          <w:rFonts w:ascii="Times New Roman" w:hAnsi="Times New Roman" w:cs="Times New Roman"/>
          <w:sz w:val="24"/>
        </w:rPr>
        <w:lastRenderedPageBreak/>
        <w:t xml:space="preserve">explaining theory, while Davis, Fama, and French (2000) find evidence in favour of the risk model.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Rational asset pricing theory offers a link between the price and risk of a stock. It proposes value (and growth) effects. Holding the expected payoff constant, Daniel, Hirshleifer, and Subrahmanyam (2001) explain the stock’s price will be inversely related to its risk, implying the price-to-fundamental ratio is a direct measure of the stock’s risk. The authors devise a pricing model that takes into account both risk and misvaluation by the investor. In equilibrium, this model shows stocks that are mispriced and that the valuation variables used as proxies for mispricing have the ability to predict future returns. Daniel, Hirshleifer, and Subrahmanyam (2001) use the model to determine which measure (risk or misvaluation) is able to predict stock returns.</w:t>
      </w:r>
      <w:r>
        <w:rPr>
          <w:rFonts w:ascii="Times New Roman" w:hAnsi="Times New Roman" w:cs="Times New Roman"/>
          <w:sz w:val="24"/>
        </w:rPr>
        <w:t xml:space="preserve"> The implications of the model are that price mismeasurement should not be related to stock returns, but market value should.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 xml:space="preserve">According to rational asset pricing theory, if stocks are priced rationally then any differences in average returns will be due to risk. Lakonishok, Shleifer, and Vishny (1994) find that the difference between the returns on high and low BTM portfolios is large, and this exceptional difference cannot be explained by the rational asset pricing model. They argue that underlying this large difference is a relative distress premium, which is almost always positive. If this positive distress premium is </w:t>
      </w:r>
      <w:r>
        <w:rPr>
          <w:rFonts w:ascii="Times New Roman" w:hAnsi="Times New Roman" w:cs="Times New Roman"/>
          <w:sz w:val="24"/>
        </w:rPr>
        <w:t>considered</w:t>
      </w:r>
      <w:r w:rsidRPr="00566BF3">
        <w:rPr>
          <w:rFonts w:ascii="Times New Roman" w:hAnsi="Times New Roman" w:cs="Times New Roman"/>
          <w:sz w:val="24"/>
        </w:rPr>
        <w:t xml:space="preserve"> an</w:t>
      </w:r>
      <w:r>
        <w:rPr>
          <w:rFonts w:ascii="Times New Roman" w:hAnsi="Times New Roman" w:cs="Times New Roman"/>
          <w:sz w:val="24"/>
        </w:rPr>
        <w:t xml:space="preserve"> arbitrage opportunity then Lakonishok, Shleifer, and Vishny (1994) expect</w:t>
      </w:r>
      <w:r w:rsidRPr="00566BF3">
        <w:rPr>
          <w:rFonts w:ascii="Times New Roman" w:hAnsi="Times New Roman" w:cs="Times New Roman"/>
          <w:sz w:val="24"/>
        </w:rPr>
        <w:t xml:space="preserve"> the standard deviation of the HML premium to be small. However, even if there is no arbitrage opportunity afforded to an investor by the positive distress premium, it </w:t>
      </w:r>
      <w:r>
        <w:rPr>
          <w:rFonts w:ascii="Times New Roman" w:hAnsi="Times New Roman" w:cs="Times New Roman"/>
          <w:sz w:val="24"/>
        </w:rPr>
        <w:t>does not</w:t>
      </w:r>
      <w:r w:rsidRPr="00566BF3">
        <w:rPr>
          <w:rFonts w:ascii="Times New Roman" w:hAnsi="Times New Roman" w:cs="Times New Roman"/>
          <w:sz w:val="24"/>
        </w:rPr>
        <w:t xml:space="preserve"> mean that this anomaly is rational. As discussed in the Behavioural chapter, investor overreaction may be the cause of this premium. The authors assert investors lack the knowledge and understanding to realise that high BTM firms with poor expected earnings growth and low BTM firms with high expected earnings growth are expected to revert to normal levels within a </w:t>
      </w:r>
      <w:r>
        <w:rPr>
          <w:rFonts w:ascii="Times New Roman" w:hAnsi="Times New Roman" w:cs="Times New Roman"/>
          <w:sz w:val="24"/>
        </w:rPr>
        <w:t>short period</w:t>
      </w:r>
      <w:r w:rsidRPr="00566BF3">
        <w:rPr>
          <w:rFonts w:ascii="Times New Roman" w:hAnsi="Times New Roman" w:cs="Times New Roman"/>
          <w:sz w:val="24"/>
        </w:rPr>
        <w:t xml:space="preserve"> of time. While earnings growth takes a relatively short period of time to revert to fundamental levels, the high distress risk premium remains at high levels for an extended period of time (Fama and French, 1995). Fama and French (1995) find that it can last as long as five years after they</w:t>
      </w:r>
      <w:r>
        <w:rPr>
          <w:rFonts w:ascii="Times New Roman" w:hAnsi="Times New Roman" w:cs="Times New Roman"/>
          <w:sz w:val="24"/>
        </w:rPr>
        <w:t xml:space="preserve"> have</w:t>
      </w:r>
      <w:r w:rsidRPr="00566BF3">
        <w:rPr>
          <w:rFonts w:ascii="Times New Roman" w:hAnsi="Times New Roman" w:cs="Times New Roman"/>
          <w:sz w:val="24"/>
        </w:rPr>
        <w:t xml:space="preserve"> created their portfolios. This evidence shows that overreaction forms only part of the distress risk premium – other explanations must be attributable.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Several variables are considered to be appropriate risk proxies, because of the failings of beta. Chan, Hamao, and Lakonishok (1991) advocate using yield proxies such as the earnings and dividend yields. They find these surrogates to be correlated with stock returns, and so</w:t>
      </w:r>
      <w:r>
        <w:rPr>
          <w:rFonts w:ascii="Times New Roman" w:hAnsi="Times New Roman" w:cs="Times New Roman"/>
          <w:sz w:val="24"/>
        </w:rPr>
        <w:t xml:space="preserve"> they</w:t>
      </w:r>
      <w:r w:rsidRPr="00566BF3">
        <w:rPr>
          <w:rFonts w:ascii="Times New Roman" w:hAnsi="Times New Roman" w:cs="Times New Roman"/>
          <w:sz w:val="24"/>
        </w:rPr>
        <w:t xml:space="preserve"> can be risk proxies. Furthermore, it has already been argued that Fama and French (1992) expect BTM to be an appropriate risk proxy, as it captures future earnings prospects. The BTM ratio reflects mispricing and risk, while beta only captures the risk part of value stocks, leading Daniel, Hirshleifer, and Subrahmanyam (2001) to conclude that the BTM ratio can be a better forecaster of stock returns. In fact, any variable containing price is considered as a proxy for either risk, or misvaluation, or both.</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rPr>
      </w:pPr>
      <w:r w:rsidRPr="00566BF3">
        <w:rPr>
          <w:rFonts w:ascii="Times New Roman" w:hAnsi="Times New Roman" w:cs="Times New Roman"/>
          <w:sz w:val="24"/>
        </w:rPr>
        <w:t>The book value of a firm represents expected cash flows. It is not the same as market equity as there are expectations about the firm’s future (in terms of growth and profits). Book value is a better measure of valuation especially for firms that are not growing, hence the emphasis value investors place on the variable. Book value also has the ability to reflect the firm’s degree of financial distress (Garza-G</w:t>
      </w:r>
      <w:r>
        <w:rPr>
          <w:rFonts w:ascii="Times New Roman" w:hAnsi="Times New Roman" w:cs="Times New Roman"/>
          <w:sz w:val="24"/>
        </w:rPr>
        <w:t>ó</w:t>
      </w:r>
      <w:r w:rsidRPr="00566BF3">
        <w:rPr>
          <w:rFonts w:ascii="Times New Roman" w:hAnsi="Times New Roman" w:cs="Times New Roman"/>
          <w:sz w:val="24"/>
        </w:rPr>
        <w:t xml:space="preserve">mez, 2001). Companies that are in relative financial distress will have lower book values than companies that are doing well in the economy because the former will have depressed earnings while the latter will experience rises in earnings. The second proposition of Modigliani and Miller (1958) states that the stock’s beta will increase linearly with the D/E ratio (the leverage ratio) as this exhibits financial distress/risk. The interest in the P/E ratio is that the firm will be riskier the more uncertain the earnings are, and if the generation of earnings is uncertain then the market awards such a stock with a low price (Chen and Zhang, 1998).  </w:t>
      </w:r>
    </w:p>
    <w:p w:rsidR="00F84C09" w:rsidRPr="00566BF3" w:rsidRDefault="00F84C09" w:rsidP="00F84C09">
      <w:pPr>
        <w:spacing w:line="360" w:lineRule="auto"/>
        <w:jc w:val="both"/>
        <w:rPr>
          <w:rFonts w:ascii="Times New Roman" w:hAnsi="Times New Roman" w:cs="Times New Roman"/>
          <w:sz w:val="24"/>
        </w:rPr>
      </w:pPr>
    </w:p>
    <w:p w:rsidR="00F84C09" w:rsidRPr="00566BF3" w:rsidRDefault="00F84C09" w:rsidP="00F84C09">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t>Antoniou, Galariotis, and Spyrou (2006) include in their paper risk-adjusted returns models in order to determine whether contrarian profits are possible and if risk explains any part of these results. Initially the authors look at a weekly-rebalance</w:t>
      </w:r>
      <w:r>
        <w:rPr>
          <w:rFonts w:ascii="Times New Roman" w:hAnsi="Times New Roman" w:cs="Times New Roman"/>
          <w:sz w:val="24"/>
          <w:szCs w:val="36"/>
        </w:rPr>
        <w:t>d</w:t>
      </w:r>
      <w:r w:rsidRPr="00566BF3">
        <w:rPr>
          <w:rFonts w:ascii="Times New Roman" w:hAnsi="Times New Roman" w:cs="Times New Roman"/>
          <w:sz w:val="24"/>
          <w:szCs w:val="36"/>
        </w:rPr>
        <w:t xml:space="preserve"> contrarian portfolio, focusing on profits. While their results for this strategy are in favour of larger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firms, they stress the need to use the single factor risk adjusted model and the three factor risk adjusted model. The average weekly profit, as calculated using the single factor risk adjusted model is statistically significant for all firms except for the large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ones. Also, the larger the average weekly profit, the smaller the firm. The most significant findings </w:t>
      </w:r>
      <w:r w:rsidRPr="00566BF3">
        <w:rPr>
          <w:rFonts w:ascii="Times New Roman" w:hAnsi="Times New Roman" w:cs="Times New Roman"/>
          <w:sz w:val="24"/>
          <w:szCs w:val="36"/>
        </w:rPr>
        <w:lastRenderedPageBreak/>
        <w:t xml:space="preserve">are that of the three factor risk adjusted model. Antoniou, Galariotis, and Spyrou (2006) find that, similar to US findings, the contrarian profits are statistically significant (at the 5% level) and are largest for the smallest firms, and smallest for the largest firms. </w:t>
      </w:r>
    </w:p>
    <w:p w:rsidR="00F84C09" w:rsidRPr="00566BF3" w:rsidRDefault="00F84C09" w:rsidP="00F84C09">
      <w:pPr>
        <w:spacing w:line="360" w:lineRule="auto"/>
        <w:jc w:val="both"/>
        <w:rPr>
          <w:rFonts w:ascii="Times New Roman" w:hAnsi="Times New Roman" w:cs="Times New Roman"/>
          <w:sz w:val="24"/>
          <w:szCs w:val="36"/>
        </w:rPr>
      </w:pPr>
    </w:p>
    <w:p w:rsidR="00F84C09" w:rsidRDefault="00F84C09" w:rsidP="00F84C09">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t xml:space="preserve">Why is it that the profits in Antoniou, Galariotis, and Spyrou (2006) study go from being slightly significant to significant at the 5% level with profits being the greatest for the smallest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firms? The more factors included in the regression model may have an eff</w:t>
      </w:r>
      <w:r>
        <w:rPr>
          <w:rFonts w:ascii="Times New Roman" w:hAnsi="Times New Roman" w:cs="Times New Roman"/>
          <w:sz w:val="24"/>
          <w:szCs w:val="36"/>
        </w:rPr>
        <w:t>ec</w:t>
      </w:r>
      <w:r w:rsidRPr="00566BF3">
        <w:rPr>
          <w:rFonts w:ascii="Times New Roman" w:hAnsi="Times New Roman" w:cs="Times New Roman"/>
          <w:sz w:val="24"/>
          <w:szCs w:val="36"/>
        </w:rPr>
        <w:t xml:space="preserve">t on the significantly larger profits. If the coefficients for the factors are negative then the inclusion of the three factors will increase the profits. Another explanation follows in line with De Bondt and Thaler (1985). If value stocks are considered more risky than growth stocks then the difference between value and growth returns will be much larger when risk is taken into account. </w:t>
      </w:r>
    </w:p>
    <w:p w:rsidR="00F84C09" w:rsidRDefault="00F84C09" w:rsidP="00F84C09">
      <w:pPr>
        <w:spacing w:line="360" w:lineRule="auto"/>
        <w:jc w:val="both"/>
        <w:rPr>
          <w:rFonts w:ascii="Times New Roman" w:hAnsi="Times New Roman" w:cs="Times New Roman"/>
          <w:sz w:val="24"/>
          <w:szCs w:val="36"/>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szCs w:val="36"/>
        </w:rPr>
        <w:t xml:space="preserve">When </w:t>
      </w:r>
      <w:r>
        <w:rPr>
          <w:rFonts w:ascii="Times New Roman" w:hAnsi="Times New Roman" w:cs="Times New Roman"/>
          <w:sz w:val="24"/>
        </w:rPr>
        <w:t xml:space="preserve">Chen </w:t>
      </w:r>
      <w:r w:rsidRPr="00962075">
        <w:rPr>
          <w:rFonts w:ascii="Times New Roman" w:hAnsi="Times New Roman" w:cs="Times New Roman"/>
          <w:i/>
          <w:sz w:val="24"/>
        </w:rPr>
        <w:t>et al.</w:t>
      </w:r>
      <w:r>
        <w:rPr>
          <w:rFonts w:ascii="Times New Roman" w:hAnsi="Times New Roman" w:cs="Times New Roman"/>
          <w:sz w:val="24"/>
        </w:rPr>
        <w:t xml:space="preserve"> (2005) look to the BTM regressions as a way to determine if the BTM ratio in fact proxies for risk, they find that no such conclusion can be drawn. Using the seven macro-variables as independent variables the authors note that low BTM portfolios are more sensitive to changes in the market as well as oil prices and increases in the interest rate. High BTM portfolios resulted in high sensitivity to inflation, thus making these portfolios riskier. Therefore, the different portfolios cannot lead Chen </w:t>
      </w:r>
      <w:r w:rsidRPr="00962075">
        <w:rPr>
          <w:rFonts w:ascii="Times New Roman" w:hAnsi="Times New Roman" w:cs="Times New Roman"/>
          <w:i/>
          <w:sz w:val="24"/>
        </w:rPr>
        <w:t>et al.</w:t>
      </w:r>
      <w:r>
        <w:rPr>
          <w:rFonts w:ascii="Times New Roman" w:hAnsi="Times New Roman" w:cs="Times New Roman"/>
          <w:sz w:val="24"/>
        </w:rPr>
        <w:t xml:space="preserve"> (2005) to conclude that the BTM ratio is a suitable risk proxy. This is in contrast to </w:t>
      </w:r>
      <w:r w:rsidRPr="00A475E2">
        <w:rPr>
          <w:rFonts w:ascii="Times New Roman" w:hAnsi="Times New Roman" w:cs="Times New Roman"/>
          <w:sz w:val="24"/>
        </w:rPr>
        <w:t>Fama and French (1992)</w:t>
      </w:r>
      <w:r>
        <w:rPr>
          <w:rFonts w:ascii="Times New Roman" w:hAnsi="Times New Roman" w:cs="Times New Roman"/>
          <w:sz w:val="24"/>
        </w:rPr>
        <w:t xml:space="preserve"> and </w:t>
      </w:r>
      <w:r w:rsidRPr="00566BF3">
        <w:rPr>
          <w:rFonts w:ascii="Times New Roman" w:hAnsi="Times New Roman" w:cs="Times New Roman"/>
          <w:sz w:val="24"/>
        </w:rPr>
        <w:t xml:space="preserve">Michailidis, Tsopoglou, and Papanastasiou (2007) </w:t>
      </w:r>
      <w:r>
        <w:rPr>
          <w:rFonts w:ascii="Times New Roman" w:hAnsi="Times New Roman" w:cs="Times New Roman"/>
          <w:sz w:val="24"/>
        </w:rPr>
        <w:t xml:space="preserve">who find that the BTM ratio does proxy for unobservable risk factors. Further, Chen </w:t>
      </w:r>
      <w:r w:rsidRPr="00962075">
        <w:rPr>
          <w:rFonts w:ascii="Times New Roman" w:hAnsi="Times New Roman" w:cs="Times New Roman"/>
          <w:i/>
          <w:sz w:val="24"/>
        </w:rPr>
        <w:t>et al.</w:t>
      </w:r>
      <w:r>
        <w:rPr>
          <w:rFonts w:ascii="Times New Roman" w:hAnsi="Times New Roman" w:cs="Times New Roman"/>
          <w:i/>
          <w:sz w:val="24"/>
        </w:rPr>
        <w:t xml:space="preserve"> </w:t>
      </w:r>
      <w:r>
        <w:rPr>
          <w:rFonts w:ascii="Times New Roman" w:hAnsi="Times New Roman" w:cs="Times New Roman"/>
          <w:sz w:val="24"/>
        </w:rPr>
        <w:t xml:space="preserve">(2005) find that size, rather than the BTM ratio, proxies for risk. The authors surmise that if an investor wants to avoid a certain type of risk, for example, inflation risk, then he could avoid high BTM stocks. Thus, even though a clear conclusion cannot be drawn from the BTM regressions, it can still be interpreted in a useful manner. </w:t>
      </w:r>
    </w:p>
    <w:p w:rsidR="00F84C09" w:rsidRDefault="00F84C09" w:rsidP="00F84C09">
      <w:pPr>
        <w:spacing w:line="360" w:lineRule="auto"/>
        <w:jc w:val="both"/>
        <w:rPr>
          <w:rFonts w:ascii="Times New Roman" w:hAnsi="Times New Roman" w:cs="Times New Roman"/>
          <w:sz w:val="24"/>
        </w:rPr>
      </w:pPr>
    </w:p>
    <w:p w:rsidR="00CE050C"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t xml:space="preserve">Forner and Marhuenda (2003) test whether their results for the contrarian and momentum strategies are robust in so far as they are observed when the returns are risk adjusted. </w:t>
      </w:r>
    </w:p>
    <w:p w:rsidR="00CE050C" w:rsidRDefault="00CE050C"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sz w:val="24"/>
        </w:rPr>
      </w:pPr>
      <w:r>
        <w:rPr>
          <w:rFonts w:ascii="Times New Roman" w:hAnsi="Times New Roman" w:cs="Times New Roman"/>
          <w:sz w:val="24"/>
        </w:rPr>
        <w:lastRenderedPageBreak/>
        <w:t>They follow the method of Chan (1988) using the formula:</w:t>
      </w:r>
    </w:p>
    <w:p w:rsidR="00F84C09" w:rsidRDefault="00F84C09" w:rsidP="00F84C09">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102"/>
        <w:gridCol w:w="7338"/>
        <w:gridCol w:w="802"/>
      </w:tblGrid>
      <w:tr w:rsidR="00F84C09" w:rsidTr="00CC694D">
        <w:tc>
          <w:tcPr>
            <w:tcW w:w="596" w:type="pct"/>
          </w:tcPr>
          <w:p w:rsidR="00F84C09" w:rsidRPr="0059445F" w:rsidRDefault="00F84C09" w:rsidP="00CC694D">
            <w:pPr>
              <w:spacing w:line="360" w:lineRule="auto"/>
              <w:jc w:val="both"/>
              <w:rPr>
                <w:rFonts w:ascii="Times New Roman" w:eastAsia="Times New Roman" w:hAnsi="Times New Roman" w:cs="Times New Roman"/>
                <w:sz w:val="24"/>
              </w:rPr>
            </w:pPr>
          </w:p>
        </w:tc>
        <w:tc>
          <w:tcPr>
            <w:tcW w:w="3970" w:type="pct"/>
          </w:tcPr>
          <w:p w:rsidR="00F84C09" w:rsidRDefault="000963F3" w:rsidP="00CC694D">
            <w:pPr>
              <w:spacing w:line="360" w:lineRule="auto"/>
              <w:jc w:val="both"/>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p.t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f,t</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α</m:t>
                    </m:r>
                  </m:e>
                  <m:sub>
                    <m:r>
                      <w:rPr>
                        <w:rFonts w:ascii="Cambria Math" w:hAnsi="Cambria Math" w:cs="Times New Roman"/>
                        <w:sz w:val="24"/>
                      </w:rPr>
                      <m:t>p,F</m:t>
                    </m:r>
                  </m:sub>
                </m:sSub>
                <m:d>
                  <m:dPr>
                    <m:ctrlPr>
                      <w:rPr>
                        <w:rFonts w:ascii="Cambria Math" w:hAnsi="Cambria Math" w:cs="Times New Roman"/>
                        <w:i/>
                        <w:sz w:val="24"/>
                      </w:rPr>
                    </m:ctrlPr>
                  </m:dPr>
                  <m:e>
                    <m:r>
                      <w:rPr>
                        <w:rFonts w:ascii="Cambria Math" w:hAnsi="Cambria Math" w:cs="Times New Roman"/>
                        <w:sz w:val="24"/>
                      </w:rPr>
                      <m:t>1-</m:t>
                    </m:r>
                    <m:sSub>
                      <m:sSubPr>
                        <m:ctrlPr>
                          <w:rPr>
                            <w:rFonts w:ascii="Cambria Math" w:hAnsi="Cambria Math" w:cs="Times New Roman"/>
                            <w:i/>
                            <w:sz w:val="24"/>
                          </w:rPr>
                        </m:ctrlPr>
                      </m:sSubPr>
                      <m:e>
                        <m:r>
                          <w:rPr>
                            <w:rFonts w:ascii="Cambria Math" w:hAnsi="Cambria Math" w:cs="Times New Roman"/>
                            <w:sz w:val="24"/>
                          </w:rPr>
                          <m:t>D</m:t>
                        </m:r>
                      </m:e>
                      <m:sub>
                        <m:r>
                          <w:rPr>
                            <w:rFonts w:ascii="Cambria Math" w:hAnsi="Cambria Math" w:cs="Times New Roman"/>
                            <w:sz w:val="24"/>
                          </w:rPr>
                          <m:t>t</m:t>
                        </m:r>
                      </m:sub>
                    </m:sSub>
                  </m:e>
                </m:d>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α</m:t>
                    </m:r>
                  </m:e>
                  <m:sub>
                    <m:r>
                      <w:rPr>
                        <w:rFonts w:ascii="Cambria Math" w:hAnsi="Cambria Math" w:cs="Times New Roman"/>
                        <w:sz w:val="24"/>
                      </w:rPr>
                      <m:t>p,T</m:t>
                    </m:r>
                  </m:sub>
                </m:sSub>
                <m:sSub>
                  <m:sSubPr>
                    <m:ctrlPr>
                      <w:rPr>
                        <w:rFonts w:ascii="Cambria Math" w:hAnsi="Cambria Math" w:cs="Times New Roman"/>
                        <w:i/>
                        <w:sz w:val="24"/>
                      </w:rPr>
                    </m:ctrlPr>
                  </m:sSubPr>
                  <m:e>
                    <m:r>
                      <w:rPr>
                        <w:rFonts w:ascii="Cambria Math" w:hAnsi="Cambria Math" w:cs="Times New Roman"/>
                        <w:sz w:val="24"/>
                      </w:rPr>
                      <m:t>D</m:t>
                    </m:r>
                  </m:e>
                  <m:sub>
                    <m:r>
                      <w:rPr>
                        <w:rFonts w:ascii="Cambria Math" w:hAnsi="Cambria Math" w:cs="Times New Roman"/>
                        <w:sz w:val="24"/>
                      </w:rPr>
                      <m:t>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p,F</m:t>
                    </m:r>
                  </m:sub>
                </m:sSub>
                <m:d>
                  <m:dPr>
                    <m:ctrlPr>
                      <w:rPr>
                        <w:rFonts w:ascii="Cambria Math" w:hAnsi="Cambria Math" w:cs="Times New Roman"/>
                        <w:i/>
                        <w:sz w:val="24"/>
                      </w:rPr>
                    </m:ctrlPr>
                  </m:dPr>
                  <m:e>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m,t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f,t</m:t>
                        </m:r>
                      </m:sub>
                    </m:sSub>
                  </m:e>
                </m:d>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p,D</m:t>
                    </m:r>
                  </m:sub>
                </m:sSub>
                <m:d>
                  <m:dPr>
                    <m:ctrlPr>
                      <w:rPr>
                        <w:rFonts w:ascii="Cambria Math" w:hAnsi="Cambria Math" w:cs="Times New Roman"/>
                        <w:i/>
                        <w:sz w:val="24"/>
                      </w:rPr>
                    </m:ctrlPr>
                  </m:dPr>
                  <m:e>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m,t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f,t</m:t>
                        </m:r>
                      </m:sub>
                    </m:sSub>
                  </m:e>
                </m:d>
                <m:sSub>
                  <m:sSubPr>
                    <m:ctrlPr>
                      <w:rPr>
                        <w:rFonts w:ascii="Cambria Math" w:hAnsi="Cambria Math" w:cs="Times New Roman"/>
                        <w:i/>
                        <w:sz w:val="24"/>
                      </w:rPr>
                    </m:ctrlPr>
                  </m:sSubPr>
                  <m:e>
                    <m:r>
                      <w:rPr>
                        <w:rFonts w:ascii="Cambria Math" w:hAnsi="Cambria Math" w:cs="Times New Roman"/>
                        <w:sz w:val="24"/>
                      </w:rPr>
                      <m:t>D</m:t>
                    </m:r>
                  </m:e>
                  <m:sub>
                    <m:r>
                      <w:rPr>
                        <w:rFonts w:ascii="Cambria Math" w:hAnsi="Cambria Math" w:cs="Times New Roman"/>
                        <w:sz w:val="24"/>
                      </w:rPr>
                      <m:t>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ε</m:t>
                    </m:r>
                  </m:e>
                  <m:sub>
                    <m:r>
                      <w:rPr>
                        <w:rFonts w:ascii="Cambria Math" w:hAnsi="Cambria Math" w:cs="Times New Roman"/>
                        <w:sz w:val="24"/>
                      </w:rPr>
                      <m:t>p,t</m:t>
                    </m:r>
                  </m:sub>
                </m:sSub>
              </m:oMath>
            </m:oMathPara>
          </w:p>
        </w:tc>
        <w:tc>
          <w:tcPr>
            <w:tcW w:w="434" w:type="pct"/>
            <w:vAlign w:val="center"/>
          </w:tcPr>
          <w:p w:rsidR="00F84C09" w:rsidRDefault="00F84C09" w:rsidP="00664ED3">
            <w:pPr>
              <w:spacing w:line="360" w:lineRule="auto"/>
              <w:jc w:val="right"/>
              <w:rPr>
                <w:rFonts w:ascii="Times New Roman" w:hAnsi="Times New Roman" w:cs="Times New Roman"/>
                <w:sz w:val="24"/>
              </w:rPr>
            </w:pPr>
            <w:r>
              <w:rPr>
                <w:rFonts w:ascii="Times New Roman" w:hAnsi="Times New Roman" w:cs="Times New Roman"/>
                <w:sz w:val="24"/>
              </w:rPr>
              <w:t>(</w:t>
            </w:r>
            <w:r w:rsidR="00664ED3">
              <w:rPr>
                <w:rFonts w:ascii="Times New Roman" w:hAnsi="Times New Roman" w:cs="Times New Roman"/>
                <w:sz w:val="24"/>
              </w:rPr>
              <w:t>8</w:t>
            </w:r>
            <w:r>
              <w:rPr>
                <w:rFonts w:ascii="Times New Roman" w:hAnsi="Times New Roman" w:cs="Times New Roman"/>
                <w:sz w:val="24"/>
              </w:rPr>
              <w:t>)</w:t>
            </w:r>
          </w:p>
        </w:tc>
      </w:tr>
    </w:tbl>
    <w:p w:rsidR="00F84C09" w:rsidRDefault="00F84C09" w:rsidP="00F84C09">
      <w:pPr>
        <w:spacing w:line="360" w:lineRule="auto"/>
        <w:jc w:val="both"/>
        <w:rPr>
          <w:rFonts w:ascii="Times New Roman" w:hAnsi="Times New Roman" w:cs="Times New Roman"/>
          <w:sz w:val="24"/>
        </w:rPr>
      </w:pPr>
    </w:p>
    <w:p w:rsidR="00F84C09" w:rsidRDefault="00F84C09" w:rsidP="00F84C09">
      <w:pPr>
        <w:spacing w:line="360" w:lineRule="auto"/>
        <w:jc w:val="both"/>
        <w:rPr>
          <w:rFonts w:ascii="Times New Roman" w:hAnsi="Times New Roman" w:cs="Times New Roman"/>
          <w:b/>
          <w:sz w:val="24"/>
        </w:rPr>
      </w:pPr>
      <w:r>
        <w:rPr>
          <w:rFonts w:ascii="Times New Roman" w:hAnsi="Times New Roman" w:cs="Times New Roman"/>
          <w:sz w:val="24"/>
        </w:rPr>
        <w:t>The month in which the portfolio is situated is denoted by t, in the case of Forner and Marhuenda (2003) the period ranges from -36 to 36. D</w:t>
      </w:r>
      <w:r>
        <w:rPr>
          <w:rFonts w:ascii="Times New Roman" w:hAnsi="Times New Roman" w:cs="Times New Roman"/>
          <w:sz w:val="24"/>
          <w:vertAlign w:val="subscript"/>
        </w:rPr>
        <w:t>t</w:t>
      </w:r>
      <w:r>
        <w:rPr>
          <w:rFonts w:ascii="Times New Roman" w:hAnsi="Times New Roman" w:cs="Times New Roman"/>
          <w:sz w:val="24"/>
        </w:rPr>
        <w:t xml:space="preserve"> is the dummy variable that is equal to zero in the formation period (i.e., when t is negative or zero) and equal to 1 in the months 1 to 36 inclusive. The alphas signal the risk-adjusted abnormal returns. When </w:t>
      </w:r>
      <m:oMath>
        <m:sSub>
          <m:sSubPr>
            <m:ctrlPr>
              <w:rPr>
                <w:rFonts w:ascii="Cambria Math" w:hAnsi="Cambria Math" w:cs="Times New Roman"/>
                <w:i/>
                <w:sz w:val="24"/>
              </w:rPr>
            </m:ctrlPr>
          </m:sSubPr>
          <m:e>
            <m:r>
              <w:rPr>
                <w:rFonts w:ascii="Cambria Math" w:hAnsi="Cambria Math" w:cs="Times New Roman"/>
                <w:sz w:val="24"/>
              </w:rPr>
              <m:t>α</m:t>
            </m:r>
          </m:e>
          <m:sub>
            <m:r>
              <w:rPr>
                <w:rFonts w:ascii="Cambria Math" w:hAnsi="Cambria Math" w:cs="Times New Roman"/>
                <w:sz w:val="24"/>
              </w:rPr>
              <m:t>p,T</m:t>
            </m:r>
          </m:sub>
        </m:sSub>
      </m:oMath>
      <w:r>
        <w:rPr>
          <w:rFonts w:ascii="Times New Roman" w:hAnsi="Times New Roman" w:cs="Times New Roman"/>
          <w:sz w:val="24"/>
        </w:rPr>
        <w:t xml:space="preserve"> is equal to zero there is no evidence of an overreaction or underreaction effect. The subscript F and P denote the formation and test periods respectively. Forner and Marhuenda (2003) test their portfolios over 1 year and 5 year periods. In the formation period stocks with superior performance are selected to go into the growth portfolio, while stocks with poor performance are selected for the value portfolio. The tests using the risk-adjusted model indicate that the growth portfolio has significant positive excess returns in the formation period. Furthermore, the value portfolio has significant negative excess returns in the formation period. These results confirm Forner and Marhuenda (2003) stock selection classification. The authors note, like Chan (1988) that the beta of growth portfolios decrease from formation period to test period and the betas of value portfolios increase from formation period to test period. Forner and Marhuenda (2003) note that these results are only significant in the 12 month period. Even though there is a change in risk for both the value and growth portfolios, the authors demonstrate that it is not large enough to b the sole reason for the value premium. Noteworthy of these results is the fact that the growth portfolio outperforms the value portfolio over the 1 year period on a risk-adjusted basis while maintaining lower risk than the value portfolio, Forner and Marhuenda (2003)</w:t>
      </w:r>
      <w:r>
        <w:rPr>
          <w:rFonts w:ascii="Times New Roman" w:hAnsi="Times New Roman" w:cs="Times New Roman"/>
          <w:b/>
          <w:sz w:val="24"/>
        </w:rPr>
        <w:t xml:space="preserve">. </w:t>
      </w:r>
    </w:p>
    <w:p w:rsidR="00F84C09" w:rsidRDefault="00F84C09" w:rsidP="00F84C09">
      <w:pPr>
        <w:spacing w:line="360" w:lineRule="auto"/>
        <w:jc w:val="both"/>
        <w:rPr>
          <w:rFonts w:ascii="Times New Roman" w:hAnsi="Times New Roman" w:cs="Times New Roman"/>
          <w:b/>
          <w:sz w:val="24"/>
        </w:rPr>
      </w:pPr>
    </w:p>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Utilising nonfinancial stocks from NYSE, NASDAQ, and AMEX, monthly returns from CRSP and accounting data from Compustat, Griffin and Lemmon (2002) create portfolios to determine whether high BTM stocks (that is, value stocks) earn higher returns as compensation for increased distress risk. The authors use the O-score measure of the likelihood of bankruptcy as it is deemed to be a suitable proxy for distress risk. The data is </w:t>
      </w:r>
      <w:r>
        <w:rPr>
          <w:rFonts w:ascii="Times New Roman" w:hAnsi="Times New Roman" w:cs="Times New Roman"/>
          <w:sz w:val="24"/>
          <w:szCs w:val="36"/>
        </w:rPr>
        <w:lastRenderedPageBreak/>
        <w:t xml:space="preserve">taken from July 1965 to June 1996 and analysed. The O-score is calculated from the previous December for the June of the next year. Griffin and Lemmon (2002) create portfolio that are sorted on market capitalisation (2 portfolios are created), BTM ratio (3 portfolios are created), and the O-score (5 portfolios are created). Specifically, for the 3 BTM portfolios, the authors use the sorting method similar to Fama and French (1993) by taking the top 30%, middle 40% and bottom 30% of the BTM sorted stocks. Griffin and Lemmon (2002) portfolios are value-weighted and returns are calculated on an annual buy-and-hold basis. Considering the summary statistics of the groups created, surprising results are found. The highest quintile O-score (i.e., the group with the highest distress risk) has low BTM stocks with a 19.4% chance of bankruptcy, while the high BTM stocks have a much lower chance of bankruptcy at 8.7%. </w:t>
      </w:r>
    </w:p>
    <w:p w:rsidR="00F84C09" w:rsidRDefault="00F84C09" w:rsidP="00C90E92"/>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remaining four quintiles have very similar results, with high and low BTM portfolios having around 0.3%, 0.9%, and 0.24% chance of bankruptcy. Griffin and Lemmon (2002) suggest the strange results of growth portfolios having a higher probability of bankruptcy may be due to the book value factor in the BTM variable, and not the market value factor. The book value is sensitive to changes in earnings, so Griffin and Lemmon (2002) propose that the market is not awarding these stocks with high market values but rather, shocks in earnings are causing the book value of these stocks to be low. The authors suggest negative earnings shocks have a direct effect on book value.</w:t>
      </w:r>
    </w:p>
    <w:p w:rsidR="00F84C09" w:rsidRDefault="00F84C09" w:rsidP="00C90E92"/>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Other variables Griffin and Lemmon (2002) consider being proxies for distress risk includes market capitalisation, market leverage, and profitability. These are similar to the variables considered by Garza-Gómez (2001) as proxies for risk. Griffin and Lemmon (2002) look at the relation these three variables have the O-score and BTM ratio, noting that the O-score and BTM ratio are inversely related to market capitalisation. This result implies that distress risk increases when firm size decreases, and the BTM ratio increases when firm size decreases. This result is not unlike what is examined throughout the literature review. It is expected that smaller firms have higher risk and higher BTM values (thus placing them in the value category). There remains an inverse relationship between the return on assets and the O-score and the BTM ratio, but there is a positive relationship between market leverage (calculated as the book value of liabilities divided by the market value of equity) and the O-score and BTM ratio. </w:t>
      </w:r>
    </w:p>
    <w:p w:rsidR="00F84C09" w:rsidRDefault="00F84C09" w:rsidP="00F84C09">
      <w:pPr>
        <w:pStyle w:val="ListParagraph"/>
        <w:spacing w:line="360" w:lineRule="auto"/>
        <w:ind w:left="0"/>
        <w:jc w:val="both"/>
        <w:rPr>
          <w:rFonts w:ascii="Times New Roman" w:hAnsi="Times New Roman" w:cs="Times New Roman"/>
          <w:sz w:val="24"/>
          <w:szCs w:val="36"/>
        </w:rPr>
      </w:pPr>
    </w:p>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An expectation of Griffin and Lemmon (2002) is that average stock returns should be positively related to the BTM ratio as well as the O-score. The authors tabulate the annual buy-and-hold returns for the O-score and BTM portfolios separately. Along with the inclusion of these two variables are the inclusion of small and large market capitalisation and size-adjusted returns. Possibly the most important finding with these regressions is that the low BTM firms with a high possibility of bankruptcy have very low returns. The size adjusted returns for this group average at 6.36% in comparison to 20.8% (high BTM, high O-score) and 13.28% (low BTM, low O-score). Griffin and Lemmon (2002) note that this 6.36% is even lower than their risk free rate over the sample period. The authors attribute this finding of low returns to the underperformance of low BTM stocks. There is persistence to the low returns earned by the low BTM stocks in the study by Griffin and Lemmon (2002). Combining the Fama and French (1993) three-factor model with the BTM ratio and the O-score, Griffin and Lemmon (2002) explore the possibility of bankruptcy being largely diversifiable. The three factors of the Fama and French (1993) three-factor model are calculated using monthly value-weighted excess returns. As the risk of bankruptcy (O-score) increases, so does the size and market factor. Proving the correlation of the three factors with the O-score and the BTM ratio, Griffin and Lemmon (2002) show that small market capitalisation portfolios have positive loadings on the HML factor, while low BTM stocks with high distress risk have similar HML loadings to that of other low BTM stocks. </w:t>
      </w:r>
    </w:p>
    <w:p w:rsidR="00F84C09" w:rsidRDefault="00F84C09" w:rsidP="00F84C09"/>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result stemming from the combination of the three factors and the O-score and BTM ratio is that the low BTM high O-score firms are in fact riskier than other low BTM firms. However, these results do not deter Griffin and Lemmon (2002) from finding a reason for the lower return on the more distressed low BTM firms. They assert that firms with a high O-score (thus an increased possibility of bankruptcy) are more likely to be mispriced, thus the cause of the lower returns for these high O-score, low BTM firms. To determine whether these stocks are subject to mispricing, the authors use abnormal stock price returns around earnings announcements as the proxy. Griffin and Lemmon (2002) demonstrate that stocks in the high O-score group (whether high or low BTM) will be subject to return reversals if investors revise their expectations after the announcement and have mispriced the stocks in the first place. These reversals in returns will be the most pronounced for the stocks with the greatest distress risk. The equally weighted earnings announcements are found to be negative for the growth firms and positive for the value firms. The group with the largest positive </w:t>
      </w:r>
      <w:r>
        <w:rPr>
          <w:rFonts w:ascii="Times New Roman" w:hAnsi="Times New Roman" w:cs="Times New Roman"/>
          <w:sz w:val="24"/>
          <w:szCs w:val="36"/>
        </w:rPr>
        <w:lastRenderedPageBreak/>
        <w:t xml:space="preserve">abnormal surprise is the high BTM-high O-score group. Looking at the difference between the high and low BTM groups in the highest O-score group, Griffin and Lemmon (2002) notice that it is the largest difference (3.39%) and is statistically significant. Thus, one can conclude that firms with high distress risk are more prone to mispricing than low O-score firms. </w:t>
      </w:r>
    </w:p>
    <w:p w:rsidR="00F84C09" w:rsidRDefault="00F84C09" w:rsidP="00F84C09"/>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Gregory, Harris, and Michou (2003) assert that the value strategies should have returns that correlate with macroeconomic variables. This will only occur if the value portfolios have increased returns due to unobservable risk factors. These macroeconomic variables used by Gregory, Harris, and Michou (2003) proxy for consumption growth. Critical to all tests performed by the authors is the fact that the authors exclude the 1975 to 1979 period as there is much debate about a ‘backfill’ bias in Datastream. Gregory, Harris, and Michou (2003) perform tests with these years included in their sample to determine whether there actually is a significant difference in results, and find that there is in fact no difference. Following Fama and French (1993) Gregory, Harris, and Michou (2003) create the market, size, and value factors. Sourcing data from LSPD and Datastream, the authors do not distinguish between financial and non-financial stocks. Mimicking Lakonishok, Shleifer, and Vishny (1994) Gregory, Harris, and Michou (2003) create decile portfolios based on one-way and two-way sorts. Similar to Lakonishok, Shleifer, and Vishny (1994) the variables used in these sorts are the BTM ratio, the sales growth (past 3 years) figure, cash flow-to-price, and earnings-to-price ratios. Two-way sorts are based on BTM-GS, CP-GS, and EP-GS. All portfolios are created in July and cumulated returns are calculated up until June the following year, the total sample period running from July 1980 to December 1998. Gregory, Harris, and Michou (2003) form a value minus growth (VMG) portfolio with the one-way or two-way sorted portfolios. This is based on the idea that an investor buys an equally weighted portfolio of the two most value portfolio and shorts an equally weighted portfolio of the two most growth portfolios. The dual-sorted portfolio is slightly more complicated to place in a VMG portfolio so the authors take the difference of the returns on the single most extreme value and extreme growth portfolios.</w:t>
      </w:r>
    </w:p>
    <w:p w:rsidR="00F84C09" w:rsidRDefault="00F84C09" w:rsidP="00B56524"/>
    <w:p w:rsidR="00F84C09" w:rsidRDefault="00F84C09" w:rsidP="00F84C09">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CAPM is unable to explain why high BTM stocks produce better returns than low BTM stocks. The ability of beta to explain stock returns is weakened by the inclusion of other variables in the regression. Small stocks, illiquid stocks, and stocks with increased chances of </w:t>
      </w:r>
      <w:r>
        <w:rPr>
          <w:rFonts w:ascii="Times New Roman" w:hAnsi="Times New Roman" w:cs="Times New Roman"/>
          <w:sz w:val="24"/>
          <w:szCs w:val="36"/>
        </w:rPr>
        <w:lastRenderedPageBreak/>
        <w:t xml:space="preserve">financial distress al have higher risks. The expectation that value portfolios underperform growth portfolios in down states of the market is refuted by several authors. This implies that value strategies are not riskier than growth strategies. Risk-adjusted measure are discussed with the result that risk cannot fully explain the superior returns to growth portfolios. Distress risk also only partially explains the value premium. The results for this risk section are very mixed, with some researchers in favour of the risk theory and some against it.  </w:t>
      </w:r>
    </w:p>
    <w:p w:rsidR="00F84C09" w:rsidRPr="00566BF3" w:rsidRDefault="00F84C09" w:rsidP="00A02570">
      <w:pPr>
        <w:spacing w:line="360" w:lineRule="auto"/>
        <w:jc w:val="both"/>
        <w:rPr>
          <w:rFonts w:ascii="Times New Roman" w:hAnsi="Times New Roman" w:cs="Times New Roman"/>
        </w:rPr>
      </w:pPr>
    </w:p>
    <w:p w:rsidR="00430446" w:rsidRPr="00566BF3" w:rsidRDefault="008857F6" w:rsidP="00F84C09">
      <w:pPr>
        <w:pStyle w:val="ListParagraph"/>
        <w:numPr>
          <w:ilvl w:val="0"/>
          <w:numId w:val="2"/>
        </w:numPr>
        <w:spacing w:line="360" w:lineRule="auto"/>
        <w:jc w:val="both"/>
        <w:outlineLvl w:val="0"/>
        <w:rPr>
          <w:rFonts w:ascii="Times New Roman" w:hAnsi="Times New Roman" w:cs="Times New Roman"/>
          <w:b/>
          <w:sz w:val="36"/>
          <w:szCs w:val="36"/>
        </w:rPr>
      </w:pPr>
      <w:bookmarkStart w:id="16" w:name="_Toc305166497"/>
      <w:r w:rsidRPr="00566BF3">
        <w:rPr>
          <w:rFonts w:ascii="Times New Roman" w:hAnsi="Times New Roman" w:cs="Times New Roman"/>
          <w:b/>
          <w:sz w:val="36"/>
          <w:szCs w:val="36"/>
        </w:rPr>
        <w:t>Literature Review</w:t>
      </w:r>
      <w:bookmarkEnd w:id="16"/>
    </w:p>
    <w:p w:rsidR="007A5A31" w:rsidRPr="00566BF3" w:rsidRDefault="007A5A31" w:rsidP="00A02570">
      <w:pPr>
        <w:pStyle w:val="ListParagraph"/>
        <w:spacing w:line="360" w:lineRule="auto"/>
        <w:ind w:left="1440"/>
        <w:jc w:val="both"/>
        <w:rPr>
          <w:rFonts w:ascii="Times New Roman" w:hAnsi="Times New Roman" w:cs="Times New Roman"/>
          <w:b/>
          <w:sz w:val="32"/>
          <w:szCs w:val="36"/>
          <w:u w:val="single"/>
        </w:rPr>
      </w:pPr>
    </w:p>
    <w:p w:rsidR="007A5A31" w:rsidRPr="00566BF3" w:rsidRDefault="007A5A31" w:rsidP="00F84C09">
      <w:pPr>
        <w:pStyle w:val="ListParagraph"/>
        <w:numPr>
          <w:ilvl w:val="1"/>
          <w:numId w:val="2"/>
        </w:numPr>
        <w:spacing w:line="360" w:lineRule="auto"/>
        <w:jc w:val="both"/>
        <w:outlineLvl w:val="1"/>
        <w:rPr>
          <w:rFonts w:ascii="Times New Roman" w:hAnsi="Times New Roman" w:cs="Times New Roman"/>
          <w:b/>
          <w:sz w:val="32"/>
          <w:szCs w:val="36"/>
        </w:rPr>
      </w:pPr>
      <w:bookmarkStart w:id="17" w:name="_Toc281403399"/>
      <w:bookmarkStart w:id="18" w:name="_Toc305166498"/>
      <w:r w:rsidRPr="00566BF3">
        <w:rPr>
          <w:rFonts w:ascii="Times New Roman" w:hAnsi="Times New Roman" w:cs="Times New Roman"/>
          <w:b/>
          <w:sz w:val="32"/>
          <w:szCs w:val="36"/>
        </w:rPr>
        <w:t>General Background</w:t>
      </w:r>
      <w:bookmarkEnd w:id="17"/>
      <w:r w:rsidR="008857F6" w:rsidRPr="00566BF3">
        <w:rPr>
          <w:rFonts w:ascii="Times New Roman" w:hAnsi="Times New Roman" w:cs="Times New Roman"/>
          <w:b/>
          <w:sz w:val="32"/>
          <w:szCs w:val="36"/>
        </w:rPr>
        <w:t xml:space="preserve"> to Contrarian Investing</w:t>
      </w:r>
      <w:bookmarkEnd w:id="18"/>
    </w:p>
    <w:p w:rsidR="007A5A31" w:rsidRPr="00566BF3" w:rsidRDefault="007A5A31" w:rsidP="00A02570">
      <w:pPr>
        <w:pStyle w:val="ListParagraph"/>
        <w:spacing w:line="360" w:lineRule="auto"/>
        <w:ind w:left="1440"/>
        <w:jc w:val="both"/>
        <w:rPr>
          <w:rFonts w:ascii="Times New Roman" w:hAnsi="Times New Roman" w:cs="Times New Roman"/>
          <w:b/>
          <w:sz w:val="36"/>
          <w:szCs w:val="36"/>
          <w:u w:val="single"/>
        </w:rPr>
      </w:pPr>
    </w:p>
    <w:p w:rsidR="009A1F70" w:rsidRDefault="009A1F70" w:rsidP="001E52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Contrarian investing considers investors who make trades contrary to what the general market population is doing. Stock mispricing is one of the key points discussed. Reversion to the </w:t>
      </w:r>
      <w:r w:rsidR="00AB2C61">
        <w:rPr>
          <w:rFonts w:ascii="Times New Roman" w:hAnsi="Times New Roman" w:cs="Times New Roman"/>
          <w:sz w:val="24"/>
          <w:szCs w:val="24"/>
        </w:rPr>
        <w:t>mean</w:t>
      </w:r>
      <w:r>
        <w:rPr>
          <w:rFonts w:ascii="Times New Roman" w:hAnsi="Times New Roman" w:cs="Times New Roman"/>
          <w:sz w:val="24"/>
          <w:szCs w:val="24"/>
        </w:rPr>
        <w:t xml:space="preserve"> seems to be overlooked by the average investor, which results in certain stocks decreasing in value and others increasing in value after a period of price correction. Value strategies are thought to be riskier than growth strategies. This theory is explored in this section. Investor’s expectations that past fundamentals are reliable predictors of future stock performance fall short of actual stock performance. Another theory underlying the contrarian method of investing is investor overreaction to announcements of news, earnings, etc. These theories all form the basis of the discussion of the general background to contrarian investing. </w:t>
      </w:r>
    </w:p>
    <w:p w:rsidR="009A1F70" w:rsidRDefault="009A1F70"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 contrarian is an investor who tries to achieve superior profits through investment strategies </w:t>
      </w:r>
      <w:r w:rsidR="00936390">
        <w:rPr>
          <w:rFonts w:ascii="Times New Roman" w:hAnsi="Times New Roman" w:cs="Times New Roman"/>
          <w:sz w:val="24"/>
          <w:szCs w:val="24"/>
        </w:rPr>
        <w:t xml:space="preserve">different </w:t>
      </w:r>
      <w:r w:rsidRPr="001E52F7">
        <w:rPr>
          <w:rFonts w:ascii="Times New Roman" w:hAnsi="Times New Roman" w:cs="Times New Roman"/>
          <w:sz w:val="24"/>
          <w:szCs w:val="24"/>
        </w:rPr>
        <w:t>to</w:t>
      </w:r>
      <w:r w:rsidR="00936390">
        <w:rPr>
          <w:rFonts w:ascii="Times New Roman" w:hAnsi="Times New Roman" w:cs="Times New Roman"/>
          <w:sz w:val="24"/>
          <w:szCs w:val="24"/>
        </w:rPr>
        <w:t xml:space="preserve"> that of</w:t>
      </w:r>
      <w:r w:rsidRPr="001E52F7">
        <w:rPr>
          <w:rFonts w:ascii="Times New Roman" w:hAnsi="Times New Roman" w:cs="Times New Roman"/>
          <w:sz w:val="24"/>
          <w:szCs w:val="24"/>
        </w:rPr>
        <w:t xml:space="preserve"> the general investor population. The contrarian’s belief is that the consensus opinion is wrong, and tr</w:t>
      </w:r>
      <w:r w:rsidR="00083850" w:rsidRPr="001E52F7">
        <w:rPr>
          <w:rFonts w:ascii="Times New Roman" w:hAnsi="Times New Roman" w:cs="Times New Roman"/>
          <w:sz w:val="24"/>
          <w:szCs w:val="24"/>
        </w:rPr>
        <w:t xml:space="preserve">ading contrary to the general investor accord will </w:t>
      </w:r>
      <w:r w:rsidRPr="001E52F7">
        <w:rPr>
          <w:rFonts w:ascii="Times New Roman" w:hAnsi="Times New Roman" w:cs="Times New Roman"/>
          <w:sz w:val="24"/>
          <w:szCs w:val="24"/>
        </w:rPr>
        <w:t>prove to be more beneficial.</w:t>
      </w:r>
      <w:r w:rsidR="00A31081" w:rsidRPr="001E52F7">
        <w:rPr>
          <w:rFonts w:ascii="Times New Roman" w:hAnsi="Times New Roman" w:cs="Times New Roman"/>
          <w:sz w:val="24"/>
          <w:szCs w:val="24"/>
        </w:rPr>
        <w:t xml:space="preserve"> Daniel, Hirshleifer, and Subrahmanyam (2001) further state that c</w:t>
      </w:r>
      <w:r w:rsidRPr="001E52F7">
        <w:rPr>
          <w:rFonts w:ascii="Times New Roman" w:hAnsi="Times New Roman" w:cs="Times New Roman"/>
          <w:sz w:val="24"/>
          <w:szCs w:val="24"/>
        </w:rPr>
        <w:t xml:space="preserve">ontrarian investing is based on the premise that </w:t>
      </w:r>
      <w:r w:rsidR="00A71C40">
        <w:rPr>
          <w:rFonts w:ascii="Times New Roman" w:hAnsi="Times New Roman" w:cs="Times New Roman"/>
          <w:sz w:val="24"/>
          <w:szCs w:val="24"/>
        </w:rPr>
        <w:t xml:space="preserve">the </w:t>
      </w:r>
      <w:r w:rsidRPr="001E52F7">
        <w:rPr>
          <w:rFonts w:ascii="Times New Roman" w:hAnsi="Times New Roman" w:cs="Times New Roman"/>
          <w:sz w:val="24"/>
          <w:szCs w:val="24"/>
        </w:rPr>
        <w:t>behaviour of investors in the market can lead to exploitable misvaluations of stocks. An investor who misprices a stock due to pessimism or simply negative news underestimates that stock’s ability to produce a decent (profitable) return. The theory intimates that in situations where</w:t>
      </w:r>
      <w:r w:rsidR="00936390">
        <w:rPr>
          <w:rFonts w:ascii="Times New Roman" w:hAnsi="Times New Roman" w:cs="Times New Roman"/>
          <w:sz w:val="24"/>
          <w:szCs w:val="24"/>
        </w:rPr>
        <w:t xml:space="preserve"> that</w:t>
      </w:r>
      <w:r w:rsidRPr="001E52F7">
        <w:rPr>
          <w:rFonts w:ascii="Times New Roman" w:hAnsi="Times New Roman" w:cs="Times New Roman"/>
          <w:sz w:val="24"/>
          <w:szCs w:val="24"/>
        </w:rPr>
        <w:t xml:space="preserve"> stock’s prospects are over-hyped (</w:t>
      </w:r>
      <w:r w:rsidR="009A607E" w:rsidRPr="001E52F7">
        <w:rPr>
          <w:rFonts w:ascii="Times New Roman" w:hAnsi="Times New Roman" w:cs="Times New Roman"/>
          <w:sz w:val="24"/>
          <w:szCs w:val="24"/>
        </w:rPr>
        <w:t>i.e.</w:t>
      </w:r>
      <w:r w:rsidR="002C7151" w:rsidRPr="001E52F7">
        <w:rPr>
          <w:rFonts w:ascii="Times New Roman" w:hAnsi="Times New Roman" w:cs="Times New Roman"/>
          <w:sz w:val="24"/>
          <w:szCs w:val="24"/>
        </w:rPr>
        <w:t>, there</w:t>
      </w:r>
      <w:r w:rsidRPr="001E52F7">
        <w:rPr>
          <w:rFonts w:ascii="Times New Roman" w:hAnsi="Times New Roman" w:cs="Times New Roman"/>
          <w:sz w:val="24"/>
          <w:szCs w:val="24"/>
        </w:rPr>
        <w:t xml:space="preserve"> is abundant optimism and unwarranted high valuations of stock prices, </w:t>
      </w:r>
      <w:r w:rsidRPr="001E52F7">
        <w:rPr>
          <w:rFonts w:ascii="Times New Roman" w:hAnsi="Times New Roman" w:cs="Times New Roman"/>
          <w:sz w:val="24"/>
          <w:szCs w:val="24"/>
        </w:rPr>
        <w:lastRenderedPageBreak/>
        <w:t>growth, earnings etc.) short-selling may be the answer to reduce r</w:t>
      </w:r>
      <w:r w:rsidR="00083850" w:rsidRPr="001E52F7">
        <w:rPr>
          <w:rFonts w:ascii="Times New Roman" w:hAnsi="Times New Roman" w:cs="Times New Roman"/>
          <w:sz w:val="24"/>
          <w:szCs w:val="24"/>
        </w:rPr>
        <w:t>isk and</w:t>
      </w:r>
      <w:r w:rsidRPr="001E52F7">
        <w:rPr>
          <w:rFonts w:ascii="Times New Roman" w:hAnsi="Times New Roman" w:cs="Times New Roman"/>
          <w:sz w:val="24"/>
          <w:szCs w:val="24"/>
        </w:rPr>
        <w:t xml:space="preserve"> at the same time, </w:t>
      </w:r>
      <w:r w:rsidR="00610C8D">
        <w:rPr>
          <w:rFonts w:ascii="Times New Roman" w:hAnsi="Times New Roman" w:cs="Times New Roman"/>
          <w:sz w:val="24"/>
          <w:szCs w:val="24"/>
        </w:rPr>
        <w:t>realise</w:t>
      </w:r>
      <w:r w:rsidR="00083850" w:rsidRPr="001E52F7">
        <w:rPr>
          <w:rFonts w:ascii="Times New Roman" w:hAnsi="Times New Roman" w:cs="Times New Roman"/>
          <w:sz w:val="24"/>
          <w:szCs w:val="24"/>
        </w:rPr>
        <w:t xml:space="preserve"> profi</w:t>
      </w:r>
      <w:r w:rsidRPr="001E52F7">
        <w:rPr>
          <w:rFonts w:ascii="Times New Roman" w:hAnsi="Times New Roman" w:cs="Times New Roman"/>
          <w:sz w:val="24"/>
          <w:szCs w:val="24"/>
        </w:rPr>
        <w:t>ts.</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A71C40" w:rsidP="001E52F7">
      <w:pPr>
        <w:spacing w:line="360" w:lineRule="auto"/>
        <w:jc w:val="both"/>
        <w:rPr>
          <w:rFonts w:ascii="Times New Roman" w:hAnsi="Times New Roman" w:cs="Times New Roman"/>
          <w:sz w:val="24"/>
          <w:szCs w:val="24"/>
        </w:rPr>
      </w:pPr>
      <w:r>
        <w:rPr>
          <w:rFonts w:ascii="Times New Roman" w:hAnsi="Times New Roman" w:cs="Times New Roman"/>
          <w:sz w:val="24"/>
          <w:szCs w:val="24"/>
        </w:rPr>
        <w:t>Contrarian investing is not simply the notion of investing in only value stocks because growth stocks are more popular with investors. Contrarian investing</w:t>
      </w:r>
      <w:r w:rsidR="00805ED0">
        <w:rPr>
          <w:rFonts w:ascii="Times New Roman" w:hAnsi="Times New Roman" w:cs="Times New Roman"/>
          <w:sz w:val="24"/>
          <w:szCs w:val="24"/>
        </w:rPr>
        <w:t xml:space="preserve"> can be described as investing against the majority, and since the majority’s opinion may change so will a contrarian investor’s strategy. </w:t>
      </w:r>
      <w:r w:rsidR="00430446" w:rsidRPr="001E52F7">
        <w:rPr>
          <w:rFonts w:ascii="Times New Roman" w:hAnsi="Times New Roman" w:cs="Times New Roman"/>
          <w:sz w:val="24"/>
          <w:szCs w:val="24"/>
        </w:rPr>
        <w:t xml:space="preserve"> Instead, they simply have to believe the opposite to whatever the consensus belief is at the time and trade in the reverse. However, in saying that, this </w:t>
      </w:r>
      <w:r w:rsidR="002708B8" w:rsidRPr="001E52F7">
        <w:rPr>
          <w:rFonts w:ascii="Times New Roman" w:hAnsi="Times New Roman" w:cs="Times New Roman"/>
          <w:sz w:val="24"/>
          <w:szCs w:val="24"/>
        </w:rPr>
        <w:t>dissertation</w:t>
      </w:r>
      <w:r w:rsidR="00430446" w:rsidRPr="001E52F7">
        <w:rPr>
          <w:rFonts w:ascii="Times New Roman" w:hAnsi="Times New Roman" w:cs="Times New Roman"/>
          <w:sz w:val="24"/>
          <w:szCs w:val="24"/>
        </w:rPr>
        <w:t xml:space="preserve"> looks specifically at value versus growth investing. Contrarian investing is not only about looking at the metrics – the variables to distinguish between value and growth stocks – but also market sentiment, such as media coverage (positive and negative), earnings forecasts and trading volume. Examples of different types of contrarian st</w:t>
      </w:r>
      <w:r w:rsidR="009163A7" w:rsidRPr="001E52F7">
        <w:rPr>
          <w:rFonts w:ascii="Times New Roman" w:hAnsi="Times New Roman" w:cs="Times New Roman"/>
          <w:sz w:val="24"/>
          <w:szCs w:val="24"/>
        </w:rPr>
        <w:t>rategies</w:t>
      </w:r>
      <w:r w:rsidR="00D618D1" w:rsidRPr="001E52F7">
        <w:rPr>
          <w:rFonts w:ascii="Times New Roman" w:hAnsi="Times New Roman" w:cs="Times New Roman"/>
          <w:sz w:val="24"/>
          <w:szCs w:val="24"/>
        </w:rPr>
        <w:t xml:space="preserve"> include </w:t>
      </w:r>
      <w:r w:rsidR="009163A7" w:rsidRPr="001E52F7">
        <w:rPr>
          <w:rFonts w:ascii="Times New Roman" w:hAnsi="Times New Roman" w:cs="Times New Roman"/>
          <w:sz w:val="24"/>
          <w:szCs w:val="24"/>
        </w:rPr>
        <w:t xml:space="preserve">volatility indexes and the Dogs of the Dow. </w:t>
      </w:r>
      <w:r w:rsidR="00A02570" w:rsidRPr="001E52F7">
        <w:rPr>
          <w:rFonts w:ascii="Times New Roman" w:hAnsi="Times New Roman" w:cs="Times New Roman"/>
          <w:sz w:val="24"/>
          <w:szCs w:val="24"/>
        </w:rPr>
        <w:t>This strategy involves investing in the ‘unpopular’ stocks of the Dow Jones Industrial Average. Many investors choose to invest in this strategy, either on their own, or through mutual funds. The ‘dogs’ are high yield stocks from the Dow Jones Industrial Average.</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The standard asset pricing model tells us that investors buy and hold the market portfolio of stocks. Contrary to this belief, investors in fact do not simply buy and hold stocks, instead, they engage in active management and pick and trade stocks. When investors make their buy or sell decisions, they are actively trading and this can and most possibly will lea</w:t>
      </w:r>
      <w:r w:rsidR="0085437E" w:rsidRPr="001E52F7">
        <w:rPr>
          <w:rFonts w:ascii="Times New Roman" w:hAnsi="Times New Roman" w:cs="Times New Roman"/>
          <w:sz w:val="24"/>
          <w:szCs w:val="24"/>
        </w:rPr>
        <w:t>d to stock price</w:t>
      </w:r>
      <w:r w:rsidR="00D10E66">
        <w:rPr>
          <w:rFonts w:ascii="Times New Roman" w:hAnsi="Times New Roman" w:cs="Times New Roman"/>
          <w:sz w:val="24"/>
          <w:szCs w:val="24"/>
        </w:rPr>
        <w:t xml:space="preserve"> </w:t>
      </w:r>
      <w:r w:rsidR="0085437E" w:rsidRPr="001E52F7">
        <w:rPr>
          <w:rFonts w:ascii="Times New Roman" w:hAnsi="Times New Roman" w:cs="Times New Roman"/>
          <w:sz w:val="24"/>
          <w:szCs w:val="24"/>
        </w:rPr>
        <w:t>fluctuat</w:t>
      </w:r>
      <w:r w:rsidR="00D10E66">
        <w:rPr>
          <w:rFonts w:ascii="Times New Roman" w:hAnsi="Times New Roman" w:cs="Times New Roman"/>
          <w:sz w:val="24"/>
          <w:szCs w:val="24"/>
        </w:rPr>
        <w:t>ions</w:t>
      </w:r>
      <w:r w:rsidR="0085437E" w:rsidRPr="001E52F7">
        <w:rPr>
          <w:rFonts w:ascii="Times New Roman" w:hAnsi="Times New Roman" w:cs="Times New Roman"/>
          <w:sz w:val="24"/>
          <w:szCs w:val="24"/>
        </w:rPr>
        <w:t xml:space="preserve"> according to </w:t>
      </w:r>
      <w:r w:rsidRPr="001E52F7">
        <w:rPr>
          <w:rFonts w:ascii="Times New Roman" w:hAnsi="Times New Roman" w:cs="Times New Roman"/>
          <w:sz w:val="24"/>
          <w:szCs w:val="24"/>
        </w:rPr>
        <w:t>L</w:t>
      </w:r>
      <w:r w:rsidR="0085437E" w:rsidRPr="001E52F7">
        <w:rPr>
          <w:rFonts w:ascii="Times New Roman" w:hAnsi="Times New Roman" w:cs="Times New Roman"/>
          <w:sz w:val="24"/>
          <w:szCs w:val="24"/>
        </w:rPr>
        <w:t>akonishok, Shleifer, and Vishny</w:t>
      </w:r>
      <w:r w:rsidRPr="001E52F7">
        <w:rPr>
          <w:rFonts w:ascii="Times New Roman" w:hAnsi="Times New Roman" w:cs="Times New Roman"/>
          <w:sz w:val="24"/>
          <w:szCs w:val="24"/>
        </w:rPr>
        <w:t xml:space="preserve"> </w:t>
      </w:r>
      <w:r w:rsidR="0085437E" w:rsidRPr="001E52F7">
        <w:rPr>
          <w:rFonts w:ascii="Times New Roman" w:hAnsi="Times New Roman" w:cs="Times New Roman"/>
          <w:sz w:val="24"/>
          <w:szCs w:val="24"/>
        </w:rPr>
        <w:t>(</w:t>
      </w:r>
      <w:r w:rsidRPr="001E52F7">
        <w:rPr>
          <w:rFonts w:ascii="Times New Roman" w:hAnsi="Times New Roman" w:cs="Times New Roman"/>
          <w:sz w:val="24"/>
          <w:szCs w:val="24"/>
        </w:rPr>
        <w:t xml:space="preserve">1991). Any extreme movements in stock prices are followed by a reversal or “correction”. The degree of movement of the initial price change is closely related to the degree of movement in the opposite direction. </w:t>
      </w:r>
      <w:r w:rsidR="002708B8" w:rsidRPr="001E52F7">
        <w:rPr>
          <w:rFonts w:ascii="Times New Roman" w:hAnsi="Times New Roman" w:cs="Times New Roman"/>
          <w:sz w:val="24"/>
          <w:szCs w:val="24"/>
        </w:rPr>
        <w:t>Further</w:t>
      </w:r>
      <w:r w:rsidR="0085437E" w:rsidRPr="001E52F7">
        <w:rPr>
          <w:rFonts w:ascii="Times New Roman" w:hAnsi="Times New Roman" w:cs="Times New Roman"/>
          <w:sz w:val="24"/>
          <w:szCs w:val="24"/>
        </w:rPr>
        <w:t>more</w:t>
      </w:r>
      <w:r w:rsidR="002708B8" w:rsidRPr="001E52F7">
        <w:rPr>
          <w:rFonts w:ascii="Times New Roman" w:hAnsi="Times New Roman" w:cs="Times New Roman"/>
          <w:sz w:val="24"/>
          <w:szCs w:val="24"/>
        </w:rPr>
        <w:t>, Lakonishok, Shleifer, and Vishny (1991) state that r</w:t>
      </w:r>
      <w:r w:rsidR="00D618D1" w:rsidRPr="001E52F7">
        <w:rPr>
          <w:rFonts w:ascii="Times New Roman" w:hAnsi="Times New Roman" w:cs="Times New Roman"/>
          <w:sz w:val="24"/>
          <w:szCs w:val="24"/>
        </w:rPr>
        <w:t>egular</w:t>
      </w:r>
      <w:r w:rsidRPr="001E52F7">
        <w:rPr>
          <w:rFonts w:ascii="Times New Roman" w:hAnsi="Times New Roman" w:cs="Times New Roman"/>
          <w:sz w:val="24"/>
          <w:szCs w:val="24"/>
        </w:rPr>
        <w:t xml:space="preserve"> investors (that is, no</w:t>
      </w:r>
      <w:r w:rsidR="0085437E" w:rsidRPr="001E52F7">
        <w:rPr>
          <w:rFonts w:ascii="Times New Roman" w:hAnsi="Times New Roman" w:cs="Times New Roman"/>
          <w:sz w:val="24"/>
          <w:szCs w:val="24"/>
        </w:rPr>
        <w:t>n-</w:t>
      </w:r>
      <w:r w:rsidRPr="001E52F7">
        <w:rPr>
          <w:rFonts w:ascii="Times New Roman" w:hAnsi="Times New Roman" w:cs="Times New Roman"/>
          <w:sz w:val="24"/>
          <w:szCs w:val="24"/>
        </w:rPr>
        <w:t xml:space="preserve">contrarians) focus on the stocks that have stronger prices relative to other stocks. Nonetheless, reversion to the mean must happen because if growth stocks are continually invested in, while value stocks continue to be </w:t>
      </w:r>
      <w:r w:rsidR="00D618D1" w:rsidRPr="001E52F7">
        <w:rPr>
          <w:rFonts w:ascii="Times New Roman" w:hAnsi="Times New Roman" w:cs="Times New Roman"/>
          <w:sz w:val="24"/>
          <w:szCs w:val="24"/>
        </w:rPr>
        <w:t>rejected</w:t>
      </w:r>
      <w:r w:rsidRPr="001E52F7">
        <w:rPr>
          <w:rFonts w:ascii="Times New Roman" w:hAnsi="Times New Roman" w:cs="Times New Roman"/>
          <w:sz w:val="24"/>
          <w:szCs w:val="24"/>
        </w:rPr>
        <w:t>, the market would not be efficient, nor would it have very many remaining stock</w:t>
      </w:r>
      <w:r w:rsidR="0018602F" w:rsidRPr="001E52F7">
        <w:rPr>
          <w:rFonts w:ascii="Times New Roman" w:hAnsi="Times New Roman" w:cs="Times New Roman"/>
          <w:sz w:val="24"/>
          <w:szCs w:val="24"/>
        </w:rPr>
        <w:t>, according to Saville (2009).</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lastRenderedPageBreak/>
        <w:t xml:space="preserve">Contrarian investing is not based on the idea that simple active management leads to contrarian investors. This </w:t>
      </w:r>
      <w:r w:rsidR="004740DE" w:rsidRPr="001E52F7">
        <w:rPr>
          <w:rFonts w:ascii="Times New Roman" w:hAnsi="Times New Roman" w:cs="Times New Roman"/>
          <w:sz w:val="24"/>
          <w:szCs w:val="24"/>
        </w:rPr>
        <w:t>study</w:t>
      </w:r>
      <w:r w:rsidRPr="001E52F7">
        <w:rPr>
          <w:rFonts w:ascii="Times New Roman" w:hAnsi="Times New Roman" w:cs="Times New Roman"/>
          <w:sz w:val="24"/>
          <w:szCs w:val="24"/>
        </w:rPr>
        <w:t xml:space="preserve"> focuses specifically on naive investors misvaluing stocks, or extrapolating past performance too far into the future.</w:t>
      </w:r>
      <w:r w:rsidR="00A02570" w:rsidRPr="001E52F7">
        <w:rPr>
          <w:rFonts w:ascii="Times New Roman" w:hAnsi="Times New Roman" w:cs="Times New Roman"/>
          <w:sz w:val="24"/>
          <w:szCs w:val="24"/>
        </w:rPr>
        <w:t xml:space="preserve"> Extrapolation implies that the past and future are expected to be the same. </w:t>
      </w:r>
      <w:r w:rsidRPr="001E52F7">
        <w:rPr>
          <w:rFonts w:ascii="Times New Roman" w:hAnsi="Times New Roman" w:cs="Times New Roman"/>
          <w:sz w:val="24"/>
          <w:szCs w:val="24"/>
        </w:rPr>
        <w:t xml:space="preserve"> It also considers whether technical trading rules can be used to predict future returns. The contrarian strategy considered is one where stocks that have</w:t>
      </w:r>
      <w:r w:rsidR="00D618D1" w:rsidRPr="001E52F7">
        <w:rPr>
          <w:rFonts w:ascii="Times New Roman" w:hAnsi="Times New Roman" w:cs="Times New Roman"/>
          <w:sz w:val="24"/>
          <w:szCs w:val="24"/>
        </w:rPr>
        <w:t xml:space="preserve"> had</w:t>
      </w:r>
      <w:r w:rsidRPr="001E52F7">
        <w:rPr>
          <w:rFonts w:ascii="Times New Roman" w:hAnsi="Times New Roman" w:cs="Times New Roman"/>
          <w:sz w:val="24"/>
          <w:szCs w:val="24"/>
        </w:rPr>
        <w:t xml:space="preserve"> </w:t>
      </w:r>
      <w:r w:rsidR="004A71EF" w:rsidRPr="001E52F7">
        <w:rPr>
          <w:rFonts w:ascii="Times New Roman" w:hAnsi="Times New Roman" w:cs="Times New Roman"/>
          <w:sz w:val="24"/>
          <w:szCs w:val="24"/>
        </w:rPr>
        <w:t>poor</w:t>
      </w:r>
      <w:r w:rsidRPr="001E52F7">
        <w:rPr>
          <w:rFonts w:ascii="Times New Roman" w:hAnsi="Times New Roman" w:cs="Times New Roman"/>
          <w:sz w:val="24"/>
          <w:szCs w:val="24"/>
        </w:rPr>
        <w:t xml:space="preserve"> performance in the past are bought, while stocks with superior past performance are sold. Chan (1988) bases this approach on the belief that the stock market overreacts to news, signals, or events. </w:t>
      </w:r>
      <w:r w:rsidR="00AD66F9">
        <w:rPr>
          <w:rFonts w:ascii="Times New Roman" w:hAnsi="Times New Roman" w:cs="Times New Roman"/>
          <w:sz w:val="24"/>
          <w:szCs w:val="24"/>
        </w:rPr>
        <w:t>F</w:t>
      </w:r>
      <w:r w:rsidRPr="001E52F7">
        <w:rPr>
          <w:rFonts w:ascii="Times New Roman" w:hAnsi="Times New Roman" w:cs="Times New Roman"/>
          <w:sz w:val="24"/>
          <w:szCs w:val="24"/>
        </w:rPr>
        <w:t xml:space="preserve">avourable information will </w:t>
      </w:r>
      <w:r w:rsidR="00AD66F9">
        <w:rPr>
          <w:rFonts w:ascii="Times New Roman" w:hAnsi="Times New Roman" w:cs="Times New Roman"/>
          <w:sz w:val="24"/>
          <w:szCs w:val="24"/>
        </w:rPr>
        <w:t xml:space="preserve">thus </w:t>
      </w:r>
      <w:r w:rsidRPr="001E52F7">
        <w:rPr>
          <w:rFonts w:ascii="Times New Roman" w:hAnsi="Times New Roman" w:cs="Times New Roman"/>
          <w:sz w:val="24"/>
          <w:szCs w:val="24"/>
        </w:rPr>
        <w:t>have the effect of overvaluing growth stocks and unfavourable information will be most detrimental to value stocks. Investors who are well informed have the incentive to ensure they can reap benefits from using their superior knowledge (Smidt, 1968), i.e.</w:t>
      </w:r>
      <w:r w:rsidR="0085437E" w:rsidRPr="001E52F7">
        <w:rPr>
          <w:rFonts w:ascii="Times New Roman" w:hAnsi="Times New Roman" w:cs="Times New Roman"/>
          <w:sz w:val="24"/>
          <w:szCs w:val="24"/>
        </w:rPr>
        <w:t>,</w:t>
      </w:r>
      <w:r w:rsidRPr="001E52F7">
        <w:rPr>
          <w:rFonts w:ascii="Times New Roman" w:hAnsi="Times New Roman" w:cs="Times New Roman"/>
          <w:sz w:val="24"/>
          <w:szCs w:val="24"/>
        </w:rPr>
        <w:t xml:space="preserve"> they exploit this inefficiency in the stock market and will benefit when the stock prices revert to their fundamental values. Dreman and Berry (1995) find in their results that positive information for the undervalued stocks produce above-average returns, while having a much more </w:t>
      </w:r>
      <w:r w:rsidR="002E5FCA" w:rsidRPr="001E52F7">
        <w:rPr>
          <w:rFonts w:ascii="Times New Roman" w:hAnsi="Times New Roman" w:cs="Times New Roman"/>
          <w:sz w:val="24"/>
          <w:szCs w:val="24"/>
        </w:rPr>
        <w:t>measured</w:t>
      </w:r>
      <w:r w:rsidRPr="001E52F7">
        <w:rPr>
          <w:rFonts w:ascii="Times New Roman" w:hAnsi="Times New Roman" w:cs="Times New Roman"/>
          <w:sz w:val="24"/>
          <w:szCs w:val="24"/>
        </w:rPr>
        <w:t xml:space="preserve"> effect on growth stocks.</w:t>
      </w:r>
      <w:r w:rsidR="00DA0382" w:rsidRPr="001E52F7">
        <w:rPr>
          <w:rFonts w:ascii="Times New Roman" w:hAnsi="Times New Roman" w:cs="Times New Roman"/>
          <w:sz w:val="24"/>
          <w:szCs w:val="24"/>
        </w:rPr>
        <w:t xml:space="preserve"> When investors are too optimistic about growth stocks and too pessimistic about value stocks they misprice them. Dreman and Berry (1995) suggest this mispricing and subsequent correction in price is called the mispricing-correction </w:t>
      </w:r>
      <w:r w:rsidR="005515A6" w:rsidRPr="001E52F7">
        <w:rPr>
          <w:rFonts w:ascii="Times New Roman" w:hAnsi="Times New Roman" w:cs="Times New Roman"/>
          <w:sz w:val="24"/>
          <w:szCs w:val="24"/>
        </w:rPr>
        <w:t>hypothesis</w:t>
      </w:r>
      <w:r w:rsidR="00DA0382" w:rsidRPr="001E52F7">
        <w:rPr>
          <w:rFonts w:ascii="Times New Roman" w:hAnsi="Times New Roman" w:cs="Times New Roman"/>
          <w:sz w:val="24"/>
          <w:szCs w:val="24"/>
        </w:rPr>
        <w:t xml:space="preserve"> (MCH). They observe that stock prices are not immediately responsive to new information, and when the prices do eventually reach their fundamental values, Dreman and Berry (1995) believe that this is due to price correction of stock mispricing. </w:t>
      </w:r>
    </w:p>
    <w:p w:rsidR="00A02570" w:rsidRPr="001E52F7" w:rsidRDefault="00A02570" w:rsidP="001E52F7">
      <w:pPr>
        <w:spacing w:line="360" w:lineRule="auto"/>
        <w:jc w:val="both"/>
        <w:rPr>
          <w:rFonts w:ascii="Times New Roman" w:hAnsi="Times New Roman" w:cs="Times New Roman"/>
          <w:sz w:val="24"/>
          <w:szCs w:val="24"/>
        </w:rPr>
      </w:pPr>
    </w:p>
    <w:p w:rsidR="00A02570" w:rsidRPr="001E52F7" w:rsidRDefault="00A02570"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Lakonishok, Shleifer, and Vishny (1994) describe these naive strategies that contrarian investors invest against as those strategies that many investors and analysts are very familiar with. Included in these strategies </w:t>
      </w:r>
      <w:r w:rsidR="00D10E66">
        <w:rPr>
          <w:rFonts w:ascii="Times New Roman" w:hAnsi="Times New Roman" w:cs="Times New Roman"/>
          <w:sz w:val="24"/>
          <w:szCs w:val="24"/>
        </w:rPr>
        <w:t>is</w:t>
      </w:r>
      <w:r w:rsidR="00D10E66" w:rsidRPr="001E52F7">
        <w:rPr>
          <w:rFonts w:ascii="Times New Roman" w:hAnsi="Times New Roman" w:cs="Times New Roman"/>
          <w:sz w:val="24"/>
          <w:szCs w:val="24"/>
        </w:rPr>
        <w:t xml:space="preserve"> </w:t>
      </w:r>
      <w:r w:rsidRPr="001E52F7">
        <w:rPr>
          <w:rFonts w:ascii="Times New Roman" w:hAnsi="Times New Roman" w:cs="Times New Roman"/>
          <w:sz w:val="24"/>
          <w:szCs w:val="24"/>
        </w:rPr>
        <w:t xml:space="preserve">investing based on a trend found in stock prices (that is, using technical analysis to find a good investment), assuming a company with good management is a good investment. In the latter case a well-run company may indeed be a good company, but its stock price may be elevated (or be too high to warrant purchase). Other reasons suggested by Lakonishok, Shleifer, and Vishny (1994) include behavioural biases, which will be covered in a later section of this study. </w:t>
      </w:r>
      <w:r w:rsidR="00435D8D" w:rsidRPr="001E52F7">
        <w:rPr>
          <w:rFonts w:ascii="Times New Roman" w:hAnsi="Times New Roman" w:cs="Times New Roman"/>
          <w:sz w:val="24"/>
          <w:szCs w:val="24"/>
        </w:rPr>
        <w:t xml:space="preserve">Investors’ predictions of the future performance of a company may be too extreme considering what people know about Finance. Other companies within that firm’s industry may attempt to compete away the profits, especially if the firm is producing much better results and is selling for a higher price. When investors mistakenly assume a company is good because it is well-managed they tend </w:t>
      </w:r>
      <w:r w:rsidR="00435D8D" w:rsidRPr="001E52F7">
        <w:rPr>
          <w:rFonts w:ascii="Times New Roman" w:hAnsi="Times New Roman" w:cs="Times New Roman"/>
          <w:sz w:val="24"/>
          <w:szCs w:val="24"/>
        </w:rPr>
        <w:lastRenderedPageBreak/>
        <w:t xml:space="preserve">to forget that these superior managers may move on, looking to a firm that can pay them more, Lakonishok, Shleifer, and Vishny (1994). </w:t>
      </w:r>
    </w:p>
    <w:p w:rsidR="00A02570" w:rsidRPr="001E52F7" w:rsidRDefault="00A02570" w:rsidP="001E52F7">
      <w:pPr>
        <w:spacing w:line="360" w:lineRule="auto"/>
        <w:jc w:val="both"/>
        <w:rPr>
          <w:rFonts w:ascii="Times New Roman" w:hAnsi="Times New Roman" w:cs="Times New Roman"/>
          <w:sz w:val="24"/>
          <w:szCs w:val="24"/>
        </w:rPr>
      </w:pPr>
    </w:p>
    <w:p w:rsidR="00430446" w:rsidRPr="001E52F7" w:rsidRDefault="00561031"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While some academics</w:t>
      </w:r>
      <w:r w:rsidR="0085437E" w:rsidRPr="001E52F7">
        <w:rPr>
          <w:rFonts w:ascii="Times New Roman" w:hAnsi="Times New Roman" w:cs="Times New Roman"/>
          <w:sz w:val="24"/>
          <w:szCs w:val="24"/>
        </w:rPr>
        <w:t>, such as De Bon</w:t>
      </w:r>
      <w:r w:rsidR="00915149" w:rsidRPr="001E52F7">
        <w:rPr>
          <w:rFonts w:ascii="Times New Roman" w:hAnsi="Times New Roman" w:cs="Times New Roman"/>
          <w:sz w:val="24"/>
          <w:szCs w:val="24"/>
        </w:rPr>
        <w:t>dt and Thaler (1985), La Porta</w:t>
      </w:r>
      <w:r w:rsidR="00915149" w:rsidRPr="001E52F7">
        <w:rPr>
          <w:rFonts w:ascii="Times New Roman" w:hAnsi="Times New Roman" w:cs="Times New Roman"/>
          <w:noProof/>
          <w:sz w:val="24"/>
          <w:szCs w:val="24"/>
        </w:rPr>
        <w:t xml:space="preserve">, Lakonishok, Shleifer, </w:t>
      </w:r>
      <w:r w:rsidR="00146A1F" w:rsidRPr="001E52F7">
        <w:rPr>
          <w:rFonts w:ascii="Times New Roman" w:hAnsi="Times New Roman" w:cs="Times New Roman"/>
          <w:noProof/>
          <w:sz w:val="24"/>
          <w:szCs w:val="24"/>
        </w:rPr>
        <w:t>and Vishny (1997)</w:t>
      </w:r>
      <w:r w:rsidR="0085437E" w:rsidRPr="001E52F7">
        <w:rPr>
          <w:rFonts w:ascii="Times New Roman" w:hAnsi="Times New Roman" w:cs="Times New Roman"/>
          <w:sz w:val="24"/>
          <w:szCs w:val="24"/>
        </w:rPr>
        <w:t>, and</w:t>
      </w:r>
      <w:r w:rsidR="0085437E" w:rsidRPr="001E52F7">
        <w:rPr>
          <w:rFonts w:ascii="Times New Roman" w:hAnsi="Times New Roman" w:cs="Times New Roman"/>
          <w:color w:val="7030A0"/>
          <w:sz w:val="24"/>
          <w:szCs w:val="24"/>
        </w:rPr>
        <w:t xml:space="preserve"> </w:t>
      </w:r>
      <w:r w:rsidR="0085437E" w:rsidRPr="001E52F7">
        <w:rPr>
          <w:rFonts w:ascii="Times New Roman" w:hAnsi="Times New Roman" w:cs="Times New Roman"/>
          <w:sz w:val="24"/>
          <w:szCs w:val="24"/>
        </w:rPr>
        <w:t xml:space="preserve">Forner and Marhuenda (2003), </w:t>
      </w:r>
      <w:r w:rsidRPr="001E52F7">
        <w:rPr>
          <w:rFonts w:ascii="Times New Roman" w:hAnsi="Times New Roman" w:cs="Times New Roman"/>
          <w:sz w:val="24"/>
          <w:szCs w:val="24"/>
        </w:rPr>
        <w:t>chalk contrarian strategy results up to mispricing due to overreaction, others</w:t>
      </w:r>
      <w:r w:rsidR="0085437E" w:rsidRPr="001E52F7">
        <w:rPr>
          <w:rFonts w:ascii="Times New Roman" w:hAnsi="Times New Roman" w:cs="Times New Roman"/>
          <w:sz w:val="24"/>
          <w:szCs w:val="24"/>
        </w:rPr>
        <w:t xml:space="preserve"> like Fama (1998); Daniel, Hirshleifer, and Subrahmanyam (2001), and Chan and Lakonishok (2004) </w:t>
      </w:r>
      <w:r w:rsidRPr="001E52F7">
        <w:rPr>
          <w:rFonts w:ascii="Times New Roman" w:hAnsi="Times New Roman" w:cs="Times New Roman"/>
          <w:sz w:val="24"/>
          <w:szCs w:val="24"/>
        </w:rPr>
        <w:t>interpret the results as reveali</w:t>
      </w:r>
      <w:r w:rsidR="00563DD2" w:rsidRPr="001E52F7">
        <w:rPr>
          <w:rFonts w:ascii="Times New Roman" w:hAnsi="Times New Roman" w:cs="Times New Roman"/>
          <w:sz w:val="24"/>
          <w:szCs w:val="24"/>
        </w:rPr>
        <w:t>ng mis</w:t>
      </w:r>
      <w:r w:rsidR="0085437E" w:rsidRPr="001E52F7">
        <w:rPr>
          <w:rFonts w:ascii="Times New Roman" w:hAnsi="Times New Roman" w:cs="Times New Roman"/>
          <w:sz w:val="24"/>
          <w:szCs w:val="24"/>
        </w:rPr>
        <w:t>measured risk and return</w:t>
      </w:r>
      <w:r w:rsidR="009E71A3" w:rsidRPr="001E52F7">
        <w:rPr>
          <w:rFonts w:ascii="Times New Roman" w:hAnsi="Times New Roman" w:cs="Times New Roman"/>
          <w:sz w:val="24"/>
          <w:szCs w:val="24"/>
        </w:rPr>
        <w:t xml:space="preserve">.  </w:t>
      </w:r>
      <w:r w:rsidRPr="001E52F7">
        <w:rPr>
          <w:rFonts w:ascii="Times New Roman" w:hAnsi="Times New Roman" w:cs="Times New Roman"/>
          <w:sz w:val="24"/>
          <w:szCs w:val="24"/>
        </w:rPr>
        <w:t xml:space="preserve"> </w:t>
      </w:r>
      <w:r w:rsidR="00430446" w:rsidRPr="001E52F7">
        <w:rPr>
          <w:rFonts w:ascii="Times New Roman" w:hAnsi="Times New Roman" w:cs="Times New Roman"/>
          <w:sz w:val="24"/>
          <w:szCs w:val="24"/>
        </w:rPr>
        <w:t>The contrarian strategy has had two main influences attributed to its success in deriving superior profits: extrapolation and value strategies are fundamentally riskier than growth strategies (Gregory, Harris, and Michou, 2003). Considering the former influence first, Dreman and Berry (1995) suggest a few factors that could be attributed to the extrapolation influence - the lure of some stocks rather than others – some stocks simply have a certain appeal to investors in general; the investor’s certainty about the stock’s favourable or unfavourable performance to continue well into the future; and for there to be a general consensus of such opinions among peers, experts, and the actual stock price. Daniel, Hirshleifer, and Subrahmanyam (2001) propose that, while CAPM is based on systematic risk and the assumption that investors desire to hold the optimal portfolio while at the same time remaining rational, contrarian investing offers a different view – that expected returns are determine</w:t>
      </w:r>
      <w:r w:rsidR="002E5FCA" w:rsidRPr="001E52F7">
        <w:rPr>
          <w:rFonts w:ascii="Times New Roman" w:hAnsi="Times New Roman" w:cs="Times New Roman"/>
          <w:sz w:val="24"/>
          <w:szCs w:val="24"/>
        </w:rPr>
        <w:t>d</w:t>
      </w:r>
      <w:r w:rsidR="00430446" w:rsidRPr="001E52F7">
        <w:rPr>
          <w:rFonts w:ascii="Times New Roman" w:hAnsi="Times New Roman" w:cs="Times New Roman"/>
          <w:sz w:val="24"/>
          <w:szCs w:val="24"/>
        </w:rPr>
        <w:t xml:space="preserve"> by naive investors incorrectly valuing stocks and that risk is a major determinant.</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550E41" w:rsidP="001E52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understand extrapolation, an investor needs to be certain about which direction he thinks the stock’s earnings, dividends, and cash flows will move. </w:t>
      </w:r>
      <w:r w:rsidR="00430446" w:rsidRPr="001E52F7">
        <w:rPr>
          <w:rFonts w:ascii="Times New Roman" w:hAnsi="Times New Roman" w:cs="Times New Roman"/>
          <w:sz w:val="24"/>
          <w:szCs w:val="24"/>
        </w:rPr>
        <w:t xml:space="preserve"> Several authors, De Bondt and Thaler (1985), La Porta (1996), and Levis and Liodakis (2001), offer the explanation that investors extrapolate past fundamentals too far into the future despite the fact that they are mean reverting. The overreaction </w:t>
      </w:r>
      <w:r w:rsidR="005515A6" w:rsidRPr="001E52F7">
        <w:rPr>
          <w:rFonts w:ascii="Times New Roman" w:hAnsi="Times New Roman" w:cs="Times New Roman"/>
          <w:sz w:val="24"/>
          <w:szCs w:val="24"/>
        </w:rPr>
        <w:t>hypothesis</w:t>
      </w:r>
      <w:r w:rsidR="00430446" w:rsidRPr="001E52F7">
        <w:rPr>
          <w:rFonts w:ascii="Times New Roman" w:hAnsi="Times New Roman" w:cs="Times New Roman"/>
          <w:sz w:val="24"/>
          <w:szCs w:val="24"/>
        </w:rPr>
        <w:t xml:space="preserve"> roots its idea in the fact that it takes time for new trends to be appreciated by investors</w:t>
      </w:r>
      <w:r w:rsidR="0085437E" w:rsidRPr="001E52F7">
        <w:rPr>
          <w:rFonts w:ascii="Times New Roman" w:hAnsi="Times New Roman" w:cs="Times New Roman"/>
          <w:sz w:val="24"/>
          <w:szCs w:val="24"/>
        </w:rPr>
        <w:t>.</w:t>
      </w:r>
      <w:r w:rsidR="00430446" w:rsidRPr="001E52F7">
        <w:rPr>
          <w:rFonts w:ascii="Times New Roman" w:hAnsi="Times New Roman" w:cs="Times New Roman"/>
          <w:sz w:val="24"/>
          <w:szCs w:val="24"/>
        </w:rPr>
        <w:t xml:space="preserve"> </w:t>
      </w:r>
      <w:r w:rsidR="0085437E" w:rsidRPr="001E52F7">
        <w:rPr>
          <w:rFonts w:ascii="Times New Roman" w:hAnsi="Times New Roman" w:cs="Times New Roman"/>
          <w:sz w:val="24"/>
          <w:szCs w:val="24"/>
        </w:rPr>
        <w:t>However</w:t>
      </w:r>
      <w:r w:rsidR="00430446" w:rsidRPr="001E52F7">
        <w:rPr>
          <w:rFonts w:ascii="Times New Roman" w:hAnsi="Times New Roman" w:cs="Times New Roman"/>
          <w:sz w:val="24"/>
          <w:szCs w:val="24"/>
        </w:rPr>
        <w:t xml:space="preserve">, La Porta (1996) maintains that once these investors have caught on to the trend they will remain ‘attached’ to it for too long. This is critical as investors’ naivety in extrapolating past prices too far into the future is a key element in this </w:t>
      </w:r>
      <w:r w:rsidR="000F3147">
        <w:rPr>
          <w:rFonts w:ascii="Times New Roman" w:hAnsi="Times New Roman" w:cs="Times New Roman"/>
          <w:sz w:val="24"/>
          <w:szCs w:val="24"/>
        </w:rPr>
        <w:t>dissertation</w:t>
      </w:r>
      <w:r w:rsidR="00430446" w:rsidRPr="001E52F7">
        <w:rPr>
          <w:rFonts w:ascii="Times New Roman" w:hAnsi="Times New Roman" w:cs="Times New Roman"/>
          <w:sz w:val="24"/>
          <w:szCs w:val="24"/>
        </w:rPr>
        <w:t xml:space="preserve">. Lo and </w:t>
      </w:r>
      <w:r w:rsidR="00064FD7" w:rsidRPr="001E52F7">
        <w:rPr>
          <w:rFonts w:ascii="Times New Roman" w:hAnsi="Times New Roman" w:cs="Times New Roman"/>
          <w:sz w:val="24"/>
          <w:szCs w:val="24"/>
        </w:rPr>
        <w:t>MacKinlay</w:t>
      </w:r>
      <w:r w:rsidR="00430446" w:rsidRPr="001E52F7">
        <w:rPr>
          <w:rFonts w:ascii="Times New Roman" w:hAnsi="Times New Roman" w:cs="Times New Roman"/>
          <w:sz w:val="24"/>
          <w:szCs w:val="24"/>
        </w:rPr>
        <w:t xml:space="preserve"> (1990) have a unique way of explaining how the stock prices come to deviate from their basic values. The stock market overreacts because investors experience bouts of optimism and pessimism. If one can think of this as a body of </w:t>
      </w:r>
      <w:r w:rsidR="00430446" w:rsidRPr="001E52F7">
        <w:rPr>
          <w:rFonts w:ascii="Times New Roman" w:hAnsi="Times New Roman" w:cs="Times New Roman"/>
          <w:sz w:val="24"/>
          <w:szCs w:val="24"/>
        </w:rPr>
        <w:lastRenderedPageBreak/>
        <w:t>water, one can imagine that there would be a sort of momentum that causes stock prices to move away and then come back to their fundamental values (in essence, the tide goes out and will come back in again).</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The above </w:t>
      </w:r>
      <w:r w:rsidR="005515A6" w:rsidRPr="001E52F7">
        <w:rPr>
          <w:rFonts w:ascii="Times New Roman" w:hAnsi="Times New Roman" w:cs="Times New Roman"/>
          <w:sz w:val="24"/>
          <w:szCs w:val="24"/>
        </w:rPr>
        <w:t>hypothesis</w:t>
      </w:r>
      <w:r w:rsidRPr="001E52F7">
        <w:rPr>
          <w:rFonts w:ascii="Times New Roman" w:hAnsi="Times New Roman" w:cs="Times New Roman"/>
          <w:sz w:val="24"/>
          <w:szCs w:val="24"/>
        </w:rPr>
        <w:t xml:space="preserve"> does imply predictability of the stock market, which challenges the Efficient Market </w:t>
      </w:r>
      <w:r w:rsidR="005515A6" w:rsidRPr="001E52F7">
        <w:rPr>
          <w:rFonts w:ascii="Times New Roman" w:hAnsi="Times New Roman" w:cs="Times New Roman"/>
          <w:sz w:val="24"/>
          <w:szCs w:val="24"/>
        </w:rPr>
        <w:t>Hypothesis</w:t>
      </w:r>
      <w:r w:rsidR="004D0ED8" w:rsidRPr="001E52F7">
        <w:rPr>
          <w:rFonts w:ascii="Times New Roman" w:hAnsi="Times New Roman" w:cs="Times New Roman"/>
          <w:sz w:val="24"/>
          <w:szCs w:val="24"/>
        </w:rPr>
        <w:t xml:space="preserve"> (EMH)</w:t>
      </w:r>
      <w:r w:rsidRPr="001E52F7">
        <w:rPr>
          <w:rFonts w:ascii="Times New Roman" w:hAnsi="Times New Roman" w:cs="Times New Roman"/>
          <w:sz w:val="24"/>
          <w:szCs w:val="24"/>
        </w:rPr>
        <w:t xml:space="preserve">. From the overreaction </w:t>
      </w:r>
      <w:r w:rsidR="005515A6" w:rsidRPr="001E52F7">
        <w:rPr>
          <w:rFonts w:ascii="Times New Roman" w:hAnsi="Times New Roman" w:cs="Times New Roman"/>
          <w:sz w:val="24"/>
          <w:szCs w:val="24"/>
        </w:rPr>
        <w:t>hypothesis</w:t>
      </w:r>
      <w:r w:rsidRPr="001E52F7">
        <w:rPr>
          <w:rFonts w:ascii="Times New Roman" w:hAnsi="Times New Roman" w:cs="Times New Roman"/>
          <w:sz w:val="24"/>
          <w:szCs w:val="24"/>
        </w:rPr>
        <w:t xml:space="preserve">, an investor can thus impart predictability on the prices of stocks, allowing him to use past return information in order to predict the change in direction, Forner and </w:t>
      </w:r>
      <w:r w:rsidR="00A71D02" w:rsidRPr="001E52F7">
        <w:rPr>
          <w:rFonts w:ascii="Times New Roman" w:hAnsi="Times New Roman" w:cs="Times New Roman"/>
          <w:sz w:val="24"/>
          <w:szCs w:val="24"/>
        </w:rPr>
        <w:t>Marhuenda</w:t>
      </w:r>
      <w:r w:rsidR="00C63B5A" w:rsidRPr="001E52F7">
        <w:rPr>
          <w:rFonts w:ascii="Times New Roman" w:hAnsi="Times New Roman" w:cs="Times New Roman"/>
          <w:sz w:val="24"/>
          <w:szCs w:val="24"/>
        </w:rPr>
        <w:t xml:space="preserve"> (2003). De Bondt and Thaler (1985) and</w:t>
      </w:r>
      <w:r w:rsidRPr="001E52F7">
        <w:rPr>
          <w:rFonts w:ascii="Times New Roman" w:hAnsi="Times New Roman" w:cs="Times New Roman"/>
          <w:sz w:val="24"/>
          <w:szCs w:val="24"/>
        </w:rPr>
        <w:t xml:space="preserve"> Chan (1988) discuss mean reversion of stock prices. The low prices of value stocks are expected to revert to the price it should be in the future. The period required for the stocks’ values to revert to their fundamental values are not expected to be the same for each portfolio created as business and economic cycles may differ, investor sentiment may not be the same year after year, and other market idiosyncrasies may have an effect on the correction time.</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Continuing with the first influence of the contrarian strategy, extrapolation, evidence from</w:t>
      </w:r>
      <w:r w:rsidR="003F6F24" w:rsidRPr="001E52F7">
        <w:rPr>
          <w:rFonts w:ascii="Times New Roman" w:hAnsi="Times New Roman" w:cs="Times New Roman"/>
          <w:sz w:val="24"/>
          <w:szCs w:val="24"/>
        </w:rPr>
        <w:t xml:space="preserve"> Griffin and Lemmon (2002) suggests</w:t>
      </w:r>
      <w:r w:rsidRPr="001E52F7">
        <w:rPr>
          <w:rFonts w:ascii="Times New Roman" w:hAnsi="Times New Roman" w:cs="Times New Roman"/>
          <w:sz w:val="24"/>
          <w:szCs w:val="24"/>
        </w:rPr>
        <w:t xml:space="preserve"> that </w:t>
      </w:r>
      <w:r w:rsidR="003F6F24" w:rsidRPr="001E52F7">
        <w:rPr>
          <w:rFonts w:ascii="Times New Roman" w:hAnsi="Times New Roman" w:cs="Times New Roman"/>
          <w:sz w:val="24"/>
          <w:szCs w:val="24"/>
        </w:rPr>
        <w:t xml:space="preserve">the influence and usefulness of information about current valuation ratios are underestimated by investors. In doing this, the investors effectively magnify what they expect to earn in terms of profits. They believe that the future growth prospects of a firm with a low BTM ratio will be greater that what it truly will be. </w:t>
      </w:r>
      <w:r w:rsidRPr="001E52F7">
        <w:rPr>
          <w:rFonts w:ascii="Times New Roman" w:hAnsi="Times New Roman" w:cs="Times New Roman"/>
          <w:sz w:val="24"/>
          <w:szCs w:val="24"/>
        </w:rPr>
        <w:t xml:space="preserve"> This theory still conforms to the idea of naive investors</w:t>
      </w:r>
      <w:r w:rsidR="000F3147">
        <w:rPr>
          <w:rFonts w:ascii="Times New Roman" w:hAnsi="Times New Roman" w:cs="Times New Roman"/>
          <w:sz w:val="24"/>
          <w:szCs w:val="24"/>
        </w:rPr>
        <w:t xml:space="preserve">, but it provides an opening into </w:t>
      </w:r>
      <w:r w:rsidRPr="001E52F7">
        <w:rPr>
          <w:rFonts w:ascii="Times New Roman" w:hAnsi="Times New Roman" w:cs="Times New Roman"/>
          <w:sz w:val="24"/>
          <w:szCs w:val="24"/>
        </w:rPr>
        <w:t>the interpretation of value strategies outperforming growth ones. Investors in this case appear to be extremely optimistic about the future without having much consideration for the past, but rather the present. Brouwer, van der Put, and Veld (1997</w:t>
      </w:r>
      <w:r w:rsidR="0085437E" w:rsidRPr="001E52F7">
        <w:rPr>
          <w:rFonts w:ascii="Times New Roman" w:hAnsi="Times New Roman" w:cs="Times New Roman"/>
          <w:sz w:val="24"/>
          <w:szCs w:val="24"/>
        </w:rPr>
        <w:t>)</w:t>
      </w:r>
      <w:r w:rsidRPr="001E52F7">
        <w:rPr>
          <w:rFonts w:ascii="Times New Roman" w:hAnsi="Times New Roman" w:cs="Times New Roman"/>
          <w:sz w:val="24"/>
          <w:szCs w:val="24"/>
        </w:rPr>
        <w:t xml:space="preserve"> </w:t>
      </w:r>
      <w:r w:rsidR="00707D9E" w:rsidRPr="001E52F7">
        <w:rPr>
          <w:rFonts w:ascii="Times New Roman" w:hAnsi="Times New Roman" w:cs="Times New Roman"/>
          <w:sz w:val="24"/>
          <w:szCs w:val="24"/>
        </w:rPr>
        <w:t>point out companies that have experienced outstanding past earnings or cash flow growth are likely to become overpriced in the stock market. This is because investors in the market are too optimistic about future earnings’ abilities. Here, t</w:t>
      </w:r>
      <w:r w:rsidRPr="001E52F7">
        <w:rPr>
          <w:rFonts w:ascii="Times New Roman" w:hAnsi="Times New Roman" w:cs="Times New Roman"/>
          <w:sz w:val="24"/>
          <w:szCs w:val="24"/>
        </w:rPr>
        <w:t>heir focus lies in past fundamentals being reliable predictors of the future.</w:t>
      </w:r>
      <w:r w:rsidR="003F6F24" w:rsidRPr="001E52F7">
        <w:rPr>
          <w:rFonts w:ascii="Times New Roman" w:hAnsi="Times New Roman" w:cs="Times New Roman"/>
          <w:sz w:val="24"/>
          <w:szCs w:val="24"/>
        </w:rPr>
        <w:t xml:space="preserve"> </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Moving on to the second main influence of the contrarian strategy, value strategies are fundamentally riskier than growth strategies, </w:t>
      </w:r>
      <w:r w:rsidR="00D2663B" w:rsidRPr="001E52F7">
        <w:rPr>
          <w:rFonts w:ascii="Times New Roman" w:hAnsi="Times New Roman" w:cs="Times New Roman"/>
          <w:sz w:val="24"/>
          <w:szCs w:val="24"/>
        </w:rPr>
        <w:t xml:space="preserve">where </w:t>
      </w:r>
      <w:r w:rsidRPr="001E52F7">
        <w:rPr>
          <w:rFonts w:ascii="Times New Roman" w:hAnsi="Times New Roman" w:cs="Times New Roman"/>
          <w:sz w:val="24"/>
          <w:szCs w:val="24"/>
        </w:rPr>
        <w:t xml:space="preserve">the evidence seems to be mixed. Price </w:t>
      </w:r>
      <w:r w:rsidRPr="001E52F7">
        <w:rPr>
          <w:rFonts w:ascii="Times New Roman" w:hAnsi="Times New Roman" w:cs="Times New Roman"/>
          <w:sz w:val="24"/>
          <w:szCs w:val="24"/>
        </w:rPr>
        <w:lastRenderedPageBreak/>
        <w:t xml:space="preserve">reversals in the short run appear to be due to investor overreaction, while </w:t>
      </w:r>
      <w:r w:rsidR="00EB502F" w:rsidRPr="001E52F7">
        <w:rPr>
          <w:rFonts w:ascii="Times New Roman" w:hAnsi="Times New Roman" w:cs="Times New Roman"/>
          <w:sz w:val="24"/>
          <w:szCs w:val="24"/>
        </w:rPr>
        <w:t xml:space="preserve">it has been suggested </w:t>
      </w:r>
      <w:r w:rsidRPr="001E52F7">
        <w:rPr>
          <w:rFonts w:ascii="Times New Roman" w:hAnsi="Times New Roman" w:cs="Times New Roman"/>
          <w:sz w:val="24"/>
          <w:szCs w:val="24"/>
        </w:rPr>
        <w:t>that in the long run, those stocks that were initially considered very risky were in actual fact not that risky. Their risks were overestimated</w:t>
      </w:r>
      <w:r w:rsidR="0085437E" w:rsidRPr="001E52F7">
        <w:rPr>
          <w:rFonts w:ascii="Times New Roman" w:hAnsi="Times New Roman" w:cs="Times New Roman"/>
          <w:sz w:val="24"/>
          <w:szCs w:val="24"/>
        </w:rPr>
        <w:t>, for example, the stocks’ cost of bankruptcy is overestimated.</w:t>
      </w:r>
      <w:r w:rsidRPr="001E52F7">
        <w:rPr>
          <w:rFonts w:ascii="Times New Roman" w:hAnsi="Times New Roman" w:cs="Times New Roman"/>
          <w:sz w:val="24"/>
          <w:szCs w:val="24"/>
        </w:rPr>
        <w:t xml:space="preserve"> Conrad and Kaul (1998) only find the value strategy to be profitable in the long run. In fact, Lakonishok, Shleifer, and Vishny (1991) propose that the strategy may even do very badly in the short run, implying the contrarian investor needs to hold out until the long</w:t>
      </w:r>
      <w:r w:rsidR="0085437E" w:rsidRPr="001E52F7">
        <w:rPr>
          <w:rFonts w:ascii="Times New Roman" w:hAnsi="Times New Roman" w:cs="Times New Roman"/>
          <w:sz w:val="24"/>
          <w:szCs w:val="24"/>
        </w:rPr>
        <w:t>-term profits can be realised. Further discussion on this topic will be considered later in the dissertation</w:t>
      </w:r>
      <w:r w:rsidRPr="001E52F7">
        <w:rPr>
          <w:rFonts w:ascii="Times New Roman" w:hAnsi="Times New Roman" w:cs="Times New Roman"/>
          <w:sz w:val="24"/>
          <w:szCs w:val="24"/>
        </w:rPr>
        <w:t xml:space="preserve">. </w:t>
      </w:r>
      <w:r w:rsidR="009647DC" w:rsidRPr="001E52F7">
        <w:rPr>
          <w:rFonts w:ascii="Times New Roman" w:hAnsi="Times New Roman" w:cs="Times New Roman"/>
          <w:sz w:val="24"/>
          <w:szCs w:val="24"/>
        </w:rPr>
        <w:t xml:space="preserve">Contributing to the value-is-riskier assertion is </w:t>
      </w:r>
      <w:r w:rsidRPr="001E52F7">
        <w:rPr>
          <w:rFonts w:ascii="Times New Roman" w:hAnsi="Times New Roman" w:cs="Times New Roman"/>
          <w:sz w:val="24"/>
          <w:szCs w:val="24"/>
        </w:rPr>
        <w:t>Chin, Prevost, and Gottesman (2002)</w:t>
      </w:r>
      <w:r w:rsidR="009647DC" w:rsidRPr="001E52F7">
        <w:rPr>
          <w:rFonts w:ascii="Times New Roman" w:hAnsi="Times New Roman" w:cs="Times New Roman"/>
          <w:sz w:val="24"/>
          <w:szCs w:val="24"/>
        </w:rPr>
        <w:t>, they mention that th</w:t>
      </w:r>
      <w:r w:rsidRPr="001E52F7">
        <w:rPr>
          <w:rFonts w:ascii="Times New Roman" w:hAnsi="Times New Roman" w:cs="Times New Roman"/>
          <w:sz w:val="24"/>
          <w:szCs w:val="24"/>
        </w:rPr>
        <w:t xml:space="preserve">ere are many authors who use accounting-based valuation variables to </w:t>
      </w:r>
      <w:r w:rsidR="009647DC" w:rsidRPr="001E52F7">
        <w:rPr>
          <w:rFonts w:ascii="Times New Roman" w:hAnsi="Times New Roman" w:cs="Times New Roman"/>
          <w:sz w:val="24"/>
          <w:szCs w:val="24"/>
        </w:rPr>
        <w:t xml:space="preserve">create and/or </w:t>
      </w:r>
      <w:r w:rsidRPr="001E52F7">
        <w:rPr>
          <w:rFonts w:ascii="Times New Roman" w:hAnsi="Times New Roman" w:cs="Times New Roman"/>
          <w:sz w:val="24"/>
          <w:szCs w:val="24"/>
        </w:rPr>
        <w:t>distinguish between</w:t>
      </w:r>
      <w:r w:rsidR="009647DC" w:rsidRPr="001E52F7">
        <w:rPr>
          <w:rFonts w:ascii="Times New Roman" w:hAnsi="Times New Roman" w:cs="Times New Roman"/>
          <w:sz w:val="24"/>
          <w:szCs w:val="24"/>
        </w:rPr>
        <w:t xml:space="preserve"> </w:t>
      </w:r>
      <w:r w:rsidRPr="001E52F7">
        <w:rPr>
          <w:rFonts w:ascii="Times New Roman" w:hAnsi="Times New Roman" w:cs="Times New Roman"/>
          <w:sz w:val="24"/>
          <w:szCs w:val="24"/>
        </w:rPr>
        <w:t>value and growth portfolios. The argument stemming from this approach</w:t>
      </w:r>
      <w:r w:rsidR="009647DC" w:rsidRPr="001E52F7">
        <w:rPr>
          <w:rFonts w:ascii="Times New Roman" w:hAnsi="Times New Roman" w:cs="Times New Roman"/>
          <w:sz w:val="24"/>
          <w:szCs w:val="24"/>
        </w:rPr>
        <w:t>, one that has already been mentioned,</w:t>
      </w:r>
      <w:r w:rsidRPr="001E52F7">
        <w:rPr>
          <w:rFonts w:ascii="Times New Roman" w:hAnsi="Times New Roman" w:cs="Times New Roman"/>
          <w:sz w:val="24"/>
          <w:szCs w:val="24"/>
        </w:rPr>
        <w:t xml:space="preserve"> is that beta from CAPM cannot possibly proxy for all risk factors and using these accounting variables may be able to account for a larger universe of unobservable common risk factors. Owing to the differing opinions of researchers, the riskiness of value and growth strategies will be considered in more depth in the Risk chapter</w:t>
      </w:r>
      <w:r w:rsidR="0085437E" w:rsidRPr="001E52F7">
        <w:rPr>
          <w:rFonts w:ascii="Times New Roman" w:hAnsi="Times New Roman" w:cs="Times New Roman"/>
          <w:sz w:val="24"/>
          <w:szCs w:val="24"/>
        </w:rPr>
        <w:t xml:space="preserve"> (p</w:t>
      </w:r>
      <w:r w:rsidR="009725A7">
        <w:rPr>
          <w:rFonts w:ascii="Times New Roman" w:hAnsi="Times New Roman" w:cs="Times New Roman"/>
          <w:sz w:val="24"/>
          <w:szCs w:val="24"/>
        </w:rPr>
        <w:t>g. 64).</w:t>
      </w:r>
    </w:p>
    <w:p w:rsidR="00430446" w:rsidRPr="001E52F7" w:rsidRDefault="00430446" w:rsidP="001E52F7">
      <w:pPr>
        <w:spacing w:line="360" w:lineRule="auto"/>
        <w:jc w:val="both"/>
        <w:rPr>
          <w:rFonts w:ascii="Times New Roman" w:hAnsi="Times New Roman" w:cs="Times New Roman"/>
          <w:sz w:val="24"/>
          <w:szCs w:val="24"/>
        </w:rPr>
      </w:pPr>
    </w:p>
    <w:p w:rsidR="00430446" w:rsidRPr="001E52F7" w:rsidRDefault="0043044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By taking a short position in growth stocks and a long position in value stocks, thus holding a zero investment portfolio, De Bondt and Thaler (1985) find that the investors will </w:t>
      </w:r>
      <w:r w:rsidR="00610C8D">
        <w:rPr>
          <w:rFonts w:ascii="Times New Roman" w:hAnsi="Times New Roman" w:cs="Times New Roman"/>
          <w:sz w:val="24"/>
          <w:szCs w:val="24"/>
        </w:rPr>
        <w:t>realise</w:t>
      </w:r>
      <w:r w:rsidRPr="001E52F7">
        <w:rPr>
          <w:rFonts w:ascii="Times New Roman" w:hAnsi="Times New Roman" w:cs="Times New Roman"/>
          <w:sz w:val="24"/>
          <w:szCs w:val="24"/>
        </w:rPr>
        <w:t xml:space="preserve"> positive returns over a given period. They attribute their results to the irrational behaviour of investors. Generally, the time it takes for the price reversal to be profitable is long. Further, La Porta (1996) discusses the errors-in-expectations </w:t>
      </w:r>
      <w:r w:rsidR="005515A6" w:rsidRPr="001E52F7">
        <w:rPr>
          <w:rFonts w:ascii="Times New Roman" w:hAnsi="Times New Roman" w:cs="Times New Roman"/>
          <w:sz w:val="24"/>
          <w:szCs w:val="24"/>
        </w:rPr>
        <w:t>hypothesis</w:t>
      </w:r>
      <w:r w:rsidRPr="001E52F7">
        <w:rPr>
          <w:rFonts w:ascii="Times New Roman" w:hAnsi="Times New Roman" w:cs="Times New Roman"/>
          <w:sz w:val="24"/>
          <w:szCs w:val="24"/>
        </w:rPr>
        <w:t>.</w:t>
      </w:r>
      <w:r w:rsidR="00DB54E8" w:rsidRPr="001E52F7">
        <w:rPr>
          <w:rFonts w:ascii="Times New Roman" w:hAnsi="Times New Roman" w:cs="Times New Roman"/>
          <w:sz w:val="24"/>
          <w:szCs w:val="24"/>
        </w:rPr>
        <w:t xml:space="preserve"> When investors make investment decisions they look at past data in order to predict future movements, adding to this prediction the investor’s expectations. La Porta (1996) warn that the investors are too acute in their growth expectations</w:t>
      </w:r>
      <w:r w:rsidRPr="001E52F7">
        <w:rPr>
          <w:rFonts w:ascii="Times New Roman" w:hAnsi="Times New Roman" w:cs="Times New Roman"/>
          <w:sz w:val="24"/>
          <w:szCs w:val="24"/>
        </w:rPr>
        <w:t xml:space="preserve">. After a series of bad news about growth or earnings, naive investors may take this information at face value and become severely pessimistic about the future of earnings growth of those value stocks. Assuming arbitrage is incomplete; those out-of-favour stocks that have been avoided by investors may become underpriced or misvalued, resulting in a high book-to-market value ratio. Naive investors will ultimately be positively surprised in the future when the earnings growth of the value stocks are not as bad as was initially estimated. Naive investors will then revise their estimates upwards. These expectational errors are what lead </w:t>
      </w:r>
      <w:r w:rsidR="00DB54E8" w:rsidRPr="001E52F7">
        <w:rPr>
          <w:rFonts w:ascii="Times New Roman" w:hAnsi="Times New Roman" w:cs="Times New Roman"/>
          <w:sz w:val="24"/>
          <w:szCs w:val="24"/>
        </w:rPr>
        <w:t xml:space="preserve">most </w:t>
      </w:r>
      <w:r w:rsidRPr="001E52F7">
        <w:rPr>
          <w:rFonts w:ascii="Times New Roman" w:hAnsi="Times New Roman" w:cs="Times New Roman"/>
          <w:sz w:val="24"/>
          <w:szCs w:val="24"/>
        </w:rPr>
        <w:t>contrarian investment strategies to their reputation of superior performance techniques.</w:t>
      </w:r>
    </w:p>
    <w:p w:rsidR="007B10A0" w:rsidRPr="001E52F7" w:rsidRDefault="007B10A0" w:rsidP="001E52F7">
      <w:pPr>
        <w:spacing w:line="360" w:lineRule="auto"/>
        <w:jc w:val="both"/>
        <w:rPr>
          <w:rFonts w:ascii="Times New Roman" w:hAnsi="Times New Roman" w:cs="Times New Roman"/>
          <w:sz w:val="24"/>
          <w:szCs w:val="24"/>
        </w:rPr>
      </w:pPr>
    </w:p>
    <w:p w:rsidR="007B10A0" w:rsidRPr="001E52F7" w:rsidRDefault="002F28DF"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lastRenderedPageBreak/>
        <w:t>Chan, Hamao, and Lakonishok (1991) deem a multivariate analysis appropriate because they find that their variables are correlated.</w:t>
      </w:r>
      <w:r w:rsidR="00675242">
        <w:rPr>
          <w:rFonts w:ascii="Times New Roman" w:hAnsi="Times New Roman" w:cs="Times New Roman"/>
          <w:sz w:val="24"/>
          <w:szCs w:val="24"/>
        </w:rPr>
        <w:t xml:space="preserve"> In their study the authors look at the book-to-market, earnings-to-price, cash flow-to-price ratios, and size. Chan, Hamao, and Lakonishok (1991) find that the BTM ratio and cash flow-to-price ratio are statistically significant in predicting stock returns. These two variables are directly related to stock returns, implying that a stock with a high BTM ratio will have a high return, as will a stock with a high cash flow-to-price ratio. Also, the size effect is confirmed in Chan, Hamao, and Lakonishok (1991) study, where small size firms outperform large firms.</w:t>
      </w:r>
      <w:r w:rsidRPr="001E52F7">
        <w:rPr>
          <w:rFonts w:ascii="Times New Roman" w:hAnsi="Times New Roman" w:cs="Times New Roman"/>
          <w:sz w:val="24"/>
          <w:szCs w:val="24"/>
        </w:rPr>
        <w:t xml:space="preserve"> In order to determine what the impact each variable has on returns they choose the multivariate regression as the way to do it. </w:t>
      </w:r>
      <w:r w:rsidR="007B10A0" w:rsidRPr="001E52F7">
        <w:rPr>
          <w:rFonts w:ascii="Times New Roman" w:hAnsi="Times New Roman" w:cs="Times New Roman"/>
          <w:sz w:val="24"/>
          <w:szCs w:val="24"/>
        </w:rPr>
        <w:t xml:space="preserve">Negative autocorrelation is important in the contrarian strategy as stocks that are negatively autocorrelated are the stocks that will undergo price reversals. In other words, because the contrarian strategy requires stock prices to revert to their fundamental values, the stocks must be negatively autocorrelated, Antoniou, Galariotis, and Spyrou (2006). </w:t>
      </w:r>
    </w:p>
    <w:p w:rsidR="008857F6" w:rsidRPr="001E52F7" w:rsidRDefault="008857F6" w:rsidP="001E52F7">
      <w:pPr>
        <w:spacing w:line="360" w:lineRule="auto"/>
        <w:jc w:val="both"/>
        <w:rPr>
          <w:rFonts w:ascii="Times New Roman" w:hAnsi="Times New Roman" w:cs="Times New Roman"/>
          <w:sz w:val="24"/>
          <w:szCs w:val="24"/>
        </w:rPr>
      </w:pPr>
    </w:p>
    <w:p w:rsidR="008857F6" w:rsidRPr="001E52F7" w:rsidRDefault="008857F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When an investor considers an investment in a firm he looks to the firm’s operations, investment choices, assets, growth opportunities, etc. He finds that these change in predictable ways, and so believes that he can predict future growth in earnings</w:t>
      </w:r>
      <w:r w:rsidR="00550E41">
        <w:rPr>
          <w:rFonts w:ascii="Times New Roman" w:hAnsi="Times New Roman" w:cs="Times New Roman"/>
          <w:sz w:val="24"/>
          <w:szCs w:val="24"/>
        </w:rPr>
        <w:t>, dividends, etc</w:t>
      </w:r>
      <w:r w:rsidRPr="001E52F7">
        <w:rPr>
          <w:rFonts w:ascii="Times New Roman" w:hAnsi="Times New Roman" w:cs="Times New Roman"/>
          <w:sz w:val="24"/>
          <w:szCs w:val="24"/>
        </w:rPr>
        <w:t>. The idea is that a firm’s market risk and expected return can, with all likelihood, be calculable because its investment choices provide predictability (Berk, Green, and Naik, 1999).</w:t>
      </w:r>
    </w:p>
    <w:p w:rsidR="008857F6" w:rsidRPr="001E52F7" w:rsidRDefault="008857F6" w:rsidP="001E52F7">
      <w:pPr>
        <w:spacing w:line="360" w:lineRule="auto"/>
        <w:jc w:val="both"/>
        <w:rPr>
          <w:rFonts w:ascii="Times New Roman" w:hAnsi="Times New Roman" w:cs="Times New Roman"/>
          <w:color w:val="7030A0"/>
          <w:sz w:val="24"/>
          <w:szCs w:val="24"/>
        </w:rPr>
      </w:pPr>
    </w:p>
    <w:p w:rsidR="008857F6" w:rsidRPr="001E52F7" w:rsidRDefault="004A71EF"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If value stocks are stocks that investors believe to have low past growth as well as low expected future growth, then a contrarian investor should go long in these stocks. If growth stocks are stocks that investors believe to have high past growth as well as high expected future growth, then a contrarian investor should go short in these stocks, Lakonishok, Shleifer, and Vishny (1994). Further, the authors suggest this contrarian technique as a way to profit from a naive investor’s inability to consider mean reversion of growth rates. </w:t>
      </w:r>
      <w:r w:rsidR="008857F6" w:rsidRPr="001E52F7">
        <w:rPr>
          <w:rFonts w:ascii="Times New Roman" w:hAnsi="Times New Roman" w:cs="Times New Roman"/>
          <w:sz w:val="24"/>
          <w:szCs w:val="24"/>
        </w:rPr>
        <w:t xml:space="preserve">Stock prices revert to their fundamental values through trading by irrational investors. Irrational investors or noise trades act irrationally on noise, trading when they think they have superior information when they in reality do not. This causes the values of stock prices to move away from their fundamentals. Rational investors trade against these investors, thus forcing prices back to their ‘correct’ values (De Long, Shleifer, Summers and Waldmann, 1990). </w:t>
      </w:r>
      <w:r w:rsidR="001C4CCA" w:rsidRPr="001E52F7">
        <w:rPr>
          <w:rFonts w:ascii="Times New Roman" w:hAnsi="Times New Roman" w:cs="Times New Roman"/>
          <w:sz w:val="24"/>
          <w:szCs w:val="24"/>
        </w:rPr>
        <w:t xml:space="preserve">Fama and </w:t>
      </w:r>
      <w:r w:rsidR="001C4CCA" w:rsidRPr="001E52F7">
        <w:rPr>
          <w:rFonts w:ascii="Times New Roman" w:hAnsi="Times New Roman" w:cs="Times New Roman"/>
          <w:sz w:val="24"/>
          <w:szCs w:val="24"/>
        </w:rPr>
        <w:lastRenderedPageBreak/>
        <w:t xml:space="preserve">French (1995) contest that if stocks are priced rationally then it ensures that return differences are due to the stocks’ risk differences. </w:t>
      </w:r>
    </w:p>
    <w:p w:rsidR="008857F6" w:rsidRPr="001E52F7" w:rsidRDefault="008857F6" w:rsidP="001E52F7">
      <w:pPr>
        <w:spacing w:line="360" w:lineRule="auto"/>
        <w:jc w:val="both"/>
        <w:rPr>
          <w:rFonts w:ascii="Times New Roman" w:hAnsi="Times New Roman" w:cs="Times New Roman"/>
          <w:color w:val="7030A0"/>
          <w:sz w:val="24"/>
          <w:szCs w:val="24"/>
        </w:rPr>
      </w:pPr>
    </w:p>
    <w:p w:rsidR="008857F6" w:rsidRPr="001E52F7" w:rsidRDefault="008857F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As an example of the contrarian investment strategy being profitable, Cannon Asset Managers have held a value portfolio for more than a decade, and the managers of this portfolio have compared its results to that of a market index and a growth portfolio</w:t>
      </w:r>
      <w:r w:rsidR="00B666E8" w:rsidRPr="001E52F7">
        <w:rPr>
          <w:rFonts w:ascii="Times New Roman" w:hAnsi="Times New Roman" w:cs="Times New Roman"/>
          <w:sz w:val="24"/>
          <w:szCs w:val="24"/>
        </w:rPr>
        <w:t xml:space="preserve"> (Saville, 2009)</w:t>
      </w:r>
      <w:r w:rsidRPr="001E52F7">
        <w:rPr>
          <w:rFonts w:ascii="Times New Roman" w:hAnsi="Times New Roman" w:cs="Times New Roman"/>
          <w:sz w:val="24"/>
          <w:szCs w:val="24"/>
        </w:rPr>
        <w:t xml:space="preserve">. The value portfolio outperforms both comparison strategies (passive and momentum respectively). In their value portfolio, the managers include stocks that have been continuously ignored, ones that are down-and-out; the stocks come from the JSE and are of different liquidity levels and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s. This is similar to how the research will be conducted in this </w:t>
      </w:r>
      <w:r w:rsidR="00D10E66">
        <w:rPr>
          <w:rFonts w:ascii="Times New Roman" w:hAnsi="Times New Roman" w:cs="Times New Roman"/>
          <w:sz w:val="24"/>
          <w:szCs w:val="24"/>
        </w:rPr>
        <w:t>study</w:t>
      </w:r>
      <w:r w:rsidR="00D10E66" w:rsidRPr="001E52F7">
        <w:rPr>
          <w:rFonts w:ascii="Times New Roman" w:hAnsi="Times New Roman" w:cs="Times New Roman"/>
          <w:sz w:val="24"/>
          <w:szCs w:val="24"/>
        </w:rPr>
        <w:t xml:space="preserve"> </w:t>
      </w:r>
      <w:r w:rsidRPr="001E52F7">
        <w:rPr>
          <w:rFonts w:ascii="Times New Roman" w:hAnsi="Times New Roman" w:cs="Times New Roman"/>
          <w:sz w:val="24"/>
          <w:szCs w:val="24"/>
        </w:rPr>
        <w:t xml:space="preserve">– stocks of all liquidity levels will be used, as well as different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s. </w:t>
      </w:r>
    </w:p>
    <w:p w:rsidR="008857F6" w:rsidRPr="001E52F7" w:rsidRDefault="008857F6" w:rsidP="001E52F7">
      <w:pPr>
        <w:spacing w:line="360" w:lineRule="auto"/>
        <w:jc w:val="both"/>
        <w:rPr>
          <w:rFonts w:ascii="Times New Roman" w:hAnsi="Times New Roman" w:cs="Times New Roman"/>
          <w:sz w:val="24"/>
          <w:szCs w:val="24"/>
        </w:rPr>
      </w:pPr>
    </w:p>
    <w:p w:rsidR="008857F6" w:rsidRPr="001E52F7" w:rsidRDefault="008857F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Fama and French (1992) rationalize their results by stating the BTM ratio is a proxy for the relative prospects of the company. If the BTM ratio is low, the prospects of the firm are thought to be high, thus commanding a lower required rate of return. If this is not a good enough rationalization, Fama and French (1992) offer a second, contrasting, rationale. The market is irrational. Thus investors overreact to news. When the overreactions are corrected (upwards for an underreaction and downwards for an overreaction) the low BTM stocks will have lower returns in the future while the high BTM stocks will have higher returns in the future. These two explanations bring together the US and the UK findings of Fama and French (1992) and Strong and Xu (1997), as well as the importance of the BTM ratio in both the US and UK markets. </w:t>
      </w:r>
    </w:p>
    <w:p w:rsidR="008857F6" w:rsidRPr="001E52F7" w:rsidRDefault="008857F6" w:rsidP="001E52F7">
      <w:pPr>
        <w:spacing w:line="360" w:lineRule="auto"/>
        <w:jc w:val="both"/>
        <w:rPr>
          <w:rFonts w:ascii="Times New Roman" w:hAnsi="Times New Roman" w:cs="Times New Roman"/>
          <w:sz w:val="24"/>
          <w:szCs w:val="24"/>
        </w:rPr>
      </w:pPr>
    </w:p>
    <w:p w:rsidR="00D00E0C" w:rsidRDefault="00D00E0C" w:rsidP="00D00E0C">
      <w:pPr>
        <w:spacing w:line="360" w:lineRule="auto"/>
        <w:jc w:val="both"/>
        <w:rPr>
          <w:rFonts w:ascii="Times New Roman" w:eastAsia="Times New Roman" w:hAnsi="Times New Roman" w:cs="Times New Roman"/>
          <w:sz w:val="24"/>
          <w:szCs w:val="24"/>
          <w:lang w:eastAsia="en-GB"/>
        </w:rPr>
      </w:pPr>
      <w:r w:rsidRPr="001E52F7">
        <w:rPr>
          <w:rFonts w:ascii="Times New Roman" w:eastAsia="Times New Roman" w:hAnsi="Times New Roman" w:cs="Times New Roman"/>
          <w:sz w:val="24"/>
          <w:szCs w:val="24"/>
          <w:lang w:eastAsia="en-GB"/>
        </w:rPr>
        <w:t xml:space="preserve">Contrarian investing is only one type of style of investing in growth and value stocks, momentum investing is the opposite of contrarian – one goes long in growth stocks and short sells value stocks. Advocates of momentum investing postulate that this strategy will earn superior returns since including well-managed firms that come from industries with above-average growth will result in greater performance. This does, however, assume momentum stocks are all from well-managed firms and great industries. With regard to this, the testable </w:t>
      </w:r>
      <w:r w:rsidRPr="001E52F7">
        <w:rPr>
          <w:rFonts w:ascii="Times New Roman" w:eastAsia="Times New Roman" w:hAnsi="Times New Roman" w:cs="Times New Roman"/>
          <w:sz w:val="24"/>
          <w:szCs w:val="24"/>
          <w:lang w:eastAsia="en-GB"/>
        </w:rPr>
        <w:lastRenderedPageBreak/>
        <w:t>implication will be whether contrarian investment strategies do better than momentum. Will the returns on value portfolios be greater than that of growth?</w:t>
      </w:r>
    </w:p>
    <w:p w:rsidR="00CA35DE" w:rsidRDefault="00CA35DE" w:rsidP="00D00E0C">
      <w:pPr>
        <w:spacing w:line="360" w:lineRule="auto"/>
        <w:jc w:val="both"/>
        <w:rPr>
          <w:rFonts w:ascii="Times New Roman" w:hAnsi="Times New Roman" w:cs="Times New Roman"/>
          <w:sz w:val="24"/>
          <w:szCs w:val="24"/>
        </w:rPr>
      </w:pPr>
    </w:p>
    <w:p w:rsidR="008857F6" w:rsidRPr="001E52F7" w:rsidRDefault="008857F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A discussion of the momentum strategy is necessary as it is the polar opposite of the contrarian strategy and it would be impossible to leave out such important content. The momentum strategy has had success in the past</w:t>
      </w:r>
      <w:r w:rsidR="004E1F36">
        <w:rPr>
          <w:rFonts w:ascii="Times New Roman" w:hAnsi="Times New Roman" w:cs="Times New Roman"/>
          <w:sz w:val="24"/>
          <w:szCs w:val="24"/>
        </w:rPr>
        <w:t xml:space="preserve"> (Asness, 1997; Forner and Marhuenda, 2003)</w:t>
      </w:r>
      <w:r w:rsidRPr="001E52F7">
        <w:rPr>
          <w:rFonts w:ascii="Times New Roman" w:hAnsi="Times New Roman" w:cs="Times New Roman"/>
          <w:sz w:val="24"/>
          <w:szCs w:val="24"/>
        </w:rPr>
        <w:t xml:space="preserve">, much like the contrarian strategy. This seems implausible as the contrarian strategy bases its profitability on price reversals, while the momentum approach relies on price continuations (Conrad and Kaul, 1998). In this </w:t>
      </w:r>
      <w:r w:rsidR="002865E6">
        <w:rPr>
          <w:rFonts w:ascii="Times New Roman" w:hAnsi="Times New Roman" w:cs="Times New Roman"/>
          <w:sz w:val="24"/>
          <w:szCs w:val="24"/>
        </w:rPr>
        <w:t>dissertation</w:t>
      </w:r>
      <w:r w:rsidRPr="001E52F7">
        <w:rPr>
          <w:rFonts w:ascii="Times New Roman" w:hAnsi="Times New Roman" w:cs="Times New Roman"/>
          <w:sz w:val="24"/>
          <w:szCs w:val="24"/>
        </w:rPr>
        <w:t xml:space="preserve">, focus is maintained on the actions </w:t>
      </w:r>
      <w:r w:rsidR="00611435">
        <w:rPr>
          <w:rFonts w:ascii="Times New Roman" w:hAnsi="Times New Roman" w:cs="Times New Roman"/>
          <w:sz w:val="24"/>
          <w:szCs w:val="24"/>
        </w:rPr>
        <w:t xml:space="preserve">of negative feedback investors. </w:t>
      </w:r>
      <w:r w:rsidR="00611435" w:rsidRPr="001E52F7">
        <w:rPr>
          <w:rFonts w:ascii="Times New Roman" w:hAnsi="Times New Roman" w:cs="Times New Roman"/>
          <w:sz w:val="24"/>
          <w:szCs w:val="24"/>
        </w:rPr>
        <w:t>Positive</w:t>
      </w:r>
      <w:r w:rsidRPr="001E52F7">
        <w:rPr>
          <w:rFonts w:ascii="Times New Roman" w:hAnsi="Times New Roman" w:cs="Times New Roman"/>
          <w:sz w:val="24"/>
          <w:szCs w:val="24"/>
        </w:rPr>
        <w:t xml:space="preserve"> feedback investors buy growth stocks and sell value stocks, Lakonishok, Shleifer, and Vishny (1991).</w:t>
      </w:r>
    </w:p>
    <w:p w:rsidR="008857F6" w:rsidRPr="001E52F7" w:rsidRDefault="008857F6" w:rsidP="001E52F7">
      <w:pPr>
        <w:spacing w:line="360" w:lineRule="auto"/>
        <w:jc w:val="both"/>
        <w:rPr>
          <w:rFonts w:ascii="Times New Roman" w:hAnsi="Times New Roman" w:cs="Times New Roman"/>
          <w:sz w:val="24"/>
          <w:szCs w:val="24"/>
        </w:rPr>
      </w:pPr>
    </w:p>
    <w:p w:rsidR="008857F6" w:rsidRPr="001E52F7" w:rsidRDefault="008857F6"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Evidence from Conrad and Kaul (1998), Forner and Marhuenda (2003), and Moskowitz and Grinblatt (1999) show how both the momentum and contrarian methods can be profitable. This is puzzling as it </w:t>
      </w:r>
      <w:r w:rsidR="00E32338" w:rsidRPr="001E52F7">
        <w:rPr>
          <w:rFonts w:ascii="Times New Roman" w:hAnsi="Times New Roman" w:cs="Times New Roman"/>
          <w:sz w:val="24"/>
          <w:szCs w:val="24"/>
        </w:rPr>
        <w:t>should not</w:t>
      </w:r>
      <w:r w:rsidRPr="001E52F7">
        <w:rPr>
          <w:rFonts w:ascii="Times New Roman" w:hAnsi="Times New Roman" w:cs="Times New Roman"/>
          <w:sz w:val="24"/>
          <w:szCs w:val="24"/>
        </w:rPr>
        <w:t xml:space="preserve"> be possible to have these contradictory strategies, opposed in execution and theory, both producing above-average risk adjusted returns. Instead of following the typical buy-and-hold strategy an investor has the option to follow a momentum or contrarian strategy. The former results in profits in the intermediate horizon (between 6 and 24 months), Moskowitz and Grinblatt (1999). Conrad and Kaul (1998) seem to agree somewhat with this time period, with a slight correction however, they find the positive feedback method to be profitable in the three to twelve month holding period. Forner and Marhuenda (2003) have a very different view, purporting positive above-average returns are made in the short-term horizon. Regarding the negative feedback trading strategy, Conrad and Kaul (1998) find it to be profitable for a few weeks or months, as well as the long term (exceeding 3 years). Forner and Marhuenda (2003) agree with the latter motion – that profits are realised in the long term. In their results, Conrad and Kaul (1998) surmise that both momentum and contrarian strategies are equally likely to be profitable, although less than 50% of their 120 employed strategies produced significant results. Not to overlook the profits of the momentum</w:t>
      </w:r>
      <w:r w:rsidR="00563DD2" w:rsidRPr="001E52F7">
        <w:rPr>
          <w:rFonts w:ascii="Times New Roman" w:hAnsi="Times New Roman" w:cs="Times New Roman"/>
          <w:sz w:val="24"/>
          <w:szCs w:val="24"/>
        </w:rPr>
        <w:t xml:space="preserve"> method, Goetzmann and Massa (1999</w:t>
      </w:r>
      <w:r w:rsidRPr="001E52F7">
        <w:rPr>
          <w:rFonts w:ascii="Times New Roman" w:hAnsi="Times New Roman" w:cs="Times New Roman"/>
          <w:sz w:val="24"/>
          <w:szCs w:val="24"/>
        </w:rPr>
        <w:t xml:space="preserve">), however, find that contrarian strategies beat momentum ones. Even though the focus of this </w:t>
      </w:r>
      <w:r w:rsidR="00983FD5" w:rsidRPr="001E52F7">
        <w:rPr>
          <w:rFonts w:ascii="Times New Roman" w:hAnsi="Times New Roman" w:cs="Times New Roman"/>
          <w:sz w:val="24"/>
          <w:szCs w:val="24"/>
        </w:rPr>
        <w:t>dissertation</w:t>
      </w:r>
      <w:r w:rsidRPr="001E52F7">
        <w:rPr>
          <w:rFonts w:ascii="Times New Roman" w:hAnsi="Times New Roman" w:cs="Times New Roman"/>
          <w:sz w:val="24"/>
          <w:szCs w:val="24"/>
        </w:rPr>
        <w:t xml:space="preserve"> is on the contrarian strategy, it is important to realise that the success of either the momentum or contrarian approaches roots itself in the time-series behaviour of stock prices.</w:t>
      </w:r>
    </w:p>
    <w:p w:rsidR="008857F6" w:rsidRPr="001E52F7" w:rsidRDefault="008857F6" w:rsidP="001E52F7">
      <w:pPr>
        <w:spacing w:line="360" w:lineRule="auto"/>
        <w:jc w:val="both"/>
        <w:rPr>
          <w:rFonts w:ascii="Times New Roman" w:hAnsi="Times New Roman" w:cs="Times New Roman"/>
          <w:sz w:val="24"/>
          <w:szCs w:val="24"/>
        </w:rPr>
      </w:pPr>
    </w:p>
    <w:p w:rsidR="008857F6" w:rsidRPr="001E52F7" w:rsidRDefault="00983FD5" w:rsidP="001E52F7">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Institutional investors a</w:t>
      </w:r>
      <w:r w:rsidR="008857F6" w:rsidRPr="001E52F7">
        <w:rPr>
          <w:rFonts w:ascii="Times New Roman" w:hAnsi="Times New Roman" w:cs="Times New Roman"/>
          <w:sz w:val="24"/>
          <w:szCs w:val="24"/>
        </w:rPr>
        <w:t>re a major pa</w:t>
      </w:r>
      <w:r w:rsidRPr="001E52F7">
        <w:rPr>
          <w:rFonts w:ascii="Times New Roman" w:hAnsi="Times New Roman" w:cs="Times New Roman"/>
          <w:sz w:val="24"/>
          <w:szCs w:val="24"/>
        </w:rPr>
        <w:t>rt of the investors in a market and</w:t>
      </w:r>
      <w:r w:rsidR="008857F6" w:rsidRPr="001E52F7">
        <w:rPr>
          <w:rFonts w:ascii="Times New Roman" w:hAnsi="Times New Roman" w:cs="Times New Roman"/>
          <w:sz w:val="24"/>
          <w:szCs w:val="24"/>
        </w:rPr>
        <w:t xml:space="preserve"> they may have the ability to </w:t>
      </w:r>
      <w:r w:rsidRPr="001E52F7">
        <w:rPr>
          <w:rFonts w:ascii="Times New Roman" w:hAnsi="Times New Roman" w:cs="Times New Roman"/>
          <w:sz w:val="24"/>
          <w:szCs w:val="24"/>
        </w:rPr>
        <w:t>influence</w:t>
      </w:r>
      <w:r w:rsidR="008857F6" w:rsidRPr="001E52F7">
        <w:rPr>
          <w:rFonts w:ascii="Times New Roman" w:hAnsi="Times New Roman" w:cs="Times New Roman"/>
          <w:sz w:val="24"/>
          <w:szCs w:val="24"/>
        </w:rPr>
        <w:t xml:space="preserve"> stock prices. Institutions hold large proportions of assets and they invest a lot more money into assets than the average investor. By destabilizing the stock prices, they move the prices away from their basic value. Adding to the price volatility, institutional investors tend to herd, aggravating the problem further. Institutions also seem to follow their own strategies and not trading strategies such as the contrarian one (Lakonishok, Shleifer, and Vishny, 1991). While the average investor only holds a fraction of what institutional investors hold in the market, institutions’ influence on the market should be considered as they have a greater effect, even if they themselves do not follow the contrarian strategy. However, if </w:t>
      </w:r>
      <w:r w:rsidR="00AB2C61">
        <w:rPr>
          <w:rFonts w:ascii="Times New Roman" w:hAnsi="Times New Roman" w:cs="Times New Roman"/>
          <w:sz w:val="24"/>
          <w:szCs w:val="24"/>
        </w:rPr>
        <w:t xml:space="preserve">an </w:t>
      </w:r>
      <w:r w:rsidR="00AB2C61" w:rsidRPr="001E52F7">
        <w:rPr>
          <w:rFonts w:ascii="Times New Roman" w:hAnsi="Times New Roman" w:cs="Times New Roman"/>
          <w:sz w:val="24"/>
          <w:szCs w:val="24"/>
        </w:rPr>
        <w:t>investor</w:t>
      </w:r>
      <w:r w:rsidR="008857F6" w:rsidRPr="001E52F7">
        <w:rPr>
          <w:rFonts w:ascii="Times New Roman" w:hAnsi="Times New Roman" w:cs="Times New Roman"/>
          <w:sz w:val="24"/>
          <w:szCs w:val="24"/>
        </w:rPr>
        <w:t xml:space="preserve"> is</w:t>
      </w:r>
      <w:r w:rsidR="00EF753F">
        <w:rPr>
          <w:rFonts w:ascii="Times New Roman" w:hAnsi="Times New Roman" w:cs="Times New Roman"/>
          <w:sz w:val="24"/>
          <w:szCs w:val="24"/>
        </w:rPr>
        <w:t xml:space="preserve"> more knowledgeable than the average investor</w:t>
      </w:r>
      <w:r w:rsidR="00AB2C61">
        <w:rPr>
          <w:rFonts w:ascii="Times New Roman" w:hAnsi="Times New Roman" w:cs="Times New Roman"/>
          <w:sz w:val="24"/>
          <w:szCs w:val="24"/>
        </w:rPr>
        <w:t>,</w:t>
      </w:r>
      <w:r w:rsidR="008857F6" w:rsidRPr="001E52F7">
        <w:rPr>
          <w:rFonts w:ascii="Times New Roman" w:hAnsi="Times New Roman" w:cs="Times New Roman"/>
          <w:sz w:val="24"/>
          <w:szCs w:val="24"/>
        </w:rPr>
        <w:t xml:space="preserve"> he is able to eliminate large idiosyncratic pricing errors for most stocks. Daniel, Hirshleifer, and </w:t>
      </w:r>
      <w:r w:rsidR="00146950" w:rsidRPr="001E52F7">
        <w:rPr>
          <w:rFonts w:ascii="Times New Roman" w:hAnsi="Times New Roman" w:cs="Times New Roman"/>
          <w:sz w:val="24"/>
          <w:szCs w:val="24"/>
        </w:rPr>
        <w:t>Subrahmanyam</w:t>
      </w:r>
      <w:r w:rsidR="008857F6" w:rsidRPr="001E52F7">
        <w:rPr>
          <w:rFonts w:ascii="Times New Roman" w:hAnsi="Times New Roman" w:cs="Times New Roman"/>
          <w:sz w:val="24"/>
          <w:szCs w:val="24"/>
        </w:rPr>
        <w:t xml:space="preserve"> (2001) substantiate this by the fact that the arbitrage investor holds an arbitrage portfolio and it removes almost all of the unsystematic risk of the stocks.</w:t>
      </w:r>
    </w:p>
    <w:p w:rsidR="008857F6" w:rsidRPr="001E52F7" w:rsidRDefault="008857F6" w:rsidP="001E52F7">
      <w:pPr>
        <w:spacing w:line="360" w:lineRule="auto"/>
        <w:jc w:val="both"/>
        <w:rPr>
          <w:rFonts w:ascii="Times New Roman" w:hAnsi="Times New Roman" w:cs="Times New Roman"/>
          <w:sz w:val="24"/>
          <w:szCs w:val="24"/>
        </w:rPr>
      </w:pPr>
    </w:p>
    <w:p w:rsidR="009A1F70" w:rsidRDefault="008857F6" w:rsidP="001E52F7">
      <w:pPr>
        <w:spacing w:after="0" w:line="360" w:lineRule="auto"/>
        <w:jc w:val="both"/>
        <w:rPr>
          <w:rFonts w:ascii="Times New Roman" w:eastAsia="Times New Roman" w:hAnsi="Times New Roman" w:cs="Times New Roman"/>
          <w:sz w:val="24"/>
          <w:szCs w:val="36"/>
          <w:lang w:val="en-GB" w:eastAsia="en-GB"/>
        </w:rPr>
      </w:pPr>
      <w:r w:rsidRPr="001E52F7">
        <w:rPr>
          <w:rFonts w:ascii="Times New Roman" w:eastAsia="Times New Roman" w:hAnsi="Times New Roman" w:cs="Times New Roman"/>
          <w:sz w:val="24"/>
          <w:szCs w:val="24"/>
          <w:lang w:val="en-GB" w:eastAsia="en-GB"/>
        </w:rPr>
        <w:t>In Asness</w:t>
      </w:r>
      <w:r w:rsidR="00EF753F">
        <w:rPr>
          <w:rFonts w:ascii="Times New Roman" w:eastAsia="Times New Roman" w:hAnsi="Times New Roman" w:cs="Times New Roman"/>
          <w:sz w:val="24"/>
          <w:szCs w:val="24"/>
          <w:lang w:val="en-GB" w:eastAsia="en-GB"/>
        </w:rPr>
        <w:t>’</w:t>
      </w:r>
      <w:r w:rsidRPr="001E52F7">
        <w:rPr>
          <w:rFonts w:ascii="Times New Roman" w:eastAsia="Times New Roman" w:hAnsi="Times New Roman" w:cs="Times New Roman"/>
          <w:sz w:val="24"/>
          <w:szCs w:val="24"/>
          <w:lang w:val="en-GB" w:eastAsia="en-GB"/>
        </w:rPr>
        <w:t xml:space="preserve"> (1997) paper, </w:t>
      </w:r>
      <w:r w:rsidR="00936390">
        <w:rPr>
          <w:rFonts w:ascii="Times New Roman" w:eastAsia="Times New Roman" w:hAnsi="Times New Roman" w:cs="Times New Roman"/>
          <w:sz w:val="24"/>
          <w:szCs w:val="24"/>
          <w:lang w:val="en-GB" w:eastAsia="en-GB"/>
        </w:rPr>
        <w:t>t</w:t>
      </w:r>
      <w:r w:rsidRPr="001E52F7">
        <w:rPr>
          <w:rFonts w:ascii="Times New Roman" w:eastAsia="Times New Roman" w:hAnsi="Times New Roman" w:cs="Times New Roman"/>
          <w:sz w:val="24"/>
          <w:szCs w:val="24"/>
          <w:lang w:val="en-GB" w:eastAsia="en-GB"/>
        </w:rPr>
        <w:t xml:space="preserve">he </w:t>
      </w:r>
      <w:r w:rsidR="00936390">
        <w:rPr>
          <w:rFonts w:ascii="Times New Roman" w:eastAsia="Times New Roman" w:hAnsi="Times New Roman" w:cs="Times New Roman"/>
          <w:sz w:val="24"/>
          <w:szCs w:val="24"/>
          <w:lang w:val="en-GB" w:eastAsia="en-GB"/>
        </w:rPr>
        <w:t xml:space="preserve">author </w:t>
      </w:r>
      <w:r w:rsidRPr="001E52F7">
        <w:rPr>
          <w:rFonts w:ascii="Times New Roman" w:eastAsia="Times New Roman" w:hAnsi="Times New Roman" w:cs="Times New Roman"/>
          <w:sz w:val="24"/>
          <w:szCs w:val="24"/>
          <w:lang w:val="en-GB" w:eastAsia="en-GB"/>
        </w:rPr>
        <w:t>finds that stocks that have good momentum (that is, firms’ whose stock prices go from good to good each period) are not stocks that should be invested in if they are considered value stocks by the investor. Essentially Asness</w:t>
      </w:r>
      <w:r w:rsidR="00EF753F">
        <w:rPr>
          <w:rFonts w:ascii="Times New Roman" w:eastAsia="Times New Roman" w:hAnsi="Times New Roman" w:cs="Times New Roman"/>
          <w:sz w:val="24"/>
          <w:szCs w:val="24"/>
          <w:lang w:val="en-GB" w:eastAsia="en-GB"/>
        </w:rPr>
        <w:t>’</w:t>
      </w:r>
      <w:r w:rsidRPr="001E52F7">
        <w:rPr>
          <w:rFonts w:ascii="Times New Roman" w:eastAsia="Times New Roman" w:hAnsi="Times New Roman" w:cs="Times New Roman"/>
          <w:sz w:val="24"/>
          <w:szCs w:val="24"/>
          <w:lang w:val="en-GB" w:eastAsia="en-GB"/>
        </w:rPr>
        <w:t xml:space="preserve"> (1997) says that the contrarian strategy will be profitable if stocks that do not have momentum are used. The momentum strategy, on the other hand, is found to be a superior strategy by Asness</w:t>
      </w:r>
      <w:r w:rsidR="00EF753F">
        <w:rPr>
          <w:rFonts w:ascii="Times New Roman" w:eastAsia="Times New Roman" w:hAnsi="Times New Roman" w:cs="Times New Roman"/>
          <w:sz w:val="24"/>
          <w:szCs w:val="24"/>
          <w:lang w:val="en-GB" w:eastAsia="en-GB"/>
        </w:rPr>
        <w:t>’</w:t>
      </w:r>
      <w:r w:rsidRPr="001E52F7">
        <w:rPr>
          <w:rFonts w:ascii="Times New Roman" w:eastAsia="Times New Roman" w:hAnsi="Times New Roman" w:cs="Times New Roman"/>
          <w:sz w:val="24"/>
          <w:szCs w:val="24"/>
          <w:lang w:val="en-GB" w:eastAsia="en-GB"/>
        </w:rPr>
        <w:t xml:space="preserve"> (1997) when high BTM stocks are used (that is, stocks that have very low values).</w:t>
      </w:r>
      <w:r w:rsidRPr="00566BF3">
        <w:rPr>
          <w:rFonts w:ascii="Times New Roman" w:eastAsia="Times New Roman" w:hAnsi="Times New Roman" w:cs="Times New Roman"/>
          <w:sz w:val="24"/>
          <w:szCs w:val="36"/>
          <w:lang w:val="en-GB" w:eastAsia="en-GB"/>
        </w:rPr>
        <w:t xml:space="preserve"> </w:t>
      </w:r>
    </w:p>
    <w:p w:rsidR="009A1F70" w:rsidRDefault="009A1F70" w:rsidP="00CA35DE">
      <w:pPr>
        <w:spacing w:line="360" w:lineRule="auto"/>
        <w:jc w:val="both"/>
        <w:rPr>
          <w:rFonts w:ascii="Times New Roman" w:eastAsia="Times New Roman" w:hAnsi="Times New Roman" w:cs="Times New Roman"/>
          <w:sz w:val="24"/>
          <w:szCs w:val="36"/>
          <w:lang w:val="en-GB" w:eastAsia="en-GB"/>
        </w:rPr>
      </w:pPr>
    </w:p>
    <w:p w:rsidR="009A1F70" w:rsidRPr="001E52F7" w:rsidRDefault="009A1F70" w:rsidP="009A1F70">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To summarise, selling growth stocks and buying value will earn positive returns in the presence of negative serial correlation because investors with sophisticated knowledge are able to earn these returns via the elimination of stock price dependencies. Stock prices are dependent when their past returns are related to their future returns. When stock prices are fluctuating randomly, opportunistic investors trying to spot arbitrage opportunities will generally be able to eliminate those dependencies through their speculation (Lo and MacKinlay, 1990, and Jaffe and Merville, 1974). These negative feedback traders will then benefit because the stock prices have reverted to their fundamental values. The contrarian investment strategy is a trading rule established on past prices, thus it has many critics, </w:t>
      </w:r>
      <w:r w:rsidRPr="001E52F7">
        <w:rPr>
          <w:rFonts w:ascii="Times New Roman" w:hAnsi="Times New Roman" w:cs="Times New Roman"/>
          <w:sz w:val="24"/>
          <w:szCs w:val="24"/>
        </w:rPr>
        <w:lastRenderedPageBreak/>
        <w:t>according to Chan (1988), as it violates the weak form of the EMH. That is, technical analysis should not be profitable in an efficient market.</w:t>
      </w:r>
    </w:p>
    <w:p w:rsidR="007B7E4F" w:rsidRPr="00566BF3" w:rsidRDefault="007B7E4F" w:rsidP="00A02570">
      <w:pPr>
        <w:spacing w:after="0" w:line="360" w:lineRule="auto"/>
        <w:jc w:val="both"/>
        <w:rPr>
          <w:rFonts w:ascii="Times New Roman" w:eastAsia="Times New Roman" w:hAnsi="Times New Roman" w:cs="Times New Roman"/>
          <w:b/>
          <w:szCs w:val="36"/>
          <w:u w:val="single"/>
          <w:lang w:val="en-GB" w:eastAsia="en-GB"/>
        </w:rPr>
      </w:pPr>
    </w:p>
    <w:p w:rsidR="00E47CAD" w:rsidRPr="00566BF3" w:rsidRDefault="00E47CAD" w:rsidP="00F84C09">
      <w:pPr>
        <w:pStyle w:val="ListParagraph"/>
        <w:numPr>
          <w:ilvl w:val="1"/>
          <w:numId w:val="2"/>
        </w:numPr>
        <w:spacing w:after="0" w:line="360" w:lineRule="auto"/>
        <w:jc w:val="both"/>
        <w:outlineLvl w:val="1"/>
        <w:rPr>
          <w:rFonts w:ascii="Times New Roman" w:eastAsia="Times New Roman" w:hAnsi="Times New Roman" w:cs="Times New Roman"/>
          <w:b/>
          <w:sz w:val="32"/>
          <w:szCs w:val="36"/>
          <w:lang w:val="en-GB" w:eastAsia="en-GB"/>
        </w:rPr>
      </w:pPr>
      <w:bookmarkStart w:id="19" w:name="_Toc281403404"/>
      <w:bookmarkStart w:id="20" w:name="_Toc305166499"/>
      <w:r w:rsidRPr="00566BF3">
        <w:rPr>
          <w:rFonts w:ascii="Times New Roman" w:eastAsia="Times New Roman" w:hAnsi="Times New Roman" w:cs="Times New Roman"/>
          <w:b/>
          <w:sz w:val="32"/>
          <w:szCs w:val="36"/>
          <w:lang w:val="en-GB" w:eastAsia="en-GB"/>
        </w:rPr>
        <w:t xml:space="preserve">Value </w:t>
      </w:r>
      <w:r w:rsidR="001C4CCA" w:rsidRPr="00566BF3">
        <w:rPr>
          <w:rFonts w:ascii="Times New Roman" w:eastAsia="Times New Roman" w:hAnsi="Times New Roman" w:cs="Times New Roman"/>
          <w:b/>
          <w:sz w:val="32"/>
          <w:szCs w:val="36"/>
          <w:lang w:val="en-GB" w:eastAsia="en-GB"/>
        </w:rPr>
        <w:t>vs.</w:t>
      </w:r>
      <w:r w:rsidRPr="00566BF3">
        <w:rPr>
          <w:rFonts w:ascii="Times New Roman" w:eastAsia="Times New Roman" w:hAnsi="Times New Roman" w:cs="Times New Roman"/>
          <w:b/>
          <w:sz w:val="32"/>
          <w:szCs w:val="36"/>
          <w:lang w:val="en-GB" w:eastAsia="en-GB"/>
        </w:rPr>
        <w:t xml:space="preserve"> Growth Stocks</w:t>
      </w:r>
      <w:bookmarkEnd w:id="19"/>
      <w:bookmarkEnd w:id="20"/>
    </w:p>
    <w:p w:rsidR="00E47CAD" w:rsidRPr="00566BF3" w:rsidRDefault="00E47CAD" w:rsidP="00A02570">
      <w:pPr>
        <w:spacing w:after="0" w:line="360" w:lineRule="auto"/>
        <w:jc w:val="both"/>
        <w:rPr>
          <w:rFonts w:ascii="Times New Roman" w:eastAsia="Times New Roman" w:hAnsi="Times New Roman" w:cs="Times New Roman"/>
          <w:b/>
          <w:szCs w:val="24"/>
          <w:u w:val="single"/>
          <w:lang w:val="en-GB" w:eastAsia="en-GB"/>
        </w:rPr>
      </w:pPr>
    </w:p>
    <w:p w:rsidR="00E47CAD" w:rsidRPr="001E52F7" w:rsidRDefault="00E47CAD"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 xml:space="preserve">The terms ‘value’ and ‘growth’ are now widely recognised idiosyncratic specializations adopted by investors. It is clear that these terms are synonymous with investing through the manifestation of style-specific </w:t>
      </w:r>
      <w:r w:rsidR="00AC74D7" w:rsidRPr="001E52F7">
        <w:rPr>
          <w:rFonts w:ascii="Times New Roman" w:eastAsia="Times New Roman" w:hAnsi="Times New Roman" w:cs="Times New Roman"/>
          <w:sz w:val="24"/>
          <w:szCs w:val="24"/>
          <w:lang w:val="en-GB" w:eastAsia="en-GB"/>
        </w:rPr>
        <w:t>portfolios</w:t>
      </w:r>
      <w:r w:rsidRPr="001E52F7">
        <w:rPr>
          <w:rFonts w:ascii="Times New Roman" w:eastAsia="Times New Roman" w:hAnsi="Times New Roman" w:cs="Times New Roman"/>
          <w:sz w:val="24"/>
          <w:szCs w:val="24"/>
          <w:lang w:val="en-GB" w:eastAsia="en-GB"/>
        </w:rPr>
        <w:t xml:space="preserve"> used by investment and instit</w:t>
      </w:r>
      <w:r w:rsidR="00B772AF" w:rsidRPr="001E52F7">
        <w:rPr>
          <w:rFonts w:ascii="Times New Roman" w:eastAsia="Times New Roman" w:hAnsi="Times New Roman" w:cs="Times New Roman"/>
          <w:sz w:val="24"/>
          <w:szCs w:val="24"/>
          <w:lang w:val="en-GB" w:eastAsia="en-GB"/>
        </w:rPr>
        <w:t>utional investors</w:t>
      </w:r>
      <w:r w:rsidR="00202E07" w:rsidRPr="001E52F7">
        <w:rPr>
          <w:rFonts w:ascii="Times New Roman" w:eastAsia="Times New Roman" w:hAnsi="Times New Roman" w:cs="Times New Roman"/>
          <w:sz w:val="24"/>
          <w:szCs w:val="24"/>
          <w:lang w:val="en-GB" w:eastAsia="en-GB"/>
        </w:rPr>
        <w:t>. G</w:t>
      </w:r>
      <w:r w:rsidR="00B772AF" w:rsidRPr="001E52F7">
        <w:rPr>
          <w:rFonts w:ascii="Times New Roman" w:eastAsia="Times New Roman" w:hAnsi="Times New Roman" w:cs="Times New Roman"/>
          <w:sz w:val="24"/>
          <w:szCs w:val="24"/>
          <w:lang w:val="en-GB" w:eastAsia="en-GB"/>
        </w:rPr>
        <w:t xml:space="preserve">rowth and </w:t>
      </w:r>
      <w:r w:rsidR="00202E07" w:rsidRPr="001E52F7">
        <w:rPr>
          <w:rFonts w:ascii="Times New Roman" w:eastAsia="Times New Roman" w:hAnsi="Times New Roman" w:cs="Times New Roman"/>
          <w:sz w:val="24"/>
          <w:szCs w:val="24"/>
          <w:lang w:val="en-GB" w:eastAsia="en-GB"/>
        </w:rPr>
        <w:t>value</w:t>
      </w:r>
      <w:r w:rsidR="00B772AF" w:rsidRPr="001E52F7">
        <w:rPr>
          <w:rFonts w:ascii="Times New Roman" w:eastAsia="Times New Roman" w:hAnsi="Times New Roman" w:cs="Times New Roman"/>
          <w:sz w:val="24"/>
          <w:szCs w:val="24"/>
          <w:lang w:val="en-GB" w:eastAsia="en-GB"/>
        </w:rPr>
        <w:t xml:space="preserve"> funds have been around for years. Managers of growth funds like to concentrate their holdings in growth stocks, while managers of </w:t>
      </w:r>
      <w:r w:rsidR="00202E07" w:rsidRPr="001E52F7">
        <w:rPr>
          <w:rFonts w:ascii="Times New Roman" w:eastAsia="Times New Roman" w:hAnsi="Times New Roman" w:cs="Times New Roman"/>
          <w:sz w:val="24"/>
          <w:szCs w:val="24"/>
          <w:lang w:val="en-GB" w:eastAsia="en-GB"/>
        </w:rPr>
        <w:t>value</w:t>
      </w:r>
      <w:r w:rsidR="00B772AF" w:rsidRPr="001E52F7">
        <w:rPr>
          <w:rFonts w:ascii="Times New Roman" w:eastAsia="Times New Roman" w:hAnsi="Times New Roman" w:cs="Times New Roman"/>
          <w:sz w:val="24"/>
          <w:szCs w:val="24"/>
          <w:lang w:val="en-GB" w:eastAsia="en-GB"/>
        </w:rPr>
        <w:t xml:space="preserve"> funds aim to hold value stocks that are on the up, these stocks provide</w:t>
      </w:r>
      <w:r w:rsidR="00580EFB" w:rsidRPr="001E52F7">
        <w:rPr>
          <w:rFonts w:ascii="Times New Roman" w:eastAsia="Times New Roman" w:hAnsi="Times New Roman" w:cs="Times New Roman"/>
          <w:sz w:val="24"/>
          <w:szCs w:val="24"/>
          <w:lang w:val="en-GB" w:eastAsia="en-GB"/>
        </w:rPr>
        <w:t>, among other things,</w:t>
      </w:r>
      <w:r w:rsidR="00B772AF" w:rsidRPr="001E52F7">
        <w:rPr>
          <w:rFonts w:ascii="Times New Roman" w:eastAsia="Times New Roman" w:hAnsi="Times New Roman" w:cs="Times New Roman"/>
          <w:sz w:val="24"/>
          <w:szCs w:val="24"/>
          <w:lang w:val="en-GB" w:eastAsia="en-GB"/>
        </w:rPr>
        <w:t xml:space="preserve"> income to the investors of the fun</w:t>
      </w:r>
      <w:r w:rsidR="00580EFB" w:rsidRPr="001E52F7">
        <w:rPr>
          <w:rFonts w:ascii="Times New Roman" w:eastAsia="Times New Roman" w:hAnsi="Times New Roman" w:cs="Times New Roman"/>
          <w:sz w:val="24"/>
          <w:szCs w:val="24"/>
          <w:lang w:val="en-GB" w:eastAsia="en-GB"/>
        </w:rPr>
        <w:t>d</w:t>
      </w:r>
      <w:r w:rsidR="00ED4D9B" w:rsidRPr="001E52F7">
        <w:rPr>
          <w:rFonts w:ascii="Times New Roman" w:eastAsia="Times New Roman" w:hAnsi="Times New Roman" w:cs="Times New Roman"/>
          <w:sz w:val="24"/>
          <w:szCs w:val="24"/>
          <w:lang w:val="en-GB" w:eastAsia="en-GB"/>
        </w:rPr>
        <w:t>, Capaul, Rowley, and Sharpe (1993)</w:t>
      </w:r>
      <w:r w:rsidR="00580EFB" w:rsidRPr="001E52F7">
        <w:rPr>
          <w:rFonts w:ascii="Times New Roman" w:eastAsia="Times New Roman" w:hAnsi="Times New Roman" w:cs="Times New Roman"/>
          <w:sz w:val="24"/>
          <w:szCs w:val="24"/>
          <w:lang w:val="en-GB" w:eastAsia="en-GB"/>
        </w:rPr>
        <w:t>.</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 xml:space="preserve">Terming a stock value or growth </w:t>
      </w:r>
      <w:r w:rsidR="001875AA" w:rsidRPr="001E52F7">
        <w:rPr>
          <w:rFonts w:ascii="Times New Roman" w:eastAsia="Times New Roman" w:hAnsi="Times New Roman" w:cs="Times New Roman"/>
          <w:sz w:val="24"/>
          <w:szCs w:val="24"/>
          <w:lang w:val="en-GB" w:eastAsia="en-GB"/>
        </w:rPr>
        <w:t>does not</w:t>
      </w:r>
      <w:r w:rsidRPr="001E52F7">
        <w:rPr>
          <w:rFonts w:ascii="Times New Roman" w:eastAsia="Times New Roman" w:hAnsi="Times New Roman" w:cs="Times New Roman"/>
          <w:sz w:val="24"/>
          <w:szCs w:val="24"/>
          <w:lang w:val="en-GB" w:eastAsia="en-GB"/>
        </w:rPr>
        <w:t xml:space="preserve"> mean the company is poor or great. Many value stocks hail from highly regarded companies with fair future prospects, have fantastic track records and are even well-known brands. It is simply unfortunate that investor perception of those stocks is negative at the time, and that most investors make the same decision (albeit a mistake), hence herding. However, most studies note that the value strategy includes stocks that hail from medium to small </w:t>
      </w:r>
      <w:r w:rsidR="00610C8D">
        <w:rPr>
          <w:rFonts w:ascii="Times New Roman" w:eastAsia="Times New Roman" w:hAnsi="Times New Roman" w:cs="Times New Roman"/>
          <w:sz w:val="24"/>
          <w:szCs w:val="24"/>
          <w:lang w:val="en-GB" w:eastAsia="en-GB"/>
        </w:rPr>
        <w:t>capitalisation</w:t>
      </w:r>
      <w:r w:rsidRPr="001E52F7">
        <w:rPr>
          <w:rFonts w:ascii="Times New Roman" w:eastAsia="Times New Roman" w:hAnsi="Times New Roman" w:cs="Times New Roman"/>
          <w:sz w:val="24"/>
          <w:szCs w:val="24"/>
          <w:lang w:val="en-GB" w:eastAsia="en-GB"/>
        </w:rPr>
        <w:t xml:space="preserve"> firms, as well as stocks that lean more toward illiquid</w:t>
      </w:r>
      <w:r w:rsidR="001B7E81" w:rsidRPr="001E52F7">
        <w:rPr>
          <w:rFonts w:ascii="Times New Roman" w:eastAsia="Times New Roman" w:hAnsi="Times New Roman" w:cs="Times New Roman"/>
          <w:sz w:val="24"/>
          <w:szCs w:val="24"/>
          <w:lang w:val="en-GB" w:eastAsia="en-GB"/>
        </w:rPr>
        <w:t>ity</w:t>
      </w:r>
      <w:r w:rsidRPr="001E52F7">
        <w:rPr>
          <w:rFonts w:ascii="Times New Roman" w:eastAsia="Times New Roman" w:hAnsi="Times New Roman" w:cs="Times New Roman"/>
          <w:sz w:val="24"/>
          <w:szCs w:val="24"/>
          <w:lang w:val="en-GB" w:eastAsia="en-GB"/>
        </w:rPr>
        <w:t xml:space="preserve"> than liquid</w:t>
      </w:r>
      <w:r w:rsidR="001B7E81" w:rsidRPr="001E52F7">
        <w:rPr>
          <w:rFonts w:ascii="Times New Roman" w:eastAsia="Times New Roman" w:hAnsi="Times New Roman" w:cs="Times New Roman"/>
          <w:sz w:val="24"/>
          <w:szCs w:val="24"/>
          <w:lang w:val="en-GB" w:eastAsia="en-GB"/>
        </w:rPr>
        <w:t>ity</w:t>
      </w:r>
      <w:r w:rsidR="00884A99">
        <w:rPr>
          <w:rFonts w:ascii="Times New Roman" w:eastAsia="Times New Roman" w:hAnsi="Times New Roman" w:cs="Times New Roman"/>
          <w:sz w:val="24"/>
          <w:szCs w:val="24"/>
          <w:lang w:val="en-GB" w:eastAsia="en-GB"/>
        </w:rPr>
        <w:t xml:space="preserve"> (Saville, 2009)</w:t>
      </w:r>
      <w:r w:rsidRPr="001E52F7">
        <w:rPr>
          <w:rFonts w:ascii="Times New Roman" w:eastAsia="Times New Roman" w:hAnsi="Times New Roman" w:cs="Times New Roman"/>
          <w:sz w:val="24"/>
          <w:szCs w:val="24"/>
          <w:lang w:val="en-GB" w:eastAsia="en-GB"/>
        </w:rPr>
        <w:t xml:space="preserve"> </w:t>
      </w:r>
      <w:r w:rsidR="00B66866" w:rsidRPr="001E52F7">
        <w:rPr>
          <w:rFonts w:ascii="Times New Roman" w:eastAsia="Times New Roman" w:hAnsi="Times New Roman" w:cs="Times New Roman"/>
          <w:sz w:val="24"/>
          <w:szCs w:val="24"/>
          <w:lang w:val="en-GB" w:eastAsia="en-GB"/>
        </w:rPr>
        <w:t xml:space="preserve">Brouwer, van der Put, and Veld (1997) distinguish between value and loser stocks. Value stocks are those with low prices relative to fundamentals, while loser stocks are simply those stocks that have not performed well in the past. The authors further distinguish growth stocks as those with high prices relative to fundamentals, while winner stocks are those with superior past performance. </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C335A9" w:rsidP="001E52F7">
      <w:pPr>
        <w:spacing w:line="360" w:lineRule="auto"/>
        <w:jc w:val="both"/>
        <w:rPr>
          <w:rFonts w:ascii="Times New Roman" w:eastAsia="Times New Roman" w:hAnsi="Times New Roman" w:cs="Times New Roman"/>
          <w:b/>
          <w:sz w:val="24"/>
          <w:szCs w:val="24"/>
          <w:lang w:val="en-GB" w:eastAsia="en-GB"/>
        </w:rPr>
      </w:pPr>
      <w:r>
        <w:rPr>
          <w:rFonts w:ascii="Times New Roman" w:eastAsia="Times New Roman" w:hAnsi="Times New Roman" w:cs="Times New Roman"/>
          <w:sz w:val="24"/>
          <w:szCs w:val="24"/>
          <w:lang w:val="en-GB" w:eastAsia="en-GB"/>
        </w:rPr>
        <w:t>Chan (1988), who in contrast to Brouwer, van der Put, and Veld (1997) define winner and loser portfolios as</w:t>
      </w:r>
      <w:r w:rsidR="008857F6" w:rsidRPr="001E52F7">
        <w:rPr>
          <w:rFonts w:ascii="Times New Roman" w:eastAsia="Times New Roman" w:hAnsi="Times New Roman" w:cs="Times New Roman"/>
          <w:sz w:val="24"/>
          <w:szCs w:val="24"/>
          <w:lang w:val="en-GB" w:eastAsia="en-GB"/>
        </w:rPr>
        <w:t xml:space="preserve"> portfolios made up of growth stocks and portfolios made up of value stocks respectively; undergo large changes in their market </w:t>
      </w:r>
      <w:r w:rsidR="00610C8D">
        <w:rPr>
          <w:rFonts w:ascii="Times New Roman" w:eastAsia="Times New Roman" w:hAnsi="Times New Roman" w:cs="Times New Roman"/>
          <w:sz w:val="24"/>
          <w:szCs w:val="24"/>
          <w:lang w:val="en-GB" w:eastAsia="en-GB"/>
        </w:rPr>
        <w:t>capitalisation</w:t>
      </w:r>
      <w:r w:rsidR="008857F6" w:rsidRPr="001E52F7">
        <w:rPr>
          <w:rFonts w:ascii="Times New Roman" w:eastAsia="Times New Roman" w:hAnsi="Times New Roman" w:cs="Times New Roman"/>
          <w:sz w:val="24"/>
          <w:szCs w:val="24"/>
          <w:lang w:val="en-GB" w:eastAsia="en-GB"/>
        </w:rPr>
        <w:t xml:space="preserve"> in the rank period.</w:t>
      </w:r>
      <w:r w:rsidR="00CF335F" w:rsidRPr="001E52F7">
        <w:rPr>
          <w:rFonts w:ascii="Times New Roman" w:eastAsia="Times New Roman" w:hAnsi="Times New Roman" w:cs="Times New Roman"/>
          <w:sz w:val="24"/>
          <w:szCs w:val="24"/>
          <w:lang w:val="en-GB" w:eastAsia="en-GB"/>
        </w:rPr>
        <w:t xml:space="preserve"> </w:t>
      </w:r>
      <w:r w:rsidR="00AD0F85">
        <w:rPr>
          <w:rFonts w:ascii="Times New Roman" w:eastAsia="Times New Roman" w:hAnsi="Times New Roman" w:cs="Times New Roman"/>
          <w:sz w:val="24"/>
          <w:szCs w:val="24"/>
          <w:lang w:val="en-GB" w:eastAsia="en-GB"/>
        </w:rPr>
        <w:t>Beginning in 1930, samples of stocks are created for every 3 years, up until the end of 1983. For example, the 1</w:t>
      </w:r>
      <w:r w:rsidR="008B084D" w:rsidRPr="008B084D">
        <w:rPr>
          <w:rFonts w:ascii="Times New Roman" w:eastAsia="Times New Roman" w:hAnsi="Times New Roman" w:cs="Times New Roman"/>
          <w:sz w:val="24"/>
          <w:szCs w:val="24"/>
          <w:vertAlign w:val="superscript"/>
          <w:lang w:val="en-GB" w:eastAsia="en-GB"/>
        </w:rPr>
        <w:t>st</w:t>
      </w:r>
      <w:r w:rsidR="00AD0F85">
        <w:rPr>
          <w:rFonts w:ascii="Times New Roman" w:eastAsia="Times New Roman" w:hAnsi="Times New Roman" w:cs="Times New Roman"/>
          <w:sz w:val="24"/>
          <w:szCs w:val="24"/>
          <w:lang w:val="en-GB" w:eastAsia="en-GB"/>
        </w:rPr>
        <w:t xml:space="preserve"> rank period begins in 1930 and ends at the end of 1932.</w:t>
      </w:r>
      <w:r w:rsidR="00CF335F" w:rsidRPr="001E52F7">
        <w:rPr>
          <w:rFonts w:ascii="Times New Roman" w:eastAsia="Times New Roman" w:hAnsi="Times New Roman" w:cs="Times New Roman"/>
          <w:sz w:val="24"/>
          <w:szCs w:val="24"/>
          <w:lang w:val="en-GB" w:eastAsia="en-GB"/>
        </w:rPr>
        <w:t xml:space="preserve"> Chan (1988) ranks the stocks in this period, but requires a longer period of inclusion in the stock market in order to ensure the sample has well-established firms. The period following the rank period is </w:t>
      </w:r>
      <w:r w:rsidR="00CF335F" w:rsidRPr="001E52F7">
        <w:rPr>
          <w:rFonts w:ascii="Times New Roman" w:eastAsia="Times New Roman" w:hAnsi="Times New Roman" w:cs="Times New Roman"/>
          <w:sz w:val="24"/>
          <w:szCs w:val="24"/>
          <w:lang w:val="en-GB" w:eastAsia="en-GB"/>
        </w:rPr>
        <w:lastRenderedPageBreak/>
        <w:t xml:space="preserve">the test period, where the growth and value portfolios are then tracked.  </w:t>
      </w:r>
      <w:r w:rsidR="008857F6" w:rsidRPr="001E52F7">
        <w:rPr>
          <w:rFonts w:ascii="Times New Roman" w:eastAsia="Times New Roman" w:hAnsi="Times New Roman" w:cs="Times New Roman"/>
          <w:sz w:val="24"/>
          <w:szCs w:val="24"/>
          <w:lang w:val="en-GB" w:eastAsia="en-GB"/>
        </w:rPr>
        <w:t xml:space="preserve"> Growth stocks may look to be the better investment as they have had more desirable past performance, and have higher price-to-fundamental ratios. However, if the value of these stocks decline in the test year then they have the propensity to become more risky than the stocks whose value increase in the test year, </w:t>
      </w:r>
      <w:r w:rsidR="009A607E" w:rsidRPr="001E52F7">
        <w:rPr>
          <w:rFonts w:ascii="Times New Roman" w:eastAsia="Times New Roman" w:hAnsi="Times New Roman" w:cs="Times New Roman"/>
          <w:sz w:val="24"/>
          <w:szCs w:val="24"/>
          <w:lang w:val="en-GB" w:eastAsia="en-GB"/>
        </w:rPr>
        <w:t>i.e.,</w:t>
      </w:r>
      <w:r w:rsidR="008857F6" w:rsidRPr="001E52F7">
        <w:rPr>
          <w:rFonts w:ascii="Times New Roman" w:eastAsia="Times New Roman" w:hAnsi="Times New Roman" w:cs="Times New Roman"/>
          <w:sz w:val="24"/>
          <w:szCs w:val="24"/>
          <w:lang w:val="en-GB" w:eastAsia="en-GB"/>
        </w:rPr>
        <w:t xml:space="preserve"> value stocks. Market value is a key identifier in whether an investor is optimistic about a stock. A low BTM value may signal to the investor that, even though it may have low future growth opportunities, it has in actual fact had an increase in profits, implying that the high past growth of the firm </w:t>
      </w:r>
      <w:r w:rsidR="00A475E2" w:rsidRPr="001E52F7">
        <w:rPr>
          <w:rFonts w:ascii="Times New Roman" w:eastAsia="Times New Roman" w:hAnsi="Times New Roman" w:cs="Times New Roman"/>
          <w:sz w:val="24"/>
          <w:szCs w:val="24"/>
          <w:lang w:val="en-GB" w:eastAsia="en-GB"/>
        </w:rPr>
        <w:t>can</w:t>
      </w:r>
      <w:r w:rsidR="00E32338" w:rsidRPr="001E52F7">
        <w:rPr>
          <w:rFonts w:ascii="Times New Roman" w:eastAsia="Times New Roman" w:hAnsi="Times New Roman" w:cs="Times New Roman"/>
          <w:sz w:val="24"/>
          <w:szCs w:val="24"/>
          <w:lang w:val="en-GB" w:eastAsia="en-GB"/>
        </w:rPr>
        <w:t>not</w:t>
      </w:r>
      <w:r w:rsidR="008857F6" w:rsidRPr="001E52F7">
        <w:rPr>
          <w:rFonts w:ascii="Times New Roman" w:eastAsia="Times New Roman" w:hAnsi="Times New Roman" w:cs="Times New Roman"/>
          <w:sz w:val="24"/>
          <w:szCs w:val="24"/>
          <w:lang w:val="en-GB" w:eastAsia="en-GB"/>
        </w:rPr>
        <w:t xml:space="preserve"> reasonably be extrapolated into the future (Chin, Prevost, and Gottesman, 2002). Growth stocks may look to be the better investment as they have had more desirable past performance, and higher price-to-fundamental ratios. However, if the value of these stocks decline in the test year then they have the propensity to become more risky than the stocks whose value </w:t>
      </w:r>
      <w:r w:rsidR="00CF335F" w:rsidRPr="001E52F7">
        <w:rPr>
          <w:rFonts w:ascii="Times New Roman" w:eastAsia="Times New Roman" w:hAnsi="Times New Roman" w:cs="Times New Roman"/>
          <w:sz w:val="24"/>
          <w:szCs w:val="24"/>
          <w:lang w:val="en-GB" w:eastAsia="en-GB"/>
        </w:rPr>
        <w:t>increase in the test year, i.e.,</w:t>
      </w:r>
      <w:r w:rsidR="008857F6" w:rsidRPr="001E52F7">
        <w:rPr>
          <w:rFonts w:ascii="Times New Roman" w:eastAsia="Times New Roman" w:hAnsi="Times New Roman" w:cs="Times New Roman"/>
          <w:sz w:val="24"/>
          <w:szCs w:val="24"/>
          <w:lang w:val="en-GB" w:eastAsia="en-GB"/>
        </w:rPr>
        <w:t xml:space="preserve"> value stocks.</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Chan and Lakonishok (2004) consider the return volatilities of the value and growth portfolios and find that there is no remarkable distinction between the two; while Fama and</w:t>
      </w:r>
      <w:r w:rsidR="00717547" w:rsidRPr="001E52F7">
        <w:rPr>
          <w:rFonts w:ascii="Times New Roman" w:eastAsia="Times New Roman" w:hAnsi="Times New Roman" w:cs="Times New Roman"/>
          <w:sz w:val="24"/>
          <w:szCs w:val="24"/>
          <w:lang w:val="en-GB" w:eastAsia="en-GB"/>
        </w:rPr>
        <w:t xml:space="preserve"> French (1996) argue otherwise</w:t>
      </w:r>
      <w:r w:rsidRPr="001E52F7">
        <w:rPr>
          <w:rFonts w:ascii="Times New Roman" w:eastAsia="Times New Roman" w:hAnsi="Times New Roman" w:cs="Times New Roman"/>
          <w:sz w:val="24"/>
          <w:szCs w:val="24"/>
          <w:lang w:val="en-GB" w:eastAsia="en-GB"/>
        </w:rPr>
        <w:t xml:space="preserve"> in their study as stocks with high book-to-market values are more susceptible to financial distress, thus making them riskier than growth stocks. Albeit there are two very different lines of thought, Lakonishok, Shleifer and Vishny (1994) propose another theory – one that is entirely different – risk does not explain the difference in returns between value and growth strategies. This suggests further investigation needs to be made into what exactly does account for the return differential between value and growth stocks.</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If value stocks are indeed fundamentally riskier than growth stocks then a value strategy should underperform relative to a growth strategy during undesirable states of the world markets. The requirement here is that poor states of the market need to be identified in order to determine whether these stocks are actually riskier than growth stocks. Identification will be the months where the overall stock markets did poorly.</w:t>
      </w:r>
      <w:r w:rsidR="00717547" w:rsidRPr="001E52F7">
        <w:rPr>
          <w:rFonts w:ascii="Times New Roman" w:eastAsia="Times New Roman" w:hAnsi="Times New Roman" w:cs="Times New Roman"/>
          <w:sz w:val="24"/>
          <w:szCs w:val="24"/>
          <w:lang w:val="en-GB" w:eastAsia="en-GB"/>
        </w:rPr>
        <w:t xml:space="preserve"> An equally weighted market index would have the lowest return in the periods of poor states of the market.</w:t>
      </w:r>
      <w:r w:rsidRPr="001E52F7">
        <w:rPr>
          <w:rFonts w:ascii="Times New Roman" w:eastAsia="Times New Roman" w:hAnsi="Times New Roman" w:cs="Times New Roman"/>
          <w:color w:val="00B050"/>
          <w:sz w:val="24"/>
          <w:szCs w:val="24"/>
          <w:lang w:val="en-GB" w:eastAsia="en-GB"/>
        </w:rPr>
        <w:t xml:space="preserve"> </w:t>
      </w:r>
      <w:r w:rsidRPr="001E52F7">
        <w:rPr>
          <w:rFonts w:ascii="Times New Roman" w:eastAsia="Times New Roman" w:hAnsi="Times New Roman" w:cs="Times New Roman"/>
          <w:sz w:val="24"/>
          <w:szCs w:val="24"/>
          <w:lang w:val="en-GB" w:eastAsia="en-GB"/>
        </w:rPr>
        <w:t xml:space="preserve">Clear evidence against the value-is-riskier </w:t>
      </w:r>
      <w:r w:rsidR="005515A6" w:rsidRPr="001E52F7">
        <w:rPr>
          <w:rFonts w:ascii="Times New Roman" w:eastAsia="Times New Roman" w:hAnsi="Times New Roman" w:cs="Times New Roman"/>
          <w:sz w:val="24"/>
          <w:szCs w:val="24"/>
          <w:lang w:val="en-GB" w:eastAsia="en-GB"/>
        </w:rPr>
        <w:t>hypothesis</w:t>
      </w:r>
      <w:r w:rsidRPr="001E52F7">
        <w:rPr>
          <w:rFonts w:ascii="Times New Roman" w:eastAsia="Times New Roman" w:hAnsi="Times New Roman" w:cs="Times New Roman"/>
          <w:sz w:val="24"/>
          <w:szCs w:val="24"/>
          <w:lang w:val="en-GB" w:eastAsia="en-GB"/>
        </w:rPr>
        <w:t xml:space="preserve"> is found in the paper</w:t>
      </w:r>
      <w:r w:rsidR="007F4C1A" w:rsidRPr="001E52F7">
        <w:rPr>
          <w:rFonts w:ascii="Times New Roman" w:eastAsia="Times New Roman" w:hAnsi="Times New Roman" w:cs="Times New Roman"/>
          <w:sz w:val="24"/>
          <w:szCs w:val="24"/>
          <w:lang w:val="en-GB" w:eastAsia="en-GB"/>
        </w:rPr>
        <w:t xml:space="preserve"> of Chan and Lakonishok (2004). T</w:t>
      </w:r>
      <w:r w:rsidRPr="001E52F7">
        <w:rPr>
          <w:rFonts w:ascii="Times New Roman" w:eastAsia="Times New Roman" w:hAnsi="Times New Roman" w:cs="Times New Roman"/>
          <w:sz w:val="24"/>
          <w:szCs w:val="24"/>
          <w:lang w:val="en-GB" w:eastAsia="en-GB"/>
        </w:rPr>
        <w:t xml:space="preserve">heir results show that the value strategy outperformed the growth strategy in the worst 25 </w:t>
      </w:r>
      <w:r w:rsidRPr="001E52F7">
        <w:rPr>
          <w:rFonts w:ascii="Times New Roman" w:eastAsia="Times New Roman" w:hAnsi="Times New Roman" w:cs="Times New Roman"/>
          <w:sz w:val="24"/>
          <w:szCs w:val="24"/>
          <w:lang w:val="en-GB" w:eastAsia="en-GB"/>
        </w:rPr>
        <w:lastRenderedPageBreak/>
        <w:t xml:space="preserve">months </w:t>
      </w:r>
      <w:r w:rsidR="00C335A9">
        <w:rPr>
          <w:rFonts w:ascii="Times New Roman" w:eastAsia="Times New Roman" w:hAnsi="Times New Roman" w:cs="Times New Roman"/>
          <w:sz w:val="24"/>
          <w:szCs w:val="24"/>
          <w:lang w:val="en-GB" w:eastAsia="en-GB"/>
        </w:rPr>
        <w:t xml:space="preserve">of all months studied. However, in the good states of the market, </w:t>
      </w:r>
      <w:r w:rsidRPr="001E52F7">
        <w:rPr>
          <w:rFonts w:ascii="Times New Roman" w:eastAsia="Times New Roman" w:hAnsi="Times New Roman" w:cs="Times New Roman"/>
          <w:sz w:val="24"/>
          <w:szCs w:val="24"/>
          <w:lang w:val="en-GB" w:eastAsia="en-GB"/>
        </w:rPr>
        <w:t>the growth strategy performed worse than the value strategy.</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In the late 1990’s there was a boom in growth stocks, and these growth stocks in the United States, in general, earned returns that far outstripped returns of value stocks during that period. However, value stocks still outperformed growth stocks during the period under consideration (1979 – 2002) and the value strategies had lower standard deviations than the growth strategies (Chan and Lakonishok, 2004). Chan and Lakonishok (2004) then went on to consider markets outside the United States, including Europe, the Far East and Australasia, and found that value strategies were still outperforming growth ones.</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Pr="001E52F7" w:rsidRDefault="000405EE" w:rsidP="001E52F7">
      <w:pPr>
        <w:spacing w:line="360" w:lineRule="auto"/>
        <w:jc w:val="both"/>
        <w:rPr>
          <w:rFonts w:ascii="Times New Roman" w:eastAsia="Times New Roman" w:hAnsi="Times New Roman" w:cs="Times New Roman"/>
          <w:sz w:val="24"/>
          <w:szCs w:val="24"/>
          <w:lang w:val="en-GB" w:eastAsia="en-GB"/>
        </w:rPr>
      </w:pPr>
      <w:r w:rsidRPr="001E52F7">
        <w:rPr>
          <w:rFonts w:ascii="Times New Roman" w:hAnsi="Times New Roman" w:cs="Times New Roman"/>
          <w:sz w:val="24"/>
          <w:szCs w:val="24"/>
        </w:rPr>
        <w:t xml:space="preserve">Chan, Karceski, and Lakonishok (2003) suggest </w:t>
      </w:r>
      <w:r w:rsidRPr="001E52F7">
        <w:rPr>
          <w:rFonts w:ascii="Times New Roman" w:eastAsia="Times New Roman" w:hAnsi="Times New Roman" w:cs="Times New Roman"/>
          <w:sz w:val="24"/>
          <w:szCs w:val="24"/>
          <w:lang w:val="en-GB" w:eastAsia="en-GB"/>
        </w:rPr>
        <w:t>analysts</w:t>
      </w:r>
      <w:r w:rsidR="008857F6" w:rsidRPr="001E52F7">
        <w:rPr>
          <w:rFonts w:ascii="Times New Roman" w:eastAsia="Times New Roman" w:hAnsi="Times New Roman" w:cs="Times New Roman"/>
          <w:sz w:val="24"/>
          <w:szCs w:val="24"/>
          <w:lang w:val="en-GB" w:eastAsia="en-GB"/>
        </w:rPr>
        <w:t xml:space="preserve"> may be overly optimistic in their growth estimates due to behavioural reasons. The confirmation bias advocates individuals tend to focus on evidence that supports their beliefs, while disregarding or downplaying information that contests their beliefs. This therefore makes analysts bullish for growth stocks and bearish for value stocks.</w:t>
      </w:r>
    </w:p>
    <w:p w:rsidR="008857F6" w:rsidRPr="001E52F7" w:rsidRDefault="008857F6" w:rsidP="001E52F7">
      <w:pPr>
        <w:spacing w:line="360" w:lineRule="auto"/>
        <w:jc w:val="both"/>
        <w:rPr>
          <w:rFonts w:ascii="Times New Roman" w:eastAsia="Times New Roman" w:hAnsi="Times New Roman" w:cs="Times New Roman"/>
          <w:sz w:val="24"/>
          <w:szCs w:val="24"/>
          <w:lang w:val="en-GB" w:eastAsia="en-GB"/>
        </w:rPr>
      </w:pPr>
    </w:p>
    <w:p w:rsidR="008857F6" w:rsidRDefault="00381097" w:rsidP="001E52F7">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Zhang (2005) </w:t>
      </w:r>
      <w:r w:rsidR="008857F6" w:rsidRPr="001E52F7">
        <w:rPr>
          <w:rFonts w:ascii="Times New Roman" w:eastAsia="Times New Roman" w:hAnsi="Times New Roman" w:cs="Times New Roman"/>
          <w:sz w:val="24"/>
          <w:szCs w:val="24"/>
          <w:lang w:eastAsia="en-GB"/>
        </w:rPr>
        <w:t>focus</w:t>
      </w:r>
      <w:r>
        <w:rPr>
          <w:rFonts w:ascii="Times New Roman" w:eastAsia="Times New Roman" w:hAnsi="Times New Roman" w:cs="Times New Roman"/>
          <w:sz w:val="24"/>
          <w:szCs w:val="24"/>
          <w:lang w:eastAsia="en-GB"/>
        </w:rPr>
        <w:t>es his attention</w:t>
      </w:r>
      <w:r w:rsidR="008857F6" w:rsidRPr="001E52F7">
        <w:rPr>
          <w:rFonts w:ascii="Times New Roman" w:eastAsia="Times New Roman" w:hAnsi="Times New Roman" w:cs="Times New Roman"/>
          <w:sz w:val="24"/>
          <w:szCs w:val="24"/>
          <w:lang w:eastAsia="en-GB"/>
        </w:rPr>
        <w:t xml:space="preserve"> on cost reversibility and countercyclical price of risk. The former purports that firms face higher costs in contraction than in expansion of capital. When the economy is down, value firms suffer because they tend to have more unproductive capital. Value firms therefore find it more difficult than growth firms to reduce their capital. It</w:t>
      </w:r>
      <w:r w:rsidR="00D96235">
        <w:rPr>
          <w:rFonts w:ascii="Times New Roman" w:eastAsia="Times New Roman" w:hAnsi="Times New Roman" w:cs="Times New Roman"/>
          <w:sz w:val="24"/>
          <w:szCs w:val="24"/>
          <w:lang w:eastAsia="en-GB"/>
        </w:rPr>
        <w:t xml:space="preserve"> i</w:t>
      </w:r>
      <w:r w:rsidR="008857F6" w:rsidRPr="001E52F7">
        <w:rPr>
          <w:rFonts w:ascii="Times New Roman" w:eastAsia="Times New Roman" w:hAnsi="Times New Roman" w:cs="Times New Roman"/>
          <w:sz w:val="24"/>
          <w:szCs w:val="24"/>
          <w:lang w:eastAsia="en-GB"/>
        </w:rPr>
        <w:t xml:space="preserve">s intuitive, then, that value stock returns should covary more with down markets. In favourable economic conditions, value firm’s unproductive capital becomes productive, while growth firms invest more and have increased costs in an attempt to take advantage of the good economy. Expanding is less complicated, so growth firm returns do not covary as much with favourable economic conditions. </w:t>
      </w:r>
      <w:r w:rsidR="000F5251" w:rsidRPr="001E52F7">
        <w:rPr>
          <w:rFonts w:ascii="Times New Roman" w:eastAsia="Times New Roman" w:hAnsi="Times New Roman" w:cs="Times New Roman"/>
          <w:sz w:val="24"/>
          <w:szCs w:val="24"/>
          <w:lang w:eastAsia="en-GB"/>
        </w:rPr>
        <w:t>The argument presented by Zhang (2005)</w:t>
      </w:r>
      <w:r w:rsidR="008857F6" w:rsidRPr="001E52F7">
        <w:rPr>
          <w:rFonts w:ascii="Times New Roman" w:eastAsia="Times New Roman" w:hAnsi="Times New Roman" w:cs="Times New Roman"/>
          <w:sz w:val="24"/>
          <w:szCs w:val="24"/>
          <w:lang w:eastAsia="en-GB"/>
        </w:rPr>
        <w:t xml:space="preserve"> argument seems to be very insightful as value stocks are subject to extreme pessimism, but produce better results than growth stocks in a favourable market.</w:t>
      </w:r>
    </w:p>
    <w:p w:rsidR="003409A2" w:rsidRPr="001E52F7" w:rsidRDefault="003409A2" w:rsidP="001E52F7">
      <w:pPr>
        <w:spacing w:line="360" w:lineRule="auto"/>
        <w:jc w:val="both"/>
        <w:rPr>
          <w:rFonts w:ascii="Times New Roman" w:eastAsia="Times New Roman" w:hAnsi="Times New Roman" w:cs="Times New Roman"/>
          <w:sz w:val="24"/>
          <w:szCs w:val="24"/>
          <w:lang w:eastAsia="en-GB"/>
        </w:rPr>
      </w:pPr>
    </w:p>
    <w:p w:rsidR="003409A2" w:rsidRDefault="003409A2" w:rsidP="003409A2">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Argued by both Chan and Lakonishok (2004) and Fama and French (1993), value stocks are distressed stocks, which make them more risky in an economic downturn. Zhang (2005) proposes a non-financial argument in which stock price movements are based on their cost reversibility and not on whether their book values are greater than their market values. What Zhang (2005) terms as accepted or established knowledge (that value stocks must be riskier than growth stocks to produce better returns) is refuted by the author.</w:t>
      </w:r>
      <w:r w:rsidR="00AE43EB">
        <w:rPr>
          <w:rFonts w:ascii="Times New Roman" w:eastAsia="Times New Roman" w:hAnsi="Times New Roman" w:cs="Times New Roman"/>
          <w:sz w:val="24"/>
          <w:szCs w:val="24"/>
          <w:lang w:eastAsia="en-GB"/>
        </w:rPr>
        <w:t xml:space="preserve"> Firms that have lots of growth options tend to have more systematic risk because their value is based in future economic conditions, while a firm’s assets-in-place are not. Zhang (2005) notes that the reason why conventional wisdom attributes higher risk to firms with growth options is because growth options appear to have the most value when the markets are up. From this, Zhang (2005) concludes that it has, in the past, been accepted that growth stocks are implicitly riskier than value stocks (which have fewer growth options and their market values come from their assets-in-place.</w:t>
      </w:r>
      <w:r>
        <w:rPr>
          <w:rFonts w:ascii="Times New Roman" w:eastAsia="Times New Roman" w:hAnsi="Times New Roman" w:cs="Times New Roman"/>
          <w:sz w:val="24"/>
          <w:szCs w:val="24"/>
          <w:lang w:eastAsia="en-GB"/>
        </w:rPr>
        <w:t xml:space="preserve"> </w:t>
      </w:r>
      <w:r w:rsidR="00AE43EB">
        <w:rPr>
          <w:rFonts w:ascii="Times New Roman" w:eastAsia="Times New Roman" w:hAnsi="Times New Roman" w:cs="Times New Roman"/>
          <w:sz w:val="24"/>
          <w:szCs w:val="24"/>
          <w:lang w:eastAsia="en-GB"/>
        </w:rPr>
        <w:t>In contradiction to this generally accepted theory, the author aims to show that growth options are less risky as assets-in-place are more susceptible to down markets.</w:t>
      </w:r>
    </w:p>
    <w:p w:rsidR="008857F6" w:rsidRDefault="008857F6" w:rsidP="001E52F7">
      <w:pPr>
        <w:spacing w:line="360" w:lineRule="auto"/>
        <w:jc w:val="both"/>
        <w:rPr>
          <w:rFonts w:ascii="Times New Roman" w:eastAsia="Times New Roman" w:hAnsi="Times New Roman" w:cs="Times New Roman"/>
          <w:sz w:val="24"/>
          <w:szCs w:val="24"/>
          <w:lang w:eastAsia="en-GB"/>
        </w:rPr>
      </w:pPr>
    </w:p>
    <w:p w:rsidR="00AE43EB" w:rsidRPr="001E52F7" w:rsidRDefault="00AE43EB" w:rsidP="001E52F7">
      <w:pPr>
        <w:spacing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Zhang (2005) </w:t>
      </w:r>
      <w:r w:rsidR="00A20D1C">
        <w:rPr>
          <w:rFonts w:ascii="Times New Roman" w:eastAsia="Times New Roman" w:hAnsi="Times New Roman" w:cs="Times New Roman"/>
          <w:sz w:val="24"/>
          <w:szCs w:val="24"/>
          <w:lang w:eastAsia="en-GB"/>
        </w:rPr>
        <w:t>looks at the profitability of value and growth strategies spanning 11 years and including 5000 firms. Portfolios are created using BTM as a determinant of value and growth. Average profitability 5 years before and 5 years after portfolio creation is greater for growth portfolios than value portfolios. However, if one looks at profitability and not average profitability, growth portfolios increase in profitability before portfolio formation and decreases after formation. Value portfolios decrease in profitability before portfolios formation and increase after.</w:t>
      </w:r>
    </w:p>
    <w:p w:rsidR="00FF500C" w:rsidRDefault="00FF500C" w:rsidP="001E52F7">
      <w:pPr>
        <w:spacing w:line="360" w:lineRule="auto"/>
        <w:jc w:val="both"/>
        <w:rPr>
          <w:rFonts w:ascii="Times New Roman" w:hAnsi="Times New Roman" w:cs="Times New Roman"/>
          <w:sz w:val="24"/>
          <w:szCs w:val="24"/>
        </w:rPr>
      </w:pPr>
    </w:p>
    <w:p w:rsidR="00343FA4" w:rsidRPr="001E52F7" w:rsidRDefault="00343FA4" w:rsidP="001E52F7">
      <w:pPr>
        <w:spacing w:line="360" w:lineRule="auto"/>
        <w:jc w:val="both"/>
        <w:rPr>
          <w:rFonts w:ascii="Times New Roman" w:hAnsi="Times New Roman" w:cs="Times New Roman"/>
          <w:sz w:val="24"/>
          <w:szCs w:val="24"/>
        </w:rPr>
      </w:pPr>
      <w:bookmarkStart w:id="21" w:name="_Toc304353031"/>
      <w:bookmarkEnd w:id="21"/>
      <w:r>
        <w:rPr>
          <w:rFonts w:ascii="Times New Roman" w:hAnsi="Times New Roman" w:cs="Times New Roman"/>
          <w:sz w:val="24"/>
          <w:szCs w:val="24"/>
        </w:rPr>
        <w:t>There is general agreement among researchers that value portfolios outperform growth portfolios. However, disagreement arises as to the reason why value stocks outperform growth stocks. Value stocks may be susceptible to investor perception, mispricing, and overreaction. Another theory suggests value stocks are riskier than growth stocks, which is why the former are rewarded with higher returns. What researchers do agree on is that value stocks have low prices relative to earnings, cash flow, dividends, and book value. Growth stocks have high prices relative to those variables, indicating the high future prospects of these stocks.</w:t>
      </w:r>
    </w:p>
    <w:p w:rsidR="00FF500C" w:rsidRPr="00FF500C" w:rsidRDefault="00FF500C" w:rsidP="00FF500C">
      <w:pPr>
        <w:pStyle w:val="ListParagraph"/>
        <w:numPr>
          <w:ilvl w:val="0"/>
          <w:numId w:val="16"/>
        </w:numPr>
        <w:spacing w:after="0" w:line="360" w:lineRule="auto"/>
        <w:jc w:val="both"/>
        <w:outlineLvl w:val="2"/>
        <w:rPr>
          <w:rFonts w:ascii="Times New Roman" w:eastAsia="Times New Roman" w:hAnsi="Times New Roman" w:cs="Times New Roman"/>
          <w:b/>
          <w:vanish/>
          <w:sz w:val="28"/>
          <w:lang w:eastAsia="en-GB"/>
        </w:rPr>
      </w:pPr>
      <w:bookmarkStart w:id="22" w:name="_Toc305164178"/>
      <w:bookmarkStart w:id="23" w:name="_Toc305166500"/>
      <w:bookmarkStart w:id="24" w:name="_Toc281403405"/>
      <w:bookmarkEnd w:id="22"/>
      <w:bookmarkEnd w:id="23"/>
    </w:p>
    <w:p w:rsidR="00FF500C" w:rsidRPr="00FF500C" w:rsidRDefault="00FF500C" w:rsidP="00FF500C">
      <w:pPr>
        <w:pStyle w:val="ListParagraph"/>
        <w:numPr>
          <w:ilvl w:val="0"/>
          <w:numId w:val="16"/>
        </w:numPr>
        <w:spacing w:after="0" w:line="360" w:lineRule="auto"/>
        <w:jc w:val="both"/>
        <w:outlineLvl w:val="2"/>
        <w:rPr>
          <w:rFonts w:ascii="Times New Roman" w:eastAsia="Times New Roman" w:hAnsi="Times New Roman" w:cs="Times New Roman"/>
          <w:b/>
          <w:vanish/>
          <w:sz w:val="28"/>
          <w:lang w:eastAsia="en-GB"/>
        </w:rPr>
      </w:pPr>
      <w:bookmarkStart w:id="25" w:name="_Toc305166501"/>
      <w:bookmarkEnd w:id="25"/>
    </w:p>
    <w:p w:rsidR="00FF500C" w:rsidRPr="00FF500C" w:rsidRDefault="00FF500C" w:rsidP="00FF500C">
      <w:pPr>
        <w:pStyle w:val="ListParagraph"/>
        <w:numPr>
          <w:ilvl w:val="0"/>
          <w:numId w:val="16"/>
        </w:numPr>
        <w:spacing w:after="0" w:line="360" w:lineRule="auto"/>
        <w:jc w:val="both"/>
        <w:outlineLvl w:val="2"/>
        <w:rPr>
          <w:rFonts w:ascii="Times New Roman" w:eastAsia="Times New Roman" w:hAnsi="Times New Roman" w:cs="Times New Roman"/>
          <w:b/>
          <w:vanish/>
          <w:sz w:val="28"/>
          <w:lang w:eastAsia="en-GB"/>
        </w:rPr>
      </w:pPr>
      <w:bookmarkStart w:id="26" w:name="_Toc305166502"/>
      <w:bookmarkEnd w:id="26"/>
    </w:p>
    <w:p w:rsidR="00FF500C" w:rsidRPr="00FF500C" w:rsidRDefault="00FF500C" w:rsidP="00FF500C">
      <w:pPr>
        <w:pStyle w:val="ListParagraph"/>
        <w:numPr>
          <w:ilvl w:val="0"/>
          <w:numId w:val="16"/>
        </w:numPr>
        <w:spacing w:after="0" w:line="360" w:lineRule="auto"/>
        <w:jc w:val="both"/>
        <w:outlineLvl w:val="2"/>
        <w:rPr>
          <w:rFonts w:ascii="Times New Roman" w:eastAsia="Times New Roman" w:hAnsi="Times New Roman" w:cs="Times New Roman"/>
          <w:b/>
          <w:vanish/>
          <w:sz w:val="28"/>
          <w:lang w:eastAsia="en-GB"/>
        </w:rPr>
      </w:pPr>
      <w:bookmarkStart w:id="27" w:name="_Toc305166503"/>
      <w:bookmarkEnd w:id="27"/>
    </w:p>
    <w:p w:rsidR="00FF500C" w:rsidRPr="00FF500C" w:rsidRDefault="00FF500C" w:rsidP="00FF500C">
      <w:pPr>
        <w:pStyle w:val="ListParagraph"/>
        <w:numPr>
          <w:ilvl w:val="1"/>
          <w:numId w:val="16"/>
        </w:numPr>
        <w:spacing w:after="0" w:line="360" w:lineRule="auto"/>
        <w:jc w:val="both"/>
        <w:outlineLvl w:val="2"/>
        <w:rPr>
          <w:rFonts w:ascii="Times New Roman" w:eastAsia="Times New Roman" w:hAnsi="Times New Roman" w:cs="Times New Roman"/>
          <w:b/>
          <w:vanish/>
          <w:sz w:val="28"/>
          <w:lang w:eastAsia="en-GB"/>
        </w:rPr>
      </w:pPr>
      <w:bookmarkStart w:id="28" w:name="_Toc305166504"/>
      <w:bookmarkEnd w:id="28"/>
    </w:p>
    <w:p w:rsidR="00FF500C" w:rsidRPr="00FF500C" w:rsidRDefault="00FF500C" w:rsidP="00FF500C">
      <w:pPr>
        <w:pStyle w:val="ListParagraph"/>
        <w:numPr>
          <w:ilvl w:val="1"/>
          <w:numId w:val="16"/>
        </w:numPr>
        <w:spacing w:after="0" w:line="360" w:lineRule="auto"/>
        <w:jc w:val="both"/>
        <w:outlineLvl w:val="2"/>
        <w:rPr>
          <w:rFonts w:ascii="Times New Roman" w:eastAsia="Times New Roman" w:hAnsi="Times New Roman" w:cs="Times New Roman"/>
          <w:b/>
          <w:vanish/>
          <w:sz w:val="28"/>
          <w:lang w:eastAsia="en-GB"/>
        </w:rPr>
      </w:pPr>
      <w:bookmarkStart w:id="29" w:name="_Toc305166505"/>
      <w:bookmarkEnd w:id="29"/>
    </w:p>
    <w:p w:rsidR="00E47CAD" w:rsidRPr="00566BF3" w:rsidRDefault="00626ED6" w:rsidP="00FF500C">
      <w:pPr>
        <w:pStyle w:val="ListParagraph"/>
        <w:numPr>
          <w:ilvl w:val="2"/>
          <w:numId w:val="16"/>
        </w:numPr>
        <w:spacing w:after="0" w:line="360" w:lineRule="auto"/>
        <w:jc w:val="both"/>
        <w:outlineLvl w:val="2"/>
        <w:rPr>
          <w:rFonts w:ascii="Times New Roman" w:eastAsia="Times New Roman" w:hAnsi="Times New Roman" w:cs="Times New Roman"/>
          <w:b/>
          <w:sz w:val="28"/>
          <w:lang w:eastAsia="en-GB"/>
        </w:rPr>
      </w:pPr>
      <w:bookmarkStart w:id="30" w:name="_Toc305166506"/>
      <w:r w:rsidRPr="00566BF3">
        <w:rPr>
          <w:rFonts w:ascii="Times New Roman" w:eastAsia="Times New Roman" w:hAnsi="Times New Roman" w:cs="Times New Roman"/>
          <w:b/>
          <w:sz w:val="28"/>
          <w:lang w:eastAsia="en-GB"/>
        </w:rPr>
        <w:t>Value</w:t>
      </w:r>
      <w:bookmarkEnd w:id="24"/>
      <w:bookmarkEnd w:id="30"/>
    </w:p>
    <w:p w:rsidR="00E47CAD" w:rsidRPr="00566BF3" w:rsidRDefault="00E47CAD" w:rsidP="00A02570">
      <w:pPr>
        <w:spacing w:after="0" w:line="360" w:lineRule="auto"/>
        <w:jc w:val="both"/>
        <w:rPr>
          <w:rFonts w:ascii="Times New Roman" w:eastAsia="Times New Roman" w:hAnsi="Times New Roman" w:cs="Times New Roman"/>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Value stocks are considered to have low price-earnings and </w:t>
      </w:r>
      <w:r w:rsidR="005C4BEC" w:rsidRPr="001E52F7">
        <w:rPr>
          <w:rFonts w:ascii="Times New Roman" w:eastAsia="Times New Roman" w:hAnsi="Times New Roman" w:cs="Times New Roman"/>
          <w:sz w:val="24"/>
          <w:lang w:val="en-GB" w:eastAsia="en-GB"/>
        </w:rPr>
        <w:t>market-to-book</w:t>
      </w:r>
      <w:r w:rsidRPr="001E52F7">
        <w:rPr>
          <w:rFonts w:ascii="Times New Roman" w:eastAsia="Times New Roman" w:hAnsi="Times New Roman" w:cs="Times New Roman"/>
          <w:sz w:val="24"/>
          <w:lang w:val="en-GB" w:eastAsia="en-GB"/>
        </w:rPr>
        <w:t xml:space="preserve"> ratios, and are undervalued relative to their fundamentals (Basu, 1977). These </w:t>
      </w:r>
      <w:r w:rsidR="005515A6" w:rsidRPr="001E52F7">
        <w:rPr>
          <w:rFonts w:ascii="Times New Roman" w:eastAsia="Times New Roman" w:hAnsi="Times New Roman" w:cs="Times New Roman"/>
          <w:sz w:val="24"/>
          <w:lang w:val="en-GB" w:eastAsia="en-GB"/>
        </w:rPr>
        <w:t>high</w:t>
      </w:r>
      <w:r w:rsidRPr="001E52F7">
        <w:rPr>
          <w:rFonts w:ascii="Times New Roman" w:eastAsia="Times New Roman" w:hAnsi="Times New Roman" w:cs="Times New Roman"/>
          <w:sz w:val="24"/>
          <w:lang w:val="en-GB" w:eastAsia="en-GB"/>
        </w:rPr>
        <w:t xml:space="preserve"> </w:t>
      </w:r>
      <w:r w:rsidR="005515A6" w:rsidRPr="001E52F7">
        <w:rPr>
          <w:rFonts w:ascii="Times New Roman" w:eastAsia="Times New Roman" w:hAnsi="Times New Roman" w:cs="Times New Roman"/>
          <w:sz w:val="24"/>
          <w:lang w:val="en-GB" w:eastAsia="en-GB"/>
        </w:rPr>
        <w:t>E/P</w:t>
      </w:r>
      <w:r w:rsidRPr="001E52F7">
        <w:rPr>
          <w:rFonts w:ascii="Times New Roman" w:eastAsia="Times New Roman" w:hAnsi="Times New Roman" w:cs="Times New Roman"/>
          <w:sz w:val="24"/>
          <w:lang w:val="en-GB" w:eastAsia="en-GB"/>
        </w:rPr>
        <w:t xml:space="preserve"> stocks are believed to be better performers than growth stocks as they will undergo price reversals</w:t>
      </w:r>
      <w:r w:rsidR="00040CC4" w:rsidRPr="001E52F7">
        <w:rPr>
          <w:rFonts w:ascii="Times New Roman" w:eastAsia="Times New Roman" w:hAnsi="Times New Roman" w:cs="Times New Roman"/>
          <w:sz w:val="24"/>
          <w:lang w:val="en-GB" w:eastAsia="en-GB"/>
        </w:rPr>
        <w:t xml:space="preserve"> in the future</w:t>
      </w:r>
      <w:r w:rsidRPr="001E52F7">
        <w:rPr>
          <w:rFonts w:ascii="Times New Roman" w:eastAsia="Times New Roman" w:hAnsi="Times New Roman" w:cs="Times New Roman"/>
          <w:sz w:val="24"/>
          <w:lang w:val="en-GB" w:eastAsia="en-GB"/>
        </w:rPr>
        <w:t>. Investors tend to overreact to unexpected events or information, thus as De Bondt and Thaler (1985) report, abnormal returns can be earned by using the contrarian investment strategy. Breaking down the book-to-market ratio, it is a measure of a company’s future growth opportunities relative to its accounting value; therefore a stock with a low book-to-market value is one where investors expect high future growth prospects compared to the value of the assets in place.</w:t>
      </w:r>
    </w:p>
    <w:p w:rsidR="00E47CAD" w:rsidRPr="001E52F7" w:rsidRDefault="00E47CAD" w:rsidP="001E52F7">
      <w:pPr>
        <w:spacing w:line="360" w:lineRule="auto"/>
        <w:jc w:val="both"/>
        <w:rPr>
          <w:rFonts w:ascii="Times New Roman" w:eastAsia="Times New Roman" w:hAnsi="Times New Roman" w:cs="Times New Roman"/>
          <w:sz w:val="24"/>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Classified by their low expected future cash flow growth, value stocks tend to have continually low earnings, which is why naive investors consider them as </w:t>
      </w:r>
      <w:r w:rsidR="00CE075E" w:rsidRPr="001E52F7">
        <w:rPr>
          <w:rFonts w:ascii="Times New Roman" w:eastAsia="Times New Roman" w:hAnsi="Times New Roman" w:cs="Times New Roman"/>
          <w:sz w:val="24"/>
          <w:lang w:val="en-GB" w:eastAsia="en-GB"/>
        </w:rPr>
        <w:t>‘</w:t>
      </w:r>
      <w:r w:rsidRPr="001E52F7">
        <w:rPr>
          <w:rFonts w:ascii="Times New Roman" w:eastAsia="Times New Roman" w:hAnsi="Times New Roman" w:cs="Times New Roman"/>
          <w:sz w:val="24"/>
          <w:lang w:val="en-GB" w:eastAsia="en-GB"/>
        </w:rPr>
        <w:t>bad</w:t>
      </w:r>
      <w:r w:rsidR="00CE075E" w:rsidRPr="001E52F7">
        <w:rPr>
          <w:rFonts w:ascii="Times New Roman" w:eastAsia="Times New Roman" w:hAnsi="Times New Roman" w:cs="Times New Roman"/>
          <w:sz w:val="24"/>
          <w:lang w:val="en-GB" w:eastAsia="en-GB"/>
        </w:rPr>
        <w:t>’</w:t>
      </w:r>
      <w:r w:rsidRPr="001E52F7">
        <w:rPr>
          <w:rFonts w:ascii="Times New Roman" w:eastAsia="Times New Roman" w:hAnsi="Times New Roman" w:cs="Times New Roman"/>
          <w:sz w:val="24"/>
          <w:lang w:val="en-GB" w:eastAsia="en-GB"/>
        </w:rPr>
        <w:t xml:space="preserve"> investments. </w:t>
      </w:r>
      <w:r w:rsidR="00824AD8" w:rsidRPr="001E52F7">
        <w:rPr>
          <w:rFonts w:ascii="Times New Roman" w:eastAsia="Times New Roman" w:hAnsi="Times New Roman" w:cs="Times New Roman"/>
          <w:sz w:val="24"/>
          <w:lang w:val="en-GB" w:eastAsia="en-GB"/>
        </w:rPr>
        <w:t>Fama and French (1995) and Chen</w:t>
      </w:r>
      <w:r w:rsidRPr="001E52F7">
        <w:rPr>
          <w:rFonts w:ascii="Times New Roman" w:eastAsia="Times New Roman" w:hAnsi="Times New Roman" w:cs="Times New Roman"/>
          <w:sz w:val="24"/>
          <w:lang w:val="en-GB" w:eastAsia="en-GB"/>
        </w:rPr>
        <w:t xml:space="preserve"> and Zhang (1998) follow with the idea that these value stocks’ firms have higher financial leverage than growth stock firms. However, Zhang (2005) argues that value stocks derive most of their value from assets in place, so they </w:t>
      </w:r>
      <w:r w:rsidR="00E32338" w:rsidRPr="001E52F7">
        <w:rPr>
          <w:rFonts w:ascii="Times New Roman" w:eastAsia="Times New Roman" w:hAnsi="Times New Roman" w:cs="Times New Roman"/>
          <w:sz w:val="24"/>
          <w:lang w:val="en-GB" w:eastAsia="en-GB"/>
        </w:rPr>
        <w:t>should not</w:t>
      </w:r>
      <w:r w:rsidRPr="001E52F7">
        <w:rPr>
          <w:rFonts w:ascii="Times New Roman" w:eastAsia="Times New Roman" w:hAnsi="Times New Roman" w:cs="Times New Roman"/>
          <w:sz w:val="24"/>
          <w:lang w:val="en-GB" w:eastAsia="en-GB"/>
        </w:rPr>
        <w:t xml:space="preserve"> be riskier (</w:t>
      </w:r>
      <w:r w:rsidR="001E76BC" w:rsidRPr="001E52F7">
        <w:rPr>
          <w:rFonts w:ascii="Times New Roman" w:eastAsia="Times New Roman" w:hAnsi="Times New Roman" w:cs="Times New Roman"/>
          <w:sz w:val="24"/>
          <w:lang w:val="en-GB" w:eastAsia="en-GB"/>
        </w:rPr>
        <w:t xml:space="preserve">that is, </w:t>
      </w:r>
      <w:r w:rsidRPr="001E52F7">
        <w:rPr>
          <w:rFonts w:ascii="Times New Roman" w:eastAsia="Times New Roman" w:hAnsi="Times New Roman" w:cs="Times New Roman"/>
          <w:sz w:val="24"/>
          <w:lang w:val="en-GB" w:eastAsia="en-GB"/>
        </w:rPr>
        <w:t xml:space="preserve">they </w:t>
      </w:r>
      <w:r w:rsidR="00E32338" w:rsidRPr="001E52F7">
        <w:rPr>
          <w:rFonts w:ascii="Times New Roman" w:eastAsia="Times New Roman" w:hAnsi="Times New Roman" w:cs="Times New Roman"/>
          <w:sz w:val="24"/>
          <w:lang w:val="en-GB" w:eastAsia="en-GB"/>
        </w:rPr>
        <w:t>should not</w:t>
      </w:r>
      <w:r w:rsidRPr="001E52F7">
        <w:rPr>
          <w:rFonts w:ascii="Times New Roman" w:eastAsia="Times New Roman" w:hAnsi="Times New Roman" w:cs="Times New Roman"/>
          <w:sz w:val="24"/>
          <w:lang w:val="en-GB" w:eastAsia="en-GB"/>
        </w:rPr>
        <w:t xml:space="preserve"> have higher systematic risk) than growth stocks. Bauman and Miller (1997) describe value stocks as less popular than growth and have suffered low or even negative earnings growth.</w:t>
      </w:r>
    </w:p>
    <w:p w:rsidR="00E47CAD" w:rsidRPr="001E52F7" w:rsidRDefault="00E47CAD" w:rsidP="001E52F7">
      <w:pPr>
        <w:spacing w:line="360" w:lineRule="auto"/>
        <w:jc w:val="both"/>
        <w:rPr>
          <w:rFonts w:ascii="Times New Roman" w:eastAsia="Times New Roman" w:hAnsi="Times New Roman" w:cs="Times New Roman"/>
          <w:sz w:val="24"/>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eastAsia="en-GB"/>
        </w:rPr>
      </w:pPr>
      <w:r w:rsidRPr="001E52F7">
        <w:rPr>
          <w:rFonts w:ascii="Times New Roman" w:eastAsia="Times New Roman" w:hAnsi="Times New Roman" w:cs="Times New Roman"/>
          <w:sz w:val="24"/>
          <w:lang w:eastAsia="en-GB"/>
        </w:rPr>
        <w:t xml:space="preserve">Value stocks are generally considered to </w:t>
      </w:r>
      <w:r w:rsidR="00040CC4" w:rsidRPr="001E52F7">
        <w:rPr>
          <w:rFonts w:ascii="Times New Roman" w:eastAsia="Times New Roman" w:hAnsi="Times New Roman" w:cs="Times New Roman"/>
          <w:sz w:val="24"/>
          <w:lang w:eastAsia="en-GB"/>
        </w:rPr>
        <w:t>originate</w:t>
      </w:r>
      <w:r w:rsidRPr="001E52F7">
        <w:rPr>
          <w:rFonts w:ascii="Times New Roman" w:eastAsia="Times New Roman" w:hAnsi="Times New Roman" w:cs="Times New Roman"/>
          <w:sz w:val="24"/>
          <w:lang w:eastAsia="en-GB"/>
        </w:rPr>
        <w:t xml:space="preserve"> from small firms as the small firm </w:t>
      </w:r>
      <w:r w:rsidR="0008460F" w:rsidRPr="001E52F7">
        <w:rPr>
          <w:rFonts w:ascii="Times New Roman" w:eastAsia="Times New Roman" w:hAnsi="Times New Roman" w:cs="Times New Roman"/>
          <w:sz w:val="24"/>
          <w:lang w:eastAsia="en-GB"/>
        </w:rPr>
        <w:t>theory dictates that</w:t>
      </w:r>
      <w:r w:rsidRPr="001E52F7">
        <w:rPr>
          <w:rFonts w:ascii="Times New Roman" w:eastAsia="Times New Roman" w:hAnsi="Times New Roman" w:cs="Times New Roman"/>
          <w:sz w:val="24"/>
          <w:lang w:eastAsia="en-GB"/>
        </w:rPr>
        <w:t xml:space="preserve"> above-average returns</w:t>
      </w:r>
      <w:r w:rsidR="0008460F" w:rsidRPr="001E52F7">
        <w:rPr>
          <w:rFonts w:ascii="Times New Roman" w:eastAsia="Times New Roman" w:hAnsi="Times New Roman" w:cs="Times New Roman"/>
          <w:sz w:val="24"/>
          <w:lang w:eastAsia="en-GB"/>
        </w:rPr>
        <w:t xml:space="preserve"> are achieved by low </w:t>
      </w:r>
      <w:r w:rsidR="00610C8D">
        <w:rPr>
          <w:rFonts w:ascii="Times New Roman" w:eastAsia="Times New Roman" w:hAnsi="Times New Roman" w:cs="Times New Roman"/>
          <w:sz w:val="24"/>
          <w:lang w:eastAsia="en-GB"/>
        </w:rPr>
        <w:t>capitalisation</w:t>
      </w:r>
      <w:r w:rsidR="0008460F" w:rsidRPr="001E52F7">
        <w:rPr>
          <w:rFonts w:ascii="Times New Roman" w:eastAsia="Times New Roman" w:hAnsi="Times New Roman" w:cs="Times New Roman"/>
          <w:sz w:val="24"/>
          <w:lang w:eastAsia="en-GB"/>
        </w:rPr>
        <w:t xml:space="preserve"> firms</w:t>
      </w:r>
      <w:r w:rsidRPr="001E52F7">
        <w:rPr>
          <w:rFonts w:ascii="Times New Roman" w:eastAsia="Times New Roman" w:hAnsi="Times New Roman" w:cs="Times New Roman"/>
          <w:sz w:val="24"/>
          <w:lang w:eastAsia="en-GB"/>
        </w:rPr>
        <w:t>. Chan, Karceski, and Lakonishok (2003) make an interesting observation – small firms have a larger propensity for growth, thus they should have larger growth prospects, while larger firms are extended in their operations and have limite</w:t>
      </w:r>
      <w:r w:rsidR="001E76BC" w:rsidRPr="001E52F7">
        <w:rPr>
          <w:rFonts w:ascii="Times New Roman" w:eastAsia="Times New Roman" w:hAnsi="Times New Roman" w:cs="Times New Roman"/>
          <w:sz w:val="24"/>
          <w:lang w:eastAsia="en-GB"/>
        </w:rPr>
        <w:t>d growth prospects. The authors’ implication is</w:t>
      </w:r>
      <w:r w:rsidRPr="001E52F7">
        <w:rPr>
          <w:rFonts w:ascii="Times New Roman" w:eastAsia="Times New Roman" w:hAnsi="Times New Roman" w:cs="Times New Roman"/>
          <w:sz w:val="24"/>
          <w:lang w:eastAsia="en-GB"/>
        </w:rPr>
        <w:t xml:space="preserve"> that value stocks should have high growth prospects (contrary to most authors</w:t>
      </w:r>
      <w:r w:rsidR="005515A6" w:rsidRPr="001E52F7">
        <w:rPr>
          <w:rFonts w:ascii="Times New Roman" w:eastAsia="Times New Roman" w:hAnsi="Times New Roman" w:cs="Times New Roman"/>
          <w:sz w:val="24"/>
          <w:lang w:eastAsia="en-GB"/>
        </w:rPr>
        <w:t xml:space="preserve"> quoted</w:t>
      </w:r>
      <w:r w:rsidRPr="001E52F7">
        <w:rPr>
          <w:rFonts w:ascii="Times New Roman" w:eastAsia="Times New Roman" w:hAnsi="Times New Roman" w:cs="Times New Roman"/>
          <w:sz w:val="24"/>
          <w:lang w:eastAsia="en-GB"/>
        </w:rPr>
        <w:t xml:space="preserve"> in this </w:t>
      </w:r>
      <w:r w:rsidR="005515A6" w:rsidRPr="001E52F7">
        <w:rPr>
          <w:rFonts w:ascii="Times New Roman" w:eastAsia="Times New Roman" w:hAnsi="Times New Roman" w:cs="Times New Roman"/>
          <w:sz w:val="24"/>
          <w:lang w:eastAsia="en-GB"/>
        </w:rPr>
        <w:t>dissertation</w:t>
      </w:r>
      <w:r w:rsidRPr="001E52F7">
        <w:rPr>
          <w:rFonts w:ascii="Times New Roman" w:eastAsia="Times New Roman" w:hAnsi="Times New Roman" w:cs="Times New Roman"/>
          <w:sz w:val="24"/>
          <w:lang w:eastAsia="en-GB"/>
        </w:rPr>
        <w:t>), while growth stocks should have low growth opportunities.</w:t>
      </w:r>
      <w:r w:rsidR="00E34243">
        <w:rPr>
          <w:rFonts w:ascii="Times New Roman" w:eastAsia="Times New Roman" w:hAnsi="Times New Roman" w:cs="Times New Roman"/>
          <w:sz w:val="24"/>
          <w:lang w:eastAsia="en-GB"/>
        </w:rPr>
        <w:t xml:space="preserve"> This argument by Chan, Karceski, and Lakonishok (2003) is based on their findings that value stocks have high P/E multiples. Small and large firms may both exhibit high P/E multiples, but the authors note that growth firms may experience limitations in their growth and this could be a reason as to why growth firms do not have exceedingly high multiples. Important to note in the </w:t>
      </w:r>
      <w:r w:rsidR="00E34243">
        <w:rPr>
          <w:rFonts w:ascii="Times New Roman" w:eastAsia="Times New Roman" w:hAnsi="Times New Roman" w:cs="Times New Roman"/>
          <w:sz w:val="24"/>
          <w:lang w:eastAsia="en-GB"/>
        </w:rPr>
        <w:lastRenderedPageBreak/>
        <w:t>analysis of P/E multiples by Chan, Karceski, and Lakonishok (2003) is that they exclude any firms that have not survived and have included special distributions and reinvested dividends in the calculations.</w:t>
      </w:r>
    </w:p>
    <w:p w:rsidR="004820CA" w:rsidRPr="00566BF3" w:rsidRDefault="004820CA" w:rsidP="00A02570">
      <w:pPr>
        <w:spacing w:after="0" w:line="360" w:lineRule="auto"/>
        <w:jc w:val="both"/>
        <w:rPr>
          <w:rFonts w:ascii="Times New Roman" w:eastAsia="Times New Roman" w:hAnsi="Times New Roman" w:cs="Times New Roman"/>
          <w:sz w:val="24"/>
          <w:lang w:eastAsia="en-GB"/>
        </w:rPr>
      </w:pPr>
    </w:p>
    <w:p w:rsidR="00E47CAD" w:rsidRPr="00566BF3" w:rsidRDefault="004820CA" w:rsidP="006B0A01">
      <w:pPr>
        <w:pStyle w:val="ListParagraph"/>
        <w:numPr>
          <w:ilvl w:val="2"/>
          <w:numId w:val="16"/>
        </w:numPr>
        <w:tabs>
          <w:tab w:val="left" w:pos="3729"/>
        </w:tabs>
        <w:spacing w:after="0" w:line="360" w:lineRule="auto"/>
        <w:jc w:val="both"/>
        <w:outlineLvl w:val="2"/>
        <w:rPr>
          <w:rFonts w:ascii="Times New Roman" w:eastAsia="Times New Roman" w:hAnsi="Times New Roman" w:cs="Times New Roman"/>
          <w:b/>
          <w:sz w:val="28"/>
          <w:lang w:val="en-GB" w:eastAsia="en-GB"/>
        </w:rPr>
      </w:pPr>
      <w:bookmarkStart w:id="31" w:name="_Toc281403406"/>
      <w:bookmarkStart w:id="32" w:name="_Toc305166507"/>
      <w:r w:rsidRPr="00566BF3">
        <w:rPr>
          <w:rFonts w:ascii="Times New Roman" w:eastAsia="Times New Roman" w:hAnsi="Times New Roman" w:cs="Times New Roman"/>
          <w:b/>
          <w:sz w:val="28"/>
          <w:lang w:val="en-GB" w:eastAsia="en-GB"/>
        </w:rPr>
        <w:t>Growth</w:t>
      </w:r>
      <w:bookmarkEnd w:id="31"/>
      <w:bookmarkEnd w:id="32"/>
    </w:p>
    <w:p w:rsidR="004820CA" w:rsidRPr="00566BF3" w:rsidRDefault="004820CA" w:rsidP="00FF500C">
      <w:pPr>
        <w:rPr>
          <w:rFonts w:eastAsia="Times New Roman"/>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Growth stocks are classified as assets with high price-earnings, market-to-book, and </w:t>
      </w:r>
      <w:r w:rsidR="00C90161" w:rsidRPr="001E52F7">
        <w:rPr>
          <w:rFonts w:ascii="Times New Roman" w:eastAsia="Times New Roman" w:hAnsi="Times New Roman" w:cs="Times New Roman"/>
          <w:sz w:val="24"/>
          <w:lang w:val="en-GB" w:eastAsia="en-GB"/>
        </w:rPr>
        <w:t xml:space="preserve">low </w:t>
      </w:r>
      <w:r w:rsidRPr="001E52F7">
        <w:rPr>
          <w:rFonts w:ascii="Times New Roman" w:eastAsia="Times New Roman" w:hAnsi="Times New Roman" w:cs="Times New Roman"/>
          <w:sz w:val="24"/>
          <w:lang w:val="en-GB" w:eastAsia="en-GB"/>
        </w:rPr>
        <w:t>cash flow-to-price ratios. They tend to be in, what are deemed, more exciting industries, this makes growth stocks easier to support</w:t>
      </w:r>
      <w:r w:rsidR="00C90161" w:rsidRPr="001E52F7">
        <w:rPr>
          <w:rFonts w:ascii="Times New Roman" w:eastAsia="Times New Roman" w:hAnsi="Times New Roman" w:cs="Times New Roman"/>
          <w:sz w:val="24"/>
          <w:lang w:val="en-GB" w:eastAsia="en-GB"/>
        </w:rPr>
        <w:t xml:space="preserve"> (by investment or </w:t>
      </w:r>
      <w:r w:rsidR="005C4BEC" w:rsidRPr="001E52F7">
        <w:rPr>
          <w:rFonts w:ascii="Times New Roman" w:eastAsia="Times New Roman" w:hAnsi="Times New Roman" w:cs="Times New Roman"/>
          <w:sz w:val="24"/>
          <w:lang w:val="en-GB" w:eastAsia="en-GB"/>
        </w:rPr>
        <w:t>portfolio managers)</w:t>
      </w:r>
      <w:r w:rsidRPr="001E52F7">
        <w:rPr>
          <w:rFonts w:ascii="Times New Roman" w:eastAsia="Times New Roman" w:hAnsi="Times New Roman" w:cs="Times New Roman"/>
          <w:sz w:val="24"/>
          <w:lang w:val="en-GB" w:eastAsia="en-GB"/>
        </w:rPr>
        <w:t xml:space="preserve"> when it comes to enticing investors to buy them. Investing in the growth style is very popular during times of economic growth. These stocks are associated with </w:t>
      </w:r>
      <w:r w:rsidR="005515A6" w:rsidRPr="001E52F7">
        <w:rPr>
          <w:rFonts w:ascii="Times New Roman" w:eastAsia="Times New Roman" w:hAnsi="Times New Roman" w:cs="Times New Roman"/>
          <w:sz w:val="24"/>
          <w:lang w:val="en-GB" w:eastAsia="en-GB"/>
        </w:rPr>
        <w:t xml:space="preserve">low </w:t>
      </w:r>
      <w:r w:rsidRPr="001E52F7">
        <w:rPr>
          <w:rFonts w:ascii="Times New Roman" w:eastAsia="Times New Roman" w:hAnsi="Times New Roman" w:cs="Times New Roman"/>
          <w:sz w:val="24"/>
          <w:lang w:val="en-GB" w:eastAsia="en-GB"/>
        </w:rPr>
        <w:t>E</w:t>
      </w:r>
      <w:r w:rsidR="005515A6" w:rsidRPr="001E52F7">
        <w:rPr>
          <w:rFonts w:ascii="Times New Roman" w:eastAsia="Times New Roman" w:hAnsi="Times New Roman" w:cs="Times New Roman"/>
          <w:sz w:val="24"/>
          <w:lang w:val="en-GB" w:eastAsia="en-GB"/>
        </w:rPr>
        <w:t>/P</w:t>
      </w:r>
      <w:r w:rsidRPr="001E52F7">
        <w:rPr>
          <w:rFonts w:ascii="Times New Roman" w:eastAsia="Times New Roman" w:hAnsi="Times New Roman" w:cs="Times New Roman"/>
          <w:sz w:val="24"/>
          <w:lang w:val="en-GB" w:eastAsia="en-GB"/>
        </w:rPr>
        <w:t xml:space="preserve"> ratios, and Zhang (2005) explains growth stocks tend to have higher betas (implying higher risk) as well as implicit leverage. They are the most valuable when prospects are looking up. The low book-to-market ratio may reflect significant growth opportunities that are not included in the stock’s book value, but is capitalized in its market value. Investors and brokerage analysts tend to overlook the fact that these growth stocks do not have persistently high growth rates, but instead extrapolate past performance too far into the future, thus creating favourable sentiment for such stocks</w:t>
      </w:r>
      <w:r w:rsidR="00CF22EB">
        <w:rPr>
          <w:rFonts w:ascii="Times New Roman" w:eastAsia="Times New Roman" w:hAnsi="Times New Roman" w:cs="Times New Roman"/>
          <w:sz w:val="24"/>
          <w:lang w:val="en-GB" w:eastAsia="en-GB"/>
        </w:rPr>
        <w:t>, Chan, Karceski, and Lakonishok (2003)</w:t>
      </w:r>
      <w:r w:rsidRPr="001E52F7">
        <w:rPr>
          <w:rFonts w:ascii="Times New Roman" w:eastAsia="Times New Roman" w:hAnsi="Times New Roman" w:cs="Times New Roman"/>
          <w:sz w:val="24"/>
          <w:lang w:val="en-GB" w:eastAsia="en-GB"/>
        </w:rPr>
        <w:t>. As managers do not want to hold stocks that have had prior dreary performance, they gravitate towards more growth oriented stocks. It is easy to deduce that investors have exaggerated hopes about growth stocks because they associate superior past performance with firms that are well managed and typically become disappointed when future performance fails to reach their expectations</w:t>
      </w:r>
      <w:r w:rsidR="00F450AE">
        <w:rPr>
          <w:rFonts w:ascii="Times New Roman" w:eastAsia="Times New Roman" w:hAnsi="Times New Roman" w:cs="Times New Roman"/>
          <w:sz w:val="24"/>
          <w:lang w:val="en-GB" w:eastAsia="en-GB"/>
        </w:rPr>
        <w:t xml:space="preserve"> La Porta, </w:t>
      </w:r>
      <w:r w:rsidR="00F450AE">
        <w:rPr>
          <w:rFonts w:ascii="Times New Roman" w:eastAsia="Times New Roman" w:hAnsi="Times New Roman" w:cs="Times New Roman"/>
          <w:i/>
          <w:sz w:val="24"/>
          <w:lang w:val="en-GB" w:eastAsia="en-GB"/>
        </w:rPr>
        <w:t xml:space="preserve">et al. </w:t>
      </w:r>
      <w:r w:rsidR="00F450AE">
        <w:rPr>
          <w:rFonts w:ascii="Times New Roman" w:eastAsia="Times New Roman" w:hAnsi="Times New Roman" w:cs="Times New Roman"/>
          <w:sz w:val="24"/>
          <w:lang w:val="en-GB" w:eastAsia="en-GB"/>
        </w:rPr>
        <w:t>(1997)</w:t>
      </w:r>
      <w:r w:rsidRPr="001E52F7">
        <w:rPr>
          <w:rFonts w:ascii="Times New Roman" w:eastAsia="Times New Roman" w:hAnsi="Times New Roman" w:cs="Times New Roman"/>
          <w:sz w:val="24"/>
          <w:lang w:val="en-GB" w:eastAsia="en-GB"/>
        </w:rPr>
        <w:t>.</w:t>
      </w:r>
    </w:p>
    <w:p w:rsidR="00E47CAD" w:rsidRPr="001E52F7" w:rsidRDefault="00E47CAD" w:rsidP="001E52F7">
      <w:pPr>
        <w:spacing w:line="360" w:lineRule="auto"/>
        <w:jc w:val="both"/>
        <w:rPr>
          <w:rFonts w:ascii="Times New Roman" w:eastAsia="Times New Roman" w:hAnsi="Times New Roman" w:cs="Times New Roman"/>
          <w:sz w:val="24"/>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Chan, Karceski, and Lakonishok (2003) point out firms that have, in the past, maintained positive growth in earnings are firms that exhibit high trade multiples. Analysts highly recommend these stocks as they appear to have promising future prospects. As an investor though, one should not put too much faith in the firm’s growth rate as there </w:t>
      </w:r>
      <w:r w:rsidR="00654E4D" w:rsidRPr="001E52F7">
        <w:rPr>
          <w:rFonts w:ascii="Times New Roman" w:eastAsia="Times New Roman" w:hAnsi="Times New Roman" w:cs="Times New Roman"/>
          <w:sz w:val="24"/>
          <w:lang w:val="en-GB" w:eastAsia="en-GB"/>
        </w:rPr>
        <w:t>is not</w:t>
      </w:r>
      <w:r w:rsidRPr="001E52F7">
        <w:rPr>
          <w:rFonts w:ascii="Times New Roman" w:eastAsia="Times New Roman" w:hAnsi="Times New Roman" w:cs="Times New Roman"/>
          <w:sz w:val="24"/>
          <w:lang w:val="en-GB" w:eastAsia="en-GB"/>
        </w:rPr>
        <w:t xml:space="preserve"> much consistency to it</w:t>
      </w:r>
      <w:r w:rsidR="00DA2928">
        <w:rPr>
          <w:rFonts w:ascii="Times New Roman" w:eastAsia="Times New Roman" w:hAnsi="Times New Roman" w:cs="Times New Roman"/>
          <w:sz w:val="24"/>
          <w:lang w:val="en-GB" w:eastAsia="en-GB"/>
        </w:rPr>
        <w:t xml:space="preserve"> (Chan, Karceski, and Lakonishok, 2003)</w:t>
      </w:r>
      <w:r w:rsidRPr="001E52F7">
        <w:rPr>
          <w:rFonts w:ascii="Times New Roman" w:eastAsia="Times New Roman" w:hAnsi="Times New Roman" w:cs="Times New Roman"/>
          <w:sz w:val="24"/>
          <w:lang w:val="en-GB" w:eastAsia="en-GB"/>
        </w:rPr>
        <w:t>. Competitive pressures should moderate future growth following a period of superior growth in profits. It</w:t>
      </w:r>
      <w:r w:rsidR="00D96235">
        <w:rPr>
          <w:rFonts w:ascii="Times New Roman" w:eastAsia="Times New Roman" w:hAnsi="Times New Roman" w:cs="Times New Roman"/>
          <w:sz w:val="24"/>
          <w:lang w:val="en-GB" w:eastAsia="en-GB"/>
        </w:rPr>
        <w:t xml:space="preserve"> i</w:t>
      </w:r>
      <w:r w:rsidRPr="001E52F7">
        <w:rPr>
          <w:rFonts w:ascii="Times New Roman" w:eastAsia="Times New Roman" w:hAnsi="Times New Roman" w:cs="Times New Roman"/>
          <w:sz w:val="24"/>
          <w:lang w:val="en-GB" w:eastAsia="en-GB"/>
        </w:rPr>
        <w:t>s obvious that very few firms are able to live up to such expectations of consistent growth.  Being wary of stocks trading at such high multiples seems necessary.</w:t>
      </w:r>
    </w:p>
    <w:p w:rsidR="00E47CAD" w:rsidRPr="001E52F7" w:rsidRDefault="00E47CAD" w:rsidP="001E52F7">
      <w:pPr>
        <w:spacing w:line="360" w:lineRule="auto"/>
        <w:jc w:val="both"/>
        <w:rPr>
          <w:rFonts w:ascii="Times New Roman" w:eastAsia="Times New Roman" w:hAnsi="Times New Roman" w:cs="Times New Roman"/>
          <w:sz w:val="24"/>
          <w:lang w:val="en-GB" w:eastAsia="en-GB"/>
        </w:rPr>
      </w:pPr>
    </w:p>
    <w:p w:rsidR="00E47CAD" w:rsidRPr="001E52F7"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lastRenderedPageBreak/>
        <w:t xml:space="preserve">When there is a favourable information signal, investor expectations overreact, i.e. the price </w:t>
      </w:r>
      <w:r w:rsidR="00A779D0" w:rsidRPr="001E52F7">
        <w:rPr>
          <w:rFonts w:ascii="Times New Roman" w:eastAsia="Times New Roman" w:hAnsi="Times New Roman" w:cs="Times New Roman"/>
          <w:sz w:val="24"/>
          <w:lang w:val="en-GB" w:eastAsia="en-GB"/>
        </w:rPr>
        <w:t>becomes</w:t>
      </w:r>
      <w:r w:rsidRPr="001E52F7">
        <w:rPr>
          <w:rFonts w:ascii="Times New Roman" w:eastAsia="Times New Roman" w:hAnsi="Times New Roman" w:cs="Times New Roman"/>
          <w:sz w:val="24"/>
          <w:lang w:val="en-GB" w:eastAsia="en-GB"/>
        </w:rPr>
        <w:t xml:space="preserve"> too high. A proxy that contains price in the denominator will therefore decrease. Firms with low </w:t>
      </w:r>
      <w:r w:rsidR="00177593">
        <w:rPr>
          <w:rFonts w:ascii="Times New Roman" w:eastAsia="Times New Roman" w:hAnsi="Times New Roman" w:cs="Times New Roman"/>
          <w:sz w:val="24"/>
          <w:lang w:val="en-GB" w:eastAsia="en-GB"/>
        </w:rPr>
        <w:t>fundamental</w:t>
      </w:r>
      <w:r w:rsidRPr="001E52F7">
        <w:rPr>
          <w:rFonts w:ascii="Times New Roman" w:eastAsia="Times New Roman" w:hAnsi="Times New Roman" w:cs="Times New Roman"/>
          <w:sz w:val="24"/>
          <w:lang w:val="en-GB" w:eastAsia="en-GB"/>
        </w:rPr>
        <w:t xml:space="preserve">-to-price ratios will be </w:t>
      </w:r>
      <w:r w:rsidR="00421485" w:rsidRPr="001E52F7">
        <w:rPr>
          <w:rFonts w:ascii="Times New Roman" w:eastAsia="Times New Roman" w:hAnsi="Times New Roman" w:cs="Times New Roman"/>
          <w:sz w:val="24"/>
          <w:lang w:val="en-GB" w:eastAsia="en-GB"/>
        </w:rPr>
        <w:t xml:space="preserve">deemed </w:t>
      </w:r>
      <w:r w:rsidRPr="001E52F7">
        <w:rPr>
          <w:rFonts w:ascii="Times New Roman" w:eastAsia="Times New Roman" w:hAnsi="Times New Roman" w:cs="Times New Roman"/>
          <w:sz w:val="24"/>
          <w:lang w:val="en-GB" w:eastAsia="en-GB"/>
        </w:rPr>
        <w:t xml:space="preserve">overvalued, while firms with </w:t>
      </w:r>
      <w:r w:rsidR="00AB2C61" w:rsidRPr="001E52F7">
        <w:rPr>
          <w:rFonts w:ascii="Times New Roman" w:eastAsia="Times New Roman" w:hAnsi="Times New Roman" w:cs="Times New Roman"/>
          <w:sz w:val="24"/>
          <w:lang w:val="en-GB" w:eastAsia="en-GB"/>
        </w:rPr>
        <w:t xml:space="preserve">high </w:t>
      </w:r>
      <w:r w:rsidR="00AB2C61">
        <w:rPr>
          <w:rFonts w:ascii="Times New Roman" w:eastAsia="Times New Roman" w:hAnsi="Times New Roman" w:cs="Times New Roman"/>
          <w:sz w:val="24"/>
          <w:lang w:val="en-GB" w:eastAsia="en-GB"/>
        </w:rPr>
        <w:t>fundamental</w:t>
      </w:r>
      <w:r w:rsidR="00177593">
        <w:rPr>
          <w:rFonts w:ascii="Times New Roman" w:eastAsia="Times New Roman" w:hAnsi="Times New Roman" w:cs="Times New Roman"/>
          <w:sz w:val="24"/>
          <w:lang w:val="en-GB" w:eastAsia="en-GB"/>
        </w:rPr>
        <w:t>-to-price</w:t>
      </w:r>
      <w:r w:rsidRPr="001E52F7">
        <w:rPr>
          <w:rFonts w:ascii="Times New Roman" w:eastAsia="Times New Roman" w:hAnsi="Times New Roman" w:cs="Times New Roman"/>
          <w:sz w:val="24"/>
          <w:lang w:val="en-GB" w:eastAsia="en-GB"/>
        </w:rPr>
        <w:t xml:space="preserve"> ratios will be undervalued. Consequently, </w:t>
      </w:r>
      <w:r w:rsidR="00177593">
        <w:rPr>
          <w:rFonts w:ascii="Times New Roman" w:eastAsia="Times New Roman" w:hAnsi="Times New Roman" w:cs="Times New Roman"/>
          <w:sz w:val="24"/>
          <w:lang w:val="en-GB" w:eastAsia="en-GB"/>
        </w:rPr>
        <w:t>high fundamental-to-price ratios</w:t>
      </w:r>
      <w:r w:rsidRPr="001E52F7">
        <w:rPr>
          <w:rFonts w:ascii="Times New Roman" w:eastAsia="Times New Roman" w:hAnsi="Times New Roman" w:cs="Times New Roman"/>
          <w:sz w:val="24"/>
          <w:lang w:val="en-GB" w:eastAsia="en-GB"/>
        </w:rPr>
        <w:t xml:space="preserve"> forecast high future returns. Explained another way, for example, a high BTM ratio has the power to predict returns because that high ratio can arise from high risk and/or overreaction to information. </w:t>
      </w:r>
      <w:r w:rsidR="00421485" w:rsidRPr="001E52F7">
        <w:rPr>
          <w:rFonts w:ascii="Times New Roman" w:eastAsia="Times New Roman" w:hAnsi="Times New Roman" w:cs="Times New Roman"/>
          <w:sz w:val="24"/>
          <w:lang w:val="en-GB" w:eastAsia="en-GB"/>
        </w:rPr>
        <w:t>In order to value growth stocks</w:t>
      </w:r>
      <w:r w:rsidRPr="001E52F7">
        <w:rPr>
          <w:rFonts w:ascii="Times New Roman" w:eastAsia="Times New Roman" w:hAnsi="Times New Roman" w:cs="Times New Roman"/>
          <w:sz w:val="24"/>
          <w:lang w:val="en-GB" w:eastAsia="en-GB"/>
        </w:rPr>
        <w:t xml:space="preserve"> </w:t>
      </w:r>
      <w:r w:rsidR="005515A6" w:rsidRPr="001E52F7">
        <w:rPr>
          <w:rFonts w:ascii="Times New Roman" w:eastAsia="Times New Roman" w:hAnsi="Times New Roman" w:cs="Times New Roman"/>
          <w:sz w:val="24"/>
          <w:lang w:val="en-GB" w:eastAsia="en-GB"/>
        </w:rPr>
        <w:t>l</w:t>
      </w:r>
      <w:r w:rsidRPr="001E52F7">
        <w:rPr>
          <w:rFonts w:ascii="Times New Roman" w:eastAsia="Times New Roman" w:hAnsi="Times New Roman" w:cs="Times New Roman"/>
          <w:sz w:val="24"/>
          <w:lang w:val="en-GB" w:eastAsia="en-GB"/>
        </w:rPr>
        <w:t xml:space="preserve">ong-term cash flows of </w:t>
      </w:r>
      <w:r w:rsidR="006165B1" w:rsidRPr="001E52F7">
        <w:rPr>
          <w:rFonts w:ascii="Times New Roman" w:eastAsia="Times New Roman" w:hAnsi="Times New Roman" w:cs="Times New Roman"/>
          <w:sz w:val="24"/>
          <w:lang w:val="en-GB" w:eastAsia="en-GB"/>
        </w:rPr>
        <w:t>a</w:t>
      </w:r>
      <w:r w:rsidRPr="001E52F7">
        <w:rPr>
          <w:rFonts w:ascii="Times New Roman" w:eastAsia="Times New Roman" w:hAnsi="Times New Roman" w:cs="Times New Roman"/>
          <w:sz w:val="24"/>
          <w:lang w:val="en-GB" w:eastAsia="en-GB"/>
        </w:rPr>
        <w:t xml:space="preserve"> firm </w:t>
      </w:r>
      <w:r w:rsidR="006165B1" w:rsidRPr="001E52F7">
        <w:rPr>
          <w:rFonts w:ascii="Times New Roman" w:eastAsia="Times New Roman" w:hAnsi="Times New Roman" w:cs="Times New Roman"/>
          <w:sz w:val="24"/>
          <w:lang w:val="en-GB" w:eastAsia="en-GB"/>
        </w:rPr>
        <w:t>should drive</w:t>
      </w:r>
      <w:r w:rsidRPr="001E52F7">
        <w:rPr>
          <w:rFonts w:ascii="Times New Roman" w:eastAsia="Times New Roman" w:hAnsi="Times New Roman" w:cs="Times New Roman"/>
          <w:sz w:val="24"/>
          <w:lang w:val="en-GB" w:eastAsia="en-GB"/>
        </w:rPr>
        <w:t xml:space="preserve"> the growth classification</w:t>
      </w:r>
      <w:r w:rsidR="006165B1" w:rsidRPr="001E52F7">
        <w:rPr>
          <w:rFonts w:ascii="Times New Roman" w:eastAsia="Times New Roman" w:hAnsi="Times New Roman" w:cs="Times New Roman"/>
          <w:sz w:val="24"/>
          <w:lang w:val="en-GB" w:eastAsia="en-GB"/>
        </w:rPr>
        <w:t xml:space="preserve"> as growth stocks have higher market equities due to investors’ expectations of future growth</w:t>
      </w:r>
      <w:r w:rsidRPr="001E52F7">
        <w:rPr>
          <w:rFonts w:ascii="Times New Roman" w:eastAsia="Times New Roman" w:hAnsi="Times New Roman" w:cs="Times New Roman"/>
          <w:sz w:val="24"/>
          <w:lang w:val="en-GB" w:eastAsia="en-GB"/>
        </w:rPr>
        <w:t>.</w:t>
      </w:r>
      <w:r w:rsidR="006165B1" w:rsidRPr="001E52F7">
        <w:rPr>
          <w:rFonts w:ascii="Times New Roman" w:eastAsia="Times New Roman" w:hAnsi="Times New Roman" w:cs="Times New Roman"/>
          <w:sz w:val="24"/>
          <w:lang w:val="en-GB" w:eastAsia="en-GB"/>
        </w:rPr>
        <w:t xml:space="preserve"> If cash flows are expected to increase in the long-term it would be intuitive to think they form part of the growth stock classification.</w:t>
      </w:r>
      <w:r w:rsidRPr="001E52F7">
        <w:rPr>
          <w:rFonts w:ascii="Times New Roman" w:eastAsia="Times New Roman" w:hAnsi="Times New Roman" w:cs="Times New Roman"/>
          <w:sz w:val="24"/>
          <w:lang w:val="en-GB" w:eastAsia="en-GB"/>
        </w:rPr>
        <w:t xml:space="preserve"> Th</w:t>
      </w:r>
      <w:r w:rsidR="006165B1" w:rsidRPr="001E52F7">
        <w:rPr>
          <w:rFonts w:ascii="Times New Roman" w:eastAsia="Times New Roman" w:hAnsi="Times New Roman" w:cs="Times New Roman"/>
          <w:sz w:val="24"/>
          <w:lang w:val="en-GB" w:eastAsia="en-GB"/>
        </w:rPr>
        <w:t>is does mean</w:t>
      </w:r>
      <w:r w:rsidRPr="001E52F7">
        <w:rPr>
          <w:rFonts w:ascii="Times New Roman" w:eastAsia="Times New Roman" w:hAnsi="Times New Roman" w:cs="Times New Roman"/>
          <w:sz w:val="24"/>
          <w:lang w:val="en-GB" w:eastAsia="en-GB"/>
        </w:rPr>
        <w:t xml:space="preserve">, </w:t>
      </w:r>
      <w:r w:rsidR="006165B1" w:rsidRPr="001E52F7">
        <w:rPr>
          <w:rFonts w:ascii="Times New Roman" w:eastAsia="Times New Roman" w:hAnsi="Times New Roman" w:cs="Times New Roman"/>
          <w:sz w:val="24"/>
          <w:lang w:val="en-GB" w:eastAsia="en-GB"/>
        </w:rPr>
        <w:t xml:space="preserve">however, </w:t>
      </w:r>
      <w:r w:rsidRPr="001E52F7">
        <w:rPr>
          <w:rFonts w:ascii="Times New Roman" w:eastAsia="Times New Roman" w:hAnsi="Times New Roman" w:cs="Times New Roman"/>
          <w:sz w:val="24"/>
          <w:lang w:val="en-GB" w:eastAsia="en-GB"/>
        </w:rPr>
        <w:t>if there is information causing investors to revise their forecasts, it must be their long-term assumptions in order for there to be a meaningful effect on growth stocks.</w:t>
      </w:r>
      <w:r w:rsidR="000D5B77" w:rsidRPr="001E52F7">
        <w:rPr>
          <w:rFonts w:ascii="Times New Roman" w:eastAsia="Times New Roman" w:hAnsi="Times New Roman" w:cs="Times New Roman"/>
          <w:sz w:val="24"/>
          <w:lang w:val="en-GB" w:eastAsia="en-GB"/>
        </w:rPr>
        <w:t xml:space="preserve"> Brouwer, van der Put, and Veld (1997) find </w:t>
      </w:r>
      <w:r w:rsidR="00AB2C61" w:rsidRPr="001E52F7">
        <w:rPr>
          <w:rFonts w:ascii="Times New Roman" w:eastAsia="Times New Roman" w:hAnsi="Times New Roman" w:cs="Times New Roman"/>
          <w:sz w:val="24"/>
          <w:lang w:val="en-GB" w:eastAsia="en-GB"/>
        </w:rPr>
        <w:t xml:space="preserve">that when </w:t>
      </w:r>
      <w:r w:rsidR="00AB2C61">
        <w:rPr>
          <w:rFonts w:ascii="Times New Roman" w:eastAsia="Times New Roman" w:hAnsi="Times New Roman" w:cs="Times New Roman"/>
          <w:sz w:val="24"/>
          <w:lang w:val="en-GB" w:eastAsia="en-GB"/>
        </w:rPr>
        <w:t>cash</w:t>
      </w:r>
      <w:r w:rsidR="006C40CB">
        <w:rPr>
          <w:rFonts w:ascii="Times New Roman" w:eastAsia="Times New Roman" w:hAnsi="Times New Roman" w:cs="Times New Roman"/>
          <w:sz w:val="24"/>
          <w:lang w:val="en-GB" w:eastAsia="en-GB"/>
        </w:rPr>
        <w:t xml:space="preserve"> flow-to-price</w:t>
      </w:r>
      <w:r w:rsidR="000D5B77" w:rsidRPr="001E52F7">
        <w:rPr>
          <w:rFonts w:ascii="Times New Roman" w:eastAsia="Times New Roman" w:hAnsi="Times New Roman" w:cs="Times New Roman"/>
          <w:sz w:val="24"/>
          <w:lang w:val="en-GB" w:eastAsia="en-GB"/>
        </w:rPr>
        <w:t xml:space="preserve"> is added to other valuation ratios to explain stock returns it maintains its significance. </w:t>
      </w:r>
    </w:p>
    <w:p w:rsidR="00E47CAD" w:rsidRPr="001E52F7" w:rsidRDefault="00E47CAD" w:rsidP="001E52F7">
      <w:pPr>
        <w:spacing w:line="360" w:lineRule="auto"/>
        <w:jc w:val="both"/>
        <w:rPr>
          <w:rFonts w:ascii="Times New Roman" w:eastAsia="Times New Roman" w:hAnsi="Times New Roman" w:cs="Times New Roman"/>
          <w:sz w:val="24"/>
          <w:lang w:val="en-GB" w:eastAsia="en-GB"/>
        </w:rPr>
      </w:pPr>
    </w:p>
    <w:p w:rsidR="00E47CAD" w:rsidRDefault="00E47CAD" w:rsidP="001E52F7">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Managers and institutional investors play quite a significant role in the popularity of growth stocks – they </w:t>
      </w:r>
      <w:r w:rsidR="00D96235">
        <w:rPr>
          <w:rFonts w:ascii="Times New Roman" w:eastAsia="Times New Roman" w:hAnsi="Times New Roman" w:cs="Times New Roman"/>
          <w:sz w:val="24"/>
          <w:lang w:val="en-GB" w:eastAsia="en-GB"/>
        </w:rPr>
        <w:t>do</w:t>
      </w:r>
      <w:r w:rsidR="00D96235" w:rsidRPr="001E52F7">
        <w:rPr>
          <w:rFonts w:ascii="Times New Roman" w:eastAsia="Times New Roman" w:hAnsi="Times New Roman" w:cs="Times New Roman"/>
          <w:sz w:val="24"/>
          <w:lang w:val="en-GB" w:eastAsia="en-GB"/>
        </w:rPr>
        <w:t xml:space="preserve"> </w:t>
      </w:r>
      <w:r w:rsidR="00E32338" w:rsidRPr="001E52F7">
        <w:rPr>
          <w:rFonts w:ascii="Times New Roman" w:eastAsia="Times New Roman" w:hAnsi="Times New Roman" w:cs="Times New Roman"/>
          <w:sz w:val="24"/>
          <w:lang w:val="en-GB" w:eastAsia="en-GB"/>
        </w:rPr>
        <w:t>not</w:t>
      </w:r>
      <w:r w:rsidRPr="001E52F7">
        <w:rPr>
          <w:rFonts w:ascii="Times New Roman" w:eastAsia="Times New Roman" w:hAnsi="Times New Roman" w:cs="Times New Roman"/>
          <w:sz w:val="24"/>
          <w:lang w:val="en-GB" w:eastAsia="en-GB"/>
        </w:rPr>
        <w:t xml:space="preserve"> want to hold stocks that are tainted by poor growth in earnings performance, or have lost value. In focusing on the high performance stocks, value stocks in turn become undervalued and if managers and institutions continue believing these stocks </w:t>
      </w:r>
      <w:r w:rsidR="00E32338" w:rsidRPr="001E52F7">
        <w:rPr>
          <w:rFonts w:ascii="Times New Roman" w:eastAsia="Times New Roman" w:hAnsi="Times New Roman" w:cs="Times New Roman"/>
          <w:sz w:val="24"/>
          <w:lang w:val="en-GB" w:eastAsia="en-GB"/>
        </w:rPr>
        <w:t>will not</w:t>
      </w:r>
      <w:r w:rsidRPr="001E52F7">
        <w:rPr>
          <w:rFonts w:ascii="Times New Roman" w:eastAsia="Times New Roman" w:hAnsi="Times New Roman" w:cs="Times New Roman"/>
          <w:sz w:val="24"/>
          <w:lang w:val="en-GB" w:eastAsia="en-GB"/>
        </w:rPr>
        <w:t xml:space="preserve"> recover, the mispricing will continue far into the future.</w:t>
      </w:r>
    </w:p>
    <w:p w:rsidR="00F60149" w:rsidRDefault="00F60149" w:rsidP="001E52F7">
      <w:pPr>
        <w:spacing w:line="360" w:lineRule="auto"/>
        <w:jc w:val="both"/>
        <w:rPr>
          <w:rFonts w:ascii="Times New Roman" w:eastAsia="Times New Roman" w:hAnsi="Times New Roman" w:cs="Times New Roman"/>
          <w:sz w:val="24"/>
          <w:lang w:val="en-GB" w:eastAsia="en-GB"/>
        </w:rPr>
      </w:pPr>
    </w:p>
    <w:p w:rsidR="00FF500C" w:rsidRPr="00FF500C" w:rsidRDefault="00FF500C" w:rsidP="00FF500C">
      <w:pPr>
        <w:pStyle w:val="ListParagraph"/>
        <w:numPr>
          <w:ilvl w:val="0"/>
          <w:numId w:val="18"/>
        </w:numPr>
        <w:spacing w:line="360" w:lineRule="auto"/>
        <w:jc w:val="both"/>
        <w:outlineLvl w:val="1"/>
        <w:rPr>
          <w:rFonts w:ascii="Times New Roman" w:hAnsi="Times New Roman" w:cs="Times New Roman"/>
          <w:b/>
          <w:vanish/>
          <w:sz w:val="32"/>
        </w:rPr>
      </w:pPr>
      <w:bookmarkStart w:id="33" w:name="_Toc304353038"/>
      <w:bookmarkStart w:id="34" w:name="_Toc305164184"/>
      <w:bookmarkStart w:id="35" w:name="_Toc305166508"/>
      <w:bookmarkEnd w:id="33"/>
      <w:bookmarkEnd w:id="34"/>
      <w:bookmarkEnd w:id="35"/>
    </w:p>
    <w:p w:rsidR="00FF500C" w:rsidRPr="00FF500C" w:rsidRDefault="00FF500C" w:rsidP="00FF500C">
      <w:pPr>
        <w:pStyle w:val="ListParagraph"/>
        <w:numPr>
          <w:ilvl w:val="0"/>
          <w:numId w:val="18"/>
        </w:numPr>
        <w:spacing w:line="360" w:lineRule="auto"/>
        <w:jc w:val="both"/>
        <w:outlineLvl w:val="1"/>
        <w:rPr>
          <w:rFonts w:ascii="Times New Roman" w:hAnsi="Times New Roman" w:cs="Times New Roman"/>
          <w:b/>
          <w:vanish/>
          <w:sz w:val="32"/>
        </w:rPr>
      </w:pPr>
      <w:bookmarkStart w:id="36" w:name="_Toc305166509"/>
      <w:bookmarkEnd w:id="36"/>
    </w:p>
    <w:p w:rsidR="00FF500C" w:rsidRPr="00FF500C" w:rsidRDefault="00FF500C" w:rsidP="00FF500C">
      <w:pPr>
        <w:pStyle w:val="ListParagraph"/>
        <w:numPr>
          <w:ilvl w:val="0"/>
          <w:numId w:val="18"/>
        </w:numPr>
        <w:spacing w:line="360" w:lineRule="auto"/>
        <w:jc w:val="both"/>
        <w:outlineLvl w:val="1"/>
        <w:rPr>
          <w:rFonts w:ascii="Times New Roman" w:hAnsi="Times New Roman" w:cs="Times New Roman"/>
          <w:b/>
          <w:vanish/>
          <w:sz w:val="32"/>
        </w:rPr>
      </w:pPr>
      <w:bookmarkStart w:id="37" w:name="_Toc305166510"/>
      <w:bookmarkEnd w:id="37"/>
    </w:p>
    <w:p w:rsidR="00FF500C" w:rsidRPr="00FF500C" w:rsidRDefault="00FF500C" w:rsidP="00FF500C">
      <w:pPr>
        <w:pStyle w:val="ListParagraph"/>
        <w:numPr>
          <w:ilvl w:val="0"/>
          <w:numId w:val="18"/>
        </w:numPr>
        <w:spacing w:line="360" w:lineRule="auto"/>
        <w:jc w:val="both"/>
        <w:outlineLvl w:val="1"/>
        <w:rPr>
          <w:rFonts w:ascii="Times New Roman" w:hAnsi="Times New Roman" w:cs="Times New Roman"/>
          <w:b/>
          <w:vanish/>
          <w:sz w:val="32"/>
        </w:rPr>
      </w:pPr>
      <w:bookmarkStart w:id="38" w:name="_Toc305166511"/>
      <w:bookmarkEnd w:id="38"/>
    </w:p>
    <w:p w:rsidR="00FF500C" w:rsidRPr="00FF500C" w:rsidRDefault="00FF500C" w:rsidP="00FF500C">
      <w:pPr>
        <w:pStyle w:val="ListParagraph"/>
        <w:numPr>
          <w:ilvl w:val="1"/>
          <w:numId w:val="18"/>
        </w:numPr>
        <w:spacing w:line="360" w:lineRule="auto"/>
        <w:jc w:val="both"/>
        <w:outlineLvl w:val="1"/>
        <w:rPr>
          <w:rFonts w:ascii="Times New Roman" w:hAnsi="Times New Roman" w:cs="Times New Roman"/>
          <w:b/>
          <w:vanish/>
          <w:sz w:val="32"/>
        </w:rPr>
      </w:pPr>
      <w:bookmarkStart w:id="39" w:name="_Toc305166512"/>
      <w:bookmarkEnd w:id="39"/>
    </w:p>
    <w:p w:rsidR="00FF500C" w:rsidRPr="00FF500C" w:rsidRDefault="00FF500C" w:rsidP="00FF500C">
      <w:pPr>
        <w:pStyle w:val="ListParagraph"/>
        <w:numPr>
          <w:ilvl w:val="1"/>
          <w:numId w:val="18"/>
        </w:numPr>
        <w:spacing w:line="360" w:lineRule="auto"/>
        <w:jc w:val="both"/>
        <w:outlineLvl w:val="1"/>
        <w:rPr>
          <w:rFonts w:ascii="Times New Roman" w:hAnsi="Times New Roman" w:cs="Times New Roman"/>
          <w:b/>
          <w:vanish/>
          <w:sz w:val="32"/>
        </w:rPr>
      </w:pPr>
      <w:bookmarkStart w:id="40" w:name="_Toc305166513"/>
      <w:bookmarkEnd w:id="40"/>
    </w:p>
    <w:p w:rsidR="00F60149" w:rsidRPr="00566BF3" w:rsidRDefault="00F60149" w:rsidP="00FF500C">
      <w:pPr>
        <w:pStyle w:val="ListParagraph"/>
        <w:numPr>
          <w:ilvl w:val="1"/>
          <w:numId w:val="18"/>
        </w:numPr>
        <w:spacing w:line="360" w:lineRule="auto"/>
        <w:jc w:val="both"/>
        <w:outlineLvl w:val="1"/>
        <w:rPr>
          <w:rFonts w:ascii="Times New Roman" w:hAnsi="Times New Roman" w:cs="Times New Roman"/>
          <w:b/>
          <w:sz w:val="32"/>
        </w:rPr>
      </w:pPr>
      <w:bookmarkStart w:id="41" w:name="_Toc305166514"/>
      <w:r w:rsidRPr="00566BF3">
        <w:rPr>
          <w:rFonts w:ascii="Times New Roman" w:hAnsi="Times New Roman" w:cs="Times New Roman"/>
          <w:b/>
          <w:sz w:val="32"/>
        </w:rPr>
        <w:t>Variables</w:t>
      </w:r>
      <w:bookmarkEnd w:id="41"/>
    </w:p>
    <w:p w:rsidR="00F60149" w:rsidRPr="00566BF3" w:rsidRDefault="00F60149" w:rsidP="00F60149">
      <w:pPr>
        <w:pStyle w:val="ListParagraph"/>
        <w:spacing w:line="360" w:lineRule="auto"/>
        <w:ind w:left="1440"/>
        <w:jc w:val="both"/>
        <w:rPr>
          <w:rFonts w:ascii="Times New Roman" w:hAnsi="Times New Roman" w:cs="Times New Roman"/>
        </w:rPr>
      </w:pPr>
    </w:p>
    <w:p w:rsidR="0076195B" w:rsidRDefault="0076195B" w:rsidP="00F601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explore the contrarian strategy, value and growth stocks need to be identified. Certain variables are able to proxy for certain factors (to be explained in this section) and, thus, can separate stocks into growth and value. Beta initially carried a lot of weight in the analysis of stock returns but now variables such as BTM and E/P appear to be better explanatory variables. </w:t>
      </w:r>
    </w:p>
    <w:p w:rsidR="0076195B" w:rsidRDefault="0076195B"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All companies have unique characteristics, including their financial and operational leverage,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and dividend payout policy. These unique characteristics are what make </w:t>
      </w:r>
      <w:r w:rsidRPr="001E52F7">
        <w:rPr>
          <w:rFonts w:ascii="Times New Roman" w:hAnsi="Times New Roman" w:cs="Times New Roman"/>
          <w:sz w:val="24"/>
          <w:szCs w:val="24"/>
        </w:rPr>
        <w:lastRenderedPageBreak/>
        <w:t>firms different when it comes to changes in the general economy. When, for example, inflation changes firms with different characteristics will react in a disparate manner to each other. Hence, a firm’s return will be affected uniquely due to the idiosyncrasies it has. Highly leveraged firms are more susceptible to changes in the market, Ch</w:t>
      </w:r>
      <w:r>
        <w:rPr>
          <w:rFonts w:ascii="Times New Roman" w:hAnsi="Times New Roman" w:cs="Times New Roman"/>
          <w:sz w:val="24"/>
          <w:szCs w:val="24"/>
        </w:rPr>
        <w:t xml:space="preserve">en, Chang, Yu, and Mayes (2005), henceforth known as Chen </w:t>
      </w:r>
      <w:r w:rsidRPr="00962075">
        <w:rPr>
          <w:rFonts w:ascii="Times New Roman" w:hAnsi="Times New Roman" w:cs="Times New Roman"/>
          <w:i/>
          <w:sz w:val="24"/>
          <w:szCs w:val="24"/>
        </w:rPr>
        <w:t>et al.</w:t>
      </w:r>
      <w:r>
        <w:rPr>
          <w:rFonts w:ascii="Times New Roman" w:hAnsi="Times New Roman" w:cs="Times New Roman"/>
          <w:sz w:val="24"/>
          <w:szCs w:val="24"/>
        </w:rPr>
        <w:t xml:space="preserve"> (2005).</w:t>
      </w:r>
      <w:r w:rsidRPr="001E52F7">
        <w:rPr>
          <w:rFonts w:ascii="Times New Roman" w:hAnsi="Times New Roman" w:cs="Times New Roman"/>
          <w:sz w:val="24"/>
          <w:szCs w:val="24"/>
        </w:rPr>
        <w:t xml:space="preserve"> The economic significance of these firm-specific features is an important consideration. With market value (i.e., size) capturing certain economic risk in the stock market, and smaller sized firms being more sensitive to changes in the market, size can be said to be a proxy for risk (Chen</w:t>
      </w:r>
      <w:r>
        <w:rPr>
          <w:rFonts w:ascii="Times New Roman" w:hAnsi="Times New Roman" w:cs="Times New Roman"/>
          <w:sz w:val="24"/>
          <w:szCs w:val="24"/>
        </w:rPr>
        <w:t xml:space="preserve"> </w:t>
      </w:r>
      <w:r w:rsidRPr="00962075">
        <w:rPr>
          <w:rFonts w:ascii="Times New Roman" w:hAnsi="Times New Roman" w:cs="Times New Roman"/>
          <w:i/>
          <w:sz w:val="24"/>
          <w:szCs w:val="24"/>
        </w:rPr>
        <w:t>et al.</w:t>
      </w:r>
      <w:r>
        <w:rPr>
          <w:rFonts w:ascii="Times New Roman" w:hAnsi="Times New Roman" w:cs="Times New Roman"/>
          <w:sz w:val="24"/>
          <w:szCs w:val="24"/>
        </w:rPr>
        <w:t>,</w:t>
      </w:r>
      <w:r w:rsidRPr="001E52F7">
        <w:rPr>
          <w:rFonts w:ascii="Times New Roman" w:hAnsi="Times New Roman" w:cs="Times New Roman"/>
          <w:sz w:val="24"/>
          <w:szCs w:val="24"/>
        </w:rPr>
        <w:t xml:space="preserve"> 2005). Market value (or the size of the firm) accounts for risk as there is a natural association between market value and risk, Garza-Gómez (2001). It is suggested by Lakonishok, Shleifer, and Vishny (1994) that contrarian theory follows the idea of betting against stocks that have good past performance and those stock will have (or are expected to have) superior future performance. Lakonishok, Shleifer, and Vishny (1994) argue that these two qualities are easily separable into prior sales growth (past performance), while future expected performance is determined by the C/P and E/P ratios.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One of the main focuses of this study will be on the price-earnings ratio, and whether the performance of common stocks can be related to such a ratio. In this respect, this study follows the likes of Barber, Heath, and Odean (2003), Fama and French (1992), Bauman and Miller (1997) and one of the earliest advocates for the profitability of a value stock classified by a low P/E ratio, Nicholson (1960). The P/E multiple has many influencing factors. Companies with high growth may have higher P/E ratios than companies with low growth, but the management of a firm could influence the size of the ratio. Other factors include financial distress, the industry in which the firm operates, and how popular the stock is. The tests performed by Lakonishok, Shleifer, and Vishny (1994) on the ten portfolios sorted on the E/P ratio produce similar results to those tests on the BTM and C/P portfolios. However, the differences between the extreme portfolios are smaller. The extreme growth portfolio has an annual average return of 11.4%, while the extreme value portfolio has an annual average return of 19%. This 7.6% difference is smaller tha</w:t>
      </w:r>
      <w:r>
        <w:rPr>
          <w:rFonts w:ascii="Times New Roman" w:hAnsi="Times New Roman" w:cs="Times New Roman"/>
          <w:sz w:val="24"/>
          <w:szCs w:val="24"/>
        </w:rPr>
        <w:t>n</w:t>
      </w:r>
      <w:r w:rsidRPr="001E52F7">
        <w:rPr>
          <w:rFonts w:ascii="Times New Roman" w:hAnsi="Times New Roman" w:cs="Times New Roman"/>
          <w:sz w:val="24"/>
          <w:szCs w:val="24"/>
        </w:rPr>
        <w:t xml:space="preserve"> both the BTM portfolios (10.5%) and C/P portfolios (11%). The size adjusted returns of Lakonishok, Shleifer, and Vishny (1994) have an even smaller difference. The extreme growth portfolio has a size adjusted return of -3.5%, while the extreme value portfolio has a size adjusted return of 1.9%. Here there is only a 4.4% difference in the extreme deciles. In saying this, attention is made of depressed earnings </w:t>
      </w:r>
      <w:r w:rsidRPr="001E52F7">
        <w:rPr>
          <w:rFonts w:ascii="Times New Roman" w:hAnsi="Times New Roman" w:cs="Times New Roman"/>
          <w:sz w:val="24"/>
          <w:szCs w:val="24"/>
        </w:rPr>
        <w:lastRenderedPageBreak/>
        <w:t xml:space="preserve">by the authors. They suggest that firms with temporarily low earnings are included in the growth portfolios. The growth portfolio does not do well in the future generally, however, because there are firms in this portfolio that have low earnings that will possibly do better in the future than a true growth stock, it accounts for the smaller difference between the extreme value and extreme growth portfolios, Lakonishok, Shleifer, and Vishny (1994).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CAPM is found to be contradicted in several instances. Banz (1980) finds evidence of the size effect, leading to the conclusion that market equity can explain the cross-section of average returns. However, when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and the E/P ratio are included in the same regression, the size effect is diminished by the larger effect of the E/P variable (Basu, 1977). A small firm’s stock will have too low a beta, given the return it produces. The argument with regards to beta is not novel, many academics have pointed out that beta does not proxy for all risks inherent in a stock or portfolio. Therefore, some other variable/s must be able to better proxy for risk. Fama and French (1992) </w:t>
      </w:r>
      <w:r>
        <w:rPr>
          <w:rFonts w:ascii="Times New Roman" w:hAnsi="Times New Roman" w:cs="Times New Roman"/>
          <w:sz w:val="24"/>
          <w:szCs w:val="24"/>
        </w:rPr>
        <w:t xml:space="preserve">show that beta, which is thought to be the best variable to demonstrate the relationship between risk and return, is not the only variable that can do this, and there are some variables that are better at explaining the risk-return relationship. </w:t>
      </w:r>
      <w:r w:rsidRPr="001E52F7">
        <w:rPr>
          <w:rFonts w:ascii="Times New Roman" w:hAnsi="Times New Roman" w:cs="Times New Roman"/>
          <w:sz w:val="24"/>
          <w:szCs w:val="24"/>
        </w:rPr>
        <w:t xml:space="preserve"> Chan and Lakonishok (2004) consider other variables to explain average returns, just as other academics did, because beta’s explanatory power is deemed weak. Such variables include the book-to-market, earnings-to-price, cash flow-to-price, dividends-to-price (D/P) ratios and size. The aforementioned variables, excluding size, provide impressive results in the Fama and French (1992) paper.</w:t>
      </w:r>
    </w:p>
    <w:p w:rsidR="00F60149" w:rsidRPr="001E52F7" w:rsidRDefault="00F60149" w:rsidP="00F60149">
      <w:pPr>
        <w:spacing w:line="360" w:lineRule="auto"/>
        <w:jc w:val="both"/>
        <w:rPr>
          <w:rFonts w:ascii="Times New Roman" w:hAnsi="Times New Roman" w:cs="Times New Roman"/>
          <w:sz w:val="24"/>
          <w:szCs w:val="24"/>
        </w:rPr>
      </w:pPr>
    </w:p>
    <w:p w:rsidR="00F60149"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The book-to-market ratio is one of the variables used to classify growth and value stocks into their respective portfolios. It has been suggested that the BTM ratio captures both the market risk (usually proxied for by beta) and naive investors’ mispricing of the stock (Daniel, Hirshleifer, and Subrahmanyam, 2001). Garza-Gómez (2001) shows that forming a portfolio using the BTM ratio will ultimately lead to market equity being a proxy for investor expectations. The rationale for this is that Garza-Gómez (2001) find evidence of interdependence between book value and risk. Unsure of what the BTM ratio is a proxy for, Lakonishok, Shleifer, and Vishny (1994) explore the different possibilities. Any major items that are on the Income Statement of a firm’s financial statements may have an effect on the BTM ratio. For example, Lakonishok, Shleifer, and Vishny (1994) suggest intangible assets </w:t>
      </w:r>
      <w:r w:rsidRPr="001E52F7">
        <w:rPr>
          <w:rFonts w:ascii="Times New Roman" w:hAnsi="Times New Roman" w:cs="Times New Roman"/>
          <w:sz w:val="24"/>
          <w:szCs w:val="24"/>
        </w:rPr>
        <w:lastRenderedPageBreak/>
        <w:t xml:space="preserve">may be expensed (thus go through the Income Statement) and so do not show up on the Balance Sheet of the firm. </w:t>
      </w:r>
      <w:r w:rsidR="00AD66F9">
        <w:rPr>
          <w:rFonts w:ascii="Times New Roman" w:hAnsi="Times New Roman" w:cs="Times New Roman"/>
          <w:sz w:val="24"/>
          <w:szCs w:val="24"/>
        </w:rPr>
        <w:t>T</w:t>
      </w:r>
      <w:r w:rsidRPr="001E52F7">
        <w:rPr>
          <w:rFonts w:ascii="Times New Roman" w:hAnsi="Times New Roman" w:cs="Times New Roman"/>
          <w:sz w:val="24"/>
          <w:szCs w:val="24"/>
        </w:rPr>
        <w:t>he book value of the firm may</w:t>
      </w:r>
      <w:r w:rsidR="00AD66F9">
        <w:rPr>
          <w:rFonts w:ascii="Times New Roman" w:hAnsi="Times New Roman" w:cs="Times New Roman"/>
          <w:sz w:val="24"/>
          <w:szCs w:val="24"/>
        </w:rPr>
        <w:t xml:space="preserve"> thus</w:t>
      </w:r>
      <w:r w:rsidRPr="001E52F7">
        <w:rPr>
          <w:rFonts w:ascii="Times New Roman" w:hAnsi="Times New Roman" w:cs="Times New Roman"/>
          <w:sz w:val="24"/>
          <w:szCs w:val="24"/>
        </w:rPr>
        <w:t xml:space="preserve"> be lower than what it truly is. Thus, a low BTM ratio that, in general, reflects a growth firm, may have lots of intangible assets in its Financial Statements. However, not all intangible assets are expensed, so there may be intangible assets included in the book value of a firm, thus increasing this value. </w:t>
      </w:r>
    </w:p>
    <w:p w:rsidR="00F60149"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Furthermore, Lakonishok, Shleifer, and Vishny (1994) suggest the low BTM ratio may be indicative of a firm that does not have good growth opportunities but has an increase in its stock price (therefore increasing the market value of the stock) and a decrease in its BTM ratio. So the firm may not necessarily be a growth firm in the strictest sense of the word but the low BTM ratio deems it as such. The growth portfolio, characterised by a low BTM ratio may consist of growth stocks. The growth options of these growth stocks may not be included in the book value of the stock for some reason, but the market may value these growth options and give these stocks low BTM ratios, Lakonishok, Shleifer, and Vishny (1994).   A low BTM ratio could be an indication of a low-risk company, and so indicates to investors, through its low ratio, its potential riskiness. This type of firm (with a low BTM ratio) has a high market value, so its stock is trading at a value higher than its book value. If the firm does indeed have a low-risk profile then its cash flows will be discounted at a lower rate than that of a firm with higher risk. This is, obviously, appealing to investors. If book value is able to proxy for a certain portion of risk, then the market value of the stock would proxy for investor expectations, Lakonishok, Shleifer, and Vishny (1994). An argument in favour of the BTM variable comes from Chan, Hamao, and Lakonishok (1991). Their study of the Tokyo Stock Exchange reveals the BTM ratio to be the most noteworthy variable, as it is statistically significant – more so than the other variables considered. Second to this variable in the paper is the C/P ratio. It is found to better explain returns than that of the E/P ratio.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The book value of a firm is the amount the net assets are worth. </w:t>
      </w:r>
      <w:r>
        <w:rPr>
          <w:rFonts w:ascii="Times New Roman" w:hAnsi="Times New Roman" w:cs="Times New Roman"/>
          <w:sz w:val="24"/>
          <w:szCs w:val="24"/>
        </w:rPr>
        <w:t xml:space="preserve">Chin, Prevost, and Gottesman (2002) describe a firm to be undervalued </w:t>
      </w:r>
      <w:r w:rsidR="00AB2C61">
        <w:rPr>
          <w:rFonts w:ascii="Times New Roman" w:hAnsi="Times New Roman" w:cs="Times New Roman"/>
          <w:sz w:val="24"/>
          <w:szCs w:val="24"/>
        </w:rPr>
        <w:t xml:space="preserve">when </w:t>
      </w:r>
      <w:r w:rsidR="00AB2C61" w:rsidRPr="001E52F7">
        <w:rPr>
          <w:rFonts w:ascii="Times New Roman" w:hAnsi="Times New Roman" w:cs="Times New Roman"/>
          <w:sz w:val="24"/>
          <w:szCs w:val="24"/>
        </w:rPr>
        <w:t>the</w:t>
      </w:r>
      <w:r w:rsidRPr="001E52F7">
        <w:rPr>
          <w:rFonts w:ascii="Times New Roman" w:hAnsi="Times New Roman" w:cs="Times New Roman"/>
          <w:sz w:val="24"/>
          <w:szCs w:val="24"/>
        </w:rPr>
        <w:t xml:space="preserve"> firm’s stock sells for less than the book value. If a share sells for more than its book value reasons may include favourable earnings forecasts, intangible assets on the Balance Sheet of the firm’s Financial Statements, and other intangible items such as investors’ sentiment, Chin, Prevost, and Gottesman (2002). </w:t>
      </w:r>
      <w:r>
        <w:rPr>
          <w:rFonts w:ascii="Times New Roman" w:hAnsi="Times New Roman" w:cs="Times New Roman"/>
          <w:sz w:val="24"/>
          <w:szCs w:val="24"/>
        </w:rPr>
        <w:t xml:space="preserve">While a firm may not necessarily be undervalued solely because it sells for less than its book </w:t>
      </w:r>
      <w:r>
        <w:rPr>
          <w:rFonts w:ascii="Times New Roman" w:hAnsi="Times New Roman" w:cs="Times New Roman"/>
          <w:sz w:val="24"/>
          <w:szCs w:val="24"/>
        </w:rPr>
        <w:lastRenderedPageBreak/>
        <w:t xml:space="preserve">value, it is noted that Chin, Prevost, and Gottesman (2002) consider this to be the case in their study. </w:t>
      </w:r>
      <w:r w:rsidRPr="001E52F7">
        <w:rPr>
          <w:rFonts w:ascii="Times New Roman" w:hAnsi="Times New Roman" w:cs="Times New Roman"/>
          <w:sz w:val="24"/>
          <w:szCs w:val="24"/>
        </w:rPr>
        <w:t xml:space="preserve">Both the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and BTM ratio are correlated with a stock’s return, Drew, Naughton, and Veeraraghvan (2003). For this reason these variables are included in this study. Chan and Lakonishok (2004) and Chin, Prevost, and Gottesman (2002) find BTM is positively related to average returns, while Bhandari (1988) shows there is a direct relation between leverage (high D/E ratios) and average return (book value of equity divided by the market value of equity). Chan, Hamao, and Lakonishok (1991) find in their results that the book-to-market ratio helps to explain the cross-section of average returns in the Japanese stock market.  The market awards firms with higher prices if they expect the firms to have future growth opportunities. </w:t>
      </w:r>
      <w:r w:rsidR="00AD66F9">
        <w:rPr>
          <w:rFonts w:ascii="Times New Roman" w:hAnsi="Times New Roman" w:cs="Times New Roman"/>
          <w:sz w:val="24"/>
          <w:szCs w:val="24"/>
        </w:rPr>
        <w:t>T</w:t>
      </w:r>
      <w:r w:rsidRPr="001E52F7">
        <w:rPr>
          <w:rFonts w:ascii="Times New Roman" w:hAnsi="Times New Roman" w:cs="Times New Roman"/>
          <w:sz w:val="24"/>
          <w:szCs w:val="24"/>
        </w:rPr>
        <w:t xml:space="preserve">he market-to-book ratio </w:t>
      </w:r>
      <w:r w:rsidR="00AD66F9">
        <w:rPr>
          <w:rFonts w:ascii="Times New Roman" w:hAnsi="Times New Roman" w:cs="Times New Roman"/>
          <w:sz w:val="24"/>
          <w:szCs w:val="24"/>
        </w:rPr>
        <w:t xml:space="preserve">thus </w:t>
      </w:r>
      <w:r w:rsidRPr="001E52F7">
        <w:rPr>
          <w:rFonts w:ascii="Times New Roman" w:hAnsi="Times New Roman" w:cs="Times New Roman"/>
          <w:sz w:val="24"/>
          <w:szCs w:val="24"/>
        </w:rPr>
        <w:t>measures these opportunities relative to its assets in place (Chan and Lakonishok, 2004). Chan, Karceski, and Lakonishok (2003) however, point out that ratios such as P/E, C/P, D/P, and BTM cannot distinguish between low or high earnings growth prospects. Book value however, is subject to the accrual basis of accounting therefore it may be subject to forecasts made by the accountant for the firm. Accrual accounting, simply put, is where income is recorded when earned and no</w:t>
      </w:r>
      <w:r>
        <w:rPr>
          <w:rFonts w:ascii="Times New Roman" w:hAnsi="Times New Roman" w:cs="Times New Roman"/>
          <w:sz w:val="24"/>
          <w:szCs w:val="24"/>
        </w:rPr>
        <w:t>t</w:t>
      </w:r>
      <w:r w:rsidRPr="001E52F7">
        <w:rPr>
          <w:rFonts w:ascii="Times New Roman" w:hAnsi="Times New Roman" w:cs="Times New Roman"/>
          <w:sz w:val="24"/>
          <w:szCs w:val="24"/>
        </w:rPr>
        <w:t xml:space="preserve"> when the cash is received, while expenses are recorded when incurred and no</w:t>
      </w:r>
      <w:r w:rsidR="00D96235">
        <w:rPr>
          <w:rFonts w:ascii="Times New Roman" w:hAnsi="Times New Roman" w:cs="Times New Roman"/>
          <w:sz w:val="24"/>
          <w:szCs w:val="24"/>
        </w:rPr>
        <w:t>t</w:t>
      </w:r>
      <w:r w:rsidRPr="001E52F7">
        <w:rPr>
          <w:rFonts w:ascii="Times New Roman" w:hAnsi="Times New Roman" w:cs="Times New Roman"/>
          <w:sz w:val="24"/>
          <w:szCs w:val="24"/>
        </w:rPr>
        <w:t xml:space="preserve"> when cash is paid. Along with this, depreciation methods are subject to different interpretations (Sowden-Service, 2006).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Accounting measures are subject to the choices made by management in terms of what methods or reporting techniques they want to use. </w:t>
      </w:r>
      <w:r w:rsidR="00AD66F9">
        <w:rPr>
          <w:rFonts w:ascii="Times New Roman" w:hAnsi="Times New Roman" w:cs="Times New Roman"/>
          <w:sz w:val="24"/>
          <w:szCs w:val="24"/>
        </w:rPr>
        <w:t>I</w:t>
      </w:r>
      <w:r w:rsidRPr="001E52F7">
        <w:rPr>
          <w:rFonts w:ascii="Times New Roman" w:hAnsi="Times New Roman" w:cs="Times New Roman"/>
          <w:sz w:val="24"/>
          <w:szCs w:val="24"/>
        </w:rPr>
        <w:t>tems such as depreciation can change from firm to firm, leaving the analyst without much consistency, Bauman and Miller (1997). Th</w:t>
      </w:r>
      <w:r>
        <w:rPr>
          <w:rFonts w:ascii="Times New Roman" w:hAnsi="Times New Roman" w:cs="Times New Roman"/>
          <w:sz w:val="24"/>
          <w:szCs w:val="24"/>
        </w:rPr>
        <w:t>i</w:t>
      </w:r>
      <w:r w:rsidRPr="001E52F7">
        <w:rPr>
          <w:rFonts w:ascii="Times New Roman" w:hAnsi="Times New Roman" w:cs="Times New Roman"/>
          <w:sz w:val="24"/>
          <w:szCs w:val="24"/>
        </w:rPr>
        <w:t>s argument is the reason for Bauman and Miller (1997) to use the C/P ratio as another sort-variable for value and growth portfolios. In order to minimize the distortions in earnings, cash flow is used as it is considered a more stable accounting measure. Generally, cash flow is earnings plus depreciation, so depreciation is added back in order to minimise the effect of accounting procedures (Chan and Lakonishok, 2004). The four portfolios are thus sorted on C/P for the Bauman and Miller (1997) study. The results are similar to the E/P sorted portfolios, even if the differences between the value and growth portfolios are smaller for the latter. Similar tests are performed using the P/BV as a sorting method. Book value is, as deemed by Bauman and Miller (1997), a more suitable and reliable proxy for the valuation of a firm.</w:t>
      </w:r>
      <w:r>
        <w:rPr>
          <w:rFonts w:ascii="Times New Roman" w:hAnsi="Times New Roman" w:cs="Times New Roman"/>
          <w:sz w:val="24"/>
          <w:szCs w:val="24"/>
        </w:rPr>
        <w:t xml:space="preserve"> This is in comparison to the earnings-price ratio.</w:t>
      </w:r>
      <w:r w:rsidRPr="001E52F7">
        <w:rPr>
          <w:rFonts w:ascii="Times New Roman" w:hAnsi="Times New Roman" w:cs="Times New Roman"/>
          <w:sz w:val="24"/>
          <w:szCs w:val="24"/>
        </w:rPr>
        <w:t xml:space="preserve"> </w:t>
      </w:r>
      <w:r>
        <w:rPr>
          <w:rFonts w:ascii="Times New Roman" w:hAnsi="Times New Roman" w:cs="Times New Roman"/>
          <w:sz w:val="24"/>
          <w:szCs w:val="24"/>
        </w:rPr>
        <w:t xml:space="preserve">Earnings per share forecasting errors play a major role in the difference in returns Bauman and Miller (1997) find when comparing </w:t>
      </w:r>
      <w:r>
        <w:rPr>
          <w:rFonts w:ascii="Times New Roman" w:hAnsi="Times New Roman" w:cs="Times New Roman"/>
          <w:sz w:val="24"/>
          <w:szCs w:val="24"/>
        </w:rPr>
        <w:lastRenderedPageBreak/>
        <w:t xml:space="preserve">the results of low P/E stocks to high P/E stocks. The authors argue that book value is a reliable equity value for an analyst to use in his calculations. </w:t>
      </w:r>
      <w:r w:rsidRPr="001E52F7">
        <w:rPr>
          <w:rFonts w:ascii="Times New Roman" w:hAnsi="Times New Roman" w:cs="Times New Roman"/>
          <w:sz w:val="24"/>
          <w:szCs w:val="24"/>
        </w:rPr>
        <w:t xml:space="preserve">Once again, confirmation for the contrarian strategy is found in their study. The value portfolio, whether sorted on C/P or BTM, produces superior returns to that of the growth portfolio. According to Chan, Hamao, and Lakonishok (1991), regulations in Japan require all firms to have the same reporting methods. This makes tax and financial statements comparable. One problem with these comparable statements is that the type of depreciation method used in Japan distorts earnings. Thus the earnings figure is not the best variable to use, and so Chan, Hamao, and Lakonishok (1991) turn to cash flow as it is a more stable variable. </w:t>
      </w:r>
    </w:p>
    <w:p w:rsidR="00F60149" w:rsidRPr="001E52F7" w:rsidRDefault="00F60149" w:rsidP="00F60149">
      <w:pPr>
        <w:spacing w:line="360" w:lineRule="auto"/>
        <w:jc w:val="both"/>
        <w:rPr>
          <w:rFonts w:ascii="Times New Roman" w:hAnsi="Times New Roman" w:cs="Times New Roman"/>
          <w:sz w:val="24"/>
          <w:szCs w:val="24"/>
        </w:rPr>
      </w:pPr>
    </w:p>
    <w:p w:rsidR="001A673C" w:rsidRDefault="00F60149" w:rsidP="00F60149">
      <w:pPr>
        <w:spacing w:line="360" w:lineRule="auto"/>
        <w:jc w:val="both"/>
        <w:rPr>
          <w:rFonts w:ascii="Times New Roman" w:eastAsia="Times New Roman" w:hAnsi="Times New Roman" w:cs="Times New Roman"/>
          <w:sz w:val="24"/>
          <w:szCs w:val="24"/>
          <w:lang w:val="en-GB" w:eastAsia="en-GB"/>
        </w:rPr>
      </w:pPr>
      <w:r w:rsidRPr="001E52F7">
        <w:rPr>
          <w:rFonts w:ascii="Times New Roman" w:hAnsi="Times New Roman" w:cs="Times New Roman"/>
          <w:sz w:val="24"/>
          <w:szCs w:val="24"/>
        </w:rPr>
        <w:t>Other factors can contribute to the classification of a value stock, not just the book-to-market ratio. Investors and analysts alike tend to disregard the persistence in growth rates (or lack thereof) and simply extrapolate past growth into the future. Optimism is created for growth stocks on the premise that they have had superior growth historically, but investors and analysts fail to consider whether this growth is sustainable (Chan and Lakonishok, 2004). Chan, Karceski, and Lakonishok (2003) test both the persistency and the predictability of growth, as growth expectations are vital to valuation models. Their results should not be of any surprise to the reader – growth is not perpetual, nor can it be predicted. This argument should be intuitive from theory as competitive pressures will dissolve abnormal earnings, leaving growth at a normal rate</w:t>
      </w:r>
      <w:r w:rsidR="008955D8">
        <w:rPr>
          <w:rFonts w:ascii="Times New Roman" w:hAnsi="Times New Roman" w:cs="Times New Roman"/>
          <w:sz w:val="24"/>
          <w:szCs w:val="24"/>
        </w:rPr>
        <w:t xml:space="preserve">. </w:t>
      </w:r>
      <w:r w:rsidRPr="001E52F7">
        <w:rPr>
          <w:rFonts w:ascii="Times New Roman" w:eastAsia="Times New Roman" w:hAnsi="Times New Roman" w:cs="Times New Roman"/>
          <w:sz w:val="24"/>
          <w:szCs w:val="24"/>
          <w:lang w:val="en-GB" w:eastAsia="en-GB"/>
        </w:rPr>
        <w:t xml:space="preserve">In order to justify the increased valuations given to growth stocks, Chan, Karceski, and Lakonishok (2003) look to operating performance growth. The authors use non-parametric tests and several indicators of operating performance such as net sales, operating income before depreciation, and income before extraordinary items available for common equity. They only find persistence in sales growth. They hypothesize that the performance of the company is a crucial factor in contrarian investment as naive investors look to firms with good managers, strong past performance, and that are in popular lines of business. </w:t>
      </w:r>
    </w:p>
    <w:p w:rsidR="001A673C" w:rsidRDefault="001A673C" w:rsidP="00F60149">
      <w:pPr>
        <w:spacing w:line="360" w:lineRule="auto"/>
        <w:jc w:val="both"/>
        <w:rPr>
          <w:rFonts w:ascii="Times New Roman" w:eastAsia="Times New Roman" w:hAnsi="Times New Roman" w:cs="Times New Roman"/>
          <w:sz w:val="24"/>
          <w:szCs w:val="24"/>
          <w:lang w:val="en-GB" w:eastAsia="en-GB"/>
        </w:rPr>
      </w:pPr>
    </w:p>
    <w:p w:rsidR="00F60149" w:rsidRPr="001E52F7" w:rsidRDefault="00F60149" w:rsidP="00F60149">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 xml:space="preserve">Even though consideration is given to a firm’s operations as it goes a fair way in determining whether the stock is growth or value, the firm’s </w:t>
      </w:r>
      <w:r>
        <w:rPr>
          <w:rFonts w:ascii="Times New Roman" w:eastAsia="Times New Roman" w:hAnsi="Times New Roman" w:cs="Times New Roman"/>
          <w:sz w:val="24"/>
          <w:szCs w:val="24"/>
          <w:lang w:val="en-GB" w:eastAsia="en-GB"/>
        </w:rPr>
        <w:t>intangible assets</w:t>
      </w:r>
      <w:r w:rsidRPr="001E52F7">
        <w:rPr>
          <w:rFonts w:ascii="Times New Roman" w:eastAsia="Times New Roman" w:hAnsi="Times New Roman" w:cs="Times New Roman"/>
          <w:sz w:val="24"/>
          <w:szCs w:val="24"/>
          <w:lang w:val="en-GB" w:eastAsia="en-GB"/>
        </w:rPr>
        <w:t xml:space="preserve"> could lead to predictability in the share price.</w:t>
      </w:r>
      <w:r>
        <w:rPr>
          <w:rFonts w:ascii="Times New Roman" w:eastAsia="Times New Roman" w:hAnsi="Times New Roman" w:cs="Times New Roman"/>
          <w:sz w:val="24"/>
          <w:szCs w:val="24"/>
          <w:lang w:val="en-GB" w:eastAsia="en-GB"/>
        </w:rPr>
        <w:t xml:space="preserve"> In this instance, Chan, Karceski, and Lakonishok (2003) explain that research and development could indicate the future performance of a firm.</w:t>
      </w:r>
      <w:r w:rsidRPr="001E52F7">
        <w:rPr>
          <w:rFonts w:ascii="Times New Roman" w:eastAsia="Times New Roman" w:hAnsi="Times New Roman" w:cs="Times New Roman"/>
          <w:sz w:val="24"/>
          <w:szCs w:val="24"/>
          <w:lang w:val="en-GB" w:eastAsia="en-GB"/>
        </w:rPr>
        <w:t xml:space="preserve"> The firm’s </w:t>
      </w:r>
      <w:r w:rsidRPr="001E52F7">
        <w:rPr>
          <w:rFonts w:ascii="Times New Roman" w:eastAsia="Times New Roman" w:hAnsi="Times New Roman" w:cs="Times New Roman"/>
          <w:sz w:val="24"/>
          <w:szCs w:val="24"/>
          <w:lang w:val="en-GB" w:eastAsia="en-GB"/>
        </w:rPr>
        <w:lastRenderedPageBreak/>
        <w:t>dividend payout ratio is considered a strong foundation for the determination of growth or value stocks. If the dividend payout is low, it may be a signal to investors that the firm has future growth opportunities that it wishes to invest in, while if the dividend payout is very low or zero, it may be an adverse signal to investors. However, the dividend payout ratio is only an indicator; it is not a hard and fast rule to base classifications on. Further, it is found by Griffin and Lemmon (2002) that value firms are more likely to cut the dividend payout as compared to growth firms – dividends are generally lowered in times of financial distress, but this is not the sole reason for the dividend payout to be reduced. Daniel, Hirshleifer, and Subrahmanyam (2001) argue high dividend yields must be related to greater aggregate returns.</w:t>
      </w:r>
    </w:p>
    <w:p w:rsidR="00F60149" w:rsidRPr="001E52F7" w:rsidRDefault="00F60149" w:rsidP="00F60149">
      <w:pPr>
        <w:spacing w:line="360" w:lineRule="auto"/>
        <w:jc w:val="both"/>
        <w:rPr>
          <w:rFonts w:ascii="Times New Roman" w:hAnsi="Times New Roman" w:cs="Times New Roman"/>
          <w:sz w:val="24"/>
          <w:szCs w:val="24"/>
        </w:rPr>
      </w:pPr>
    </w:p>
    <w:p w:rsidR="001A673C"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Basu (1977) sets out to test whether the E/P ratio, which is said to be an indicator for future performance, is related to the respective stock’s return. Basu (1977), one of the notable authors to document positive risk-adjusted returns related to value stocks classified by their high E/P ratios furthers his work in 1983, documenting how the E/P ratio can explain the cross-section of average returns. The E/P ratio is seen to be a proxy for certain factors, and it is more likely to be greater for stocks with increased risk. </w:t>
      </w:r>
      <w:r>
        <w:rPr>
          <w:rFonts w:ascii="Times New Roman" w:hAnsi="Times New Roman" w:cs="Times New Roman"/>
          <w:sz w:val="24"/>
          <w:szCs w:val="24"/>
        </w:rPr>
        <w:t>For example, Berk, Green, and Naik (1999) suggest that the E/P ratio can be a proxy for growth opportunities if these opportunities are related to the firm’s systematic risk.</w:t>
      </w:r>
      <w:r w:rsidRPr="001E52F7">
        <w:rPr>
          <w:rFonts w:ascii="Times New Roman" w:hAnsi="Times New Roman" w:cs="Times New Roman"/>
          <w:sz w:val="24"/>
          <w:szCs w:val="24"/>
        </w:rPr>
        <w:t xml:space="preserve"> </w:t>
      </w:r>
    </w:p>
    <w:p w:rsidR="001A673C" w:rsidRDefault="001A673C" w:rsidP="00F60149">
      <w:pPr>
        <w:spacing w:line="360" w:lineRule="auto"/>
        <w:jc w:val="both"/>
        <w:rPr>
          <w:rFonts w:ascii="Times New Roman" w:hAnsi="Times New Roman" w:cs="Times New Roman"/>
          <w:sz w:val="24"/>
          <w:szCs w:val="24"/>
        </w:rPr>
      </w:pPr>
    </w:p>
    <w:p w:rsidR="001A673C"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As was mentioned earlier, value stocks have low prices relative to their earnings per share growth rates. However, Bauman and Miller (1997) provide evidence that the difference in performance between growth and value stocks may be due to large negative earnings surprises for growth stocks. These negative earnings surprises are due to high expectations about future growth prospects for growth stocks. Investors are disappointed more by lower EPS growth rates and lower returns because their expectations and extrapolations were too high to begin with. La Porta (1996) and Levis and Liodakis (2001) support this argument, suggesting that stock prices have included in them naive investors’ forecasts of long-term growth. Following extreme optimism or pessimism for low or high BTM stocks, there will be a period of realization where the actual future EPS values are not what was expected, thus creating negative earnings surprises for growth stocks and positive earnings surprises for </w:t>
      </w:r>
      <w:r w:rsidRPr="001E52F7">
        <w:rPr>
          <w:rFonts w:ascii="Times New Roman" w:hAnsi="Times New Roman" w:cs="Times New Roman"/>
          <w:sz w:val="24"/>
          <w:szCs w:val="24"/>
        </w:rPr>
        <w:lastRenderedPageBreak/>
        <w:t xml:space="preserve">value stocks. Of course the negative and positive surprises resulting in the reversal are not symmetrical across low and high E/P stocks. </w:t>
      </w:r>
    </w:p>
    <w:p w:rsidR="001A673C" w:rsidRDefault="001A673C"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Dreman and Berry (1995) find that growth stocks are not affected as much by positive surprises as value stocks are. The converse is also evident. Investigation into extrapolation will be tested in this dissertation; focusing on whether the market is indeed extrapolating past performance and overreacting to past growth figures. Dreman and Berry (1995) posit that, even though investors may be naive, it is still very difficult to make informed, correct decisions in an economy rife with risk and uncertainty. They believe that, because of this, extrapolation is much more complex than originally thought. There are so many behavioural reasons as to why investors do what they do that it is not so easy to simply say investors have extrapolated past performance too far into the future, Dreman and Berry (1995). An investor’s opinion may be reinforced by money managers, or the investor may simply be overconfident in his stock-picking skills. Either way, Dreman and Berry (1995) state that there is no simple answer to the question of why investors behave like they do. EPS growth rates in the study performed by Levis and Liodakis (2001) indicate that in the 5 years prior to portfolio formation the value portfolios consisting of low growth stocks have lower growth than the growth portfolios consisting of high growth stocks. Post formation, Levis and Liodakis (2001) </w:t>
      </w:r>
      <w:r>
        <w:rPr>
          <w:rFonts w:ascii="Times New Roman" w:hAnsi="Times New Roman" w:cs="Times New Roman"/>
          <w:sz w:val="24"/>
          <w:szCs w:val="24"/>
        </w:rPr>
        <w:t>note</w:t>
      </w:r>
      <w:r w:rsidRPr="001E52F7">
        <w:rPr>
          <w:rFonts w:ascii="Times New Roman" w:hAnsi="Times New Roman" w:cs="Times New Roman"/>
          <w:sz w:val="24"/>
          <w:szCs w:val="24"/>
        </w:rPr>
        <w:t xml:space="preserve"> that the value portfolios have higher future growth than the growth portfolios. </w:t>
      </w:r>
      <w:r>
        <w:rPr>
          <w:rFonts w:ascii="Times New Roman" w:hAnsi="Times New Roman" w:cs="Times New Roman"/>
          <w:sz w:val="24"/>
          <w:szCs w:val="24"/>
        </w:rPr>
        <w:t>However, w</w:t>
      </w:r>
      <w:r w:rsidRPr="001E52F7">
        <w:rPr>
          <w:rFonts w:ascii="Times New Roman" w:hAnsi="Times New Roman" w:cs="Times New Roman"/>
          <w:sz w:val="24"/>
          <w:szCs w:val="24"/>
        </w:rPr>
        <w:t xml:space="preserve">hile the high E/P portfolios minus low E/P portfolio shows a positive return differential for all 5 years post formation, none of the results are statistically significant.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Pr>
          <w:rFonts w:ascii="Times New Roman" w:hAnsi="Times New Roman" w:cs="Times New Roman"/>
          <w:sz w:val="24"/>
          <w:szCs w:val="24"/>
        </w:rPr>
        <w:t>Moving on</w:t>
      </w:r>
      <w:r w:rsidR="00727EF0">
        <w:rPr>
          <w:rFonts w:ascii="Times New Roman" w:hAnsi="Times New Roman" w:cs="Times New Roman"/>
          <w:sz w:val="24"/>
          <w:szCs w:val="24"/>
        </w:rPr>
        <w:t xml:space="preserve"> </w:t>
      </w:r>
      <w:r>
        <w:rPr>
          <w:rFonts w:ascii="Times New Roman" w:hAnsi="Times New Roman" w:cs="Times New Roman"/>
          <w:sz w:val="24"/>
          <w:szCs w:val="24"/>
        </w:rPr>
        <w:t>to the next con</w:t>
      </w:r>
      <w:r w:rsidR="00FA09C6">
        <w:rPr>
          <w:rFonts w:ascii="Times New Roman" w:hAnsi="Times New Roman" w:cs="Times New Roman"/>
          <w:sz w:val="24"/>
          <w:szCs w:val="24"/>
        </w:rPr>
        <w:t>c</w:t>
      </w:r>
      <w:r>
        <w:rPr>
          <w:rFonts w:ascii="Times New Roman" w:hAnsi="Times New Roman" w:cs="Times New Roman"/>
          <w:sz w:val="24"/>
          <w:szCs w:val="24"/>
        </w:rPr>
        <w:t>ept,</w:t>
      </w:r>
      <w:r w:rsidRPr="001E52F7">
        <w:rPr>
          <w:rFonts w:ascii="Times New Roman" w:hAnsi="Times New Roman" w:cs="Times New Roman"/>
          <w:sz w:val="24"/>
          <w:szCs w:val="24"/>
        </w:rPr>
        <w:t xml:space="preserve"> earnings announcements, La Porta, Lakonishok, Shleifer, and Vishny (1997), henceforth, La Porta </w:t>
      </w:r>
      <w:r>
        <w:rPr>
          <w:rFonts w:ascii="Times New Roman" w:hAnsi="Times New Roman" w:cs="Times New Roman"/>
          <w:i/>
          <w:sz w:val="24"/>
          <w:szCs w:val="24"/>
        </w:rPr>
        <w:t>et al.</w:t>
      </w:r>
      <w:r w:rsidRPr="001E52F7">
        <w:rPr>
          <w:rFonts w:ascii="Times New Roman" w:hAnsi="Times New Roman" w:cs="Times New Roman"/>
          <w:sz w:val="24"/>
          <w:szCs w:val="24"/>
        </w:rPr>
        <w:t xml:space="preserve"> (1997) take the daily return for each share and regress it on the market return. They run separate regressions for growth and value portfolios, finding that the dummy variable (the event day period) is 16% per year for the growth stocks, as sorted by the BTM ratio. This indicates that the returns for growth stocks on the announcement day (event day) are much lower than on non-announcement days. The authors deduce that this is a result of negative surprises for earnings of growth stocks. The expected growth of earnings for growth stocks did not meet investors’ hopes, thus they were disappointed and returns were lower. The regression results for the value stocks were the </w:t>
      </w:r>
      <w:r w:rsidRPr="001E52F7">
        <w:rPr>
          <w:rFonts w:ascii="Times New Roman" w:hAnsi="Times New Roman" w:cs="Times New Roman"/>
          <w:sz w:val="24"/>
          <w:szCs w:val="24"/>
        </w:rPr>
        <w:lastRenderedPageBreak/>
        <w:t xml:space="preserve">complete opposite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being interpreted as a result of a risk premium earned on an event day, or there must be the effect of a positive earnings surprise on the announcement day.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 high cash flow-to-price ratio indicates to the investor that the firm is expected to have low future growth in cash flows, while a low C/P ratio indicates the firm is expected to have high future cash flow growth. Contrarian investors will be attracted to the shares that exhibit high C/P ratios because naive investors will buy the shares with high projected growth. The most appealing feature of valuation ratios such as the C/P, E/P and BTM is that they are readily available to the average investor. There are not many costs involved in obtaining these measures.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While Chan (1988) proposes value stock betas increase after a period of severe loss, and growth stock betas decrease after a prosperous period, hence alluding to the positive relationship between CAPM beta and the riskiness of the stock; other studies (Basu, 1977; Dreman and Berry, 1995; and Fama and French, 1998) argue that a positive relationship between stock returns and the P/E ratio exists, as well as a negative covariance between firm size and stock return. Through the use of financial ratios, one is able to unwind naïve errors made by investors in the past (Lakonishok, Shleifer, and Vishny, 1994).</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Using Gordon’s Formula from Gordon and Shapiro (1956), Lakonishok, Shleifer, and Vishny (1994) use the fundamental-to-price ratios C/P and E/P to proxy for expected growth rates.</w:t>
      </w:r>
      <w:r>
        <w:rPr>
          <w:rFonts w:ascii="Times New Roman" w:hAnsi="Times New Roman" w:cs="Times New Roman"/>
          <w:sz w:val="24"/>
          <w:szCs w:val="24"/>
        </w:rPr>
        <w:t xml:space="preserve"> </w:t>
      </w:r>
      <w:r w:rsidRPr="001E52F7">
        <w:rPr>
          <w:rFonts w:ascii="Times New Roman" w:hAnsi="Times New Roman" w:cs="Times New Roman"/>
          <w:sz w:val="24"/>
          <w:szCs w:val="24"/>
        </w:rPr>
        <w:t xml:space="preserve">In their results for the ten portfolios sorted on the C/P ratio, Lakonishok, Shleifer, and Vishny (1994) find the extreme value portfolio has an annual average return of 20.1%, while the extreme growth portfolio has an annual average return of 9.1%. This difference of 11% is larger than the difference found between the extreme portfolios sorted on the BTM ratio, Lakonishok, Shleifer, and Vishny (1994). When examining the size adjusted returns, the results are rather similar to the BTM portfolios. The first-decile C/P portfolio has a negative size adjusted return of -4.9%. The tenth-decile C/P portfolio has a positive size adjusted return of 3.9%. this difference of 8.8% confirms the theory that portfolios sorted on ratios such as the C/P ratio that proxy for the market’s expectations of future growth prospects will </w:t>
      </w:r>
      <w:r w:rsidRPr="001E52F7">
        <w:rPr>
          <w:rFonts w:ascii="Times New Roman" w:hAnsi="Times New Roman" w:cs="Times New Roman"/>
          <w:sz w:val="24"/>
          <w:szCs w:val="24"/>
        </w:rPr>
        <w:lastRenderedPageBreak/>
        <w:t xml:space="preserve">produce better value strategies than, say, sorting a portfolio based on the BTM ratio, Lakonishok, Shleifer, and Vishny (1994).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Growth in earnings should be somewhat consistent in a firm, because if it is not the firm will have to run off its general reserves (or retained earnings)</w:t>
      </w:r>
      <w:r>
        <w:rPr>
          <w:rFonts w:ascii="Times New Roman" w:hAnsi="Times New Roman" w:cs="Times New Roman"/>
          <w:sz w:val="24"/>
          <w:szCs w:val="24"/>
        </w:rPr>
        <w:t>, according to Chan, Karceski, and Lakonishok (2003).</w:t>
      </w:r>
      <w:r w:rsidRPr="001E52F7">
        <w:rPr>
          <w:rFonts w:ascii="Times New Roman" w:hAnsi="Times New Roman" w:cs="Times New Roman"/>
          <w:sz w:val="24"/>
          <w:szCs w:val="24"/>
        </w:rPr>
        <w:t xml:space="preserve"> Capaul, Rowley, and Sharpe (1993) describe how earnings growth should not be a determinant of superior value, unless the company has made superior investment choices and there is the high probability of abnormal returns. Firms that have extremely high growth rates are not able to sustain them for an extended period. Firms may be subject to economic cycles – in good times their earnings growth rates may be high, but in down markets consumers may cut their spending, which, in turn cuts firm’s earnings growth.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The market’s future expectations of earnings seem to lie in the non-randomness of earnings growth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That is, the market believes earnings growth is predictable and earnings growth does not follow a random walk. To test this,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examine what the earnings surprises are five years after portfolio formation – are they positive for value stocks and negative for growth stocks? The authors are testing the expectational errors hypothesis, determining the market’s reaction to any earnings announcements.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Studying data from the NYSE, AMEX, and the NASDAQ over a period of 22 years,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find that event returns are much larger for value portfolios than growth ones. This result is obtained sorting the portfolios into value and growth based on the BTM ratio. Similar results are obtained using the two-way sort of C/P and past sales growth (GS). Although there is a difference in returns between the value and growth portfolios, the authors note that the differences diminish after a very short time, quicker than in that of Lakonishok, Shleifer, and Vishny (1994).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attribute this finding to the inclusion of NASDAQ stocks in their (more recent) study. The next step i</w:t>
      </w:r>
      <w:r>
        <w:rPr>
          <w:rFonts w:ascii="Times New Roman" w:hAnsi="Times New Roman" w:cs="Times New Roman"/>
          <w:sz w:val="24"/>
          <w:szCs w:val="24"/>
        </w:rPr>
        <w:t>s to determine whether La Porta</w:t>
      </w:r>
      <w:r w:rsidRPr="001E52F7">
        <w:rPr>
          <w:rFonts w:ascii="Times New Roman" w:hAnsi="Times New Roman" w:cs="Times New Roman"/>
          <w:sz w:val="24"/>
          <w:szCs w:val="24"/>
        </w:rPr>
        <w:t xml:space="preserve">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results are consistent with the larger firms on the NYSE. The authors use market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as a determinant of the largest firms, and use the median to separate them from the smallest firms. There is a great deal of interest in larger stocks because they are more popular with the general investor population. Investment companies are more likely to invest </w:t>
      </w:r>
      <w:r w:rsidRPr="001E52F7">
        <w:rPr>
          <w:rFonts w:ascii="Times New Roman" w:hAnsi="Times New Roman" w:cs="Times New Roman"/>
          <w:sz w:val="24"/>
          <w:szCs w:val="24"/>
        </w:rPr>
        <w:lastRenderedPageBreak/>
        <w:t xml:space="preserve">in </w:t>
      </w:r>
      <w:r>
        <w:rPr>
          <w:rFonts w:ascii="Times New Roman" w:hAnsi="Times New Roman" w:cs="Times New Roman"/>
          <w:sz w:val="24"/>
          <w:szCs w:val="24"/>
        </w:rPr>
        <w:t>these</w:t>
      </w:r>
      <w:r w:rsidRPr="001E52F7">
        <w:rPr>
          <w:rFonts w:ascii="Times New Roman" w:hAnsi="Times New Roman" w:cs="Times New Roman"/>
          <w:sz w:val="24"/>
          <w:szCs w:val="24"/>
        </w:rPr>
        <w:t xml:space="preserve"> stocks as they are easier to justify to clients. Individual investors tend to follow institutional investors quite closely as they believe them to be making money (or to know something the individual investor does not).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If the largest stocks on the market are indeed more closely followed by investors in the market then they should not be subject to mispricing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xml:space="preserve"> 1997). The authors find that this is indeed the case, with larger stocks having a smaller return differential between the growth and value portfolios. The value and growth portfolios are sorted on the BTM ratio, but this time the stocks used are only the largest ones</w:t>
      </w:r>
      <w:r>
        <w:rPr>
          <w:rFonts w:ascii="Times New Roman" w:hAnsi="Times New Roman" w:cs="Times New Roman"/>
          <w:sz w:val="24"/>
          <w:szCs w:val="24"/>
        </w:rPr>
        <w:t>.</w:t>
      </w:r>
      <w:r w:rsidRPr="001E52F7">
        <w:rPr>
          <w:rFonts w:ascii="Times New Roman" w:hAnsi="Times New Roman" w:cs="Times New Roman"/>
          <w:sz w:val="24"/>
          <w:szCs w:val="24"/>
        </w:rPr>
        <w:t xml:space="preserve"> The two way sort is based on the cash flow-to-market price (C/P) and the five year average growth rate of sales.  </w:t>
      </w:r>
    </w:p>
    <w:p w:rsidR="00F60149" w:rsidRPr="001E52F7" w:rsidRDefault="00F60149" w:rsidP="00F60149">
      <w:pPr>
        <w:spacing w:line="360" w:lineRule="auto"/>
        <w:jc w:val="both"/>
        <w:rPr>
          <w:rFonts w:ascii="Times New Roman" w:hAnsi="Times New Roman" w:cs="Times New Roman"/>
          <w:sz w:val="24"/>
          <w:szCs w:val="24"/>
        </w:rPr>
      </w:pPr>
    </w:p>
    <w:p w:rsidR="00F60149"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Interpretation of the above findings is somewhat mixed. The fact that larger stocks on the NYSE do not have large mispricing errors suggests that stock pricing is generally efficient, while there is the intimation that the following of larger firms leads to large information collection, as well as interpretation of this information news, data, announcements etc. (La Porta </w:t>
      </w:r>
      <w:r w:rsidRPr="00962075">
        <w:rPr>
          <w:rFonts w:ascii="Times New Roman" w:hAnsi="Times New Roman" w:cs="Times New Roman"/>
          <w:i/>
          <w:sz w:val="24"/>
          <w:szCs w:val="24"/>
        </w:rPr>
        <w:t>et al.</w:t>
      </w:r>
      <w:r w:rsidRPr="001E52F7">
        <w:rPr>
          <w:rFonts w:ascii="Times New Roman" w:hAnsi="Times New Roman" w:cs="Times New Roman"/>
          <w:sz w:val="24"/>
          <w:szCs w:val="24"/>
        </w:rPr>
        <w:t>, 1997).  With all these considered, one would expect the stock price of a larger stock on the NYSE (or any market for that matter) to fully reflect all available information</w:t>
      </w:r>
      <w:r>
        <w:rPr>
          <w:rFonts w:ascii="Times New Roman" w:hAnsi="Times New Roman" w:cs="Times New Roman"/>
          <w:sz w:val="24"/>
          <w:szCs w:val="24"/>
        </w:rPr>
        <w:t>.</w:t>
      </w:r>
    </w:p>
    <w:p w:rsidR="00D96235" w:rsidRPr="001E52F7" w:rsidRDefault="00D96235"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The past growth in sales figure is used by Lakonishok, Shleifer, and Vishny (1994) as an indicator of past growth. The authors argue that this variable is less volatile than cash flow, which in turn, is less volatile than earnings. For the ten portfolios sorted on past growth, the average annual returns for the first-decile portfolio are 19.5%. In this case, the first-decile portfolio denotes the extreme value portfolio, while the tenth-decile portfolio denotes the extreme growth portfolio. The latter portfolio has an annual average return of 12.7%. The difference of 6.8% confirms the contrarian theory.</w:t>
      </w:r>
      <w:r>
        <w:rPr>
          <w:rFonts w:ascii="Times New Roman" w:hAnsi="Times New Roman" w:cs="Times New Roman"/>
          <w:sz w:val="24"/>
          <w:szCs w:val="24"/>
        </w:rPr>
        <w:t xml:space="preserve"> While it is acknowledged that risk may play a part in the return differential of 6.8%,</w:t>
      </w:r>
      <w:r w:rsidRPr="001E52F7">
        <w:rPr>
          <w:rFonts w:ascii="Times New Roman" w:hAnsi="Times New Roman" w:cs="Times New Roman"/>
          <w:sz w:val="24"/>
          <w:szCs w:val="24"/>
        </w:rPr>
        <w:t xml:space="preserve"> Lakonishok, Shleifer, and Vishny (1994) adjust</w:t>
      </w:r>
      <w:r>
        <w:rPr>
          <w:rFonts w:ascii="Times New Roman" w:hAnsi="Times New Roman" w:cs="Times New Roman"/>
          <w:sz w:val="24"/>
          <w:szCs w:val="24"/>
        </w:rPr>
        <w:t xml:space="preserve"> the returns</w:t>
      </w:r>
      <w:r w:rsidRPr="001E52F7">
        <w:rPr>
          <w:rFonts w:ascii="Times New Roman" w:hAnsi="Times New Roman" w:cs="Times New Roman"/>
          <w:sz w:val="24"/>
          <w:szCs w:val="24"/>
        </w:rPr>
        <w:t xml:space="preserve"> for size and find the extreme value portfolio has an adjusted return of 2.2%, while the growth portfolio has a negative size adjusted return of -2.4%.</w:t>
      </w:r>
      <w:r>
        <w:rPr>
          <w:rFonts w:ascii="Times New Roman" w:hAnsi="Times New Roman" w:cs="Times New Roman"/>
          <w:sz w:val="24"/>
          <w:szCs w:val="24"/>
        </w:rPr>
        <w:t xml:space="preserve"> This implies that, while size does play a part in the returns of portfolios sorted on past growth in sales, the value portfolio still outperforms the growth portfolio on a size-adjusted basis. </w:t>
      </w:r>
      <w:r w:rsidRPr="001E52F7">
        <w:rPr>
          <w:rFonts w:ascii="Times New Roman" w:hAnsi="Times New Roman" w:cs="Times New Roman"/>
          <w:sz w:val="24"/>
          <w:szCs w:val="24"/>
        </w:rPr>
        <w:t xml:space="preserve">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lastRenderedPageBreak/>
        <w:t>With the regular valuation model one is inclined to calculate the stock price as the present value of all expected future cash flows to shareholders. What the investor or analyst needs to take into account is the unexpected changes in price that are bound to occur (Fama and French, 1995). Furthermore, Fama and French (1995) propose investors cannot reasonably be expected to correctly</w:t>
      </w:r>
      <w:r>
        <w:rPr>
          <w:rFonts w:ascii="Times New Roman" w:hAnsi="Times New Roman" w:cs="Times New Roman"/>
          <w:sz w:val="24"/>
          <w:szCs w:val="24"/>
        </w:rPr>
        <w:t xml:space="preserve"> forecast</w:t>
      </w:r>
      <w:r w:rsidRPr="001E52F7">
        <w:rPr>
          <w:rFonts w:ascii="Times New Roman" w:hAnsi="Times New Roman" w:cs="Times New Roman"/>
          <w:sz w:val="24"/>
          <w:szCs w:val="24"/>
        </w:rPr>
        <w:t xml:space="preserve"> changes in the stock price. These unexpected price changes can come in the form of shocks that affect the cash flows and/or discount rates used in the valuation formula. New information coming into the market can be described as changes in management, an anticipated change</w:t>
      </w:r>
      <w:r>
        <w:rPr>
          <w:rFonts w:ascii="Times New Roman" w:hAnsi="Times New Roman" w:cs="Times New Roman"/>
          <w:sz w:val="24"/>
          <w:szCs w:val="24"/>
        </w:rPr>
        <w:t xml:space="preserve"> in</w:t>
      </w:r>
      <w:r w:rsidRPr="001E52F7">
        <w:rPr>
          <w:rFonts w:ascii="Times New Roman" w:hAnsi="Times New Roman" w:cs="Times New Roman"/>
          <w:sz w:val="24"/>
          <w:szCs w:val="24"/>
        </w:rPr>
        <w:t xml:space="preserve"> tariffs imposed on goods being exported or imported, new findings in the R&amp;D departments of firms, etc. As a proxy to explain how these shocks can affect cash flows and discount rates in valuing a stock’s price Fama and French (1995) use earnings before extraordinary items, after depreciation, taxes, interest, and preferred dividends (EI) divided by the book equity of the firm. They refer to this ratio as the earnings yield (EI/B). In this study, consideration will be given to the growth in sales figure as an appropriate proxy. </w:t>
      </w:r>
    </w:p>
    <w:p w:rsidR="00F60149" w:rsidRPr="001E52F7" w:rsidRDefault="00F60149" w:rsidP="00F60149">
      <w:pPr>
        <w:spacing w:line="360" w:lineRule="auto"/>
        <w:jc w:val="both"/>
        <w:rPr>
          <w:rFonts w:ascii="Times New Roman" w:hAnsi="Times New Roman" w:cs="Times New Roman"/>
          <w:sz w:val="24"/>
          <w:szCs w:val="24"/>
        </w:rPr>
      </w:pPr>
    </w:p>
    <w:p w:rsidR="00F60149" w:rsidRPr="001E52F7" w:rsidRDefault="00F60149" w:rsidP="00F60149">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The variable</w:t>
      </w:r>
      <w:r>
        <w:rPr>
          <w:rFonts w:ascii="Times New Roman" w:hAnsi="Times New Roman" w:cs="Times New Roman"/>
          <w:sz w:val="24"/>
          <w:szCs w:val="24"/>
        </w:rPr>
        <w:t>s</w:t>
      </w:r>
      <w:r w:rsidRPr="001E52F7">
        <w:rPr>
          <w:rFonts w:ascii="Times New Roman" w:hAnsi="Times New Roman" w:cs="Times New Roman"/>
          <w:sz w:val="24"/>
          <w:szCs w:val="24"/>
        </w:rPr>
        <w:t xml:space="preserve"> with price in the denominator should be correlated.</w:t>
      </w:r>
      <w:r>
        <w:rPr>
          <w:rFonts w:ascii="Times New Roman" w:hAnsi="Times New Roman" w:cs="Times New Roman"/>
          <w:sz w:val="24"/>
          <w:szCs w:val="24"/>
        </w:rPr>
        <w:t xml:space="preserve"> That is, Brouwer, van der Put, and Veld (1997) expect there to be correlations between the E/P, C/P, D/P and BTM ratios as all these variables have price in the denominator.</w:t>
      </w:r>
      <w:r w:rsidRPr="001E52F7">
        <w:rPr>
          <w:rFonts w:ascii="Times New Roman" w:hAnsi="Times New Roman" w:cs="Times New Roman"/>
          <w:sz w:val="24"/>
          <w:szCs w:val="24"/>
        </w:rPr>
        <w:t xml:space="preserve"> </w:t>
      </w:r>
      <w:r w:rsidRPr="001E52F7">
        <w:rPr>
          <w:rFonts w:ascii="Times New Roman" w:eastAsia="Times New Roman" w:hAnsi="Times New Roman" w:cs="Times New Roman"/>
          <w:sz w:val="24"/>
          <w:szCs w:val="24"/>
          <w:lang w:val="en-GB" w:eastAsia="en-GB"/>
        </w:rPr>
        <w:t xml:space="preserve">Brouwer, van der Put, and Veld (1997) test the correlation between E/P, C/P, D/P, BTM and the natural logarithm of market </w:t>
      </w:r>
      <w:r w:rsidR="00610C8D">
        <w:rPr>
          <w:rFonts w:ascii="Times New Roman" w:eastAsia="Times New Roman" w:hAnsi="Times New Roman" w:cs="Times New Roman"/>
          <w:sz w:val="24"/>
          <w:szCs w:val="24"/>
          <w:lang w:val="en-GB" w:eastAsia="en-GB"/>
        </w:rPr>
        <w:t>capitalisation</w:t>
      </w:r>
      <w:r w:rsidRPr="001E52F7">
        <w:rPr>
          <w:rFonts w:ascii="Times New Roman" w:eastAsia="Times New Roman" w:hAnsi="Times New Roman" w:cs="Times New Roman"/>
          <w:sz w:val="24"/>
          <w:szCs w:val="24"/>
          <w:lang w:val="en-GB" w:eastAsia="en-GB"/>
        </w:rPr>
        <w:t xml:space="preserve">. They find that the average correlation (over the 11 year sample period) is not as large as suspected. For this reason, Brouwer, van der Put, and Veld (1997) can use the variables in a multiple regression. The four variables with price in the denominator have correlations that range from 0.18 to 0.43. The natural logarithm of market </w:t>
      </w:r>
      <w:r w:rsidR="00610C8D">
        <w:rPr>
          <w:rFonts w:ascii="Times New Roman" w:eastAsia="Times New Roman" w:hAnsi="Times New Roman" w:cs="Times New Roman"/>
          <w:sz w:val="24"/>
          <w:szCs w:val="24"/>
          <w:lang w:val="en-GB" w:eastAsia="en-GB"/>
        </w:rPr>
        <w:t>capitalisation</w:t>
      </w:r>
      <w:r w:rsidRPr="001E52F7">
        <w:rPr>
          <w:rFonts w:ascii="Times New Roman" w:eastAsia="Times New Roman" w:hAnsi="Times New Roman" w:cs="Times New Roman"/>
          <w:sz w:val="24"/>
          <w:szCs w:val="24"/>
          <w:lang w:val="en-GB" w:eastAsia="en-GB"/>
        </w:rPr>
        <w:t xml:space="preserve"> is negatively correlated with all four fundamental-to-price variables. This negative relationship indicates that the smaller the size of the firm, the larger the fundamental-to-price ratio. </w:t>
      </w:r>
      <w:r>
        <w:rPr>
          <w:rFonts w:ascii="Times New Roman" w:eastAsia="Times New Roman" w:hAnsi="Times New Roman" w:cs="Times New Roman"/>
          <w:sz w:val="24"/>
          <w:szCs w:val="24"/>
          <w:lang w:val="en-GB" w:eastAsia="en-GB"/>
        </w:rPr>
        <w:t>Brouwer, van der Put, and Veld (1997) will be examined in more detail later on.</w:t>
      </w:r>
      <w:r w:rsidRPr="001E52F7">
        <w:rPr>
          <w:rFonts w:ascii="Times New Roman" w:eastAsia="Times New Roman" w:hAnsi="Times New Roman" w:cs="Times New Roman"/>
          <w:sz w:val="24"/>
          <w:szCs w:val="24"/>
          <w:lang w:val="en-GB" w:eastAsia="en-GB"/>
        </w:rPr>
        <w:t xml:space="preserve"> </w:t>
      </w:r>
    </w:p>
    <w:p w:rsidR="006B0A01" w:rsidRDefault="006B0A01" w:rsidP="001E52F7">
      <w:pPr>
        <w:spacing w:line="360" w:lineRule="auto"/>
        <w:jc w:val="both"/>
        <w:rPr>
          <w:rFonts w:ascii="Times New Roman" w:eastAsia="Times New Roman" w:hAnsi="Times New Roman" w:cs="Times New Roman"/>
          <w:sz w:val="24"/>
          <w:lang w:val="en-GB" w:eastAsia="en-GB"/>
        </w:rPr>
      </w:pPr>
    </w:p>
    <w:p w:rsidR="0076195B" w:rsidRDefault="0076195B" w:rsidP="001E52F7">
      <w:pPr>
        <w:spacing w:line="360" w:lineRule="auto"/>
        <w:jc w:val="both"/>
        <w:rPr>
          <w:rFonts w:ascii="Times New Roman" w:eastAsia="Times New Roman" w:hAnsi="Times New Roman" w:cs="Times New Roman"/>
          <w:sz w:val="24"/>
          <w:lang w:val="en-GB" w:eastAsia="en-GB"/>
        </w:rPr>
      </w:pPr>
      <w:r>
        <w:rPr>
          <w:rFonts w:ascii="Times New Roman" w:eastAsia="Times New Roman" w:hAnsi="Times New Roman" w:cs="Times New Roman"/>
          <w:sz w:val="24"/>
          <w:lang w:val="en-GB" w:eastAsia="en-GB"/>
        </w:rPr>
        <w:t>Each variable discussed appears to provide an explanation of the cross-section of stock returns. The question then becomes which variable is the best proxy for unobserved risk factors, and, which variable best explains the cross-section of returns</w:t>
      </w:r>
      <w:r w:rsidR="00B746C2">
        <w:rPr>
          <w:rFonts w:ascii="Times New Roman" w:eastAsia="Times New Roman" w:hAnsi="Times New Roman" w:cs="Times New Roman"/>
          <w:sz w:val="24"/>
          <w:lang w:val="en-GB" w:eastAsia="en-GB"/>
        </w:rPr>
        <w:t>.</w:t>
      </w:r>
      <w:r>
        <w:rPr>
          <w:rFonts w:ascii="Times New Roman" w:eastAsia="Times New Roman" w:hAnsi="Times New Roman" w:cs="Times New Roman"/>
          <w:sz w:val="24"/>
          <w:lang w:val="en-GB" w:eastAsia="en-GB"/>
        </w:rPr>
        <w:t xml:space="preserve"> The E/P ratio is a very popular and widely used measure, as is the BTM ratio. Cash flow-to-price is considered a </w:t>
      </w:r>
      <w:r>
        <w:rPr>
          <w:rFonts w:ascii="Times New Roman" w:eastAsia="Times New Roman" w:hAnsi="Times New Roman" w:cs="Times New Roman"/>
          <w:sz w:val="24"/>
          <w:lang w:val="en-GB" w:eastAsia="en-GB"/>
        </w:rPr>
        <w:lastRenderedPageBreak/>
        <w:t xml:space="preserve">more stable valuation measure (in comparison to the E/P ratio) considering earnings can be distorted by certain accounting measures. </w:t>
      </w:r>
    </w:p>
    <w:p w:rsidR="009B2BCB" w:rsidRDefault="009B2BCB" w:rsidP="001E52F7">
      <w:pPr>
        <w:spacing w:line="360" w:lineRule="auto"/>
        <w:jc w:val="both"/>
        <w:rPr>
          <w:rFonts w:ascii="Times New Roman" w:eastAsia="Times New Roman" w:hAnsi="Times New Roman" w:cs="Times New Roman"/>
          <w:sz w:val="24"/>
          <w:lang w:val="en-GB" w:eastAsia="en-GB"/>
        </w:rPr>
      </w:pPr>
    </w:p>
    <w:p w:rsidR="00F41A50" w:rsidRDefault="006B0A01" w:rsidP="00FF500C">
      <w:pPr>
        <w:pStyle w:val="ListParagraph"/>
        <w:numPr>
          <w:ilvl w:val="1"/>
          <w:numId w:val="18"/>
        </w:numPr>
        <w:spacing w:line="360" w:lineRule="auto"/>
        <w:jc w:val="both"/>
        <w:outlineLvl w:val="1"/>
        <w:rPr>
          <w:rFonts w:ascii="Times New Roman" w:hAnsi="Times New Roman" w:cs="Times New Roman"/>
          <w:b/>
          <w:sz w:val="32"/>
          <w:szCs w:val="36"/>
        </w:rPr>
      </w:pPr>
      <w:bookmarkStart w:id="42" w:name="_Toc304353044"/>
      <w:bookmarkStart w:id="43" w:name="_Toc305164189"/>
      <w:bookmarkStart w:id="44" w:name="_Toc305166515"/>
      <w:bookmarkEnd w:id="42"/>
      <w:bookmarkEnd w:id="43"/>
      <w:r>
        <w:rPr>
          <w:rFonts w:ascii="Times New Roman" w:hAnsi="Times New Roman" w:cs="Times New Roman"/>
          <w:b/>
          <w:sz w:val="32"/>
          <w:szCs w:val="36"/>
        </w:rPr>
        <w:t>Small firm effect</w:t>
      </w:r>
      <w:bookmarkEnd w:id="44"/>
    </w:p>
    <w:p w:rsidR="006B0A01" w:rsidRPr="001E52F7" w:rsidRDefault="006B0A01" w:rsidP="006B0A01">
      <w:pPr>
        <w:spacing w:line="360" w:lineRule="auto"/>
        <w:jc w:val="both"/>
        <w:rPr>
          <w:rFonts w:ascii="Times New Roman" w:hAnsi="Times New Roman" w:cs="Times New Roman"/>
          <w:sz w:val="24"/>
          <w:szCs w:val="24"/>
        </w:rPr>
      </w:pPr>
    </w:p>
    <w:p w:rsidR="006B0A01" w:rsidRPr="001E52F7"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It has been said that risk-averse investors looking to make an arbitrage profit can do so by investing in 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(small-cap) stocks and short-selling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(large-cap) stocks, Daniel, Hirshleifer, and Subrahmanyam (2001). This assumption is fair as it is well documented (specifically by Banz, 198</w:t>
      </w:r>
      <w:r>
        <w:rPr>
          <w:rFonts w:ascii="Times New Roman" w:hAnsi="Times New Roman" w:cs="Times New Roman"/>
          <w:sz w:val="24"/>
          <w:szCs w:val="24"/>
        </w:rPr>
        <w:t>0</w:t>
      </w:r>
      <w:r w:rsidRPr="001E52F7">
        <w:rPr>
          <w:rFonts w:ascii="Times New Roman" w:hAnsi="Times New Roman" w:cs="Times New Roman"/>
          <w:sz w:val="24"/>
          <w:szCs w:val="24"/>
        </w:rPr>
        <w:t>)</w:t>
      </w:r>
      <w:r w:rsidRPr="001E52F7">
        <w:rPr>
          <w:rFonts w:ascii="Times New Roman" w:hAnsi="Times New Roman" w:cs="Times New Roman"/>
          <w:color w:val="7030A0"/>
          <w:sz w:val="24"/>
          <w:szCs w:val="24"/>
        </w:rPr>
        <w:t xml:space="preserve"> </w:t>
      </w:r>
      <w:r w:rsidRPr="001E52F7">
        <w:rPr>
          <w:rFonts w:ascii="Times New Roman" w:hAnsi="Times New Roman" w:cs="Times New Roman"/>
          <w:sz w:val="24"/>
          <w:szCs w:val="24"/>
        </w:rPr>
        <w:t xml:space="preserve">that 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firms produce greater returns than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firms. This size effect still holds even if one adjusts for the higher risk associated with a small firm. Part of the abnormal return can be explained by the reduced liquidity experienced by the smaller firm. Schwert (1983) explains the size effect in terms of: </w:t>
      </w:r>
      <w:r>
        <w:rPr>
          <w:rFonts w:ascii="Times New Roman" w:hAnsi="Times New Roman" w:cs="Times New Roman"/>
          <w:sz w:val="24"/>
          <w:szCs w:val="24"/>
        </w:rPr>
        <w:t>some</w:t>
      </w:r>
      <w:r w:rsidRPr="001E52F7">
        <w:rPr>
          <w:rFonts w:ascii="Times New Roman" w:hAnsi="Times New Roman" w:cs="Times New Roman"/>
          <w:sz w:val="24"/>
          <w:szCs w:val="24"/>
        </w:rPr>
        <w:t xml:space="preserve"> capital asset pricing model</w:t>
      </w:r>
      <w:r>
        <w:rPr>
          <w:rFonts w:ascii="Times New Roman" w:hAnsi="Times New Roman" w:cs="Times New Roman"/>
          <w:sz w:val="24"/>
          <w:szCs w:val="24"/>
        </w:rPr>
        <w:t>s</w:t>
      </w:r>
      <w:r w:rsidRPr="001E52F7">
        <w:rPr>
          <w:rFonts w:ascii="Times New Roman" w:hAnsi="Times New Roman" w:cs="Times New Roman"/>
          <w:sz w:val="24"/>
          <w:szCs w:val="24"/>
        </w:rPr>
        <w:t xml:space="preserve"> cannot predict the returns that are realised by small firms, as they are higher than what could be predicted</w:t>
      </w:r>
      <w:r>
        <w:rPr>
          <w:rFonts w:ascii="Times New Roman" w:hAnsi="Times New Roman" w:cs="Times New Roman"/>
          <w:sz w:val="24"/>
          <w:szCs w:val="24"/>
        </w:rPr>
        <w:t xml:space="preserve"> by such pricing models</w:t>
      </w:r>
      <w:r w:rsidRPr="001E52F7">
        <w:rPr>
          <w:rFonts w:ascii="Times New Roman" w:hAnsi="Times New Roman" w:cs="Times New Roman"/>
          <w:sz w:val="24"/>
          <w:szCs w:val="24"/>
        </w:rPr>
        <w:t xml:space="preserve">. </w:t>
      </w:r>
    </w:p>
    <w:p w:rsidR="006B0A01" w:rsidRPr="001E52F7" w:rsidRDefault="006B0A01" w:rsidP="006B0A01">
      <w:pPr>
        <w:spacing w:line="360" w:lineRule="auto"/>
        <w:jc w:val="both"/>
        <w:rPr>
          <w:rFonts w:ascii="Times New Roman" w:hAnsi="Times New Roman" w:cs="Times New Roman"/>
          <w:sz w:val="24"/>
          <w:szCs w:val="24"/>
        </w:rPr>
      </w:pPr>
    </w:p>
    <w:p w:rsidR="006B0A01" w:rsidRPr="001E52F7"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form part of the value portfolio</w:t>
      </w:r>
      <w:r>
        <w:rPr>
          <w:rFonts w:ascii="Times New Roman" w:hAnsi="Times New Roman" w:cs="Times New Roman"/>
          <w:sz w:val="24"/>
          <w:szCs w:val="24"/>
        </w:rPr>
        <w:t xml:space="preserve"> in the study of Bauman and Miller (1997)</w:t>
      </w:r>
      <w:r w:rsidRPr="001E52F7">
        <w:rPr>
          <w:rFonts w:ascii="Times New Roman" w:hAnsi="Times New Roman" w:cs="Times New Roman"/>
          <w:sz w:val="24"/>
          <w:szCs w:val="24"/>
        </w:rPr>
        <w:t xml:space="preserve"> </w:t>
      </w:r>
      <w:r>
        <w:rPr>
          <w:rFonts w:ascii="Times New Roman" w:hAnsi="Times New Roman" w:cs="Times New Roman"/>
          <w:sz w:val="24"/>
          <w:szCs w:val="24"/>
        </w:rPr>
        <w:t>for</w:t>
      </w:r>
      <w:r w:rsidRPr="001E52F7">
        <w:rPr>
          <w:rFonts w:ascii="Times New Roman" w:hAnsi="Times New Roman" w:cs="Times New Roman"/>
          <w:sz w:val="24"/>
          <w:szCs w:val="24"/>
        </w:rPr>
        <w:t xml:space="preserve"> their value</w:t>
      </w:r>
      <w:r>
        <w:rPr>
          <w:rFonts w:ascii="Times New Roman" w:hAnsi="Times New Roman" w:cs="Times New Roman"/>
          <w:sz w:val="24"/>
          <w:szCs w:val="24"/>
        </w:rPr>
        <w:t>, amongst other reasons,</w:t>
      </w:r>
      <w:r w:rsidRPr="001E52F7">
        <w:rPr>
          <w:rFonts w:ascii="Times New Roman" w:hAnsi="Times New Roman" w:cs="Times New Roman"/>
          <w:sz w:val="24"/>
          <w:szCs w:val="24"/>
        </w:rPr>
        <w:t xml:space="preserve"> </w:t>
      </w:r>
      <w:r>
        <w:rPr>
          <w:rFonts w:ascii="Times New Roman" w:hAnsi="Times New Roman" w:cs="Times New Roman"/>
          <w:sz w:val="24"/>
          <w:szCs w:val="24"/>
        </w:rPr>
        <w:t xml:space="preserve">may be </w:t>
      </w:r>
      <w:r w:rsidRPr="001E52F7">
        <w:rPr>
          <w:rFonts w:ascii="Times New Roman" w:hAnsi="Times New Roman" w:cs="Times New Roman"/>
          <w:sz w:val="24"/>
          <w:szCs w:val="24"/>
        </w:rPr>
        <w:t xml:space="preserve">underestimated by investors and analysts. Bauman and Miller (1997) demonstrate in their paper the way in which small-cap stocks come to be undervalued. Small firms typically have very volatile past operating performance, so if one considers a financial ratio taken from the financial statements, they will probably find it to be less indicative of future performance. </w:t>
      </w:r>
      <w:r w:rsidR="00AD66F9">
        <w:rPr>
          <w:rFonts w:ascii="Times New Roman" w:hAnsi="Times New Roman" w:cs="Times New Roman"/>
          <w:sz w:val="24"/>
          <w:szCs w:val="24"/>
        </w:rPr>
        <w:t>A</w:t>
      </w:r>
      <w:r w:rsidRPr="001E52F7">
        <w:rPr>
          <w:rFonts w:ascii="Times New Roman" w:hAnsi="Times New Roman" w:cs="Times New Roman"/>
          <w:sz w:val="24"/>
          <w:szCs w:val="24"/>
        </w:rPr>
        <w:t xml:space="preserve"> naive investor will simply take the financial ratio and its implications at face value, while a contrarian investor will understand that a small firm stock has the ability to produce exceptional results.</w:t>
      </w:r>
      <w:r>
        <w:rPr>
          <w:rFonts w:ascii="Times New Roman" w:hAnsi="Times New Roman" w:cs="Times New Roman"/>
          <w:sz w:val="24"/>
          <w:szCs w:val="24"/>
        </w:rPr>
        <w:t xml:space="preserve"> It is noted, however, that small firm stocks are riskier, thus there is a greater chance of failure among these stocks. The increased riskiness of a small firm’s stock is reason for a higher discount rate. </w:t>
      </w:r>
    </w:p>
    <w:p w:rsidR="006B0A01" w:rsidRPr="001E52F7" w:rsidRDefault="006B0A01" w:rsidP="006B0A01">
      <w:pPr>
        <w:spacing w:line="360" w:lineRule="auto"/>
        <w:jc w:val="both"/>
        <w:rPr>
          <w:rFonts w:ascii="Times New Roman" w:hAnsi="Times New Roman" w:cs="Times New Roman"/>
          <w:sz w:val="24"/>
          <w:szCs w:val="24"/>
        </w:rPr>
      </w:pPr>
    </w:p>
    <w:p w:rsidR="006B0A01" w:rsidRPr="001E52F7"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Assuming that asset pricing is rational, Fama and French (1992) argue that stock risks are multi-faceted and BTM and firm size proxy for all these risks.  Value stocks – stocks that are </w:t>
      </w:r>
      <w:r w:rsidRPr="001E52F7">
        <w:rPr>
          <w:rFonts w:ascii="Times New Roman" w:hAnsi="Times New Roman" w:cs="Times New Roman"/>
          <w:sz w:val="24"/>
          <w:szCs w:val="24"/>
        </w:rPr>
        <w:lastRenderedPageBreak/>
        <w:t xml:space="preserve">considered to have poor past performance and poor future performance – are then 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and stocks with high BTM ratios. These stocks are considered riskier than growth stocks by the market. These riskier firms further get penalized with a higher cost of capital. This makes sense, as small-cap firms usually have a higher cost of capital than that of large-cap stocks. An investor who </w:t>
      </w:r>
      <w:r w:rsidR="00610C8D">
        <w:rPr>
          <w:rFonts w:ascii="Times New Roman" w:hAnsi="Times New Roman" w:cs="Times New Roman"/>
          <w:sz w:val="24"/>
          <w:szCs w:val="24"/>
        </w:rPr>
        <w:t>realise</w:t>
      </w:r>
      <w:r w:rsidRPr="001E52F7">
        <w:rPr>
          <w:rFonts w:ascii="Times New Roman" w:hAnsi="Times New Roman" w:cs="Times New Roman"/>
          <w:sz w:val="24"/>
          <w:szCs w:val="24"/>
        </w:rPr>
        <w:t xml:space="preserve">s this attribute, and invests in it, will earn superior returns (Chin, Prevost, and Gottesman, 2002). Small firm stocks may have higher BTM ratios than large firms because of the economy those firms are situated in. There may be exceptional growth potential underlying the economy. Chen and Zhang (1998) suggest that Malaysia, Thailand, and Taiwan are such economies. </w:t>
      </w:r>
      <w:r>
        <w:rPr>
          <w:rFonts w:ascii="Times New Roman" w:hAnsi="Times New Roman" w:cs="Times New Roman"/>
          <w:sz w:val="24"/>
          <w:szCs w:val="24"/>
        </w:rPr>
        <w:t>These economies appear to have small firms with relatively large market values, compared to their book values</w:t>
      </w:r>
      <w:r w:rsidRPr="001E52F7">
        <w:rPr>
          <w:rFonts w:ascii="Times New Roman" w:hAnsi="Times New Roman" w:cs="Times New Roman"/>
          <w:sz w:val="24"/>
          <w:szCs w:val="24"/>
        </w:rPr>
        <w:t xml:space="preserve"> In order for this argument to be valid, a market with a high return must have value stocks listed that have small returns. The authors find such consistency in their calculations – while the US has a higher return</w:t>
      </w:r>
      <w:r>
        <w:rPr>
          <w:rFonts w:ascii="Times New Roman" w:hAnsi="Times New Roman" w:cs="Times New Roman"/>
          <w:sz w:val="24"/>
          <w:szCs w:val="24"/>
        </w:rPr>
        <w:t xml:space="preserve"> for value stocks</w:t>
      </w:r>
      <w:r w:rsidRPr="001E52F7">
        <w:rPr>
          <w:rFonts w:ascii="Times New Roman" w:hAnsi="Times New Roman" w:cs="Times New Roman"/>
          <w:sz w:val="24"/>
          <w:szCs w:val="24"/>
        </w:rPr>
        <w:t xml:space="preserve">, </w:t>
      </w:r>
      <w:r>
        <w:rPr>
          <w:rFonts w:ascii="Times New Roman" w:hAnsi="Times New Roman" w:cs="Times New Roman"/>
          <w:sz w:val="24"/>
          <w:szCs w:val="24"/>
        </w:rPr>
        <w:t xml:space="preserve">the value stocks listed in </w:t>
      </w:r>
      <w:r w:rsidRPr="001E52F7">
        <w:rPr>
          <w:rFonts w:ascii="Times New Roman" w:hAnsi="Times New Roman" w:cs="Times New Roman"/>
          <w:sz w:val="24"/>
          <w:szCs w:val="24"/>
        </w:rPr>
        <w:t>Thailand and Taiwan have much lower returns.</w:t>
      </w:r>
    </w:p>
    <w:p w:rsidR="006B0A01" w:rsidRPr="001E52F7" w:rsidRDefault="006B0A01" w:rsidP="006B0A01">
      <w:pPr>
        <w:spacing w:line="360" w:lineRule="auto"/>
        <w:jc w:val="both"/>
        <w:rPr>
          <w:rFonts w:ascii="Times New Roman" w:hAnsi="Times New Roman" w:cs="Times New Roman"/>
          <w:sz w:val="24"/>
          <w:szCs w:val="24"/>
        </w:rPr>
      </w:pPr>
    </w:p>
    <w:p w:rsidR="006B0A01" w:rsidRPr="001E52F7" w:rsidRDefault="006B0A01" w:rsidP="006B0A01">
      <w:pPr>
        <w:spacing w:line="360" w:lineRule="auto"/>
        <w:jc w:val="both"/>
        <w:rPr>
          <w:rFonts w:ascii="Times New Roman" w:hAnsi="Times New Roman" w:cs="Times New Roman"/>
          <w:color w:val="7030A0"/>
          <w:sz w:val="24"/>
          <w:szCs w:val="24"/>
        </w:rPr>
      </w:pPr>
      <w:r w:rsidRPr="001E52F7">
        <w:rPr>
          <w:rFonts w:ascii="Times New Roman" w:hAnsi="Times New Roman" w:cs="Times New Roman"/>
          <w:sz w:val="24"/>
          <w:szCs w:val="24"/>
        </w:rPr>
        <w:t xml:space="preserve">While the average investor is able to invest in most stocks – be it small or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 many portfolio managers are restricted to invest in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because they are considered more liquid (Chan and Lakonishok, 2004). The reason behind managers investing in specific stocks is discussed in the Fundamental Concepts chapter </w:t>
      </w:r>
      <w:r>
        <w:rPr>
          <w:rFonts w:ascii="Times New Roman" w:hAnsi="Times New Roman" w:cs="Times New Roman"/>
          <w:sz w:val="24"/>
          <w:szCs w:val="24"/>
        </w:rPr>
        <w:t>(pg. 49)</w:t>
      </w:r>
      <w:r w:rsidRPr="001E52F7">
        <w:rPr>
          <w:rFonts w:ascii="Times New Roman" w:hAnsi="Times New Roman" w:cs="Times New Roman"/>
          <w:color w:val="FF0000"/>
          <w:sz w:val="24"/>
          <w:szCs w:val="24"/>
        </w:rPr>
        <w:t xml:space="preserve"> </w:t>
      </w:r>
      <w:r w:rsidRPr="001E52F7">
        <w:rPr>
          <w:rFonts w:ascii="Times New Roman" w:hAnsi="Times New Roman" w:cs="Times New Roman"/>
          <w:sz w:val="24"/>
          <w:szCs w:val="24"/>
        </w:rPr>
        <w:t xml:space="preserve">which deals with behavioural finance. Fama and French (1992) test, using cross-sectional regressions whether various variables help explain the expected stock returns. They find size, the E/P, D/P and BTM ratios perform this function. Unsurprisingly, and what should be noted in this paper, the ratios with price in them appear to produce very similar conclusions about expected returns. </w:t>
      </w:r>
    </w:p>
    <w:p w:rsidR="006B0A01" w:rsidRPr="001E52F7" w:rsidRDefault="006B0A01" w:rsidP="006B0A01">
      <w:pPr>
        <w:spacing w:line="360" w:lineRule="auto"/>
        <w:jc w:val="both"/>
        <w:rPr>
          <w:rFonts w:ascii="Times New Roman" w:hAnsi="Times New Roman" w:cs="Times New Roman"/>
          <w:color w:val="7030A0"/>
          <w:sz w:val="24"/>
          <w:szCs w:val="24"/>
        </w:rPr>
      </w:pPr>
    </w:p>
    <w:p w:rsidR="006B0A01" w:rsidRPr="001E52F7"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It could then be inferred that the 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part of the market is not followed as intensely as the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division, as the latter is more liquid and generally a less risky investment. With small-cap stocks the market for the shares is not as competitive as that of the large-cap stocks. This makes sense since smaller stocks are more prone to financial distress, are considered more risky and are generally less frequently traded than large-cap stocks. Chan and Lakonishok (2004) propose that the cost of arbitrage may be higher for small-cap stocks because they are not the main focus of investing for portfolio managers and </w:t>
      </w:r>
      <w:r w:rsidRPr="001E52F7">
        <w:rPr>
          <w:rFonts w:ascii="Times New Roman" w:hAnsi="Times New Roman" w:cs="Times New Roman"/>
          <w:sz w:val="24"/>
          <w:szCs w:val="24"/>
        </w:rPr>
        <w:lastRenderedPageBreak/>
        <w:t xml:space="preserve">investors. There may be mispricing in both small and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but it is larger with small-cap stocks, leading to the conclusion that more profitable opportunities reside in value strategies rather than in the larger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 strategies (growth portfolios)</w:t>
      </w:r>
      <w:r>
        <w:rPr>
          <w:rFonts w:ascii="Times New Roman" w:hAnsi="Times New Roman" w:cs="Times New Roman"/>
          <w:sz w:val="24"/>
          <w:szCs w:val="24"/>
        </w:rPr>
        <w:t xml:space="preserve">, </w:t>
      </w:r>
      <w:r w:rsidRPr="001E52F7">
        <w:rPr>
          <w:rFonts w:ascii="Times New Roman" w:hAnsi="Times New Roman" w:cs="Times New Roman"/>
          <w:sz w:val="24"/>
          <w:szCs w:val="24"/>
        </w:rPr>
        <w:t xml:space="preserve"> Dissanaike (2002). He finds the small firm portfolios have similar negative returns to value portfolios in the four years prior to portfolio formation, as do large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and growth portfolios with positive returns four years prior to portfolio formation. He suggests there is a potential link between size and the value and growth strategies. In his value portfolio, at formation date, most of the stocks are among the smallest firms in his sample, implying the larger-cap stocks are sitting in the growth portfolios. It</w:t>
      </w:r>
      <w:r w:rsidR="00D96235">
        <w:rPr>
          <w:rFonts w:ascii="Times New Roman" w:hAnsi="Times New Roman" w:cs="Times New Roman"/>
          <w:sz w:val="24"/>
          <w:szCs w:val="24"/>
        </w:rPr>
        <w:t xml:space="preserve"> i</w:t>
      </w:r>
      <w:r w:rsidRPr="001E52F7">
        <w:rPr>
          <w:rFonts w:ascii="Times New Roman" w:hAnsi="Times New Roman" w:cs="Times New Roman"/>
          <w:sz w:val="24"/>
          <w:szCs w:val="24"/>
        </w:rPr>
        <w:t>s expect</w:t>
      </w:r>
      <w:r w:rsidR="00F86B9B">
        <w:rPr>
          <w:rFonts w:ascii="Times New Roman" w:hAnsi="Times New Roman" w:cs="Times New Roman"/>
          <w:sz w:val="24"/>
          <w:szCs w:val="24"/>
        </w:rPr>
        <w:t xml:space="preserve">ed that </w:t>
      </w:r>
      <w:r w:rsidRPr="001E52F7">
        <w:rPr>
          <w:rFonts w:ascii="Times New Roman" w:hAnsi="Times New Roman" w:cs="Times New Roman"/>
          <w:sz w:val="24"/>
          <w:szCs w:val="24"/>
        </w:rPr>
        <w:t xml:space="preserve">small </w:t>
      </w:r>
      <w:r w:rsidR="00610C8D">
        <w:rPr>
          <w:rFonts w:ascii="Times New Roman" w:hAnsi="Times New Roman" w:cs="Times New Roman"/>
          <w:sz w:val="24"/>
          <w:szCs w:val="24"/>
        </w:rPr>
        <w:t>capitalisation</w:t>
      </w:r>
      <w:r w:rsidRPr="001E52F7">
        <w:rPr>
          <w:rFonts w:ascii="Times New Roman" w:hAnsi="Times New Roman" w:cs="Times New Roman"/>
          <w:sz w:val="24"/>
          <w:szCs w:val="24"/>
        </w:rPr>
        <w:t xml:space="preserve"> stocks </w:t>
      </w:r>
      <w:r w:rsidR="00F86B9B">
        <w:rPr>
          <w:rFonts w:ascii="Times New Roman" w:hAnsi="Times New Roman" w:cs="Times New Roman"/>
          <w:sz w:val="24"/>
          <w:szCs w:val="24"/>
        </w:rPr>
        <w:t xml:space="preserve">will form part of </w:t>
      </w:r>
      <w:r w:rsidRPr="001E52F7">
        <w:rPr>
          <w:rFonts w:ascii="Times New Roman" w:hAnsi="Times New Roman" w:cs="Times New Roman"/>
          <w:sz w:val="24"/>
          <w:szCs w:val="24"/>
        </w:rPr>
        <w:t>the value portfolios as they must have lost value.</w:t>
      </w:r>
      <w:r>
        <w:rPr>
          <w:rFonts w:ascii="Times New Roman" w:hAnsi="Times New Roman" w:cs="Times New Roman"/>
          <w:sz w:val="24"/>
          <w:szCs w:val="24"/>
        </w:rPr>
        <w:t xml:space="preserve"> Although this may be the case in certain instances, there is also the case of start-up firms that do not have large growth in earnings at the time. </w:t>
      </w:r>
    </w:p>
    <w:p w:rsidR="006B0A01" w:rsidRPr="001E52F7" w:rsidRDefault="006B0A01" w:rsidP="006B0A01">
      <w:pPr>
        <w:spacing w:line="360" w:lineRule="auto"/>
        <w:jc w:val="both"/>
        <w:rPr>
          <w:rFonts w:ascii="Times New Roman" w:hAnsi="Times New Roman" w:cs="Times New Roman"/>
          <w:sz w:val="24"/>
          <w:szCs w:val="24"/>
        </w:rPr>
      </w:pPr>
    </w:p>
    <w:p w:rsidR="006B0A01" w:rsidRPr="001E52F7"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Even though the size effect is found to be persistent in previous works (Daniel, Hirshleifer, and Subrahmanyam, 2001; Banz, 1980; and Chin, Prevost, and Gottesman, 2002),</w:t>
      </w:r>
      <w:r w:rsidR="00491855">
        <w:rPr>
          <w:rFonts w:ascii="Times New Roman" w:hAnsi="Times New Roman" w:cs="Times New Roman"/>
          <w:sz w:val="24"/>
          <w:szCs w:val="24"/>
        </w:rPr>
        <w:t xml:space="preserve"> Michailidis</w:t>
      </w:r>
      <w:r w:rsidR="00E930DD">
        <w:rPr>
          <w:rFonts w:ascii="Times New Roman" w:hAnsi="Times New Roman" w:cs="Times New Roman"/>
          <w:sz w:val="24"/>
          <w:szCs w:val="24"/>
        </w:rPr>
        <w:t>,</w:t>
      </w:r>
      <w:r w:rsidR="00491855">
        <w:rPr>
          <w:rFonts w:ascii="Times New Roman" w:hAnsi="Times New Roman" w:cs="Times New Roman"/>
          <w:sz w:val="24"/>
          <w:szCs w:val="24"/>
        </w:rPr>
        <w:t xml:space="preserve"> Tsopoglou</w:t>
      </w:r>
      <w:r w:rsidR="00E930DD">
        <w:rPr>
          <w:rFonts w:ascii="Times New Roman" w:hAnsi="Times New Roman" w:cs="Times New Roman"/>
          <w:sz w:val="24"/>
          <w:szCs w:val="24"/>
        </w:rPr>
        <w:t>, and Papanastasiou</w:t>
      </w:r>
      <w:r w:rsidR="00491855">
        <w:rPr>
          <w:rFonts w:ascii="Times New Roman" w:hAnsi="Times New Roman" w:cs="Times New Roman"/>
          <w:sz w:val="24"/>
          <w:szCs w:val="24"/>
        </w:rPr>
        <w:t xml:space="preserve"> (2007) find evidence to the contrary. Michailidis</w:t>
      </w:r>
      <w:r w:rsidR="00E930DD">
        <w:rPr>
          <w:rFonts w:ascii="Times New Roman" w:hAnsi="Times New Roman" w:cs="Times New Roman"/>
          <w:sz w:val="24"/>
          <w:szCs w:val="24"/>
        </w:rPr>
        <w:t>,</w:t>
      </w:r>
      <w:r w:rsidR="00491855">
        <w:rPr>
          <w:rFonts w:ascii="Times New Roman" w:hAnsi="Times New Roman" w:cs="Times New Roman"/>
          <w:sz w:val="24"/>
          <w:szCs w:val="24"/>
        </w:rPr>
        <w:t xml:space="preserve"> Tsopoglou</w:t>
      </w:r>
      <w:r w:rsidR="00E930DD">
        <w:rPr>
          <w:rFonts w:ascii="Times New Roman" w:hAnsi="Times New Roman" w:cs="Times New Roman"/>
          <w:sz w:val="24"/>
          <w:szCs w:val="24"/>
        </w:rPr>
        <w:t>, and Papanastasiou</w:t>
      </w:r>
      <w:r w:rsidR="00491855">
        <w:rPr>
          <w:rFonts w:ascii="Times New Roman" w:hAnsi="Times New Roman" w:cs="Times New Roman"/>
          <w:sz w:val="24"/>
          <w:szCs w:val="24"/>
        </w:rPr>
        <w:t xml:space="preserve"> (2007) create portfolios based on the size variable alone, using the method of splitting the size-sorted stocks into low, medium, and high deciles. The split is 30%-40%-30%. For this one-dimensional sort, portfolios are formed at the end of the year and average returns are calculated over this annual period. The average returns and betas for each of the portfolios created over the period 1997 to 2003 indicates that there is no significant size effect as there appears to be no relation between the size and returns of stocks listed on the Athens Stock Exchange. </w:t>
      </w:r>
      <w:r w:rsidRPr="001E52F7">
        <w:rPr>
          <w:rFonts w:ascii="Times New Roman" w:hAnsi="Times New Roman" w:cs="Times New Roman"/>
          <w:sz w:val="24"/>
          <w:szCs w:val="24"/>
        </w:rPr>
        <w:t xml:space="preserve">   </w:t>
      </w:r>
    </w:p>
    <w:p w:rsidR="006B0A01" w:rsidRPr="001E52F7" w:rsidRDefault="006B0A01" w:rsidP="006B0A01">
      <w:pPr>
        <w:spacing w:line="360" w:lineRule="auto"/>
        <w:jc w:val="both"/>
        <w:rPr>
          <w:rFonts w:ascii="Times New Roman" w:hAnsi="Times New Roman" w:cs="Times New Roman"/>
          <w:sz w:val="24"/>
          <w:szCs w:val="24"/>
        </w:rPr>
      </w:pPr>
    </w:p>
    <w:p w:rsidR="006B0A01" w:rsidRDefault="00BE0EE1" w:rsidP="006B0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Authors who find evidence of the size effect are </w:t>
      </w:r>
      <w:r w:rsidR="006B0A01" w:rsidRPr="001E52F7">
        <w:rPr>
          <w:rFonts w:ascii="Times New Roman" w:hAnsi="Times New Roman" w:cs="Times New Roman"/>
          <w:sz w:val="24"/>
          <w:szCs w:val="24"/>
        </w:rPr>
        <w:t>Strong and Xu (1997)</w:t>
      </w:r>
      <w:r>
        <w:rPr>
          <w:rFonts w:ascii="Times New Roman" w:hAnsi="Times New Roman" w:cs="Times New Roman"/>
          <w:sz w:val="24"/>
          <w:szCs w:val="24"/>
        </w:rPr>
        <w:t xml:space="preserve">. The </w:t>
      </w:r>
      <w:r w:rsidR="006B0A01" w:rsidRPr="001E52F7">
        <w:rPr>
          <w:rFonts w:ascii="Times New Roman" w:hAnsi="Times New Roman" w:cs="Times New Roman"/>
          <w:sz w:val="24"/>
          <w:szCs w:val="24"/>
        </w:rPr>
        <w:t>results</w:t>
      </w:r>
      <w:r>
        <w:rPr>
          <w:rFonts w:ascii="Times New Roman" w:hAnsi="Times New Roman" w:cs="Times New Roman"/>
          <w:sz w:val="24"/>
          <w:szCs w:val="24"/>
        </w:rPr>
        <w:t xml:space="preserve"> of their study</w:t>
      </w:r>
      <w:r w:rsidR="006B0A01" w:rsidRPr="001E52F7">
        <w:rPr>
          <w:rFonts w:ascii="Times New Roman" w:hAnsi="Times New Roman" w:cs="Times New Roman"/>
          <w:sz w:val="24"/>
          <w:szCs w:val="24"/>
        </w:rPr>
        <w:t xml:space="preserve"> show that there is a clear size premium. When portfolios are sorted on market </w:t>
      </w:r>
      <w:r w:rsidR="00610C8D">
        <w:rPr>
          <w:rFonts w:ascii="Times New Roman" w:hAnsi="Times New Roman" w:cs="Times New Roman"/>
          <w:sz w:val="24"/>
          <w:szCs w:val="24"/>
        </w:rPr>
        <w:t>capitalisation</w:t>
      </w:r>
      <w:r w:rsidR="006B0A01" w:rsidRPr="001E52F7">
        <w:rPr>
          <w:rFonts w:ascii="Times New Roman" w:hAnsi="Times New Roman" w:cs="Times New Roman"/>
          <w:sz w:val="24"/>
          <w:szCs w:val="24"/>
        </w:rPr>
        <w:t xml:space="preserve"> they find their smallest portfolio (in terms of deciles) produces a 17.61% average return premium over the other 9 portfolios. The one-way sorts on BTM, E/P, and market leverage provide interesting results. Strong and Xu (1997) observe a direct relationship between the BTM ratio and average returns. As one would expect, there is a positive correlation between the BTM ratio and leverage, as well as the BTM and the E/P ratio. They observe a positive relation between average returns and market leverage, while </w:t>
      </w:r>
      <w:r w:rsidR="006B0A01" w:rsidRPr="001E52F7">
        <w:rPr>
          <w:rFonts w:ascii="Times New Roman" w:hAnsi="Times New Roman" w:cs="Times New Roman"/>
          <w:sz w:val="24"/>
          <w:szCs w:val="24"/>
        </w:rPr>
        <w:lastRenderedPageBreak/>
        <w:t xml:space="preserve">they find a negative correlation with the E/P ratio and average returns. However, when the average of the weekly contrarian profits are considered in </w:t>
      </w:r>
      <w:bookmarkStart w:id="45" w:name="OLE_LINK4"/>
      <w:bookmarkStart w:id="46" w:name="OLE_LINK5"/>
      <w:r w:rsidR="006B0A01" w:rsidRPr="001E52F7">
        <w:rPr>
          <w:rFonts w:ascii="Times New Roman" w:hAnsi="Times New Roman" w:cs="Times New Roman"/>
          <w:sz w:val="24"/>
          <w:szCs w:val="24"/>
        </w:rPr>
        <w:t>Antoniou, Galariotis, and Spyrou (2006)</w:t>
      </w:r>
      <w:bookmarkEnd w:id="45"/>
      <w:bookmarkEnd w:id="46"/>
      <w:r w:rsidR="006B0A01" w:rsidRPr="001E52F7">
        <w:rPr>
          <w:rFonts w:ascii="Times New Roman" w:hAnsi="Times New Roman" w:cs="Times New Roman"/>
          <w:sz w:val="24"/>
          <w:szCs w:val="24"/>
        </w:rPr>
        <w:t xml:space="preserve"> paper, the smallest (in terms of size) portfolio has a return of 0.156, while the largest (in terms of size) portfolios has a return of 0.338. This implies the larger firms produce larger returns, contradictory to the size effect. </w:t>
      </w:r>
    </w:p>
    <w:p w:rsidR="0029409A" w:rsidRDefault="0029409A" w:rsidP="006B0A01">
      <w:pPr>
        <w:spacing w:line="360" w:lineRule="auto"/>
        <w:jc w:val="both"/>
        <w:rPr>
          <w:rFonts w:ascii="Times New Roman" w:hAnsi="Times New Roman" w:cs="Times New Roman"/>
          <w:sz w:val="24"/>
          <w:szCs w:val="24"/>
        </w:rPr>
      </w:pPr>
    </w:p>
    <w:p w:rsidR="0029409A" w:rsidRPr="001E52F7" w:rsidRDefault="0029409A"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Antoniou, Galariotis, and Spyrou (2006)</w:t>
      </w:r>
      <w:r>
        <w:rPr>
          <w:rFonts w:ascii="Times New Roman" w:hAnsi="Times New Roman" w:cs="Times New Roman"/>
          <w:sz w:val="24"/>
          <w:szCs w:val="24"/>
        </w:rPr>
        <w:t xml:space="preserve"> suggest this result may be due to market frictions and so examine the bid-to-bid prices and exclude firms that are traded less frequently. </w:t>
      </w:r>
      <w:r w:rsidRPr="001E52F7">
        <w:rPr>
          <w:rFonts w:ascii="Times New Roman" w:hAnsi="Times New Roman" w:cs="Times New Roman"/>
          <w:sz w:val="24"/>
          <w:szCs w:val="24"/>
        </w:rPr>
        <w:t>Antoniou, Galariotis, and Spyrou (2006)</w:t>
      </w:r>
      <w:r>
        <w:rPr>
          <w:rFonts w:ascii="Times New Roman" w:hAnsi="Times New Roman" w:cs="Times New Roman"/>
          <w:sz w:val="24"/>
          <w:szCs w:val="24"/>
        </w:rPr>
        <w:t xml:space="preserve"> find </w:t>
      </w:r>
      <w:r w:rsidR="00F41A50">
        <w:rPr>
          <w:rFonts w:ascii="Times New Roman" w:hAnsi="Times New Roman" w:cs="Times New Roman"/>
          <w:sz w:val="24"/>
          <w:szCs w:val="24"/>
        </w:rPr>
        <w:t>that</w:t>
      </w:r>
      <w:r>
        <w:rPr>
          <w:rFonts w:ascii="Times New Roman" w:hAnsi="Times New Roman" w:cs="Times New Roman"/>
          <w:sz w:val="24"/>
          <w:szCs w:val="24"/>
        </w:rPr>
        <w:t xml:space="preserve">, even though the profits </w:t>
      </w:r>
      <w:r w:rsidR="00F41A50">
        <w:rPr>
          <w:rFonts w:ascii="Times New Roman" w:hAnsi="Times New Roman" w:cs="Times New Roman"/>
          <w:sz w:val="24"/>
          <w:szCs w:val="24"/>
        </w:rPr>
        <w:t>d</w:t>
      </w:r>
      <w:r>
        <w:rPr>
          <w:rFonts w:ascii="Times New Roman" w:hAnsi="Times New Roman" w:cs="Times New Roman"/>
          <w:sz w:val="24"/>
          <w:szCs w:val="24"/>
        </w:rPr>
        <w:t xml:space="preserve">rop when bid-to-bid prices are considered, and when stocks that are infrequently traded are removed, it still does not resolve the contradictory evidence with respect to the size effect. Only when the authors take into account risk-adjusted returns does the size effect come into play. The authors note that an inverse relationship between size of stocks and returns exist when returns are adjusted for risk. </w:t>
      </w:r>
    </w:p>
    <w:p w:rsidR="006B0A01" w:rsidRPr="001E52F7" w:rsidRDefault="006B0A01" w:rsidP="006B0A01">
      <w:pPr>
        <w:spacing w:line="360" w:lineRule="auto"/>
        <w:jc w:val="both"/>
        <w:rPr>
          <w:rFonts w:ascii="Times New Roman" w:hAnsi="Times New Roman" w:cs="Times New Roman"/>
          <w:sz w:val="24"/>
          <w:szCs w:val="24"/>
        </w:rPr>
      </w:pPr>
    </w:p>
    <w:p w:rsidR="006B0A01" w:rsidRDefault="006B0A01" w:rsidP="006B0A01">
      <w:pPr>
        <w:spacing w:line="360" w:lineRule="auto"/>
        <w:jc w:val="both"/>
        <w:rPr>
          <w:rFonts w:ascii="Times New Roman" w:hAnsi="Times New Roman" w:cs="Times New Roman"/>
          <w:sz w:val="24"/>
          <w:szCs w:val="24"/>
        </w:rPr>
      </w:pPr>
      <w:r w:rsidRPr="001E52F7">
        <w:rPr>
          <w:rFonts w:ascii="Times New Roman" w:hAnsi="Times New Roman" w:cs="Times New Roman"/>
          <w:sz w:val="24"/>
          <w:szCs w:val="24"/>
        </w:rPr>
        <w:t xml:space="preserve">When stocks are traded infrequently (for example, stocks in New Zealand tend to be traded less often than stocks in Japan) there is the chance that the </w:t>
      </w:r>
      <w:r w:rsidR="00F41A50">
        <w:rPr>
          <w:rFonts w:ascii="Times New Roman" w:hAnsi="Times New Roman" w:cs="Times New Roman"/>
          <w:sz w:val="24"/>
          <w:szCs w:val="24"/>
        </w:rPr>
        <w:t xml:space="preserve">observed </w:t>
      </w:r>
      <w:r w:rsidRPr="001E52F7">
        <w:rPr>
          <w:rFonts w:ascii="Times New Roman" w:hAnsi="Times New Roman" w:cs="Times New Roman"/>
          <w:sz w:val="24"/>
          <w:szCs w:val="24"/>
        </w:rPr>
        <w:t xml:space="preserve">systematic risk of these small stocks will be lower than what they should be, Schwert (1983). Therefore, the </w:t>
      </w:r>
      <w:r w:rsidR="00F41A50">
        <w:rPr>
          <w:rFonts w:ascii="Times New Roman" w:hAnsi="Times New Roman" w:cs="Times New Roman"/>
          <w:sz w:val="24"/>
          <w:szCs w:val="24"/>
        </w:rPr>
        <w:t xml:space="preserve">expected </w:t>
      </w:r>
      <w:r w:rsidRPr="001E52F7">
        <w:rPr>
          <w:rFonts w:ascii="Times New Roman" w:hAnsi="Times New Roman" w:cs="Times New Roman"/>
          <w:sz w:val="24"/>
          <w:szCs w:val="24"/>
        </w:rPr>
        <w:t xml:space="preserve">return for that stock will be estimated as lower (because of its lower risk estimate) than what it will be. Schwert (1983) next considers the effect transaction costs have on small sized firms. He finds evidence that higher transaction costs induce investors to require a higher </w:t>
      </w:r>
      <w:r w:rsidR="00F41A50">
        <w:rPr>
          <w:rFonts w:ascii="Times New Roman" w:hAnsi="Times New Roman" w:cs="Times New Roman"/>
          <w:sz w:val="24"/>
          <w:szCs w:val="24"/>
        </w:rPr>
        <w:t xml:space="preserve">expected </w:t>
      </w:r>
      <w:r w:rsidRPr="001E52F7">
        <w:rPr>
          <w:rFonts w:ascii="Times New Roman" w:hAnsi="Times New Roman" w:cs="Times New Roman"/>
          <w:sz w:val="24"/>
          <w:szCs w:val="24"/>
        </w:rPr>
        <w:t xml:space="preserve">return; </w:t>
      </w:r>
      <w:r w:rsidR="00AD66F9">
        <w:rPr>
          <w:rFonts w:ascii="Times New Roman" w:hAnsi="Times New Roman" w:cs="Times New Roman"/>
          <w:sz w:val="24"/>
          <w:szCs w:val="24"/>
        </w:rPr>
        <w:t>implying</w:t>
      </w:r>
      <w:r w:rsidRPr="001E52F7">
        <w:rPr>
          <w:rFonts w:ascii="Times New Roman" w:hAnsi="Times New Roman" w:cs="Times New Roman"/>
          <w:sz w:val="24"/>
          <w:szCs w:val="24"/>
        </w:rPr>
        <w:t xml:space="preserve"> that smaller firms will have higher</w:t>
      </w:r>
      <w:r w:rsidR="00F41A50">
        <w:rPr>
          <w:rFonts w:ascii="Times New Roman" w:hAnsi="Times New Roman" w:cs="Times New Roman"/>
          <w:sz w:val="24"/>
          <w:szCs w:val="24"/>
        </w:rPr>
        <w:t xml:space="preserve"> expected</w:t>
      </w:r>
      <w:r w:rsidRPr="001E52F7">
        <w:rPr>
          <w:rFonts w:ascii="Times New Roman" w:hAnsi="Times New Roman" w:cs="Times New Roman"/>
          <w:sz w:val="24"/>
          <w:szCs w:val="24"/>
        </w:rPr>
        <w:t xml:space="preserve"> returns because smaller stocks have much higher transaction costs than larger firms. Schwert (1983) further points out small firms are not traded as often as larger firms, this making them more susceptible to higher trading costs. </w:t>
      </w:r>
    </w:p>
    <w:p w:rsidR="004F6021" w:rsidRDefault="004F6021" w:rsidP="006B0A01">
      <w:pPr>
        <w:spacing w:line="360" w:lineRule="auto"/>
        <w:jc w:val="both"/>
        <w:rPr>
          <w:rFonts w:ascii="Times New Roman" w:hAnsi="Times New Roman" w:cs="Times New Roman"/>
          <w:sz w:val="24"/>
          <w:szCs w:val="24"/>
        </w:rPr>
      </w:pPr>
    </w:p>
    <w:p w:rsidR="004F6021" w:rsidRPr="001E52F7" w:rsidRDefault="004F6021" w:rsidP="006B0A01">
      <w:pPr>
        <w:spacing w:line="360" w:lineRule="auto"/>
        <w:jc w:val="both"/>
        <w:rPr>
          <w:rFonts w:ascii="Times New Roman" w:hAnsi="Times New Roman" w:cs="Times New Roman"/>
          <w:sz w:val="24"/>
          <w:szCs w:val="24"/>
        </w:rPr>
      </w:pPr>
      <w:r>
        <w:rPr>
          <w:rFonts w:ascii="Times New Roman" w:hAnsi="Times New Roman" w:cs="Times New Roman"/>
          <w:sz w:val="24"/>
          <w:szCs w:val="24"/>
        </w:rPr>
        <w:t>While the size effect seems to have many advocates, it has several arguments for its existence. The risk attributed to a small firm bec</w:t>
      </w:r>
      <w:r w:rsidR="003635E3">
        <w:rPr>
          <w:rFonts w:ascii="Times New Roman" w:hAnsi="Times New Roman" w:cs="Times New Roman"/>
          <w:sz w:val="24"/>
          <w:szCs w:val="24"/>
        </w:rPr>
        <w:t xml:space="preserve">ause of its lower liquidity is said to contribute to its increased return. Another theory is that CAPM cannot predict the returns of a small firm and so underestimates its expected return. The value of small </w:t>
      </w:r>
      <w:r w:rsidR="00610C8D">
        <w:rPr>
          <w:rFonts w:ascii="Times New Roman" w:hAnsi="Times New Roman" w:cs="Times New Roman"/>
          <w:sz w:val="24"/>
          <w:szCs w:val="24"/>
        </w:rPr>
        <w:t>capitalisation</w:t>
      </w:r>
      <w:r w:rsidR="003635E3">
        <w:rPr>
          <w:rFonts w:ascii="Times New Roman" w:hAnsi="Times New Roman" w:cs="Times New Roman"/>
          <w:sz w:val="24"/>
          <w:szCs w:val="24"/>
        </w:rPr>
        <w:t xml:space="preserve"> stocks are underestimated by investors, much like value stocks’ value is underestimated. The </w:t>
      </w:r>
      <w:r w:rsidR="003635E3">
        <w:rPr>
          <w:rFonts w:ascii="Times New Roman" w:hAnsi="Times New Roman" w:cs="Times New Roman"/>
          <w:sz w:val="24"/>
          <w:szCs w:val="24"/>
        </w:rPr>
        <w:lastRenderedPageBreak/>
        <w:t xml:space="preserve">increased chance of failure of small market </w:t>
      </w:r>
      <w:r w:rsidR="00610C8D">
        <w:rPr>
          <w:rFonts w:ascii="Times New Roman" w:hAnsi="Times New Roman" w:cs="Times New Roman"/>
          <w:sz w:val="24"/>
          <w:szCs w:val="24"/>
        </w:rPr>
        <w:t>capitalisation</w:t>
      </w:r>
      <w:r w:rsidR="003635E3">
        <w:rPr>
          <w:rFonts w:ascii="Times New Roman" w:hAnsi="Times New Roman" w:cs="Times New Roman"/>
          <w:sz w:val="24"/>
          <w:szCs w:val="24"/>
        </w:rPr>
        <w:t xml:space="preserve"> stocks can contribute to the greater return – a higher discount rate increases the expected rate of return. Small stocks tend to be overlooked by institutional investors, whether this is because of the lower liquidity, the higher risk, or a combination of both, researchers cannot decide. Institutional investors may also find it more difficult to justify investing in such a stock. A potential link between small and large size stocks with value and growth strategies is suggested by Dissanaike (2002). Even though there are instances of the size effect, the Athens Stock Exchange does not exhibit this, as discussed by Michail</w:t>
      </w:r>
      <w:r w:rsidR="00AB2C61">
        <w:rPr>
          <w:rFonts w:ascii="Times New Roman" w:hAnsi="Times New Roman" w:cs="Times New Roman"/>
          <w:sz w:val="24"/>
          <w:szCs w:val="24"/>
        </w:rPr>
        <w:t>i</w:t>
      </w:r>
      <w:r w:rsidR="003635E3">
        <w:rPr>
          <w:rFonts w:ascii="Times New Roman" w:hAnsi="Times New Roman" w:cs="Times New Roman"/>
          <w:sz w:val="24"/>
          <w:szCs w:val="24"/>
        </w:rPr>
        <w:t>dis, Tsopoglou, and Papanastasiou (2007).</w:t>
      </w:r>
    </w:p>
    <w:p w:rsidR="00AD07DE" w:rsidRPr="001E52F7" w:rsidRDefault="00AD07DE" w:rsidP="00AD07DE">
      <w:pPr>
        <w:spacing w:line="360" w:lineRule="auto"/>
        <w:jc w:val="both"/>
        <w:rPr>
          <w:rFonts w:ascii="Times New Roman" w:hAnsi="Times New Roman" w:cs="Times New Roman"/>
          <w:sz w:val="24"/>
        </w:rPr>
      </w:pPr>
    </w:p>
    <w:p w:rsidR="00F92487" w:rsidRPr="00566BF3" w:rsidRDefault="00F92487" w:rsidP="00FF500C">
      <w:pPr>
        <w:pStyle w:val="ListParagraph"/>
        <w:numPr>
          <w:ilvl w:val="1"/>
          <w:numId w:val="18"/>
        </w:numPr>
        <w:spacing w:line="360" w:lineRule="auto"/>
        <w:jc w:val="both"/>
        <w:outlineLvl w:val="1"/>
        <w:rPr>
          <w:rFonts w:ascii="Times New Roman" w:hAnsi="Times New Roman" w:cs="Times New Roman"/>
          <w:b/>
          <w:sz w:val="32"/>
          <w:szCs w:val="36"/>
        </w:rPr>
      </w:pPr>
      <w:bookmarkStart w:id="47" w:name="_Toc281403415"/>
      <w:bookmarkStart w:id="48" w:name="_Toc305166516"/>
      <w:r w:rsidRPr="00566BF3">
        <w:rPr>
          <w:rFonts w:ascii="Times New Roman" w:hAnsi="Times New Roman" w:cs="Times New Roman"/>
          <w:b/>
          <w:sz w:val="32"/>
          <w:szCs w:val="36"/>
        </w:rPr>
        <w:t>Previous Studies</w:t>
      </w:r>
      <w:bookmarkEnd w:id="47"/>
      <w:bookmarkEnd w:id="48"/>
    </w:p>
    <w:p w:rsidR="00F92487" w:rsidRPr="00490DF2" w:rsidRDefault="00F92487" w:rsidP="00F92487">
      <w:pPr>
        <w:pStyle w:val="ListParagraph"/>
        <w:spacing w:line="360" w:lineRule="auto"/>
        <w:ind w:left="0"/>
        <w:jc w:val="both"/>
        <w:rPr>
          <w:rFonts w:ascii="Times New Roman" w:hAnsi="Times New Roman" w:cs="Times New Roman"/>
          <w:color w:val="943634" w:themeColor="accent2" w:themeShade="BF"/>
          <w:sz w:val="24"/>
          <w:szCs w:val="36"/>
        </w:rPr>
      </w:pPr>
    </w:p>
    <w:p w:rsidR="003635E3" w:rsidRDefault="003635E3" w:rsidP="00F92487">
      <w:pPr>
        <w:spacing w:line="360" w:lineRule="auto"/>
        <w:jc w:val="both"/>
        <w:rPr>
          <w:rFonts w:ascii="Times New Roman" w:hAnsi="Times New Roman" w:cs="Times New Roman"/>
          <w:sz w:val="24"/>
        </w:rPr>
      </w:pPr>
      <w:r>
        <w:rPr>
          <w:rFonts w:ascii="Times New Roman" w:hAnsi="Times New Roman" w:cs="Times New Roman"/>
          <w:sz w:val="24"/>
        </w:rPr>
        <w:t xml:space="preserve">This section examines a selection of the vast literature concerning value and growth strategies. Many reasons are given for value premiums, as are many variables examined as the best explanatory variable for the </w:t>
      </w:r>
      <w:r w:rsidR="00651FF8">
        <w:rPr>
          <w:rFonts w:ascii="Times New Roman" w:hAnsi="Times New Roman" w:cs="Times New Roman"/>
          <w:sz w:val="24"/>
        </w:rPr>
        <w:t>value premium. It is considered here,</w:t>
      </w:r>
      <w:r>
        <w:rPr>
          <w:rFonts w:ascii="Times New Roman" w:hAnsi="Times New Roman" w:cs="Times New Roman"/>
          <w:sz w:val="24"/>
        </w:rPr>
        <w:t xml:space="preserve"> different markets in which investors can place their money, along with varying time periods. The benefit of this analysis is that movements in the market can be accounted for and variables can be tested against both down and up markets. Also mentioned is the momentum strategy, as this strategy can just as easily make an investor a superior risk-adjusted return.</w:t>
      </w:r>
    </w:p>
    <w:p w:rsidR="003635E3" w:rsidRDefault="003635E3" w:rsidP="00F92487">
      <w:pPr>
        <w:spacing w:line="360" w:lineRule="auto"/>
        <w:jc w:val="both"/>
        <w:rPr>
          <w:rFonts w:ascii="Times New Roman" w:hAnsi="Times New Roman" w:cs="Times New Roman"/>
          <w:sz w:val="24"/>
        </w:rPr>
      </w:pPr>
    </w:p>
    <w:p w:rsidR="000765C4" w:rsidRDefault="000765C4" w:rsidP="00F92487">
      <w:pPr>
        <w:spacing w:line="360" w:lineRule="auto"/>
        <w:jc w:val="both"/>
        <w:rPr>
          <w:rFonts w:ascii="Times New Roman" w:hAnsi="Times New Roman" w:cs="Times New Roman"/>
          <w:sz w:val="24"/>
        </w:rPr>
      </w:pPr>
      <w:r>
        <w:rPr>
          <w:rFonts w:ascii="Times New Roman" w:hAnsi="Times New Roman" w:cs="Times New Roman"/>
          <w:sz w:val="24"/>
        </w:rPr>
        <w:t xml:space="preserve">As way of introduction to the studies performed by Fama and French (1992, 1993, 1995), the following is what </w:t>
      </w:r>
      <w:r w:rsidR="00B25F76">
        <w:rPr>
          <w:rFonts w:ascii="Times New Roman" w:hAnsi="Times New Roman" w:cs="Times New Roman"/>
          <w:sz w:val="24"/>
        </w:rPr>
        <w:t>is</w:t>
      </w:r>
      <w:r>
        <w:rPr>
          <w:rFonts w:ascii="Times New Roman" w:hAnsi="Times New Roman" w:cs="Times New Roman"/>
          <w:sz w:val="24"/>
        </w:rPr>
        <w:t xml:space="preserve"> examined and found. </w:t>
      </w:r>
      <w:r w:rsidRPr="001E52F7">
        <w:rPr>
          <w:rFonts w:ascii="Times New Roman" w:hAnsi="Times New Roman" w:cs="Times New Roman"/>
          <w:sz w:val="24"/>
        </w:rPr>
        <w:t xml:space="preserve">In Fama and French (1992) the authors look to see whether CAPM holds and whether there is a linear relationship between beta and the return of a portfolio. The authors control for both size and book-to-market equity. In their following paper, Fama and French (1993) find evidence in favour of size and the BTM ratio in explaining stock returns. They believe that these two variables have related risk factors that are not captured by beta. The last factor in their three-factor model, the market factor, does not explain the variation in returns as much as the other two factors do (the small-minus-big and high-minus-low factors). In Fama and French (1995) the authors look to form an economic basis for their results in Fama and French (1992, 1993). They do this by determining whether the reaction of returns is consistent with the reaction of earnings with regards to size and the book-to-market ratio. Results show that all three factors (size, book-to-market, and the market) explain the variation in returns and explain earnings. </w:t>
      </w:r>
    </w:p>
    <w:p w:rsidR="00061ECE" w:rsidRDefault="00061ECE" w:rsidP="00F92487">
      <w:pPr>
        <w:spacing w:line="360" w:lineRule="auto"/>
        <w:jc w:val="both"/>
        <w:rPr>
          <w:rFonts w:ascii="Times New Roman" w:hAnsi="Times New Roman" w:cs="Times New Roman"/>
          <w:sz w:val="24"/>
          <w:szCs w:val="36"/>
        </w:rPr>
      </w:pPr>
      <w:r>
        <w:rPr>
          <w:rFonts w:ascii="Times New Roman" w:hAnsi="Times New Roman" w:cs="Times New Roman"/>
          <w:sz w:val="24"/>
          <w:szCs w:val="36"/>
        </w:rPr>
        <w:lastRenderedPageBreak/>
        <w:t xml:space="preserve">The study performed by Fama and French (1992) produces two main points: size and BTM are the two variables that explain the cross section of stocks listed on the NASDAQ, NYSE, and AMEX over the period 1963 to 1990. The authors only use nonfinancial firms in their data sample. Fama and French (1992) believe the leverage in financial firms has a different meaning to leverage in nonfinancial firms. High leverage in financial firms could be an indication of distress. This could increase the risk of the firm, and in turn, its return. Fama and French (1992) create portfolios based on one-dimensional sorts. These portfolios are created at the end of June each year and the equally weighted returns are calculated. The results of the returns of the portfolios created on size alone are similar to Banz (1981). There is evidence of a negative relation between size and average return. The smallest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has a higher average monthly return than the largest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The relation between average returns and beta found by Fama and French (1992) is positive, indicating a portfolio with higher systematic risk has a higher return. When Fama and French (1992) control for size the significance of the positive relation between beta and stock returns become negligible. </w:t>
      </w:r>
    </w:p>
    <w:p w:rsidR="00061ECE" w:rsidRDefault="00061ECE" w:rsidP="00F92487">
      <w:pPr>
        <w:spacing w:line="360" w:lineRule="auto"/>
        <w:jc w:val="both"/>
        <w:rPr>
          <w:rFonts w:ascii="Times New Roman" w:hAnsi="Times New Roman" w:cs="Times New Roman"/>
          <w:sz w:val="24"/>
          <w:szCs w:val="36"/>
        </w:rPr>
      </w:pPr>
    </w:p>
    <w:p w:rsidR="00061ECE" w:rsidRDefault="00DF37A9" w:rsidP="00F92487">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Fama and French (1992) use size, leverage, E/P, and BTM to explain the cross-section of average returns. </w:t>
      </w:r>
      <w:r w:rsidR="00061ECE">
        <w:rPr>
          <w:rFonts w:ascii="Times New Roman" w:hAnsi="Times New Roman" w:cs="Times New Roman"/>
          <w:sz w:val="24"/>
          <w:szCs w:val="36"/>
        </w:rPr>
        <w:t xml:space="preserve">The one-dimensional portfolio sorts of BTM or E/P reveal a different result to that of size. </w:t>
      </w:r>
      <w:r w:rsidR="000724E6">
        <w:rPr>
          <w:rFonts w:ascii="Times New Roman" w:hAnsi="Times New Roman" w:cs="Times New Roman"/>
          <w:sz w:val="24"/>
          <w:szCs w:val="36"/>
        </w:rPr>
        <w:t>T</w:t>
      </w:r>
      <w:r w:rsidR="00061ECE">
        <w:rPr>
          <w:rFonts w:ascii="Times New Roman" w:hAnsi="Times New Roman" w:cs="Times New Roman"/>
          <w:sz w:val="24"/>
          <w:szCs w:val="36"/>
        </w:rPr>
        <w:t>he E/P sorted portfolio has returns that drop when moving f</w:t>
      </w:r>
      <w:r w:rsidR="000724E6">
        <w:rPr>
          <w:rFonts w:ascii="Times New Roman" w:hAnsi="Times New Roman" w:cs="Times New Roman"/>
          <w:sz w:val="24"/>
          <w:szCs w:val="36"/>
        </w:rPr>
        <w:t xml:space="preserve">rom the lowest E/P portfolio to the higher E/P portfolios, they then seem to increase monotonically to the last portfolio (with the highest E/P ratio, termed value). The BTM sorted portfolios are positively related to average returns in the study by Fama and French (1992). The growth portfolio (with the lowest BTM ratio) has an average return of 0.3%, while the value portfolio (highest BTM ratio) has an average </w:t>
      </w:r>
      <w:r w:rsidR="0066740F">
        <w:rPr>
          <w:rFonts w:ascii="Times New Roman" w:hAnsi="Times New Roman" w:cs="Times New Roman"/>
          <w:sz w:val="24"/>
          <w:szCs w:val="36"/>
        </w:rPr>
        <w:t>return</w:t>
      </w:r>
      <w:r w:rsidR="000724E6">
        <w:rPr>
          <w:rFonts w:ascii="Times New Roman" w:hAnsi="Times New Roman" w:cs="Times New Roman"/>
          <w:sz w:val="24"/>
          <w:szCs w:val="36"/>
        </w:rPr>
        <w:t xml:space="preserve"> of 1.83%. Fama and French (1992) conclude that this is evidence of a strong relationship between BTM and stock returns and that this has nothing to do with any changes in beta as beta does not change radically across the portfolios. </w:t>
      </w:r>
      <w:r>
        <w:rPr>
          <w:rFonts w:ascii="Times New Roman" w:hAnsi="Times New Roman" w:cs="Times New Roman"/>
          <w:sz w:val="24"/>
          <w:szCs w:val="36"/>
        </w:rPr>
        <w:t>In the Fama-MacBeth regressions</w:t>
      </w:r>
      <w:r w:rsidR="00F40CB2">
        <w:rPr>
          <w:rFonts w:ascii="Times New Roman" w:hAnsi="Times New Roman" w:cs="Times New Roman"/>
          <w:sz w:val="24"/>
          <w:szCs w:val="36"/>
        </w:rPr>
        <w:t xml:space="preserve"> performed by Fama and French (1992)</w:t>
      </w:r>
      <w:r>
        <w:rPr>
          <w:rFonts w:ascii="Times New Roman" w:hAnsi="Times New Roman" w:cs="Times New Roman"/>
          <w:sz w:val="24"/>
          <w:szCs w:val="36"/>
        </w:rPr>
        <w:t xml:space="preserve"> the combination of size with any of the other explanatory variables does not decrease the significance of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 It still remains statistically significant, with a negative slope, confirming the size effect described by Banz (1981). </w:t>
      </w:r>
    </w:p>
    <w:p w:rsidR="00061ECE" w:rsidRDefault="00061ECE" w:rsidP="00F92487">
      <w:pPr>
        <w:spacing w:line="360" w:lineRule="auto"/>
        <w:jc w:val="both"/>
        <w:rPr>
          <w:rFonts w:ascii="Times New Roman" w:hAnsi="Times New Roman" w:cs="Times New Roman"/>
          <w:sz w:val="24"/>
          <w:szCs w:val="36"/>
        </w:rPr>
      </w:pPr>
    </w:p>
    <w:p w:rsidR="00F92487" w:rsidRDefault="00F92487" w:rsidP="00F92487">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lastRenderedPageBreak/>
        <w:t xml:space="preserve">This </w:t>
      </w:r>
      <w:r>
        <w:rPr>
          <w:rFonts w:ascii="Times New Roman" w:hAnsi="Times New Roman" w:cs="Times New Roman"/>
          <w:sz w:val="24"/>
          <w:szCs w:val="36"/>
        </w:rPr>
        <w:t>study</w:t>
      </w:r>
      <w:r w:rsidRPr="00566BF3">
        <w:rPr>
          <w:rFonts w:ascii="Times New Roman" w:hAnsi="Times New Roman" w:cs="Times New Roman"/>
          <w:sz w:val="24"/>
          <w:szCs w:val="36"/>
        </w:rPr>
        <w:t xml:space="preserve"> will employ the Fama and French (199</w:t>
      </w:r>
      <w:r>
        <w:rPr>
          <w:rFonts w:ascii="Times New Roman" w:hAnsi="Times New Roman" w:cs="Times New Roman"/>
          <w:sz w:val="24"/>
          <w:szCs w:val="36"/>
        </w:rPr>
        <w:t>3</w:t>
      </w:r>
      <w:r w:rsidRPr="00566BF3">
        <w:rPr>
          <w:rFonts w:ascii="Times New Roman" w:hAnsi="Times New Roman" w:cs="Times New Roman"/>
          <w:sz w:val="24"/>
          <w:szCs w:val="36"/>
        </w:rPr>
        <w:t>) three-factor model, which is depicted by: (1) the excess returns of the ma</w:t>
      </w:r>
      <w:r>
        <w:rPr>
          <w:rFonts w:ascii="Times New Roman" w:hAnsi="Times New Roman" w:cs="Times New Roman"/>
          <w:sz w:val="24"/>
          <w:szCs w:val="36"/>
        </w:rPr>
        <w:t>rket portfolio, (2) SMB (small-m</w:t>
      </w:r>
      <w:r w:rsidRPr="00566BF3">
        <w:rPr>
          <w:rFonts w:ascii="Times New Roman" w:hAnsi="Times New Roman" w:cs="Times New Roman"/>
          <w:sz w:val="24"/>
          <w:szCs w:val="36"/>
        </w:rPr>
        <w:t>inus-</w:t>
      </w:r>
      <w:r>
        <w:rPr>
          <w:rFonts w:ascii="Times New Roman" w:hAnsi="Times New Roman" w:cs="Times New Roman"/>
          <w:sz w:val="24"/>
          <w:szCs w:val="36"/>
        </w:rPr>
        <w:t>b</w:t>
      </w:r>
      <w:r w:rsidRPr="00566BF3">
        <w:rPr>
          <w:rFonts w:ascii="Times New Roman" w:hAnsi="Times New Roman" w:cs="Times New Roman"/>
          <w:sz w:val="24"/>
          <w:szCs w:val="36"/>
        </w:rPr>
        <w:t xml:space="preserve">ig), which is the return differential between small and large </w:t>
      </w:r>
      <w:r w:rsidR="00610C8D">
        <w:rPr>
          <w:rFonts w:ascii="Times New Roman" w:hAnsi="Times New Roman" w:cs="Times New Roman"/>
          <w:sz w:val="24"/>
          <w:szCs w:val="36"/>
        </w:rPr>
        <w:t>capitalisation</w:t>
      </w:r>
      <w:r w:rsidRPr="00566BF3">
        <w:rPr>
          <w:rFonts w:ascii="Times New Roman" w:hAnsi="Times New Roman" w:cs="Times New Roman"/>
          <w:sz w:val="24"/>
          <w:szCs w:val="36"/>
        </w:rPr>
        <w:t xml:space="preserve"> stocks,</w:t>
      </w:r>
      <w:r>
        <w:rPr>
          <w:rFonts w:ascii="Times New Roman" w:hAnsi="Times New Roman" w:cs="Times New Roman"/>
          <w:sz w:val="24"/>
          <w:szCs w:val="36"/>
        </w:rPr>
        <w:t xml:space="preserve"> and (3) HML (high-m</w:t>
      </w:r>
      <w:r w:rsidRPr="00566BF3">
        <w:rPr>
          <w:rFonts w:ascii="Times New Roman" w:hAnsi="Times New Roman" w:cs="Times New Roman"/>
          <w:sz w:val="24"/>
          <w:szCs w:val="36"/>
        </w:rPr>
        <w:t>inus-</w:t>
      </w:r>
      <w:r>
        <w:rPr>
          <w:rFonts w:ascii="Times New Roman" w:hAnsi="Times New Roman" w:cs="Times New Roman"/>
          <w:sz w:val="24"/>
          <w:szCs w:val="36"/>
        </w:rPr>
        <w:t>l</w:t>
      </w:r>
      <w:r w:rsidRPr="00566BF3">
        <w:rPr>
          <w:rFonts w:ascii="Times New Roman" w:hAnsi="Times New Roman" w:cs="Times New Roman"/>
          <w:sz w:val="24"/>
          <w:szCs w:val="36"/>
        </w:rPr>
        <w:t>ow), which is the return differential between a portfolio of high book-to-market and a portfolio of low book-to-market stocks. The authors’ argument for using this model is that it has the ability to capture the higher returns of value stocks, explaining that these stocks tend to be distressed and growth stocks are</w:t>
      </w:r>
      <w:r w:rsidR="00732E28">
        <w:rPr>
          <w:rFonts w:ascii="Times New Roman" w:hAnsi="Times New Roman" w:cs="Times New Roman"/>
          <w:sz w:val="24"/>
          <w:szCs w:val="36"/>
        </w:rPr>
        <w:t xml:space="preserve"> from</w:t>
      </w:r>
      <w:r w:rsidRPr="00566BF3">
        <w:rPr>
          <w:rFonts w:ascii="Times New Roman" w:hAnsi="Times New Roman" w:cs="Times New Roman"/>
          <w:sz w:val="24"/>
          <w:szCs w:val="36"/>
        </w:rPr>
        <w:t xml:space="preserve"> firms that are more successful. Fama and French (1996) focus on long-term profits. The three-factor model is given by:</w:t>
      </w:r>
    </w:p>
    <w:p w:rsidR="00F92487" w:rsidRPr="00566BF3" w:rsidRDefault="00F92487" w:rsidP="00F92487">
      <w:pPr>
        <w:spacing w:line="360" w:lineRule="auto"/>
        <w:jc w:val="both"/>
        <w:rPr>
          <w:rFonts w:ascii="Times New Roman" w:hAnsi="Times New Roman" w:cs="Times New Roman"/>
          <w:sz w:val="24"/>
          <w:szCs w:val="36"/>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5"/>
        <w:gridCol w:w="6946"/>
        <w:gridCol w:w="911"/>
      </w:tblGrid>
      <w:tr w:rsidR="00F92487" w:rsidTr="00F92487">
        <w:tc>
          <w:tcPr>
            <w:tcW w:w="749" w:type="pct"/>
          </w:tcPr>
          <w:p w:rsidR="00F92487" w:rsidRDefault="00F92487" w:rsidP="00F92487">
            <w:pPr>
              <w:spacing w:line="360" w:lineRule="auto"/>
              <w:jc w:val="both"/>
              <w:rPr>
                <w:rFonts w:ascii="Times New Roman" w:hAnsi="Times New Roman" w:cs="Times New Roman"/>
                <w:sz w:val="24"/>
                <w:szCs w:val="24"/>
              </w:rPr>
            </w:pPr>
          </w:p>
        </w:tc>
        <w:tc>
          <w:tcPr>
            <w:tcW w:w="3758" w:type="pct"/>
          </w:tcPr>
          <w:p w:rsidR="00F92487" w:rsidRDefault="000963F3" w:rsidP="00F92487">
            <w:pPr>
              <w:spacing w:line="360" w:lineRule="auto"/>
              <w:jc w:val="both"/>
              <w:rPr>
                <w:rFonts w:ascii="Times New Roman" w:hAnsi="Times New Roman" w:cs="Times New Roman"/>
                <w:sz w:val="24"/>
                <w:szCs w:val="24"/>
              </w:rPr>
            </w:pPr>
            <m:oMathPara>
              <m:oMath>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m:t>
                    </m:r>
                  </m:sub>
                </m:sSub>
                <m:r>
                  <w:rPr>
                    <w:rFonts w:ascii="Cambria Math" w:hAnsi="Cambria Math" w:cs="Times New Roman"/>
                    <w:sz w:val="24"/>
                    <w:szCs w:val="24"/>
                  </w:rPr>
                  <m:t>-</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α</m:t>
                    </m:r>
                  </m:e>
                  <m:sub>
                    <m:r>
                      <w:rPr>
                        <w:rFonts w:ascii="Cambria Math" w:hAnsi="Cambria Math" w:cs="Times New Roman"/>
                        <w:sz w:val="24"/>
                        <w:szCs w:val="24"/>
                      </w:rPr>
                      <m:t>i</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sub>
                    </m:sSub>
                    <m:r>
                      <w:rPr>
                        <w:rFonts w:ascii="Cambria Math" w:hAnsi="Cambria Math" w:cs="Times New Roman"/>
                        <w:sz w:val="24"/>
                        <w:szCs w:val="24"/>
                      </w:rPr>
                      <m:t>-</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e>
                </m:d>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w:rPr>
                    <w:rFonts w:ascii="Cambria Math" w:hAnsi="Cambria Math" w:cs="Times New Roman"/>
                    <w:sz w:val="24"/>
                    <w:szCs w:val="24"/>
                  </w:rPr>
                  <m:t>SMB</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i</m:t>
                    </m:r>
                  </m:sub>
                </m:sSub>
                <m:r>
                  <w:rPr>
                    <w:rFonts w:ascii="Cambria Math" w:hAnsi="Cambria Math" w:cs="Times New Roman"/>
                    <w:sz w:val="24"/>
                    <w:szCs w:val="24"/>
                  </w:rPr>
                  <m:t>HML</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m:t>
                    </m:r>
                  </m:sub>
                </m:sSub>
              </m:oMath>
            </m:oMathPara>
          </w:p>
        </w:tc>
        <w:tc>
          <w:tcPr>
            <w:tcW w:w="750" w:type="pct"/>
            <w:vAlign w:val="center"/>
          </w:tcPr>
          <w:p w:rsidR="00F92487" w:rsidRDefault="00664ED3" w:rsidP="00664ED3">
            <w:pPr>
              <w:spacing w:line="360" w:lineRule="auto"/>
              <w:jc w:val="right"/>
              <w:rPr>
                <w:rFonts w:ascii="Times New Roman" w:hAnsi="Times New Roman" w:cs="Times New Roman"/>
                <w:sz w:val="24"/>
                <w:szCs w:val="24"/>
              </w:rPr>
            </w:pPr>
            <w:r>
              <w:rPr>
                <w:rFonts w:ascii="Times New Roman" w:hAnsi="Times New Roman" w:cs="Times New Roman"/>
                <w:sz w:val="24"/>
                <w:szCs w:val="24"/>
              </w:rPr>
              <w:t>(9</w:t>
            </w:r>
            <w:r w:rsidR="00F92487">
              <w:rPr>
                <w:rFonts w:ascii="Times New Roman" w:hAnsi="Times New Roman" w:cs="Times New Roman"/>
                <w:sz w:val="24"/>
                <w:szCs w:val="24"/>
              </w:rPr>
              <w:t>)</w:t>
            </w:r>
          </w:p>
        </w:tc>
      </w:tr>
    </w:tbl>
    <w:p w:rsidR="00F92487" w:rsidRPr="00566BF3" w:rsidRDefault="00F92487" w:rsidP="00F92487">
      <w:pPr>
        <w:spacing w:line="360" w:lineRule="auto"/>
        <w:jc w:val="both"/>
        <w:rPr>
          <w:rFonts w:ascii="Times New Roman" w:hAnsi="Times New Roman" w:cs="Times New Roman"/>
          <w:sz w:val="24"/>
          <w:szCs w:val="24"/>
        </w:rPr>
      </w:pPr>
    </w:p>
    <w:p w:rsidR="00F92487" w:rsidRDefault="00F92487" w:rsidP="00F92487">
      <w:pPr>
        <w:spacing w:line="360" w:lineRule="auto"/>
        <w:jc w:val="both"/>
      </w:pPr>
      <w:r w:rsidRPr="00566BF3">
        <w:rPr>
          <w:rFonts w:ascii="Times New Roman" w:hAnsi="Times New Roman" w:cs="Times New Roman"/>
          <w:sz w:val="24"/>
          <w:szCs w:val="24"/>
        </w:rPr>
        <w:t>Where b</w:t>
      </w:r>
      <w:r w:rsidRPr="00566BF3">
        <w:rPr>
          <w:rFonts w:ascii="Times New Roman" w:hAnsi="Times New Roman" w:cs="Times New Roman"/>
          <w:sz w:val="24"/>
          <w:szCs w:val="24"/>
          <w:vertAlign w:val="subscript"/>
        </w:rPr>
        <w:t>i</w:t>
      </w:r>
      <w:r w:rsidRPr="00566BF3">
        <w:rPr>
          <w:rFonts w:ascii="Times New Roman" w:hAnsi="Times New Roman" w:cs="Times New Roman"/>
          <w:sz w:val="24"/>
          <w:szCs w:val="24"/>
        </w:rPr>
        <w:t>, s</w:t>
      </w:r>
      <w:r w:rsidRPr="00566BF3">
        <w:rPr>
          <w:rFonts w:ascii="Times New Roman" w:hAnsi="Times New Roman" w:cs="Times New Roman"/>
          <w:sz w:val="24"/>
          <w:szCs w:val="24"/>
          <w:vertAlign w:val="subscript"/>
        </w:rPr>
        <w:t>i</w:t>
      </w:r>
      <w:r w:rsidRPr="00566BF3">
        <w:rPr>
          <w:rFonts w:ascii="Times New Roman" w:hAnsi="Times New Roman" w:cs="Times New Roman"/>
          <w:sz w:val="24"/>
          <w:szCs w:val="24"/>
        </w:rPr>
        <w:t>, and h</w:t>
      </w:r>
      <w:r w:rsidRPr="00566BF3">
        <w:rPr>
          <w:rFonts w:ascii="Times New Roman" w:hAnsi="Times New Roman" w:cs="Times New Roman"/>
          <w:sz w:val="24"/>
          <w:szCs w:val="24"/>
          <w:vertAlign w:val="subscript"/>
        </w:rPr>
        <w:t>i</w:t>
      </w:r>
      <w:r w:rsidRPr="00566BF3">
        <w:rPr>
          <w:rFonts w:ascii="Times New Roman" w:hAnsi="Times New Roman" w:cs="Times New Roman"/>
          <w:sz w:val="24"/>
          <w:szCs w:val="24"/>
        </w:rPr>
        <w:t xml:space="preserve"> are the slopes (also regarded as the factor sensitivities in the time-series regression). In their </w:t>
      </w:r>
      <w:r>
        <w:rPr>
          <w:rFonts w:ascii="Times New Roman" w:hAnsi="Times New Roman" w:cs="Times New Roman"/>
          <w:sz w:val="24"/>
          <w:szCs w:val="24"/>
        </w:rPr>
        <w:t>following</w:t>
      </w:r>
      <w:r w:rsidRPr="00566BF3">
        <w:rPr>
          <w:rFonts w:ascii="Times New Roman" w:hAnsi="Times New Roman" w:cs="Times New Roman"/>
          <w:sz w:val="24"/>
          <w:szCs w:val="24"/>
        </w:rPr>
        <w:t xml:space="preserve"> work, Fama and French (1996) find that the factor sensitivity on the HML premium is a proxy for distress. They state value firms (firms with high BTM ratios) will have positive loadings, while growth firms will have negative loadings. </w:t>
      </w:r>
      <w:r>
        <w:rPr>
          <w:rFonts w:ascii="Times New Roman" w:hAnsi="Times New Roman" w:cs="Times New Roman"/>
          <w:sz w:val="24"/>
          <w:szCs w:val="24"/>
        </w:rPr>
        <w:t xml:space="preserve">Fama and French (1992) note that, because the market penalizes firms with poor operating performance, high BTM firms are those with generally low profitability over a long period of time. This is why they classify high BTM stocks as value and placing them in their value portfolios. </w:t>
      </w:r>
      <w:r>
        <w:rPr>
          <w:rFonts w:ascii="Times New Roman" w:hAnsi="Times New Roman" w:cs="Times New Roman"/>
          <w:sz w:val="24"/>
        </w:rPr>
        <w:t xml:space="preserve">Using the same methodology as Fama and French (1993), Daniel and Titman (1997) create 25 portfolios sorted on size and the BTM ratio. The construction is exactly the same as Fama and French (1993) and the authors also supply Daniel and Titman (1997) with the portfolio returns that they used in their study, thus the test period ranges from 1963 to 1993 Therefore, the data comes from the NYSE, AMEX and NASDAQ. The portfolios are value weighted and they are rebalanced annually. The average monthly return difference between the extreme value (high BTM, small firm) and extreme growth (low BTM, large firm) is 0.76%. </w:t>
      </w:r>
    </w:p>
    <w:p w:rsidR="00F92487" w:rsidRPr="00566BF3" w:rsidRDefault="00F92487" w:rsidP="00F92487"/>
    <w:p w:rsidR="00F92487" w:rsidRPr="00566BF3" w:rsidRDefault="00F92487" w:rsidP="00F92487">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Fama and French (1995) create portfolios based on size and BTM ratios using </w:t>
      </w:r>
      <w:r>
        <w:rPr>
          <w:rFonts w:ascii="Times New Roman" w:hAnsi="Times New Roman" w:cs="Times New Roman"/>
          <w:sz w:val="24"/>
          <w:szCs w:val="36"/>
        </w:rPr>
        <w:t>Compustat</w:t>
      </w:r>
      <w:r w:rsidRPr="00566BF3">
        <w:rPr>
          <w:rFonts w:ascii="Times New Roman" w:hAnsi="Times New Roman" w:cs="Times New Roman"/>
          <w:sz w:val="24"/>
          <w:szCs w:val="36"/>
        </w:rPr>
        <w:t xml:space="preserve"> and the Center for Research in Securities Prices (CRSP) database which includes stocks on the New York Stock Exchange (NYSE). They also include the NASDAQ and American Stock Exchange (AMEX) stocks. The BTM ratio is the common book equity for the fiscal year end, t-1 calendar year, divided by the market equity at the end of December t-1. They calculate monthly value weighted returns for each of the six portfolios (S/L, S/M, S/H, B/L, B/M, and </w:t>
      </w:r>
      <w:r w:rsidRPr="00566BF3">
        <w:rPr>
          <w:rFonts w:ascii="Times New Roman" w:hAnsi="Times New Roman" w:cs="Times New Roman"/>
          <w:sz w:val="24"/>
          <w:szCs w:val="36"/>
        </w:rPr>
        <w:lastRenderedPageBreak/>
        <w:t xml:space="preserve">B/H) from July (t) to June (t+1). Portfolios are re-balanced annually, as are the portfolios in this </w:t>
      </w:r>
      <w:r>
        <w:rPr>
          <w:rFonts w:ascii="Times New Roman" w:hAnsi="Times New Roman" w:cs="Times New Roman"/>
          <w:sz w:val="24"/>
          <w:szCs w:val="36"/>
        </w:rPr>
        <w:t>dissertation</w:t>
      </w:r>
      <w:r w:rsidRPr="00566BF3">
        <w:rPr>
          <w:rFonts w:ascii="Times New Roman" w:hAnsi="Times New Roman" w:cs="Times New Roman"/>
          <w:sz w:val="24"/>
          <w:szCs w:val="36"/>
        </w:rPr>
        <w:t xml:space="preserve">. Fama and French (1993, 1996) argue that their three-factor model is evidence for a risk premium. </w:t>
      </w:r>
    </w:p>
    <w:p w:rsidR="00F92487" w:rsidRDefault="00F92487" w:rsidP="00F92487"/>
    <w:p w:rsidR="00F92487" w:rsidRPr="00566BF3" w:rsidRDefault="00F92487" w:rsidP="00F92487">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In the Fama and French (1996) paper, the three-factor model is used to explain the returns of portfolios formed on the E/P and C/P ratios and sales growth. This </w:t>
      </w:r>
      <w:r>
        <w:rPr>
          <w:rFonts w:ascii="Times New Roman" w:hAnsi="Times New Roman" w:cs="Times New Roman"/>
          <w:sz w:val="24"/>
          <w:szCs w:val="36"/>
        </w:rPr>
        <w:t>dissertation</w:t>
      </w:r>
      <w:r w:rsidRPr="00566BF3">
        <w:rPr>
          <w:rFonts w:ascii="Times New Roman" w:hAnsi="Times New Roman" w:cs="Times New Roman"/>
          <w:sz w:val="24"/>
          <w:szCs w:val="36"/>
        </w:rPr>
        <w:t xml:space="preserve"> is concerned with the first two ratios. The better firm is expected to have low E/P and C/P ratios as well as negative factor sensitivities on the HML premium. A relatively distressed firm is anticipated to have high E/P and C/P ratios, with a positive slope on the HML premium, implying higher returns. </w:t>
      </w:r>
    </w:p>
    <w:p w:rsidR="00F92487" w:rsidRDefault="00F92487" w:rsidP="00F92487"/>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 xml:space="preserve">De Bondt and Thaler (1985) test two hypotheses in their study.  The first entails that any large movements in a stock’s price will be followed by a large movement in the opposite direction in the future. The second hypothesis is that the larger the first movement, the larger the subsequent movement in the opposite direction will be. Instead of using a ratio to classify stocks into value and growth portfolios De Bondt and Thaler (1985) use past excess returns as the measure. By taking the past 5 years excess returns, the authors sort value stocks by their extreme losses and growth stocks by their extreme capital gains. The authors use monthly returns for stocks listed on the NYSE over the period 1926-1982. One requirement in order for a firm to be included in a portfolio is that it must have 85 returns, without any missing values. This, as De Bondt and Thaler (1985) acknowledge, leads to smaller, less established firms being left out of the dataset. De Bondt and Thaler (1985) look at the cumulative abnormal returns (CARs) for 3 years after portfolio formation as they believe that it may take up to 3 years for stocks’ prices to revert to their fundamental values.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 xml:space="preserve">What De Bondt and Thaler (1985) find with the regressions performed on value and growth portfolios is that value outperforms the market portfolio by an average of 19.6% three years subsequent to the formation of the portfolio. The growth portfolio over the same 3 year period underperforms the market by about 5%. Two important aspects of these findings are that a) the value portfolio outperforms the growth portfolio more in the second and third post formation years, and b) the magnitude of the overreaction effect is greater for the value portfolios. The portfolios formed for two, three, and five year periods all show that the price </w:t>
      </w:r>
      <w:r>
        <w:rPr>
          <w:rFonts w:ascii="Times New Roman" w:hAnsi="Times New Roman" w:cs="Times New Roman"/>
          <w:sz w:val="24"/>
        </w:rPr>
        <w:lastRenderedPageBreak/>
        <w:t xml:space="preserve">reversals increase as the cumulative abnormal returns increase. This implies that, for example with the three-year period portfolios, there is the indication of a steady increase in the difference in CARs over the 36 month period. In the first month the difference in CAR is 0.105% but increases to 0.246% in 36 months. De Bondt and Thaler (1985) next decide to compare the CAPM-betas of the two extreme portfolios for the entire one, two, three, and five year portfolios created for the previous tests. They provide evidence that marks growth portfolios with higher betas than value portfolios. This signifies that value portfolios outperform growth portfolios, not because they are riskier as the growth stocks have larger betas.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 xml:space="preserve">Chan (1988) mimics De Bondt and Thaler (1985) test by creating value and growth portfolios and testing the performance of these portfolios over a period of three years. Chan (1988) consider 3 years of returns in order to identify value and growth stocks. Using market adjusted returns the 35 stocks with the highest performance are placed into the growth portfolio, while the 35 stocks that performed the worst are put into the value portfolio. As with De Bondt and Thaler (1985), Chan (1988) requires each stock in his sample to have been listed 7 years prior to the rank period.  The entire sample period of Chan (1988) runs from 1930 to 1985.  The first sample he looks at – the one in which he mimics De Bondt and Thaler (1985) study – consists of all the stocks on the NYSE. Chan (1988) decides to, not only include a test of De Bondt and Thaler (1985), but also one of his own. Chan (1988) second sample is divided into percentages instead of absolute figures of stocks. The author takes the top and bottom 10% of the stocks listed on the NYSE. This amounts to about double the number of stock in 1933 as compared to De Bondt and Thaler (1985) number. The most important feature between the mimicked sample and the second sample is that Chan (1988) is able to include smaller firms in the second sample. In the first sample De Bondt and Thaler (1985) only includes more well-established firms as they require 7 years of past data before the stock could be included in the sample. </w:t>
      </w:r>
    </w:p>
    <w:p w:rsidR="00900C3B" w:rsidRDefault="00900C3B" w:rsidP="00900C3B">
      <w:pPr>
        <w:spacing w:line="360" w:lineRule="auto"/>
        <w:jc w:val="both"/>
        <w:rPr>
          <w:rFonts w:ascii="Times New Roman" w:hAnsi="Times New Roman" w:cs="Times New Roman"/>
          <w:sz w:val="24"/>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rPr>
        <w:t xml:space="preserve">The sample mimicked by Chan (1988) has some interesting results. The author notes that, in some time periods of the rank period, the market capitalisation of the value stocks is bigger than that of the growth stocks. Nevertheless, the results indicate that value stocks lose value in the rank period while growth stocks gain value. This ultimately implies that at the </w:t>
      </w:r>
      <w:r>
        <w:rPr>
          <w:rFonts w:ascii="Times New Roman" w:hAnsi="Times New Roman" w:cs="Times New Roman"/>
          <w:sz w:val="24"/>
        </w:rPr>
        <w:lastRenderedPageBreak/>
        <w:t xml:space="preserve">beginning of the test period the value stocks’ market capitalisation is smaller than the growth stocks’. In the rank periods, the value portfolios have large negative abnormal returns, while the growth portfolios have large positive abnormal returns. This is consistent with the expectations of Chan (1988). In the test period, however, the returns for the first sample change and the value portfolio continues to exhibit negative returns but the growth portfolio change from positive abnormal returns to negative. However, the mean monthly abnormal returns of the value portfolios are smaller than those of the growth. This shows some evidence in favour of the contrarian strategy. Furthermore, the arbitrage portfolio (which is made up of a long position in value stocks and a short position in growth stocks) has a positive mean monthly abnormal return. With regards to the second sample of Chan (1988) when he tests the contrarian strategy, he notes that the mean monthly abnormal return for the value portfolios is positive, negative for the growth portfolio, and positive for the arbitrage portfolio.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 xml:space="preserve">In light of the study by De Bondt and Thaler (1985), who find that stocks with poor returns between 3 and 5 years prior to an investor creating his portfolio, do better 3 to 5 years subsequent to this portfolio formation, Forner and Marhuenda (2003) investigate how stock returns behave in the Spanish Stock Market. They note, however, that in the US especially there appears to be a momentum trend in stock prices 3-12 months following portfolio formation. This leads the authors to question when contrarian strategies become profitable, if they are profitable at all in the Spanish market. Forner and Marhuenda (2003) state that there is a possibility that these two opposing strategies could co-exist. They consider 6, 12, 36, and 60 month holding periods to determine if the overreaction (contrarian) hypothesis and underreaction (momentum) hypothesis hold. The only significant results obtained by Forner and Marhuenda (2003) are the momentum strategy is profitable over a 12 and 60 month horizon. The period January 1963 to December 1997 is considered for the study performed by Forner and Marhuenda (2003). The authors use monthly returns and separate stocks into value and growth portfolios, mimicking the procedure of De Bondt and Thaler (1985). For example, their portfolio constructed on the basis of the contrarian strategy over 36 months requires 36 months previous data. Over this period of 36 months, Forner and Marhuenda (2003) calculate the cumulative market-adjusted returns for each of the stocks included in the dataset. Market-adjusted returns are the returns on each stock less the return on the market index. These cumulative market-adjusted returns are sorted and the 5 stocks with the highest </w:t>
      </w:r>
      <w:r>
        <w:rPr>
          <w:rFonts w:ascii="Times New Roman" w:hAnsi="Times New Roman" w:cs="Times New Roman"/>
          <w:sz w:val="24"/>
        </w:rPr>
        <w:lastRenderedPageBreak/>
        <w:t xml:space="preserve">and lowest returns are placed into the growth and value portfolios respectively. From t=0 to t=36 there is only one growth and one value portfolio. In January 1966 the next growth and value portfolios are created using the same procedure.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The cumulative abnormal returns (CARs) are calculated for each of the 11 growth and 11 value periods over the entire sample period. The averaged CARs are considered by Forner and Marhuenda (2003). Their results show that, in the 6 months following portfolio formation, the value portfolio does not have an abnormal return, while the growth portfolio has an average abnormal return of 3.9%. The 12 month period post formation tells a similar story, with the growth portfolio having a much larger positive return of 10.2% (for the first 6 months) and 7.8% for the 6 months following the first half year period. This result is significant at the 5% level. Over the 36 month post formation period, the value portfolio outperforms the growth portfolio, but falls short of the growth portfolio in the 24</w:t>
      </w:r>
      <w:r w:rsidRPr="00295C96">
        <w:rPr>
          <w:rFonts w:ascii="Times New Roman" w:hAnsi="Times New Roman" w:cs="Times New Roman"/>
          <w:sz w:val="24"/>
          <w:vertAlign w:val="superscript"/>
        </w:rPr>
        <w:t>th</w:t>
      </w:r>
      <w:r>
        <w:rPr>
          <w:rFonts w:ascii="Times New Roman" w:hAnsi="Times New Roman" w:cs="Times New Roman"/>
          <w:sz w:val="24"/>
        </w:rPr>
        <w:t xml:space="preserve"> month. These results, however, are not significant. The significant contrarian results occur in the 60 month post formation period where value outperforms growth and is significant at the 5% level.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When Forner and Marhuenda (2003) perform their own annual buy-and-hold strategies they note that their results are very similar to that of De Bondt and Thaler (1985). For a one year portfolio formation and test period the growth portfolio outperforms the value portfolio by about 2%. Over a 5 year formation and test period the returns are significantly negative for the value portfolio throughout the formation period. In the test period even the first year of it, the value portfolio’s returns become positive. The value portfolio outperforms the growth portfolio each year following the 5 formation years. Previously it was mentioned that Forner and Marhuenda (2003) include 5 stocks each in their value and growth portfolios. They verify how sensitive their tests are to stock number and test periods chosen. This time they include 10 stocks in each value and growth portfolio. Forner and Marhuenda (2003) also change their portfolio formation date to June from January. Their results with these two changes made are consistent with the 5 stock portfolios, thus their method and study is fairly robust.</w:t>
      </w:r>
    </w:p>
    <w:p w:rsidR="00900C3B" w:rsidRDefault="00900C3B" w:rsidP="00F92487"/>
    <w:p w:rsidR="00FF500C" w:rsidRDefault="00FF500C" w:rsidP="00F92487"/>
    <w:p w:rsidR="00900C3B" w:rsidRPr="00900C3B" w:rsidRDefault="008B084D" w:rsidP="00900C3B">
      <w:pPr>
        <w:rPr>
          <w:b/>
          <w:sz w:val="32"/>
        </w:rPr>
      </w:pPr>
      <w:r w:rsidRPr="008B084D">
        <w:rPr>
          <w:b/>
          <w:sz w:val="32"/>
        </w:rPr>
        <w:lastRenderedPageBreak/>
        <w:t>Evidence relating to the BTM ratio and size</w:t>
      </w:r>
    </w:p>
    <w:p w:rsidR="00900C3B" w:rsidRDefault="00900C3B" w:rsidP="00F92487"/>
    <w:p w:rsidR="008B084D" w:rsidRDefault="00C4484C" w:rsidP="008B084D">
      <w:pPr>
        <w:spacing w:line="360" w:lineRule="auto"/>
        <w:jc w:val="both"/>
        <w:rPr>
          <w:rFonts w:ascii="Times New Roman" w:hAnsi="Times New Roman" w:cs="Times New Roman"/>
          <w:sz w:val="24"/>
        </w:rPr>
      </w:pPr>
      <w:r>
        <w:rPr>
          <w:rFonts w:ascii="Times New Roman" w:hAnsi="Times New Roman" w:cs="Times New Roman"/>
          <w:sz w:val="24"/>
        </w:rPr>
        <w:t>Portfolios created using the BTM ratio and size as a way of sorting stocks are examined below. While there are researchers who consider multiple regressions with BTM, E/P, C/P, D/P, and size as appropriate variables, this sub-section focuses on those researchers who have focused their attention on book-to-market value and market capitalisation.</w:t>
      </w:r>
      <w:r w:rsidR="00494B76">
        <w:rPr>
          <w:rFonts w:ascii="Times New Roman" w:hAnsi="Times New Roman" w:cs="Times New Roman"/>
          <w:sz w:val="24"/>
        </w:rPr>
        <w:t xml:space="preserve"> Evidence for these two variables is mixed, and not definitive. While portfolios sorted on BTM and market capitalisation appear to explain stock returns, the results are not entirely consistent over time periods and different data sets. Value premia are exhibited by small market capitalisation stocks and high BTM stocks, but again this is determinant on time periods and sample data. </w:t>
      </w:r>
    </w:p>
    <w:p w:rsidR="008B084D" w:rsidRDefault="008B084D" w:rsidP="008B084D">
      <w:pPr>
        <w:spacing w:line="360" w:lineRule="auto"/>
        <w:jc w:val="both"/>
        <w:rPr>
          <w:rFonts w:ascii="Times New Roman" w:hAnsi="Times New Roman" w:cs="Times New Roman"/>
          <w:sz w:val="24"/>
        </w:rPr>
      </w:pPr>
    </w:p>
    <w:p w:rsidR="008B084D" w:rsidRDefault="008B084D" w:rsidP="008B084D">
      <w:pPr>
        <w:spacing w:line="360" w:lineRule="auto"/>
        <w:jc w:val="both"/>
        <w:rPr>
          <w:rFonts w:ascii="Times New Roman" w:hAnsi="Times New Roman" w:cs="Times New Roman"/>
          <w:sz w:val="24"/>
        </w:rPr>
      </w:pPr>
      <w:r w:rsidRPr="008B084D">
        <w:rPr>
          <w:rFonts w:ascii="Times New Roman" w:hAnsi="Times New Roman" w:cs="Times New Roman"/>
          <w:sz w:val="24"/>
        </w:rPr>
        <w:t>Capaul, Rowley, and Sharpe (1993) take a look at several countries (Germany, France, Japan, Switzerland, the UK and US) over the period 1981 to 1992. They separate stocks according to their price-to-book-value ratio (P/B), which is the same as the market-to-book ratio, into two groups. Value stocks have low P/B ratios while growth stocks have high P/B ratios. The authors use the S+P 500 so they are effectively excluding smaller and more illiquid stocks. Their results may be skewed as the index includes a large proportion (in terms of market capitalisation) of traded equities in the US The index includes the top 500 companies in industries that are a representation of the US economy, and constitutes about three quarters of the market capitalisation of US equities. Essentially, by using the S+P 500 index as a source of data, the authors are focusing on the large capitalisation portion of the US equity market. If stocks are not sufficiently liquid they are left out of the index, Capaul, Rowley, and Sharpe (1993).   Capaul, Rowley, and Sharpe (1993) come to the conclusion that high BTM stocks provide better risk-adjusted returns than that of low BTM stocks. The reason given by the authors for this behaviour is that investors use the book-to-market ratio as a tool to distinguish between growth and value stocks. As the market awards growth stocks with a high price, so the book-to-market ratio will be low. When Capaul, Rowley, and Sharpe (1993) examine the risk of the various high and low BTM portfolios they find that value portfolios that consis</w:t>
      </w:r>
      <w:r w:rsidR="005357E6">
        <w:rPr>
          <w:rFonts w:ascii="Times New Roman" w:hAnsi="Times New Roman" w:cs="Times New Roman"/>
          <w:sz w:val="24"/>
        </w:rPr>
        <w:t>t of high BTM stocks have lower</w:t>
      </w:r>
      <w:r w:rsidRPr="008B084D">
        <w:rPr>
          <w:rFonts w:ascii="Times New Roman" w:hAnsi="Times New Roman" w:cs="Times New Roman"/>
          <w:sz w:val="24"/>
        </w:rPr>
        <w:t xml:space="preserve"> betas than growth portfolios consisting of low BTM stocks. </w:t>
      </w:r>
      <w:r w:rsidR="005357E6">
        <w:rPr>
          <w:rFonts w:ascii="Times New Roman" w:hAnsi="Times New Roman" w:cs="Times New Roman"/>
          <w:sz w:val="24"/>
        </w:rPr>
        <w:t>T</w:t>
      </w:r>
      <w:r w:rsidRPr="008B084D">
        <w:rPr>
          <w:rFonts w:ascii="Times New Roman" w:hAnsi="Times New Roman" w:cs="Times New Roman"/>
          <w:sz w:val="24"/>
        </w:rPr>
        <w:t>he risk explanation of Fama and French (1992) is</w:t>
      </w:r>
      <w:r w:rsidR="005357E6">
        <w:rPr>
          <w:rFonts w:ascii="Times New Roman" w:hAnsi="Times New Roman" w:cs="Times New Roman"/>
          <w:sz w:val="24"/>
        </w:rPr>
        <w:t xml:space="preserve"> thus</w:t>
      </w:r>
      <w:r w:rsidRPr="008B084D">
        <w:rPr>
          <w:rFonts w:ascii="Times New Roman" w:hAnsi="Times New Roman" w:cs="Times New Roman"/>
          <w:sz w:val="24"/>
        </w:rPr>
        <w:t xml:space="preserve"> challenged by the study of Capaul, Rowley, and Sharpe (1993).</w:t>
      </w:r>
    </w:p>
    <w:p w:rsidR="008B084D" w:rsidRDefault="008B084D" w:rsidP="008B084D">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sidRPr="00B3725B">
        <w:rPr>
          <w:rFonts w:ascii="Times New Roman" w:hAnsi="Times New Roman" w:cs="Times New Roman"/>
          <w:sz w:val="24"/>
        </w:rPr>
        <w:lastRenderedPageBreak/>
        <w:t>Harris and Marston (1994)</w:t>
      </w:r>
      <w:r>
        <w:rPr>
          <w:rFonts w:ascii="Times New Roman" w:hAnsi="Times New Roman" w:cs="Times New Roman"/>
          <w:sz w:val="24"/>
        </w:rPr>
        <w:t xml:space="preserve"> examine the relationship between the book-to-market ratio, beta, and firm growth. They start their argument with the equation for valuing a firm’s stock:</w:t>
      </w:r>
    </w:p>
    <w:p w:rsidR="00900C3B" w:rsidRDefault="00900C3B" w:rsidP="00900C3B">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900C3B" w:rsidTr="00700A7C">
        <w:tc>
          <w:tcPr>
            <w:tcW w:w="750" w:type="pct"/>
          </w:tcPr>
          <w:p w:rsidR="00900C3B" w:rsidRDefault="00900C3B" w:rsidP="00700A7C">
            <w:pPr>
              <w:spacing w:line="360" w:lineRule="auto"/>
              <w:jc w:val="both"/>
              <w:rPr>
                <w:rFonts w:ascii="Times New Roman" w:eastAsia="Times New Roman" w:hAnsi="Times New Roman" w:cs="Times New Roman"/>
                <w:sz w:val="24"/>
              </w:rPr>
            </w:pPr>
          </w:p>
        </w:tc>
        <w:tc>
          <w:tcPr>
            <w:tcW w:w="3750" w:type="pct"/>
          </w:tcPr>
          <w:p w:rsidR="00900C3B" w:rsidRPr="004F13BB" w:rsidRDefault="00900C3B" w:rsidP="00700A7C">
            <w:pPr>
              <w:spacing w:line="360" w:lineRule="auto"/>
              <w:jc w:val="both"/>
              <w:rPr>
                <w:rFonts w:ascii="Times New Roman" w:hAnsi="Times New Roman" w:cs="Times New Roman"/>
                <w:sz w:val="24"/>
              </w:rPr>
            </w:pPr>
            <m:oMathPara>
              <m:oMath>
                <m:r>
                  <w:rPr>
                    <w:rFonts w:ascii="Cambria Math" w:hAnsi="Cambria Math" w:cs="Times New Roman"/>
                    <w:sz w:val="24"/>
                  </w:rPr>
                  <m:t>P=</m:t>
                </m:r>
                <m:f>
                  <m:fPr>
                    <m:ctrlPr>
                      <w:rPr>
                        <w:rFonts w:ascii="Cambria Math" w:hAnsi="Cambria Math" w:cs="Times New Roman"/>
                        <w:i/>
                        <w:sz w:val="24"/>
                      </w:rPr>
                    </m:ctrlPr>
                  </m:fPr>
                  <m:num>
                    <m:r>
                      <w:rPr>
                        <w:rFonts w:ascii="Cambria Math" w:hAnsi="Cambria Math" w:cs="Times New Roman"/>
                        <w:sz w:val="24"/>
                      </w:rPr>
                      <m:t>CF</m:t>
                    </m:r>
                  </m:num>
                  <m:den>
                    <m:r>
                      <w:rPr>
                        <w:rFonts w:ascii="Cambria Math" w:hAnsi="Cambria Math" w:cs="Times New Roman"/>
                        <w:sz w:val="24"/>
                      </w:rPr>
                      <m:t>(k-g)</m:t>
                    </m:r>
                  </m:den>
                </m:f>
              </m:oMath>
            </m:oMathPara>
          </w:p>
        </w:tc>
        <w:tc>
          <w:tcPr>
            <w:tcW w:w="750" w:type="pct"/>
            <w:vAlign w:val="center"/>
          </w:tcPr>
          <w:p w:rsidR="00900C3B" w:rsidRDefault="00900C3B" w:rsidP="00664ED3">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664ED3">
              <w:rPr>
                <w:rFonts w:ascii="Times New Roman" w:eastAsia="Times New Roman" w:hAnsi="Times New Roman" w:cs="Times New Roman"/>
                <w:sz w:val="24"/>
              </w:rPr>
              <w:t>10</w:t>
            </w:r>
            <w:r>
              <w:rPr>
                <w:rFonts w:ascii="Times New Roman" w:eastAsia="Times New Roman" w:hAnsi="Times New Roman" w:cs="Times New Roman"/>
                <w:sz w:val="24"/>
              </w:rPr>
              <w:t>)</w:t>
            </w:r>
          </w:p>
        </w:tc>
      </w:tr>
    </w:tbl>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Where P is the price of the stock in the market, CF is next year’s cash flow; k is the required rate of return, while g is the continuous growth rate. Harris and Marston (1994) argue that next year’s cash flow can be expressed as book value per share (B) multiplied by the rate of return (r) to give the new equation:</w:t>
      </w:r>
    </w:p>
    <w:p w:rsidR="00900C3B" w:rsidRDefault="00900C3B" w:rsidP="00900C3B">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3080"/>
        <w:gridCol w:w="3081"/>
        <w:gridCol w:w="3081"/>
      </w:tblGrid>
      <w:tr w:rsidR="00900C3B" w:rsidTr="00700A7C">
        <w:tc>
          <w:tcPr>
            <w:tcW w:w="750" w:type="pct"/>
          </w:tcPr>
          <w:p w:rsidR="00900C3B" w:rsidRDefault="00900C3B" w:rsidP="00700A7C">
            <w:pPr>
              <w:spacing w:line="360" w:lineRule="auto"/>
              <w:jc w:val="both"/>
              <w:rPr>
                <w:rFonts w:ascii="Times New Roman" w:eastAsia="Times New Roman" w:hAnsi="Times New Roman" w:cs="Times New Roman"/>
                <w:sz w:val="24"/>
              </w:rPr>
            </w:pPr>
          </w:p>
        </w:tc>
        <w:tc>
          <w:tcPr>
            <w:tcW w:w="750" w:type="pct"/>
            <w:vAlign w:val="center"/>
          </w:tcPr>
          <w:p w:rsidR="00900C3B" w:rsidRPr="004F13BB" w:rsidRDefault="00900C3B" w:rsidP="00700A7C">
            <w:pPr>
              <w:spacing w:line="360" w:lineRule="auto"/>
              <w:jc w:val="both"/>
              <w:rPr>
                <w:rFonts w:ascii="Times New Roman" w:hAnsi="Times New Roman" w:cs="Times New Roman"/>
                <w:sz w:val="24"/>
              </w:rPr>
            </w:pPr>
            <m:oMathPara>
              <m:oMath>
                <m:r>
                  <w:rPr>
                    <w:rFonts w:ascii="Cambria Math" w:hAnsi="Cambria Math" w:cs="Times New Roman"/>
                    <w:sz w:val="24"/>
                  </w:rPr>
                  <m:t>P=</m:t>
                </m:r>
                <m:f>
                  <m:fPr>
                    <m:ctrlPr>
                      <w:rPr>
                        <w:rFonts w:ascii="Cambria Math" w:hAnsi="Cambria Math" w:cs="Times New Roman"/>
                        <w:i/>
                        <w:sz w:val="24"/>
                      </w:rPr>
                    </m:ctrlPr>
                  </m:fPr>
                  <m:num>
                    <m:r>
                      <w:rPr>
                        <w:rFonts w:ascii="Cambria Math" w:hAnsi="Cambria Math" w:cs="Times New Roman"/>
                        <w:sz w:val="24"/>
                      </w:rPr>
                      <m:t>rB</m:t>
                    </m:r>
                  </m:num>
                  <m:den>
                    <m:r>
                      <w:rPr>
                        <w:rFonts w:ascii="Cambria Math" w:hAnsi="Cambria Math" w:cs="Times New Roman"/>
                        <w:sz w:val="24"/>
                      </w:rPr>
                      <m:t>(k-g)</m:t>
                    </m:r>
                  </m:den>
                </m:f>
              </m:oMath>
            </m:oMathPara>
          </w:p>
        </w:tc>
        <w:tc>
          <w:tcPr>
            <w:tcW w:w="750" w:type="pct"/>
            <w:vAlign w:val="center"/>
          </w:tcPr>
          <w:p w:rsidR="00900C3B" w:rsidRDefault="00900C3B" w:rsidP="00FE4B4D">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FE4B4D">
              <w:rPr>
                <w:rFonts w:ascii="Times New Roman" w:eastAsia="Times New Roman" w:hAnsi="Times New Roman" w:cs="Times New Roman"/>
                <w:sz w:val="24"/>
              </w:rPr>
              <w:t>11</w:t>
            </w:r>
            <w:r>
              <w:rPr>
                <w:rFonts w:ascii="Times New Roman" w:eastAsia="Times New Roman" w:hAnsi="Times New Roman" w:cs="Times New Roman"/>
                <w:sz w:val="24"/>
              </w:rPr>
              <w:t>)</w:t>
            </w:r>
          </w:p>
        </w:tc>
      </w:tr>
    </w:tbl>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To obtain BTM on the left-hand side of the equation, the book value per share needs to be divided on each side of the equation and then the inverse of both sides needs to be taken. This brings Harris and Marston (1994) to the equation:</w:t>
      </w:r>
    </w:p>
    <w:p w:rsidR="00900C3B" w:rsidRDefault="00900C3B" w:rsidP="00900C3B">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900C3B" w:rsidTr="00700A7C">
        <w:tc>
          <w:tcPr>
            <w:tcW w:w="750" w:type="pct"/>
          </w:tcPr>
          <w:p w:rsidR="00900C3B" w:rsidRDefault="00900C3B" w:rsidP="00700A7C">
            <w:pPr>
              <w:spacing w:line="360" w:lineRule="auto"/>
              <w:jc w:val="both"/>
              <w:rPr>
                <w:rFonts w:ascii="Times New Roman" w:eastAsia="Times New Roman" w:hAnsi="Times New Roman" w:cs="Times New Roman"/>
                <w:sz w:val="24"/>
              </w:rPr>
            </w:pPr>
          </w:p>
        </w:tc>
        <w:tc>
          <w:tcPr>
            <w:tcW w:w="3750" w:type="pct"/>
          </w:tcPr>
          <w:p w:rsidR="00900C3B" w:rsidRPr="00CD7076" w:rsidRDefault="00900C3B" w:rsidP="00700A7C">
            <w:pPr>
              <w:spacing w:line="360" w:lineRule="auto"/>
              <w:jc w:val="both"/>
              <w:rPr>
                <w:rFonts w:ascii="Times New Roman" w:hAnsi="Times New Roman" w:cs="Times New Roman"/>
                <w:sz w:val="24"/>
              </w:rPr>
            </w:pPr>
            <m:oMathPara>
              <m:oMath>
                <m:r>
                  <w:rPr>
                    <w:rFonts w:ascii="Cambria Math" w:hAnsi="Cambria Math" w:cs="Times New Roman"/>
                    <w:sz w:val="24"/>
                  </w:rPr>
                  <m:t xml:space="preserve">BTM= </m:t>
                </m:r>
                <m:f>
                  <m:fPr>
                    <m:ctrlPr>
                      <w:rPr>
                        <w:rFonts w:ascii="Cambria Math" w:hAnsi="Cambria Math" w:cs="Times New Roman"/>
                        <w:i/>
                        <w:sz w:val="24"/>
                      </w:rPr>
                    </m:ctrlPr>
                  </m:fPr>
                  <m:num>
                    <m:r>
                      <w:rPr>
                        <w:rFonts w:ascii="Cambria Math" w:hAnsi="Cambria Math" w:cs="Times New Roman"/>
                        <w:sz w:val="24"/>
                      </w:rPr>
                      <m:t>k-g</m:t>
                    </m:r>
                  </m:num>
                  <m:den>
                    <m:r>
                      <w:rPr>
                        <w:rFonts w:ascii="Cambria Math" w:hAnsi="Cambria Math" w:cs="Times New Roman"/>
                        <w:sz w:val="24"/>
                      </w:rPr>
                      <m:t>r</m:t>
                    </m:r>
                  </m:den>
                </m:f>
              </m:oMath>
            </m:oMathPara>
          </w:p>
        </w:tc>
        <w:tc>
          <w:tcPr>
            <w:tcW w:w="750" w:type="pct"/>
            <w:vAlign w:val="center"/>
          </w:tcPr>
          <w:p w:rsidR="00900C3B" w:rsidRDefault="00900C3B" w:rsidP="00FE4B4D">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FE4B4D">
              <w:rPr>
                <w:rFonts w:ascii="Times New Roman" w:eastAsia="Times New Roman" w:hAnsi="Times New Roman" w:cs="Times New Roman"/>
                <w:sz w:val="24"/>
              </w:rPr>
              <w:t>12</w:t>
            </w:r>
            <w:r>
              <w:rPr>
                <w:rFonts w:ascii="Times New Roman" w:eastAsia="Times New Roman" w:hAnsi="Times New Roman" w:cs="Times New Roman"/>
                <w:sz w:val="24"/>
              </w:rPr>
              <w:t>)</w:t>
            </w:r>
          </w:p>
        </w:tc>
      </w:tr>
    </w:tbl>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Harris and Marston (1994) continue to break this equation up, expressing k as it is in CAPM. The CAPM equation is given by equation (</w:t>
      </w:r>
      <w:r w:rsidR="00FE4B4D">
        <w:rPr>
          <w:rFonts w:ascii="Times New Roman" w:hAnsi="Times New Roman" w:cs="Times New Roman"/>
          <w:sz w:val="24"/>
        </w:rPr>
        <w:t>13</w:t>
      </w:r>
      <w:r>
        <w:rPr>
          <w:rFonts w:ascii="Times New Roman" w:hAnsi="Times New Roman" w:cs="Times New Roman"/>
          <w:sz w:val="24"/>
        </w:rPr>
        <w:t>) and the resulting equation is indicated by (</w:t>
      </w:r>
      <w:r w:rsidR="00FE4B4D">
        <w:rPr>
          <w:rFonts w:ascii="Times New Roman" w:hAnsi="Times New Roman" w:cs="Times New Roman"/>
          <w:sz w:val="24"/>
        </w:rPr>
        <w:t>14</w:t>
      </w:r>
      <w:r>
        <w:rPr>
          <w:rFonts w:ascii="Times New Roman" w:hAnsi="Times New Roman" w:cs="Times New Roman"/>
          <w:sz w:val="24"/>
        </w:rPr>
        <w:t>)</w:t>
      </w:r>
    </w:p>
    <w:p w:rsidR="00900C3B" w:rsidRDefault="00900C3B" w:rsidP="00900C3B"/>
    <w:tbl>
      <w:tblPr>
        <w:tblStyle w:val="TableGrid"/>
        <w:tblW w:w="5000" w:type="pct"/>
        <w:tblLook w:val="04A0"/>
      </w:tblPr>
      <w:tblGrid>
        <w:gridCol w:w="1386"/>
        <w:gridCol w:w="6932"/>
        <w:gridCol w:w="924"/>
      </w:tblGrid>
      <w:tr w:rsidR="00900C3B" w:rsidTr="00700A7C">
        <w:tc>
          <w:tcPr>
            <w:tcW w:w="7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00C3B" w:rsidRDefault="00900C3B" w:rsidP="00700A7C">
            <w:pPr>
              <w:spacing w:line="360" w:lineRule="auto"/>
              <w:jc w:val="both"/>
              <w:rPr>
                <w:rFonts w:ascii="Times New Roman" w:eastAsia="Times New Roman" w:hAnsi="Times New Roman" w:cs="Times New Roman"/>
                <w:sz w:val="24"/>
              </w:rPr>
            </w:pPr>
          </w:p>
        </w:tc>
        <w:tc>
          <w:tcPr>
            <w:tcW w:w="37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900C3B" w:rsidRPr="00CD7076" w:rsidRDefault="00900C3B" w:rsidP="00700A7C">
            <w:pPr>
              <w:spacing w:line="360" w:lineRule="auto"/>
              <w:jc w:val="both"/>
              <w:rPr>
                <w:rFonts w:ascii="Times New Roman" w:hAnsi="Times New Roman" w:cs="Times New Roman"/>
                <w:sz w:val="24"/>
              </w:rPr>
            </w:pPr>
            <m:oMathPara>
              <m:oMath>
                <m:r>
                  <w:rPr>
                    <w:rFonts w:ascii="Cambria Math" w:hAnsi="Cambria Math" w:cs="Times New Roman"/>
                    <w:sz w:val="24"/>
                  </w:rPr>
                  <m:t xml:space="preserve">k= </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m:t>
                    </m:r>
                  </m:sub>
                </m:sSub>
                <m:r>
                  <w:rPr>
                    <w:rFonts w:ascii="Cambria Math" w:hAnsi="Cambria Math" w:cs="Times New Roman"/>
                    <w:sz w:val="24"/>
                  </w:rPr>
                  <m:t>+β(</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m</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m:t>
                    </m:r>
                  </m:sub>
                </m:sSub>
                <m:r>
                  <w:rPr>
                    <w:rFonts w:ascii="Cambria Math" w:hAnsi="Cambria Math" w:cs="Times New Roman"/>
                    <w:sz w:val="24"/>
                  </w:rPr>
                  <m:t>)</m:t>
                </m:r>
              </m:oMath>
            </m:oMathPara>
          </w:p>
        </w:tc>
        <w:tc>
          <w:tcPr>
            <w:tcW w:w="5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rsidR="00900C3B" w:rsidRDefault="00900C3B" w:rsidP="00FE4B4D">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FE4B4D">
              <w:rPr>
                <w:rFonts w:ascii="Times New Roman" w:eastAsia="Times New Roman" w:hAnsi="Times New Roman" w:cs="Times New Roman"/>
                <w:sz w:val="24"/>
              </w:rPr>
              <w:t>13</w:t>
            </w:r>
            <w:r>
              <w:rPr>
                <w:rFonts w:ascii="Times New Roman" w:eastAsia="Times New Roman" w:hAnsi="Times New Roman" w:cs="Times New Roman"/>
                <w:sz w:val="24"/>
              </w:rPr>
              <w:t>)</w:t>
            </w:r>
          </w:p>
        </w:tc>
      </w:tr>
      <w:tr w:rsidR="00900C3B" w:rsidTr="00700A7C">
        <w:tblPrEx>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Ex>
        <w:tc>
          <w:tcPr>
            <w:tcW w:w="750" w:type="pct"/>
            <w:tcBorders>
              <w:top w:val="single" w:sz="4" w:space="0" w:color="FFFFFF" w:themeColor="background1"/>
            </w:tcBorders>
          </w:tcPr>
          <w:p w:rsidR="00900C3B" w:rsidRDefault="00900C3B" w:rsidP="00700A7C">
            <w:pPr>
              <w:spacing w:line="360" w:lineRule="auto"/>
              <w:jc w:val="both"/>
              <w:rPr>
                <w:rFonts w:ascii="Times New Roman" w:eastAsia="Times New Roman" w:hAnsi="Times New Roman" w:cs="Times New Roman"/>
                <w:sz w:val="24"/>
              </w:rPr>
            </w:pPr>
          </w:p>
        </w:tc>
        <w:tc>
          <w:tcPr>
            <w:tcW w:w="3750" w:type="pct"/>
            <w:tcBorders>
              <w:top w:val="single" w:sz="4" w:space="0" w:color="FFFFFF" w:themeColor="background1"/>
            </w:tcBorders>
          </w:tcPr>
          <w:p w:rsidR="00900C3B" w:rsidRDefault="00900C3B" w:rsidP="00700A7C">
            <w:pPr>
              <w:spacing w:line="360" w:lineRule="auto"/>
              <w:jc w:val="both"/>
              <w:rPr>
                <w:rFonts w:ascii="Times New Roman" w:eastAsia="Times New Roman" w:hAnsi="Times New Roman" w:cs="Times New Roman"/>
                <w:sz w:val="24"/>
              </w:rPr>
            </w:pPr>
          </w:p>
          <w:p w:rsidR="00900C3B" w:rsidRDefault="00900C3B" w:rsidP="00700A7C">
            <w:pPr>
              <w:spacing w:line="360" w:lineRule="auto"/>
              <w:jc w:val="both"/>
              <w:rPr>
                <w:rFonts w:ascii="Times New Roman" w:hAnsi="Times New Roman" w:cs="Times New Roman"/>
                <w:sz w:val="24"/>
              </w:rPr>
            </w:pPr>
            <m:oMathPara>
              <m:oMath>
                <m:r>
                  <w:rPr>
                    <w:rFonts w:ascii="Cambria Math" w:hAnsi="Cambria Math" w:cs="Times New Roman"/>
                    <w:sz w:val="24"/>
                  </w:rPr>
                  <m:t xml:space="preserve">BTM= </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m:t>
                        </m:r>
                      </m:sub>
                    </m:sSub>
                  </m:num>
                  <m:den>
                    <m:r>
                      <w:rPr>
                        <w:rFonts w:ascii="Cambria Math" w:hAnsi="Cambria Math" w:cs="Times New Roman"/>
                        <w:sz w:val="24"/>
                      </w:rPr>
                      <m:t>r</m:t>
                    </m:r>
                  </m:den>
                </m:f>
                <m:r>
                  <w:rPr>
                    <w:rFonts w:ascii="Cambria Math" w:hAnsi="Cambria Math" w:cs="Times New Roman"/>
                    <w:sz w:val="24"/>
                  </w:rPr>
                  <m:t>+</m:t>
                </m:r>
                <m:d>
                  <m:dPr>
                    <m:begChr m:val="["/>
                    <m:endChr m:val="]"/>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m</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m:t>
                            </m:r>
                          </m:sub>
                        </m:sSub>
                      </m:num>
                      <m:den>
                        <m:r>
                          <w:rPr>
                            <w:rFonts w:ascii="Cambria Math" w:hAnsi="Cambria Math" w:cs="Times New Roman"/>
                            <w:sz w:val="24"/>
                          </w:rPr>
                          <m:t>r</m:t>
                        </m:r>
                      </m:den>
                    </m:f>
                  </m:e>
                </m:d>
                <m:r>
                  <w:rPr>
                    <w:rFonts w:ascii="Cambria Math" w:hAnsi="Cambria Math" w:cs="Times New Roman"/>
                    <w:sz w:val="24"/>
                  </w:rPr>
                  <m:t>β-</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r</m:t>
                        </m:r>
                      </m:den>
                    </m:f>
                  </m:e>
                </m:d>
                <m:r>
                  <w:rPr>
                    <w:rFonts w:ascii="Cambria Math" w:hAnsi="Cambria Math" w:cs="Times New Roman"/>
                    <w:sz w:val="24"/>
                  </w:rPr>
                  <m:t>g</m:t>
                </m:r>
              </m:oMath>
            </m:oMathPara>
          </w:p>
          <w:p w:rsidR="00900C3B" w:rsidRDefault="00900C3B" w:rsidP="00700A7C">
            <w:pPr>
              <w:spacing w:line="360" w:lineRule="auto"/>
              <w:jc w:val="both"/>
              <w:rPr>
                <w:rFonts w:ascii="Times New Roman" w:eastAsia="Times New Roman" w:hAnsi="Times New Roman" w:cs="Times New Roman"/>
                <w:sz w:val="24"/>
              </w:rPr>
            </w:pPr>
          </w:p>
        </w:tc>
        <w:tc>
          <w:tcPr>
            <w:tcW w:w="500" w:type="pct"/>
            <w:tcBorders>
              <w:top w:val="single" w:sz="4" w:space="0" w:color="FFFFFF" w:themeColor="background1"/>
            </w:tcBorders>
            <w:vAlign w:val="center"/>
          </w:tcPr>
          <w:p w:rsidR="00900C3B" w:rsidRDefault="00900C3B" w:rsidP="00FE4B4D">
            <w:pPr>
              <w:spacing w:line="360" w:lineRule="auto"/>
              <w:jc w:val="right"/>
              <w:rPr>
                <w:rFonts w:ascii="Times New Roman" w:eastAsia="Times New Roman" w:hAnsi="Times New Roman" w:cs="Times New Roman"/>
                <w:sz w:val="24"/>
              </w:rPr>
            </w:pPr>
            <w:r>
              <w:rPr>
                <w:rFonts w:ascii="Times New Roman" w:eastAsia="Times New Roman" w:hAnsi="Times New Roman" w:cs="Times New Roman"/>
                <w:sz w:val="24"/>
              </w:rPr>
              <w:t>(</w:t>
            </w:r>
            <w:r w:rsidR="00FE4B4D">
              <w:rPr>
                <w:rFonts w:ascii="Times New Roman" w:eastAsia="Times New Roman" w:hAnsi="Times New Roman" w:cs="Times New Roman"/>
                <w:sz w:val="24"/>
              </w:rPr>
              <w:t>14</w:t>
            </w:r>
            <w:r>
              <w:rPr>
                <w:rFonts w:ascii="Times New Roman" w:eastAsia="Times New Roman" w:hAnsi="Times New Roman" w:cs="Times New Roman"/>
                <w:sz w:val="24"/>
              </w:rPr>
              <w:t>)</w:t>
            </w:r>
          </w:p>
        </w:tc>
      </w:tr>
    </w:tbl>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lastRenderedPageBreak/>
        <w:t>The authors need beta to be in the final equation as they are exploring the links between the book-to-market ratio, beta, and growth. The final equation includes all three. Harris and Marston (1994) demonstrate that the BTM ratio must be directly related to beta risk (as the risk of the stock decreases the market value increase, increasing the BTM ratio). The BTM ratio is inversely related to expected growth. This, too, makes intuitive sense by considering equation (</w:t>
      </w:r>
      <w:r w:rsidR="00FE4B4D">
        <w:rPr>
          <w:rFonts w:ascii="Times New Roman" w:hAnsi="Times New Roman" w:cs="Times New Roman"/>
          <w:sz w:val="24"/>
        </w:rPr>
        <w:t>11</w:t>
      </w:r>
      <w:r>
        <w:rPr>
          <w:rFonts w:ascii="Times New Roman" w:hAnsi="Times New Roman" w:cs="Times New Roman"/>
          <w:sz w:val="24"/>
        </w:rPr>
        <w:t xml:space="preserve">) above. If a firm is expected to have increased future growth the market value of the stock will increase and the BTM ratio will decrease. </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Harris and Marston (1994) take the 5 year past growth in earnings per share as their growth proxy. The BTM value comes from Compustat and the authors require 6 months to pass before the value can be included in their dataset to ensure the look-ahead bias does not influence their results. Harris and Marston (1994) sample period spans the period 1982 to 1989, and data is monthly. Even though the period appears short, the number of companies included each month average over 600. Harris and Marston (1994) argue their study is different as they use individual stocks instead of portfolios and calculate separate regressions for each month under construction.</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Analysing equation (4), beta and the BTM ratio appear to be positively correlated and this should be found in the results of Harris and Marston (1994). However, the correlation coefficient of the BTM with beta of -0.119 indicates that the relationship between beta and the value ratio is significantly negative. Growth and the BTM ratio are expected to be negatively related according to the equation derived by Harris and Marston (1994). Their results of the correlation coefficient show a negative correlation of -0.35, which is significant at the 1% level. The significant positive relation of 0.459 between beta and growth is described by Harris and Marston (1994) as being a possible complication to their theory. This relationship indicates that with higher growth, higher risk is expected.</w:t>
      </w:r>
    </w:p>
    <w:p w:rsidR="00900C3B" w:rsidRDefault="00900C3B"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t xml:space="preserve">The regressions run by Harris and Marston (1994) do not include transaction costs. Therefore, the results need to be interpreted with care as they may change when transaction costs are considered. Comparing the annualized excess returns of the two value (high BTM and low growth respectively) and the two growth (low BTM and high growth) portfolios, the </w:t>
      </w:r>
      <w:r>
        <w:rPr>
          <w:rFonts w:ascii="Times New Roman" w:hAnsi="Times New Roman" w:cs="Times New Roman"/>
          <w:sz w:val="24"/>
        </w:rPr>
        <w:lastRenderedPageBreak/>
        <w:t xml:space="preserve">value portfolio returns are larger than the growth portfolios. The high BTM portfolio produces the largest annualized excess return of 16.68%, while the low growth portfolio is second with 13.68%. both growth strategies have the same annualizes excess return of 13.32%, which is also the same as the market over the 1982 to 1989 time period, according to Harris and Marston (1994). The annualized standard deviations of the value strategies are lower than the growth strategies and the market. The high BTM strategy has a standard deviation of 14.28, while the market has an annualized standard deviation of 16.58. The Sharpe ratio of the growth strategies are lower (at 0.69 and 0.65) than the value strategies (1.17 and 1.12). The conclusion drawn by Harris and Marston (1994) from the four different strategies is that the value strategy formed on high BTM stocks produces superior results to either of the growth strategies. The value strategy formed on low growth stocks only produces a 0.36% higher return than both growth strategies and the market portfolio. An investor has the choice of investing in the market that has higher risk or investing in the low growth stocks of the value portfolio, which earns a similar return but with lower risk. </w:t>
      </w:r>
    </w:p>
    <w:p w:rsidR="00900C3B" w:rsidRDefault="00900C3B" w:rsidP="00900C3B">
      <w:pPr>
        <w:spacing w:line="360" w:lineRule="auto"/>
        <w:jc w:val="both"/>
        <w:rPr>
          <w:rFonts w:ascii="Times New Roman" w:hAnsi="Times New Roman" w:cs="Times New Roman"/>
          <w:sz w:val="24"/>
        </w:rPr>
      </w:pPr>
    </w:p>
    <w:p w:rsidR="008B084D" w:rsidRDefault="00900C3B" w:rsidP="008B084D">
      <w:pPr>
        <w:spacing w:line="360" w:lineRule="auto"/>
        <w:jc w:val="both"/>
        <w:rPr>
          <w:rFonts w:ascii="Times New Roman" w:hAnsi="Times New Roman" w:cs="Times New Roman"/>
          <w:sz w:val="24"/>
        </w:rPr>
      </w:pPr>
      <w:r>
        <w:rPr>
          <w:rFonts w:ascii="Times New Roman" w:hAnsi="Times New Roman" w:cs="Times New Roman"/>
          <w:sz w:val="24"/>
        </w:rPr>
        <w:t>Harris and Marston (1994) next sort portfolios on the BTM ratio and growth, taking the top 30%, bottom 30%, and middle 40% of each of the variables. The extreme growth portfolio consisting of high growth and low BTM stocks has a statistically significant excess return of 1.06%. The extreme value portfolio consisting of low growth and high BTM stocks has a statistically significant excess return of 1.31%. While these two extreme portfolios consist of 109 and 114 stocks, respectively, the low growth-low BTM portfolio only consists of 6 stocks. Harris and Marston (1994) suggest this could be a problem as the short period of time and noise inherent in the stock returns will cause a lack of statistical significance of the results. The final statistics considered by the authors is the difference between the value and growth portfolios when the stocks are sorted independently on BTM and growth. Both results are not significantly different from zero, however, the value-growth spread for the BTM portfolio is 3.24% per annum, which is not a very large difference. The betas of the value-growth spreads for both the BTM and growth portfolios are negative. This is interpreted by Harris and Marston (1994) as an inverse relationship between the market and the value strategy. The value strategy will produce better returns when the market drops.</w:t>
      </w:r>
      <w:r w:rsidR="00842726">
        <w:rPr>
          <w:rFonts w:ascii="Times New Roman" w:hAnsi="Times New Roman" w:cs="Times New Roman"/>
          <w:sz w:val="24"/>
        </w:rPr>
        <w:t xml:space="preserve"> This contradicts the theory that value strategies are riskier than growth strategies, especially in down markets.</w:t>
      </w:r>
    </w:p>
    <w:p w:rsidR="008B084D" w:rsidRDefault="008B084D" w:rsidP="008B084D">
      <w:pPr>
        <w:spacing w:line="360" w:lineRule="auto"/>
        <w:jc w:val="both"/>
        <w:rPr>
          <w:rFonts w:ascii="Times New Roman" w:hAnsi="Times New Roman" w:cs="Times New Roman"/>
          <w:sz w:val="24"/>
        </w:rPr>
      </w:pPr>
    </w:p>
    <w:p w:rsidR="008B084D" w:rsidRDefault="00900C3B" w:rsidP="008B084D">
      <w:pPr>
        <w:spacing w:line="360" w:lineRule="auto"/>
        <w:jc w:val="both"/>
        <w:rPr>
          <w:rFonts w:ascii="Times New Roman" w:hAnsi="Times New Roman" w:cs="Times New Roman"/>
          <w:sz w:val="24"/>
        </w:rPr>
      </w:pPr>
      <w:r w:rsidRPr="00566BF3">
        <w:rPr>
          <w:rFonts w:ascii="Times New Roman" w:hAnsi="Times New Roman" w:cs="Times New Roman"/>
          <w:sz w:val="24"/>
        </w:rPr>
        <w:lastRenderedPageBreak/>
        <w:t xml:space="preserve">The data sample that Fama and French (1992) left out of their study is quite large, according to Barber and Lyon (1997). The number of financial firms range from 308 to 1067 firms over the 1973 to 1994 period. Barber and Lyon (1997) look to test whether there are any significant differences between characteristics of financial and non-financial firms. </w:t>
      </w:r>
      <w:r w:rsidRPr="00566BF3">
        <w:rPr>
          <w:rFonts w:ascii="Times New Roman" w:hAnsi="Times New Roman" w:cs="Times New Roman"/>
          <w:sz w:val="24"/>
          <w:szCs w:val="36"/>
        </w:rPr>
        <w:t xml:space="preserve">Barber and Lyon (1997) data comes from the NYSE, </w:t>
      </w:r>
      <w:r>
        <w:rPr>
          <w:rFonts w:ascii="Times New Roman" w:hAnsi="Times New Roman" w:cs="Times New Roman"/>
          <w:sz w:val="24"/>
          <w:szCs w:val="36"/>
        </w:rPr>
        <w:t>AMEX, and NASDAQ stock markets.</w:t>
      </w:r>
      <w:r w:rsidRPr="00566BF3">
        <w:rPr>
          <w:rFonts w:ascii="Times New Roman" w:hAnsi="Times New Roman" w:cs="Times New Roman"/>
          <w:sz w:val="24"/>
          <w:szCs w:val="36"/>
        </w:rPr>
        <w:t xml:space="preserve"> The approach used by Fama and French (1992) is mimicked by Barber and Lyon (1997), except for the types of firms used in their sample. However, to create the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and BTM portfolios, non-financial firms on the NYSE are used. Following this, the authors take only the financial firms in the NYSE, along with all firms on the NASDAQ and AMEX and sort them into the appropriate size and BTM decile portfolios created using the nonfinancial firms’ returns.</w:t>
      </w:r>
      <w:r>
        <w:rPr>
          <w:rFonts w:ascii="Times New Roman" w:hAnsi="Times New Roman" w:cs="Times New Roman"/>
          <w:sz w:val="24"/>
          <w:szCs w:val="36"/>
        </w:rPr>
        <w:t xml:space="preserve"> </w:t>
      </w:r>
      <w:r w:rsidRPr="00566BF3">
        <w:rPr>
          <w:rFonts w:ascii="Times New Roman" w:hAnsi="Times New Roman" w:cs="Times New Roman"/>
          <w:sz w:val="24"/>
        </w:rPr>
        <w:t xml:space="preserve">Testing the null </w:t>
      </w:r>
      <w:r>
        <w:rPr>
          <w:rFonts w:ascii="Times New Roman" w:hAnsi="Times New Roman" w:cs="Times New Roman"/>
          <w:sz w:val="24"/>
        </w:rPr>
        <w:t>hypothesis</w:t>
      </w:r>
      <w:r w:rsidRPr="00566BF3">
        <w:rPr>
          <w:rFonts w:ascii="Times New Roman" w:hAnsi="Times New Roman" w:cs="Times New Roman"/>
          <w:sz w:val="24"/>
        </w:rPr>
        <w:t xml:space="preserve"> which states that the average monthly returns can be distinguished between financial and non-financial firms, the authors find they are not able to reject this null </w:t>
      </w:r>
      <w:r>
        <w:rPr>
          <w:rFonts w:ascii="Times New Roman" w:hAnsi="Times New Roman" w:cs="Times New Roman"/>
          <w:sz w:val="24"/>
        </w:rPr>
        <w:t>hypothesis</w:t>
      </w:r>
      <w:r w:rsidRPr="00566BF3">
        <w:rPr>
          <w:rFonts w:ascii="Times New Roman" w:hAnsi="Times New Roman" w:cs="Times New Roman"/>
          <w:sz w:val="24"/>
        </w:rPr>
        <w:t xml:space="preserve">. Averaging the market </w:t>
      </w:r>
      <w:r>
        <w:rPr>
          <w:rFonts w:ascii="Times New Roman" w:hAnsi="Times New Roman" w:cs="Times New Roman"/>
          <w:sz w:val="24"/>
        </w:rPr>
        <w:t>capitalisation</w:t>
      </w:r>
      <w:r w:rsidRPr="00566BF3">
        <w:rPr>
          <w:rFonts w:ascii="Times New Roman" w:hAnsi="Times New Roman" w:cs="Times New Roman"/>
          <w:sz w:val="24"/>
        </w:rPr>
        <w:t xml:space="preserve"> of financial and non-financial firms, Barber and Lyon (1997) once again find no difference. They do, however, find that the medians of the two types of firms differ, with the financial firms having a larger median than that of the nonfinancial firms. </w:t>
      </w:r>
    </w:p>
    <w:p w:rsidR="008B084D" w:rsidRDefault="008B084D" w:rsidP="008B084D">
      <w:pPr>
        <w:spacing w:line="360" w:lineRule="auto"/>
        <w:jc w:val="both"/>
        <w:rPr>
          <w:rFonts w:ascii="Times New Roman" w:hAnsi="Times New Roman" w:cs="Times New Roman"/>
          <w:sz w:val="24"/>
        </w:rPr>
      </w:pPr>
    </w:p>
    <w:p w:rsidR="008B084D" w:rsidRDefault="00900C3B" w:rsidP="008B084D">
      <w:pPr>
        <w:spacing w:line="360" w:lineRule="auto"/>
        <w:jc w:val="both"/>
        <w:rPr>
          <w:rFonts w:ascii="Times New Roman" w:hAnsi="Times New Roman" w:cs="Times New Roman"/>
          <w:sz w:val="24"/>
          <w:szCs w:val="36"/>
        </w:rPr>
      </w:pPr>
      <w:r w:rsidRPr="00566BF3">
        <w:rPr>
          <w:rFonts w:ascii="Times New Roman" w:hAnsi="Times New Roman" w:cs="Times New Roman"/>
          <w:sz w:val="24"/>
        </w:rPr>
        <w:t>Similar results are found for financial and non-financial firms sorted on the BTM ratio. Significant size and BTM premiums are found in Barber and Lyon (1997) sample. The most important test, however, is that of whether value financial stocks outperform growth financial stocks. They first test the BTM sorted deciles, and conclude that value stocks (high BTM stocks) outperform growth stocks (low BTM stocks). When they test the size sorted deciles, they find that there is a size premium in the beginning of their sample period, but when they approach the 1984 to 1988 years large firms outperform small ones. After 1989 the small stocks come back and produce better returns than large firms for both financial and non-financial stocks. Small financial stocks have mean monthly returns of 1.34% as opposed to large financial stocks with only 0.79%.</w:t>
      </w:r>
      <w:r>
        <w:rPr>
          <w:rFonts w:ascii="Times New Roman" w:hAnsi="Times New Roman" w:cs="Times New Roman"/>
          <w:sz w:val="24"/>
        </w:rPr>
        <w:t xml:space="preserve"> </w:t>
      </w:r>
      <w:r w:rsidRPr="00566BF3">
        <w:rPr>
          <w:rFonts w:ascii="Times New Roman" w:hAnsi="Times New Roman" w:cs="Times New Roman"/>
          <w:sz w:val="24"/>
          <w:szCs w:val="36"/>
        </w:rPr>
        <w:t xml:space="preserve">Barber and Lyon (1997) find evidence against Fama and French (1992) argument. They find that there </w:t>
      </w:r>
      <w:r>
        <w:rPr>
          <w:rFonts w:ascii="Times New Roman" w:hAnsi="Times New Roman" w:cs="Times New Roman"/>
          <w:sz w:val="24"/>
          <w:szCs w:val="36"/>
        </w:rPr>
        <w:t>is not</w:t>
      </w:r>
      <w:r w:rsidRPr="00566BF3">
        <w:rPr>
          <w:rFonts w:ascii="Times New Roman" w:hAnsi="Times New Roman" w:cs="Times New Roman"/>
          <w:sz w:val="24"/>
          <w:szCs w:val="36"/>
        </w:rPr>
        <w:t xml:space="preserve"> much of a difference between financial and non-financial size and BTM premiums.</w:t>
      </w:r>
    </w:p>
    <w:p w:rsidR="008B084D" w:rsidRDefault="008B084D" w:rsidP="008B084D">
      <w:pPr>
        <w:spacing w:line="360" w:lineRule="auto"/>
        <w:jc w:val="both"/>
        <w:rPr>
          <w:rFonts w:ascii="Times New Roman" w:hAnsi="Times New Roman" w:cs="Times New Roman"/>
          <w:sz w:val="24"/>
          <w:szCs w:val="36"/>
        </w:rPr>
      </w:pPr>
    </w:p>
    <w:p w:rsidR="00900C3B" w:rsidRPr="001E52F7" w:rsidRDefault="00900C3B" w:rsidP="00900C3B">
      <w:pPr>
        <w:spacing w:line="360" w:lineRule="auto"/>
        <w:jc w:val="both"/>
        <w:rPr>
          <w:rFonts w:ascii="Times New Roman" w:hAnsi="Times New Roman" w:cs="Times New Roman"/>
          <w:sz w:val="24"/>
        </w:rPr>
      </w:pPr>
      <w:r w:rsidRPr="001E52F7">
        <w:rPr>
          <w:rFonts w:ascii="Times New Roman" w:hAnsi="Times New Roman" w:cs="Times New Roman"/>
          <w:sz w:val="24"/>
        </w:rPr>
        <w:t xml:space="preserve">By considering the stock markets in the US, Malaysia, Japan, Hong Kong, Thailand and Taiwan, Chen and Zhang (1998) are able to take their risk characteristics that they believe are </w:t>
      </w:r>
      <w:r w:rsidRPr="001E52F7">
        <w:rPr>
          <w:rFonts w:ascii="Times New Roman" w:hAnsi="Times New Roman" w:cs="Times New Roman"/>
          <w:sz w:val="24"/>
        </w:rPr>
        <w:lastRenderedPageBreak/>
        <w:t>related to value stocks and determine whether they are able to explain the cross-section of returns. The authors ask two specific questions – first, are the returns of value stocks higher because they are compensation for higher risks attributed to value stocks? Second, what are the differences in return results between the countries under consideration?</w:t>
      </w:r>
    </w:p>
    <w:p w:rsidR="00900C3B" w:rsidRPr="001E52F7" w:rsidRDefault="00900C3B" w:rsidP="00900C3B">
      <w:pPr>
        <w:spacing w:line="360" w:lineRule="auto"/>
        <w:jc w:val="both"/>
        <w:rPr>
          <w:rFonts w:ascii="Times New Roman" w:hAnsi="Times New Roman" w:cs="Times New Roman"/>
          <w:sz w:val="24"/>
        </w:rPr>
      </w:pPr>
    </w:p>
    <w:p w:rsidR="00900C3B" w:rsidRPr="001E52F7" w:rsidRDefault="00900C3B" w:rsidP="00900C3B">
      <w:pPr>
        <w:spacing w:line="360" w:lineRule="auto"/>
        <w:jc w:val="both"/>
        <w:rPr>
          <w:rFonts w:ascii="Times New Roman" w:hAnsi="Times New Roman" w:cs="Times New Roman"/>
          <w:sz w:val="24"/>
        </w:rPr>
      </w:pPr>
      <w:r w:rsidRPr="001E52F7">
        <w:rPr>
          <w:rFonts w:ascii="Times New Roman" w:hAnsi="Times New Roman" w:cs="Times New Roman"/>
          <w:sz w:val="24"/>
        </w:rPr>
        <w:t xml:space="preserve">In comparison to the US, Taiwan and Thailand’s high book-to-market stocks do not have extraordinary returns. This could be indicative of a more superior, well-informed investing force in both Thailand and Taiwan, or it could mean that the data period considered is a determining factor in the outcome. In fact, it could even be suggested that investors in Taiwan and Thailand are not as naive as those in the US, as they do not seem to extrapolate past performance into the future. The superior investing force argument is presented by Chen and Zhang (1998) as they propose that the difference between the high risk firms (hence high return) and low risk firms (hence low return) is not as pronounced in the US market as it is in the high-growth markets of Thailand and Taiwan. Chen and Zhang (1998) explain that, because the US market is a developed market that is stable and mature, it will contain stocks considered as value as they have been neglected, or have depressed prices, or have fairly uncertain futures which results in the market attributing them low prices. Thailand and Taiwan on the other hand, are rapidly growing markets, which may have the distinction of value and growth stocks, but because the economy is growing even the value stocks benefit, thus creating a small, even non-existent, value effect. This implies that if one were to create a value portfolio in Thailand or Taiwan, it will not produce the investor with superior returns. Chen and Zhang (1998) further find that, even though there is clear evidence of the value effect in the US, there is no return difference between small, high BTM firms and large, low BTM firms in Taiwan and Thailand. </w:t>
      </w:r>
    </w:p>
    <w:p w:rsidR="00900C3B" w:rsidRPr="001E52F7" w:rsidRDefault="00900C3B" w:rsidP="00900C3B">
      <w:pPr>
        <w:spacing w:line="360" w:lineRule="auto"/>
        <w:jc w:val="both"/>
        <w:rPr>
          <w:rFonts w:ascii="Times New Roman" w:hAnsi="Times New Roman" w:cs="Times New Roman"/>
          <w:sz w:val="24"/>
        </w:rPr>
      </w:pPr>
    </w:p>
    <w:p w:rsidR="008B084D" w:rsidRDefault="00900C3B" w:rsidP="008B084D">
      <w:pPr>
        <w:spacing w:line="360" w:lineRule="auto"/>
        <w:jc w:val="both"/>
        <w:rPr>
          <w:rFonts w:ascii="Times New Roman" w:hAnsi="Times New Roman" w:cs="Times New Roman"/>
          <w:sz w:val="24"/>
        </w:rPr>
      </w:pPr>
      <w:r w:rsidRPr="001E52F7">
        <w:rPr>
          <w:rFonts w:ascii="Times New Roman" w:hAnsi="Times New Roman" w:cs="Times New Roman"/>
          <w:sz w:val="24"/>
        </w:rPr>
        <w:t>Value premiums are found in the US, Hong Kong, Malaysia, and Japan, but Chen and Zhang (1998) do not find any value-growth effect in Thailand or Taiwan. By taking the difference in returns between the small-</w:t>
      </w:r>
      <w:r>
        <w:rPr>
          <w:rFonts w:ascii="Times New Roman" w:hAnsi="Times New Roman" w:cs="Times New Roman"/>
          <w:sz w:val="24"/>
        </w:rPr>
        <w:t>capitalisation</w:t>
      </w:r>
      <w:r w:rsidRPr="001E52F7">
        <w:rPr>
          <w:rFonts w:ascii="Times New Roman" w:hAnsi="Times New Roman" w:cs="Times New Roman"/>
          <w:sz w:val="24"/>
        </w:rPr>
        <w:t>, high BTM ratio portfolio (value portfolio) and large-</w:t>
      </w:r>
      <w:r>
        <w:rPr>
          <w:rFonts w:ascii="Times New Roman" w:hAnsi="Times New Roman" w:cs="Times New Roman"/>
          <w:sz w:val="24"/>
        </w:rPr>
        <w:t>capitalisation</w:t>
      </w:r>
      <w:r w:rsidRPr="001E52F7">
        <w:rPr>
          <w:rFonts w:ascii="Times New Roman" w:hAnsi="Times New Roman" w:cs="Times New Roman"/>
          <w:sz w:val="24"/>
        </w:rPr>
        <w:t xml:space="preserve">, low BTM ratio portfolio (growth portfolio), and then dividing by the market premium standard deviation, the authors can compare each country’s value effect. Their measure describes how strong the value effect is in a country relative to the volatility of the market. The US has a cross-country value effect of 192, while Thailand has a value of 33, </w:t>
      </w:r>
      <w:r w:rsidRPr="001E52F7">
        <w:rPr>
          <w:rFonts w:ascii="Times New Roman" w:hAnsi="Times New Roman" w:cs="Times New Roman"/>
          <w:sz w:val="24"/>
        </w:rPr>
        <w:lastRenderedPageBreak/>
        <w:t>indicating the value stocks in the US market are more likely to be deemed value stocks due to their past misfortunes or depressed earnings.</w:t>
      </w:r>
    </w:p>
    <w:p w:rsidR="008B084D" w:rsidRDefault="008B084D" w:rsidP="008B084D">
      <w:pPr>
        <w:spacing w:line="360" w:lineRule="auto"/>
        <w:jc w:val="both"/>
        <w:rPr>
          <w:rFonts w:ascii="Times New Roman" w:hAnsi="Times New Roman" w:cs="Times New Roman"/>
          <w:sz w:val="24"/>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Daniel and Titman (1999) propose value stocks, which are somewhat harder to value than growth stocks, are more affected by investor overconfidence. This investor overconfidence is where an investor underweights any information not sourced directly by him (for example, accounting data). Also, an investor can be overconfident in his abilities. In order to test whether their theory that overconfidence affects firms that are much harder to value, Daniel and Titman (1999) use the measure BTM as a proxy for the concreteness of information. Since a high BTM ratio indicates value stocks, it also indicates stocks with vague information, Daniel and Titman (1999). This is because a low BTM ratio signals high growth opportunities while a high BTM ratio indicates to the investor that the specific stock has low growth options. </w:t>
      </w:r>
    </w:p>
    <w:p w:rsidR="00900C3B" w:rsidRDefault="00900C3B" w:rsidP="00900C3B"/>
    <w:p w:rsidR="008B084D" w:rsidRDefault="00900C3B" w:rsidP="008B084D">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125 portfolios are created by Daniel and Titman (1999) using stocks from the NYSE, AMEX, and NASDAQ markets over the period 1963 to 1997. Certain restrictions are required to be met in order for a share to be included in the dataset. There needs to be Compustat data available for at least 24 months before portfolio formation. In addition to this requirement, CRSP data (that is, the return data) needs to have data available for the 6 months preceding portfolio formation. Once these restrictions and others are satisfied, Daniel and Titman (1999) create their 125 portfolios, sorting them on size, momentum, and the BTM ratio. Momentum is the previous 12 month return calculated starting from the end of May in t-1. The portfolios are value weighted, and are annually rebalanced in the July of each year. Daniel and Titman (1999) do this in order to minimize transaction costs. The stocks are initially sorted into 3 separate groups of 5 portfolios each based on the market capitalisation, BTM ratio and momentum. Within each of these 5 size sorted portfolios the stocks are further split into another 5 portfolios based on the BTM ratio. This implies that, at this point, there are 25 portfolios sorted on size and the BTM ratio. The last sort is performed on these 25 portfolios, which are split into another 5 portfolios each based on momentum. Daniel and Titman (1999) are thus left with 125 portfolios sorted three ways.  Single sorted portfolios are regressed in order to determine whether each variable, individually, has an effect on the cross-section of average returns. Daniel and Titman (1999) sort 25 portfolios based on the </w:t>
      </w:r>
      <w:r>
        <w:rPr>
          <w:rFonts w:ascii="Times New Roman" w:hAnsi="Times New Roman" w:cs="Times New Roman"/>
          <w:sz w:val="24"/>
          <w:szCs w:val="36"/>
        </w:rPr>
        <w:lastRenderedPageBreak/>
        <w:t>BTM ratio and momentum. The authors find there is a positive return for high minus low momentum portfolios, as is there a positive return for high minus low BTM portfolios.</w:t>
      </w:r>
    </w:p>
    <w:p w:rsidR="008B084D" w:rsidRDefault="008B084D" w:rsidP="008B084D">
      <w:pPr>
        <w:spacing w:line="360" w:lineRule="auto"/>
        <w:jc w:val="both"/>
        <w:rPr>
          <w:rFonts w:ascii="Times New Roman" w:hAnsi="Times New Roman" w:cs="Times New Roman"/>
          <w:sz w:val="24"/>
          <w:szCs w:val="36"/>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Graham and Uliana (2001) look for a possible value effect in portfolios of stocks from the JSE. The authors test whether there are mean excess returns to value shares or to growth shares. To distinguish between value and growth stocks, Graham and Uliana (2001) use the BTM ratio. They argue that their results would be comparable to Capaul, Rowley, and Sharpe (1993) and Fama and French (1992) by using this measure.</w:t>
      </w:r>
    </w:p>
    <w:p w:rsidR="00900C3B" w:rsidRDefault="00900C3B" w:rsidP="00900C3B">
      <w:pPr>
        <w:pStyle w:val="ListParagraph"/>
        <w:spacing w:line="360" w:lineRule="auto"/>
        <w:ind w:left="0"/>
        <w:jc w:val="both"/>
        <w:rPr>
          <w:rFonts w:ascii="Times New Roman" w:hAnsi="Times New Roman" w:cs="Times New Roman"/>
          <w:sz w:val="24"/>
          <w:szCs w:val="36"/>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Graham and Uliana (2001) examine the monthly excess returns of their constructed portfolios. They examine the period January 1987 to December 1996. Important to this study by Graham and Uliana (2001) is their use of industrial stocks only. They leave out mining and financial stocks because they use different accounting methods. In addition to this, the mining industry is susceptible to fluctuating commodity prices. In both the mining and financial sector the authors believe the BTM ratio will not have the same meaning as it will have in the industrial sector. </w:t>
      </w:r>
    </w:p>
    <w:p w:rsidR="00900C3B" w:rsidRDefault="00900C3B" w:rsidP="00900C3B">
      <w:pPr>
        <w:pStyle w:val="ListParagraph"/>
        <w:spacing w:line="360" w:lineRule="auto"/>
        <w:ind w:left="0"/>
        <w:jc w:val="both"/>
        <w:rPr>
          <w:rFonts w:ascii="Times New Roman" w:hAnsi="Times New Roman" w:cs="Times New Roman"/>
          <w:sz w:val="24"/>
          <w:szCs w:val="36"/>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Graham and Uliana (2001) rank their stocks according to BTM value and split their stocks 50-50 into either value or growth portfolios. The portfolios are rebalanced annually. The authors calculate the returns by subtracting the previous month’s price from the current month’s price and dividing this answer by the previous month’s price. The authors disregard dividends but take into account share splits and capitalisation issues. Graham and Uliana (2001) calculate the monthly excess returns for each share by subtracting the risk-free rate from the calculated return. The 90 day Banker’s Acceptance rate is used as a suitable proxy for the risk-free rate. Mean monthly excess returns are calculated on both the equally weighted and value weighted methods.</w:t>
      </w:r>
    </w:p>
    <w:p w:rsidR="00900C3B" w:rsidRDefault="00900C3B" w:rsidP="00900C3B">
      <w:pPr>
        <w:pStyle w:val="ListParagraph"/>
        <w:spacing w:line="360" w:lineRule="auto"/>
        <w:ind w:left="0"/>
        <w:jc w:val="both"/>
        <w:rPr>
          <w:rFonts w:ascii="Times New Roman" w:hAnsi="Times New Roman" w:cs="Times New Roman"/>
          <w:sz w:val="24"/>
          <w:szCs w:val="36"/>
        </w:rPr>
      </w:pPr>
    </w:p>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results of the comparison between the mean monthly excess returns of the </w:t>
      </w:r>
      <w:r w:rsidR="004741B7">
        <w:rPr>
          <w:rFonts w:ascii="Times New Roman" w:hAnsi="Times New Roman" w:cs="Times New Roman"/>
          <w:sz w:val="24"/>
          <w:szCs w:val="36"/>
        </w:rPr>
        <w:t xml:space="preserve">equally weighted </w:t>
      </w:r>
      <w:r>
        <w:rPr>
          <w:rFonts w:ascii="Times New Roman" w:hAnsi="Times New Roman" w:cs="Times New Roman"/>
          <w:sz w:val="24"/>
          <w:szCs w:val="36"/>
        </w:rPr>
        <w:t xml:space="preserve">value and growth portfolios indicate that value outperforms growth, Graham and Uliana (2001). However, this result is limited to the 1993 to 1996 period and the year 1987. There is no outright value premia as the statistical significance of the value strategy only occurs in 4 out of the 10 years. The Sharpe ratios produce similar results. In 1987 the value </w:t>
      </w:r>
      <w:r>
        <w:rPr>
          <w:rFonts w:ascii="Times New Roman" w:hAnsi="Times New Roman" w:cs="Times New Roman"/>
          <w:sz w:val="24"/>
          <w:szCs w:val="36"/>
        </w:rPr>
        <w:lastRenderedPageBreak/>
        <w:t xml:space="preserve">portfolio outperforms growth, as does it in the years after 1993. Preceding 1992 the Sharpe ratios indicate growth portfolios outperform value. </w:t>
      </w:r>
    </w:p>
    <w:p w:rsidR="00900C3B" w:rsidRDefault="00900C3B" w:rsidP="001D14E8"/>
    <w:p w:rsidR="00900C3B" w:rsidRDefault="00900C3B" w:rsidP="00900C3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Value outperforms growth when Graham and Uliana (2001) consider the value weighted</w:t>
      </w:r>
      <w:r w:rsidR="004741B7">
        <w:rPr>
          <w:rFonts w:ascii="Times New Roman" w:hAnsi="Times New Roman" w:cs="Times New Roman"/>
          <w:sz w:val="24"/>
          <w:szCs w:val="36"/>
        </w:rPr>
        <w:t xml:space="preserve"> portfolios’</w:t>
      </w:r>
      <w:r>
        <w:rPr>
          <w:rFonts w:ascii="Times New Roman" w:hAnsi="Times New Roman" w:cs="Times New Roman"/>
          <w:sz w:val="24"/>
          <w:szCs w:val="36"/>
        </w:rPr>
        <w:t xml:space="preserve"> mean monthly excess returns. Growth portfolios outperform value portfolios in the years preceding 1992 and in 1995. The value portfolios outperform the growth portfolios in the years after 1992. Graham and Uliana (2001) next look at the value-growth spread by subtracting the cumulative mean excess monthly returns of the growth portfolios from the value portfolios. Both value weighted and equally weighted portfolios are considered and the results are similar to above: the cumulative mean excess monthly returns are higher for value portfolios. </w:t>
      </w:r>
    </w:p>
    <w:p w:rsidR="00900C3B" w:rsidRDefault="00900C3B" w:rsidP="00900C3B">
      <w:pPr>
        <w:pStyle w:val="ListParagraph"/>
        <w:spacing w:line="360" w:lineRule="auto"/>
        <w:ind w:left="0"/>
        <w:jc w:val="both"/>
        <w:rPr>
          <w:rFonts w:ascii="Times New Roman" w:hAnsi="Times New Roman" w:cs="Times New Roman"/>
          <w:sz w:val="24"/>
          <w:szCs w:val="36"/>
        </w:rPr>
      </w:pPr>
    </w:p>
    <w:p w:rsidR="008B084D" w:rsidRDefault="00900C3B" w:rsidP="008B084D">
      <w:pPr>
        <w:spacing w:line="360" w:lineRule="auto"/>
        <w:jc w:val="both"/>
        <w:rPr>
          <w:rFonts w:ascii="Times New Roman" w:hAnsi="Times New Roman" w:cs="Times New Roman"/>
          <w:sz w:val="24"/>
          <w:szCs w:val="36"/>
        </w:rPr>
      </w:pPr>
      <w:r>
        <w:rPr>
          <w:rFonts w:ascii="Times New Roman" w:hAnsi="Times New Roman" w:cs="Times New Roman"/>
          <w:sz w:val="24"/>
          <w:szCs w:val="36"/>
        </w:rPr>
        <w:t>The clear difference between results before and after 1992 is argued by Graham and Uliana (2001) as to be due to the political climate in South Africa. Post-1992 the authors argue that international trends would have been more visible in the South African economy. Inflation is also considered by the authors. High inflation was experience pre-1992 and thus may have distorted the value-growth results, which is why they found growth to outperform value in this period.</w:t>
      </w:r>
    </w:p>
    <w:p w:rsidR="008B084D" w:rsidRDefault="008B084D" w:rsidP="008B084D">
      <w:pPr>
        <w:spacing w:line="360" w:lineRule="auto"/>
        <w:jc w:val="both"/>
        <w:rPr>
          <w:rFonts w:ascii="Times New Roman" w:hAnsi="Times New Roman" w:cs="Times New Roman"/>
          <w:sz w:val="24"/>
          <w:szCs w:val="36"/>
        </w:rPr>
      </w:pPr>
    </w:p>
    <w:p w:rsidR="00494B76" w:rsidRDefault="00900C3B" w:rsidP="00900C3B">
      <w:pPr>
        <w:spacing w:line="360" w:lineRule="auto"/>
        <w:jc w:val="both"/>
        <w:rPr>
          <w:rFonts w:ascii="Times New Roman" w:hAnsi="Times New Roman" w:cs="Times New Roman"/>
          <w:sz w:val="24"/>
        </w:rPr>
      </w:pPr>
      <w:r>
        <w:rPr>
          <w:rFonts w:ascii="Times New Roman" w:hAnsi="Times New Roman" w:cs="Times New Roman"/>
          <w:sz w:val="24"/>
          <w:szCs w:val="36"/>
        </w:rPr>
        <w:t xml:space="preserve">The study of the Tokyo Stock Exchange is performed by </w:t>
      </w:r>
      <w:r>
        <w:rPr>
          <w:rFonts w:ascii="Times New Roman" w:hAnsi="Times New Roman" w:cs="Times New Roman"/>
          <w:sz w:val="24"/>
        </w:rPr>
        <w:t xml:space="preserve">Garza-Gómez (2001). </w:t>
      </w:r>
      <w:r w:rsidRPr="001E52F7">
        <w:rPr>
          <w:rFonts w:ascii="Times New Roman" w:hAnsi="Times New Roman" w:cs="Times New Roman"/>
          <w:sz w:val="24"/>
        </w:rPr>
        <w:t xml:space="preserve">Garza-Gómez (2001) states that the market </w:t>
      </w:r>
      <w:r>
        <w:rPr>
          <w:rFonts w:ascii="Times New Roman" w:hAnsi="Times New Roman" w:cs="Times New Roman"/>
          <w:sz w:val="24"/>
        </w:rPr>
        <w:t>capitalisation</w:t>
      </w:r>
      <w:r w:rsidRPr="001E52F7">
        <w:rPr>
          <w:rFonts w:ascii="Times New Roman" w:hAnsi="Times New Roman" w:cs="Times New Roman"/>
          <w:sz w:val="24"/>
        </w:rPr>
        <w:t xml:space="preserve"> variable can tell the investor two things: what the future of the company looks like and how risky the firm is. However, the problem with this variable is that an analyst will need to control for future cash flows in order to find the risk inherent in the market value variable. This, as Garza-Gómez (2001) demonstrates, is difficult as future cash flows are not observable and have to be proxied by other (usually accounting) variables. The author decides </w:t>
      </w:r>
      <w:r>
        <w:rPr>
          <w:rFonts w:ascii="Times New Roman" w:hAnsi="Times New Roman" w:cs="Times New Roman"/>
          <w:sz w:val="24"/>
        </w:rPr>
        <w:t xml:space="preserve">that </w:t>
      </w:r>
      <w:r w:rsidRPr="001E52F7">
        <w:rPr>
          <w:rFonts w:ascii="Times New Roman" w:hAnsi="Times New Roman" w:cs="Times New Roman"/>
          <w:sz w:val="24"/>
        </w:rPr>
        <w:t xml:space="preserve">book value is an appropriate proxy for expected cash flows and uses this in combination with the market value variable in his regressions. </w:t>
      </w:r>
      <w:r>
        <w:rPr>
          <w:rFonts w:ascii="Times New Roman" w:hAnsi="Times New Roman" w:cs="Times New Roman"/>
          <w:sz w:val="24"/>
        </w:rPr>
        <w:t xml:space="preserve">He only examines the first section of the exchange which consists of larger market capitalisation stocks. The second part of the Tokyo Stock Exchange consists of smaller capitalisation stocks that, when they get large enough, can move up to the first section of the exchange.  </w:t>
      </w:r>
    </w:p>
    <w:p w:rsidR="00494B76" w:rsidRDefault="00494B76" w:rsidP="00900C3B">
      <w:pPr>
        <w:spacing w:line="360" w:lineRule="auto"/>
        <w:jc w:val="both"/>
        <w:rPr>
          <w:rFonts w:ascii="Times New Roman" w:hAnsi="Times New Roman" w:cs="Times New Roman"/>
          <w:sz w:val="24"/>
        </w:rPr>
      </w:pPr>
    </w:p>
    <w:p w:rsidR="00900C3B" w:rsidRDefault="00900C3B" w:rsidP="00900C3B">
      <w:pPr>
        <w:spacing w:line="360" w:lineRule="auto"/>
        <w:jc w:val="both"/>
        <w:rPr>
          <w:rFonts w:ascii="Times New Roman" w:hAnsi="Times New Roman" w:cs="Times New Roman"/>
          <w:sz w:val="24"/>
        </w:rPr>
      </w:pPr>
      <w:r>
        <w:rPr>
          <w:rFonts w:ascii="Times New Roman" w:hAnsi="Times New Roman" w:cs="Times New Roman"/>
          <w:sz w:val="24"/>
        </w:rPr>
        <w:lastRenderedPageBreak/>
        <w:t>Garza-Gómez (2001) observes monthly returns taken from the Japanese Securities Research Institute, and accounting data sourced from the Japan Development Bank database. The author assumes it will take 6 months post the publication of financial statements for the financial statement information to reach investors, so Garza-Gómez (2001) uses accounting data from October (instead of March, which is the general fiscal year end in Japan) in order to explain stock returns. The author requires four conditions to be met in order for stocks to be included in his dataset. Accounting data must span the previous 5 years, as well as stock returns need to be available for 2 years of those 5 years, remembering that these are monthly returns. Trading volume, which is sourced from the Toyo Keizai database, needs to have 12 months of past data, and at the fiscal year end of March firms are required to have a positive book value figure to be included in the dataset. The period Garza-Gómez (2001) considers in his study spans from 1965 to 1997. The smallest number of companies included in his dataset is 466, and the largest is 1092. This is in contrast to the current dissertation where the average number of firms in any portfolio is about 209. The average number of firms used in total throughout the entire sample period in this dissertation is about 3980 firms.</w:t>
      </w:r>
      <w:r>
        <w:rPr>
          <w:rFonts w:ascii="Times New Roman" w:hAnsi="Times New Roman" w:cs="Times New Roman"/>
          <w:b/>
          <w:color w:val="FF0000"/>
          <w:sz w:val="24"/>
        </w:rPr>
        <w:t xml:space="preserve"> </w:t>
      </w:r>
      <w:r w:rsidRPr="002E7371">
        <w:rPr>
          <w:rFonts w:ascii="Times New Roman" w:hAnsi="Times New Roman" w:cs="Times New Roman"/>
          <w:sz w:val="24"/>
        </w:rPr>
        <w:t>Past volatility of returns, market beta, leverage, and volatility of cash flows are risk measure</w:t>
      </w:r>
      <w:r>
        <w:rPr>
          <w:rFonts w:ascii="Times New Roman" w:hAnsi="Times New Roman" w:cs="Times New Roman"/>
          <w:sz w:val="24"/>
        </w:rPr>
        <w:t>s</w:t>
      </w:r>
      <w:r w:rsidRPr="002E7371">
        <w:rPr>
          <w:rFonts w:ascii="Times New Roman" w:hAnsi="Times New Roman" w:cs="Times New Roman"/>
          <w:sz w:val="24"/>
        </w:rPr>
        <w:t xml:space="preserve"> used</w:t>
      </w:r>
      <w:r>
        <w:rPr>
          <w:rFonts w:ascii="Times New Roman" w:hAnsi="Times New Roman" w:cs="Times New Roman"/>
          <w:b/>
          <w:sz w:val="24"/>
        </w:rPr>
        <w:t xml:space="preserve"> </w:t>
      </w:r>
      <w:r>
        <w:rPr>
          <w:rFonts w:ascii="Times New Roman" w:hAnsi="Times New Roman" w:cs="Times New Roman"/>
          <w:sz w:val="24"/>
        </w:rPr>
        <w:t xml:space="preserve">by Garza-Gómez (2001) to determine if they explain stock returns. </w:t>
      </w:r>
    </w:p>
    <w:p w:rsidR="00900C3B" w:rsidRDefault="00900C3B" w:rsidP="00900C3B"/>
    <w:p w:rsidR="00900C3B" w:rsidRPr="002E7371" w:rsidRDefault="00900C3B" w:rsidP="00900C3B">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Using next year’s cash flow, the five year sum of future cash flows, market value, and leverage, Garza-Gómez (2001) determines what the correlation is between these variables and the accounting variables based on earnings, and those based on actual size (sales, book value of assets, and property, plant and equipment). High correlations exist between current cash flow and next year’s cash flow, as well as current cash flow and the 5 year sum of future cash flow. Garza-Gómez (2001) however, is more interested in the correlation between book value and market value. The correlation sits at 0.89 which is the highest value for the correlation between market value and any of the other 6 variables in his study. These 6 variables are the earnings before extraordinary items, cash flow, book value of assets, sales, property, plant and equipment, and number of employees. Number of employees is a determinant of physical size as a smaller number would imply the firm is small or will be smaller in the future, while a larger number would imply a large firm or expansion of a small one. The leverage variable has negative correlations with the earnings variables. The leverage variable is defined by Garza-Gómez (2001) as liabilities divided by assets. This implies that as liabilities increase or assets decrease (causing leverage to increase) the earnings variables </w:t>
      </w:r>
      <w:r w:rsidR="00852177">
        <w:rPr>
          <w:rFonts w:ascii="Times New Roman" w:hAnsi="Times New Roman" w:cs="Times New Roman"/>
          <w:sz w:val="24"/>
        </w:rPr>
        <w:t xml:space="preserve">(cash flow and book value of equity) </w:t>
      </w:r>
      <w:r>
        <w:rPr>
          <w:rFonts w:ascii="Times New Roman" w:hAnsi="Times New Roman" w:cs="Times New Roman"/>
          <w:sz w:val="24"/>
        </w:rPr>
        <w:t xml:space="preserve">will decrease. With the same increase or decrease in </w:t>
      </w:r>
      <w:r>
        <w:rPr>
          <w:rFonts w:ascii="Times New Roman" w:hAnsi="Times New Roman" w:cs="Times New Roman"/>
          <w:sz w:val="24"/>
        </w:rPr>
        <w:lastRenderedPageBreak/>
        <w:t xml:space="preserve">liabilities and assets the size variables will increase. Garza-Gómez (2001) demonstrates that small firms (sorted by their market capitalisation) have higher leverage, higher betas and higher volatility of past earnings when compared to large firms. The author believes that this is evidence in favour of the hypothesis that smaller firms are riskier than larger ones. </w:t>
      </w:r>
    </w:p>
    <w:p w:rsidR="00900C3B" w:rsidRDefault="00900C3B" w:rsidP="00900C3B"/>
    <w:p w:rsidR="008B084D" w:rsidRDefault="00900C3B" w:rsidP="008B084D">
      <w:pPr>
        <w:spacing w:line="360" w:lineRule="auto"/>
        <w:jc w:val="both"/>
        <w:rPr>
          <w:rFonts w:ascii="Times New Roman" w:hAnsi="Times New Roman" w:cs="Times New Roman"/>
          <w:sz w:val="24"/>
          <w:szCs w:val="36"/>
        </w:rPr>
      </w:pPr>
      <w:r>
        <w:rPr>
          <w:rFonts w:ascii="Times New Roman" w:hAnsi="Times New Roman" w:cs="Times New Roman"/>
          <w:sz w:val="24"/>
          <w:szCs w:val="36"/>
        </w:rPr>
        <w:t>Sorting portfolios on two variables, first by book value of assets and then by the market value of equity, Garza-Gómez (2001) investigates the risk assumed inherent in the market value of equity. He demonstrates that low market capitalisation firms have higher leverage. Three variables considered by Garza-Gómez (2001) to be associated with risk are the portion of firms in a portfolio with negative earnings, the number of firms cutting dividend and net income divided by total assets, which is a measure of profitability. Garza-Gómez (2001) calculates the number of firms cutting dividends as the portion of companies within each portfolio that reduces their dividends. Clear evidence shows that as the market capitalisation increases the fraction of firms reducing dividends decreases. Liquidity is the next consideration of Garza-Gómez (2001) as investors who invest in more illiquid stocks require a higher return to compensate for this fact. The stock turnover ratio is the measure of liquidity used by Garza-Gómez (2001) as it is a much easier measure than that of the bid-ask spread. Each month the author calculates how many times the stock for company i was traded. He does this each month for 12 months prior to portfolio formation. The results are indicative of the assertion that smaller stocks are assumed to have less liquidity than larger ones.</w:t>
      </w:r>
    </w:p>
    <w:p w:rsidR="008B084D" w:rsidRPr="00144120" w:rsidRDefault="008B084D" w:rsidP="008B084D">
      <w:pPr>
        <w:spacing w:line="360" w:lineRule="auto"/>
        <w:jc w:val="both"/>
        <w:rPr>
          <w:rFonts w:ascii="Times New Roman" w:hAnsi="Times New Roman" w:cs="Times New Roman"/>
          <w:szCs w:val="36"/>
        </w:rPr>
      </w:pPr>
    </w:p>
    <w:p w:rsidR="00900C3B" w:rsidRPr="00900C3B" w:rsidRDefault="008B084D" w:rsidP="00900C3B">
      <w:pPr>
        <w:spacing w:line="360" w:lineRule="auto"/>
        <w:rPr>
          <w:rFonts w:ascii="Times New Roman" w:hAnsi="Times New Roman" w:cs="Times New Roman"/>
          <w:b/>
          <w:sz w:val="32"/>
        </w:rPr>
      </w:pPr>
      <w:r w:rsidRPr="008B084D">
        <w:rPr>
          <w:rFonts w:ascii="Times New Roman" w:hAnsi="Times New Roman" w:cs="Times New Roman"/>
          <w:b/>
          <w:sz w:val="32"/>
        </w:rPr>
        <w:t>Evidence relating to the E/P ratio</w:t>
      </w:r>
    </w:p>
    <w:p w:rsidR="008B084D" w:rsidRPr="00144120" w:rsidRDefault="008B084D" w:rsidP="008B084D">
      <w:pPr>
        <w:spacing w:line="360" w:lineRule="auto"/>
        <w:jc w:val="both"/>
        <w:rPr>
          <w:rFonts w:ascii="Times New Roman" w:hAnsi="Times New Roman" w:cs="Times New Roman"/>
        </w:rPr>
      </w:pPr>
    </w:p>
    <w:p w:rsidR="008B084D" w:rsidRDefault="00900C3B" w:rsidP="008B084D">
      <w:pPr>
        <w:spacing w:line="360" w:lineRule="auto"/>
        <w:jc w:val="both"/>
        <w:rPr>
          <w:rFonts w:ascii="Times New Roman" w:hAnsi="Times New Roman" w:cs="Times New Roman"/>
          <w:sz w:val="24"/>
          <w:szCs w:val="24"/>
        </w:rPr>
      </w:pPr>
      <w:r w:rsidRPr="00566BF3">
        <w:rPr>
          <w:rFonts w:ascii="Times New Roman" w:hAnsi="Times New Roman" w:cs="Times New Roman"/>
          <w:sz w:val="24"/>
          <w:szCs w:val="36"/>
        </w:rPr>
        <w:t xml:space="preserve">Using data from </w:t>
      </w:r>
      <w:r>
        <w:rPr>
          <w:rFonts w:ascii="Times New Roman" w:hAnsi="Times New Roman" w:cs="Times New Roman"/>
          <w:sz w:val="24"/>
          <w:szCs w:val="36"/>
        </w:rPr>
        <w:t>Compustat</w:t>
      </w:r>
      <w:r w:rsidRPr="00566BF3">
        <w:rPr>
          <w:rFonts w:ascii="Times New Roman" w:hAnsi="Times New Roman" w:cs="Times New Roman"/>
          <w:sz w:val="24"/>
          <w:szCs w:val="36"/>
        </w:rPr>
        <w:t xml:space="preserve">, Basu (1977) focuses on NYSE Industrial firms’ P/E data. </w:t>
      </w:r>
      <w:r>
        <w:rPr>
          <w:rFonts w:ascii="Times New Roman" w:hAnsi="Times New Roman" w:cs="Times New Roman"/>
          <w:sz w:val="24"/>
          <w:szCs w:val="36"/>
        </w:rPr>
        <w:t>The author</w:t>
      </w:r>
      <w:r w:rsidRPr="00566BF3">
        <w:rPr>
          <w:rFonts w:ascii="Times New Roman" w:hAnsi="Times New Roman" w:cs="Times New Roman"/>
          <w:sz w:val="24"/>
          <w:szCs w:val="36"/>
        </w:rPr>
        <w:t xml:space="preserve"> ensures that delisted firms are also included in his sample as his sample runs over the period 1956 to 1971. He splits the P/E ratios into five portfolios, ranging from highest to lowest. Basu (1977) argues that the portfolios he creates are purchased at the beginning of April because financial statements for the year end 31 December may only be published three months after the fiscal year end. The author employs the three evaluation methods of Jensen, Sharpe, and Treynor. A relevant result that comes out of Basu (1977) study is that the pair of lowest P/E ratio portfolios created have an average return of 13.5% per annum (for the </w:t>
      </w:r>
      <w:r w:rsidRPr="00566BF3">
        <w:rPr>
          <w:rFonts w:ascii="Times New Roman" w:hAnsi="Times New Roman" w:cs="Times New Roman"/>
          <w:sz w:val="24"/>
          <w:szCs w:val="36"/>
        </w:rPr>
        <w:lastRenderedPageBreak/>
        <w:t xml:space="preserve">second lowest portfolio) and 16.3% per annum (for the extreme low portfolio) throughout the 1956-1971 period. On the other hand, and in accord with the contrarian view that value portfolios produce better results than growth portfolios, the </w:t>
      </w:r>
      <w:r w:rsidRPr="001F267C">
        <w:rPr>
          <w:rFonts w:ascii="Times New Roman" w:hAnsi="Times New Roman" w:cs="Times New Roman"/>
          <w:sz w:val="24"/>
          <w:szCs w:val="24"/>
        </w:rPr>
        <w:t>two highest P/E portfolios only managed average returns of 9.3% per annum (for the second highest portfolio) and 9.5% per annum (for the highest portfolio).</w:t>
      </w:r>
    </w:p>
    <w:p w:rsidR="008B084D" w:rsidRDefault="008B084D" w:rsidP="008B084D">
      <w:pPr>
        <w:spacing w:line="360" w:lineRule="auto"/>
        <w:jc w:val="both"/>
        <w:rPr>
          <w:rFonts w:ascii="Times New Roman" w:hAnsi="Times New Roman" w:cs="Times New Roman"/>
          <w:sz w:val="24"/>
          <w:szCs w:val="24"/>
        </w:rPr>
      </w:pPr>
    </w:p>
    <w:p w:rsidR="00FE0A40" w:rsidRDefault="00FE0A40" w:rsidP="00FE0A4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Over the period 1951 to 1986 Jaffe, Keim, and Westerfield (1989) demonstrate that the E/P effect has a more significant impact on returns than the size effect. Jaffe, Keim, and Westerfield (1989) propose the files from Compustat have two potential biases. The one bias is that firms that have not survived for many different reasons are excluded from the database, while the second bias is where data is included in the database that is not yet available to the ordinary investor. This latter bias is potentially more dangerous as it could affect the behaviour of investors who are overconfident. Jaffe, Keim, and Westerfield (1989) create 6 portfolios for the stocks sorted on the E/P ratio. The lowest portfolio is the one in which all the negative earnings stocks are placed. The next group contains the lowest positive E/P stocks and group number 6 contains the highest positive E/P stocks. These 5 positive groups are then separated further by market capitalisation. Positive group 1 contains the small capitalisation stocks and the lowest E/P stocks, while positive group 5 contains the large capitalisation stocks and the largest E/P stocks. The portfolios are rebalanced annually and the returns are calculated on the equally weighted basis. Jaffe, Keim, and Westerfield (1989) then create 6 portfolios using the exact same procedure as before, except the initial sorting is made on market capitalisation first and then those 6 size portfolios are sorted by the E/P ratio. Jaffe, Keim, and Westerfield (1989) note that the two different sorting methods produce similar results and thus only document the results from the portfolios first sorted on the E/P ratio and second on market capitalisation. </w:t>
      </w:r>
    </w:p>
    <w:p w:rsidR="00FE0A40" w:rsidRDefault="00FE0A40" w:rsidP="00FE0A40"/>
    <w:p w:rsidR="008B084D" w:rsidRDefault="00FE0A40" w:rsidP="008B084D">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A clear pattern emerges from the average characteristics table of Jaffe, Keim, and Westerfield (1989) – size is inversely related to stock returns, while the E/P ratio is positively related to stock returns. However, the lowest positive E/P portfolio tends to have, at least, returns equal to those in the next highest E/P portfolio. When Jaffe, Keim, and Westerfield (1989) consider the negative E/P portfolio they notice the positive relationship between E/P and returns does not exist as the negative E/P portfolio appears to outperform a lot of the positive E/P portfolios. A correlation between market capitalisation and E/P is demonstrated by the </w:t>
      </w:r>
      <w:r>
        <w:rPr>
          <w:rFonts w:ascii="Times New Roman" w:hAnsi="Times New Roman" w:cs="Times New Roman"/>
          <w:sz w:val="24"/>
          <w:szCs w:val="36"/>
        </w:rPr>
        <w:lastRenderedPageBreak/>
        <w:t>authors as the smaller sized firms tend to have higher E/P ratios. Jaffe, Keim, and Westerfield (1989) use a Seemingly Unrelated Regression (SUR) model as opposed to an analysis of variance model as they believe this model will provide fewer errors in the estimation of the variables. The results of the log of size measure using the SUR model shows that in the sub-period (1951 to 1969) the coefficient is significant in January and all 12 months combined, but insignificant from February to December. The E/P coefficient is significant in January of both sub-periods (1951 to 1969 and 1969 to 1986) but is significant the rest of the months only in the 1969 to 1986 period. Jaffe, Keim, and Westerfield (1989) explain that these results are a product of the period and are thus time-period specific</w:t>
      </w:r>
    </w:p>
    <w:p w:rsidR="008B084D" w:rsidRDefault="008B084D" w:rsidP="008B084D">
      <w:pPr>
        <w:spacing w:line="360" w:lineRule="auto"/>
        <w:jc w:val="both"/>
        <w:rPr>
          <w:rFonts w:ascii="Times New Roman" w:hAnsi="Times New Roman" w:cs="Times New Roman"/>
          <w:sz w:val="24"/>
          <w:szCs w:val="36"/>
        </w:rPr>
      </w:pPr>
    </w:p>
    <w:p w:rsidR="00FE0A40" w:rsidRDefault="00FE0A40" w:rsidP="00FE0A4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Dreman and Berry (1995) examine quarterly earnings that are sourced from the Abel Noser database, while the returns considered are taken from Compustat. Portfolios are formed based on quarters and are rebalanced annually over the period 1973 to 1993. The authors also decide to form portfolios still based on quarters but for longer than a one year holding period, rather a five year holding period. To create the portfolios, Dreman and Berry (1995) split the stocks into quintiles (5 separate portfolios) based on the trailing 12 month P/E multiples. Any P/E multiples that fall under the category of negative, zero, or over the value of 60 are excluded from the dataset. Dreman and Berry (1995) observe that, in the quarter in which the earnings surprise occurs, the low P/E quintile (i.e., the value portfolio) produces superior annualised market-adjusted holding period returns (7.1% more than the market). This evidence is in contrast to the high P/E quintile (i.e., the growth portfolio) which earns 5.69% less than the market portfolio in the quarter of the earnings surprise. The mid P/E quintile, however, does not show any remarkable results.  Dreman and Berry (1995) posit that if their mispricing-correction hypothesis (MCH) holds then favourable information should affect good and bad stocks in different ways. This makes sense as a positive earnings surprise for a good (growth) stock should only confirm the investors’ expectations and not change the stock price </w:t>
      </w:r>
      <w:r w:rsidR="00DC1424">
        <w:rPr>
          <w:rFonts w:ascii="Times New Roman" w:hAnsi="Times New Roman" w:cs="Times New Roman"/>
          <w:sz w:val="24"/>
          <w:szCs w:val="36"/>
        </w:rPr>
        <w:t>by a significant amount</w:t>
      </w:r>
      <w:r>
        <w:rPr>
          <w:rFonts w:ascii="Times New Roman" w:hAnsi="Times New Roman" w:cs="Times New Roman"/>
          <w:sz w:val="24"/>
          <w:szCs w:val="36"/>
        </w:rPr>
        <w:t xml:space="preserve">. This theory is demonstrated by Dreman and Berry (1995) with low P/E stocks having a good response to positive earnings surprises to the value of 21% (annualised total return) above the market in the quarter of the earnings surprise. For the one year holding period Dreman and Berry (1995) find that this superior performance persists, although dropping to 9.1% greater than the market. This figure, albeit smaller than the 21% in the first quarter after the shock, still shows the advantage in terms of performance the low P/E stocks have over high P/E stocks after a positive earnings surprise. The high P/E stocks </w:t>
      </w:r>
      <w:r>
        <w:rPr>
          <w:rFonts w:ascii="Times New Roman" w:hAnsi="Times New Roman" w:cs="Times New Roman"/>
          <w:sz w:val="24"/>
          <w:szCs w:val="36"/>
        </w:rPr>
        <w:lastRenderedPageBreak/>
        <w:t xml:space="preserve">do not have as large a reaction to positive earnings surprises with a value of 6.63% greater than the market in the quarter of the surprise, and diminishes almost completely after one year. </w:t>
      </w:r>
    </w:p>
    <w:p w:rsidR="00FE0A40" w:rsidRDefault="00FE0A40" w:rsidP="00FE0A40"/>
    <w:p w:rsidR="008B084D" w:rsidRDefault="00FE0A40" w:rsidP="008B084D">
      <w:pPr>
        <w:spacing w:line="360" w:lineRule="auto"/>
        <w:jc w:val="both"/>
        <w:rPr>
          <w:rFonts w:ascii="Times New Roman" w:hAnsi="Times New Roman" w:cs="Times New Roman"/>
          <w:sz w:val="24"/>
          <w:szCs w:val="36"/>
        </w:rPr>
      </w:pPr>
      <w:r>
        <w:rPr>
          <w:rFonts w:ascii="Times New Roman" w:hAnsi="Times New Roman" w:cs="Times New Roman"/>
          <w:sz w:val="24"/>
          <w:szCs w:val="36"/>
        </w:rPr>
        <w:t>As with the positive earnings surprises, the negative ones are also expected by Dreman and Berry (1995) to have an asymmetrical effect. The authors demonstrate that with low P/E stocks negative news is expected and so the effect it has on those stocks is rather small (-4.17% in the quarter of the announcement and 0.74% one year after). High P/E stocks, on the other hand, are expected by investors to do well and so any negative earnings surprises will have a much larger adverse effect on these portfolios. Dreman and Berry (1995) prove this with high P/E portfolios earnings a return of 18.49% less than the market in the quarter of announcement. One year later and the negative return is still rather large for the high P/E portfolios at -9.54%. When Dreman and Berry (1995) consider event triggers and reinforcing events, as proposed by the MCH, they observe that event triggers have a larger impact on returns than reinforcing events. This should be apparent as an event trigger is when a positive earnings surprise occurs for a low P/E stock or portfolio, while a negative earnings surprise occurs for a high P/E stock or portfolio, Dreman and Berry (1995). The authors further describe the reinforcement event as an unfavourable earnings surprise for a low P/E stock or portfolio and a favourable earnings surprise for a high P/E stock or portfolio. As it has already been documented that Dreman and Berry (1995) find that there is a much larger event trigger, it should come as no surprise to the reader that the tests performed result in the same conclusion: the event trigger in the quarter or earnings announcement, and one year subsequent, has a larger effect on the P/E portfolios than the reinforcing event.</w:t>
      </w:r>
    </w:p>
    <w:p w:rsidR="008B084D" w:rsidRDefault="008B084D" w:rsidP="008B084D">
      <w:pPr>
        <w:spacing w:line="360" w:lineRule="auto"/>
        <w:jc w:val="both"/>
        <w:rPr>
          <w:rFonts w:ascii="Times New Roman" w:hAnsi="Times New Roman" w:cs="Times New Roman"/>
          <w:sz w:val="24"/>
          <w:szCs w:val="36"/>
        </w:rPr>
      </w:pPr>
    </w:p>
    <w:p w:rsidR="00FE0A40" w:rsidRPr="001E52F7" w:rsidRDefault="00FE0A40" w:rsidP="00FE0A40">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t>Bauman and Miller (1997) aim  to test the difference in performance between value and growth portfolio</w:t>
      </w:r>
      <w:r w:rsidR="00DC1424">
        <w:rPr>
          <w:rFonts w:ascii="Times New Roman" w:eastAsia="Times New Roman" w:hAnsi="Times New Roman" w:cs="Times New Roman"/>
          <w:sz w:val="24"/>
          <w:szCs w:val="24"/>
          <w:lang w:val="en-GB" w:eastAsia="en-GB"/>
        </w:rPr>
        <w:t>s</w:t>
      </w:r>
      <w:r w:rsidRPr="001E52F7">
        <w:rPr>
          <w:rFonts w:ascii="Times New Roman" w:eastAsia="Times New Roman" w:hAnsi="Times New Roman" w:cs="Times New Roman"/>
          <w:sz w:val="24"/>
          <w:szCs w:val="24"/>
          <w:lang w:val="en-GB" w:eastAsia="en-GB"/>
        </w:rPr>
        <w:t xml:space="preserve"> over a fourteen year period, using Compustat data for the NYSE, AMEX, and NASDAQ stock markets. The authors avoid survivorship bias through the use of Compustat data as the details of stocks that are delisted are still included in the data set. Bauman and Miller (1997) state that they choose earnings as a proxy for future investment performance as investors generally use earnings as a determinant of future value. The authors separate the stocks based on their E/P ratios into value (high E/P) and growth (low E/P), separating them into four different portfolios with equally weighted portfolio returns. </w:t>
      </w:r>
    </w:p>
    <w:p w:rsidR="00FE0A40" w:rsidRDefault="00FE0A40" w:rsidP="00FE0A40">
      <w:pPr>
        <w:spacing w:line="360" w:lineRule="auto"/>
        <w:jc w:val="both"/>
        <w:rPr>
          <w:rFonts w:ascii="Times New Roman" w:eastAsia="Times New Roman" w:hAnsi="Times New Roman" w:cs="Times New Roman"/>
          <w:sz w:val="24"/>
          <w:szCs w:val="24"/>
          <w:lang w:val="en-GB" w:eastAsia="en-GB"/>
        </w:rPr>
      </w:pPr>
      <w:r w:rsidRPr="001E52F7">
        <w:rPr>
          <w:rFonts w:ascii="Times New Roman" w:eastAsia="Times New Roman" w:hAnsi="Times New Roman" w:cs="Times New Roman"/>
          <w:sz w:val="24"/>
          <w:szCs w:val="24"/>
          <w:lang w:val="en-GB" w:eastAsia="en-GB"/>
        </w:rPr>
        <w:lastRenderedPageBreak/>
        <w:t>The results of Bauman and Miller</w:t>
      </w:r>
      <w:r>
        <w:rPr>
          <w:rFonts w:ascii="Times New Roman" w:eastAsia="Times New Roman" w:hAnsi="Times New Roman" w:cs="Times New Roman"/>
          <w:sz w:val="24"/>
          <w:szCs w:val="24"/>
          <w:lang w:val="en-GB" w:eastAsia="en-GB"/>
        </w:rPr>
        <w:t>’s</w:t>
      </w:r>
      <w:r w:rsidRPr="001E52F7">
        <w:rPr>
          <w:rFonts w:ascii="Times New Roman" w:eastAsia="Times New Roman" w:hAnsi="Times New Roman" w:cs="Times New Roman"/>
          <w:sz w:val="24"/>
          <w:szCs w:val="24"/>
          <w:lang w:val="en-GB" w:eastAsia="en-GB"/>
        </w:rPr>
        <w:t xml:space="preserve"> (1997) study are not surprising. The value portfolio (comprising of the high E/P stocks) produce better returns than the growth portfolio, which comprises of low E/P stocks. For five non-consecutive years Bauman and Miller (1997) indicate that the value portfolio outperforming the growth portfolio is statistically significant at the 1% level. However, the growth portfolio turns around and outperforms the value portfolio in six non-consecutive years. Again, in only two years is the outperformance statistically significant at the 1% level. In fact, over the entire sample period (14 years) the extreme value portfolio produces better results, with a geometric mean return of 19.3%, while the extreme growth portfolio only managed to earn a mean return of 16.2%. </w:t>
      </w:r>
    </w:p>
    <w:p w:rsidR="00FE0A40" w:rsidRDefault="00FE0A40" w:rsidP="00FE0A40">
      <w:pPr>
        <w:spacing w:line="360" w:lineRule="auto"/>
        <w:jc w:val="both"/>
        <w:rPr>
          <w:rFonts w:ascii="Times New Roman" w:eastAsia="Times New Roman" w:hAnsi="Times New Roman" w:cs="Times New Roman"/>
          <w:sz w:val="24"/>
          <w:szCs w:val="24"/>
          <w:lang w:val="en-GB" w:eastAsia="en-GB"/>
        </w:rPr>
      </w:pPr>
    </w:p>
    <w:p w:rsidR="008B084D" w:rsidRDefault="00FE0A40" w:rsidP="008B084D">
      <w:pPr>
        <w:spacing w:line="360" w:lineRule="auto"/>
        <w:jc w:val="both"/>
        <w:rPr>
          <w:rFonts w:ascii="Times New Roman" w:eastAsia="Times New Roman" w:hAnsi="Times New Roman" w:cs="Times New Roman"/>
          <w:sz w:val="24"/>
          <w:szCs w:val="24"/>
          <w:lang w:eastAsia="en-GB"/>
        </w:rPr>
      </w:pPr>
      <w:r w:rsidRPr="001E52F7">
        <w:rPr>
          <w:rFonts w:ascii="Times New Roman" w:eastAsia="Times New Roman" w:hAnsi="Times New Roman" w:cs="Times New Roman"/>
          <w:sz w:val="24"/>
          <w:szCs w:val="24"/>
          <w:lang w:eastAsia="en-GB"/>
        </w:rPr>
        <w:t>Bauman and Miller (1997) use a proxy for investor expectations in order to determine whether the consensus forecast of earnings per share is accurate or whether it lies above or below the actual earnings. The movement from high E/P ratios to low E/P ratios (value to growth portfolios) is indicated by increasingly more earnings surprises. The number of earnings disappointments was less for the value or high E/P portfolio, in comparison to the growth or low E/P ratio portfolio, which had more earnings disappointments. Specifically, the growth portfolio had more negative earnings surprises, while the value portfolio had more positive earnings surprises. The conclusion made from this result is that investors or analysts were making errors in earnings forecasts, and thus were being surprised either negatively or positively when the actual earnings were published. What is not surprising, but rather more noteworthy, is that the extreme value portfolio is almost always underestimated by analysts and investors in terms of forecasting earnings.</w:t>
      </w:r>
    </w:p>
    <w:p w:rsidR="008B084D" w:rsidRDefault="008B084D" w:rsidP="008B084D">
      <w:pPr>
        <w:spacing w:line="360" w:lineRule="auto"/>
        <w:jc w:val="both"/>
        <w:rPr>
          <w:rFonts w:ascii="Times New Roman" w:eastAsia="Times New Roman" w:hAnsi="Times New Roman" w:cs="Times New Roman"/>
          <w:sz w:val="24"/>
          <w:szCs w:val="24"/>
          <w:lang w:eastAsia="en-GB"/>
        </w:rPr>
      </w:pPr>
    </w:p>
    <w:p w:rsidR="00FE0A40" w:rsidRDefault="008B084D" w:rsidP="00FE0A40">
      <w:pPr>
        <w:spacing w:line="360" w:lineRule="auto"/>
        <w:rPr>
          <w:rFonts w:ascii="Times New Roman" w:hAnsi="Times New Roman" w:cs="Times New Roman"/>
          <w:b/>
          <w:sz w:val="32"/>
        </w:rPr>
      </w:pPr>
      <w:r w:rsidRPr="008B084D">
        <w:rPr>
          <w:rFonts w:ascii="Times New Roman" w:hAnsi="Times New Roman" w:cs="Times New Roman"/>
          <w:b/>
          <w:sz w:val="32"/>
        </w:rPr>
        <w:t>Evidence relating to combinations of the valuation variables</w:t>
      </w:r>
    </w:p>
    <w:p w:rsidR="0089390A" w:rsidRPr="00FE0A40" w:rsidRDefault="0089390A" w:rsidP="00FE0A40">
      <w:pPr>
        <w:spacing w:line="360" w:lineRule="auto"/>
        <w:rPr>
          <w:rFonts w:ascii="Times New Roman" w:hAnsi="Times New Roman" w:cs="Times New Roman"/>
          <w:b/>
          <w:sz w:val="32"/>
        </w:rPr>
      </w:pPr>
    </w:p>
    <w:p w:rsidR="00597D5C" w:rsidRDefault="00597D5C" w:rsidP="00597D5C">
      <w:pPr>
        <w:spacing w:line="360" w:lineRule="auto"/>
        <w:jc w:val="both"/>
        <w:rPr>
          <w:rFonts w:ascii="Times New Roman" w:hAnsi="Times New Roman" w:cs="Times New Roman"/>
          <w:sz w:val="24"/>
        </w:rPr>
      </w:pPr>
      <w:r w:rsidRPr="001E52F7">
        <w:rPr>
          <w:rFonts w:ascii="Times New Roman" w:hAnsi="Times New Roman" w:cs="Times New Roman"/>
          <w:sz w:val="24"/>
        </w:rPr>
        <w:t xml:space="preserve">While the US enjoys many researchers taking a keen interest in their economy, Japan takes a back seat to research, but researchers began to take an interest in the Japanese market sometime around the 1990’s. Chan, Hamao, and Lakonishok (1991) use the Japanese stock market to explore the relationships between the E/P, B/M, C/P ratios and size with returns. What the authors find restrictive about previous Japanese evidence is delisted stocks were not available to include in the sample, financial ratios were limited as was the time period under </w:t>
      </w:r>
      <w:r w:rsidRPr="001E52F7">
        <w:rPr>
          <w:rFonts w:ascii="Times New Roman" w:hAnsi="Times New Roman" w:cs="Times New Roman"/>
          <w:sz w:val="24"/>
        </w:rPr>
        <w:lastRenderedPageBreak/>
        <w:t>consideration. Therefore, in Chan, Hamao, and Lakonishok (1991) study they attempt to rectify these downfalls by increasing the study period, using better quality data and financial variables that are not limited.</w:t>
      </w:r>
      <w:r w:rsidRPr="00566BF3">
        <w:rPr>
          <w:rFonts w:ascii="Times New Roman" w:hAnsi="Times New Roman" w:cs="Times New Roman"/>
          <w:sz w:val="24"/>
        </w:rPr>
        <w:t xml:space="preserve"> The Tokyo Stock Exchange </w:t>
      </w:r>
      <w:r>
        <w:rPr>
          <w:rFonts w:ascii="Times New Roman" w:hAnsi="Times New Roman" w:cs="Times New Roman"/>
          <w:sz w:val="24"/>
        </w:rPr>
        <w:t>(</w:t>
      </w:r>
      <w:r w:rsidRPr="00566BF3">
        <w:rPr>
          <w:rFonts w:ascii="Times New Roman" w:hAnsi="Times New Roman" w:cs="Times New Roman"/>
          <w:sz w:val="24"/>
        </w:rPr>
        <w:t>TSE</w:t>
      </w:r>
      <w:r>
        <w:rPr>
          <w:rFonts w:ascii="Times New Roman" w:hAnsi="Times New Roman" w:cs="Times New Roman"/>
          <w:sz w:val="24"/>
        </w:rPr>
        <w:t>)</w:t>
      </w:r>
      <w:r w:rsidRPr="00566BF3">
        <w:rPr>
          <w:rFonts w:ascii="Times New Roman" w:hAnsi="Times New Roman" w:cs="Times New Roman"/>
          <w:sz w:val="24"/>
        </w:rPr>
        <w:t xml:space="preserve"> has two sections to it – one for smaller firms with smaller market </w:t>
      </w:r>
      <w:r>
        <w:rPr>
          <w:rFonts w:ascii="Times New Roman" w:hAnsi="Times New Roman" w:cs="Times New Roman"/>
          <w:sz w:val="24"/>
        </w:rPr>
        <w:t>capitalisation</w:t>
      </w:r>
      <w:r w:rsidRPr="00566BF3">
        <w:rPr>
          <w:rFonts w:ascii="Times New Roman" w:hAnsi="Times New Roman" w:cs="Times New Roman"/>
          <w:sz w:val="24"/>
        </w:rPr>
        <w:t xml:space="preserve">s, and one for larger firms with larger market </w:t>
      </w:r>
      <w:r>
        <w:rPr>
          <w:rFonts w:ascii="Times New Roman" w:hAnsi="Times New Roman" w:cs="Times New Roman"/>
          <w:sz w:val="24"/>
        </w:rPr>
        <w:t>capitalisation</w:t>
      </w:r>
      <w:r w:rsidRPr="00566BF3">
        <w:rPr>
          <w:rFonts w:ascii="Times New Roman" w:hAnsi="Times New Roman" w:cs="Times New Roman"/>
          <w:sz w:val="24"/>
        </w:rPr>
        <w:t xml:space="preserve">s. When a smaller firm becomes large enough, it moves up to the larger firm section. In this way, Chan, Hamao, and Lakonishok (1991) compare the larger and small firm sections to that of the NYSE and AMEX. To further make comparison to the US studies, similar to the CRSP database is the database formed by Hamao and Daiwa Securities Co. Ltd., Tokyo. However, in contrast to the US studies, Japan does not have a comparative risk-free security such as the Treasury bill. Chan, Hamao, and Lakonishok (1991) use instead, the combination of a 30-day repo rate and the call money rate. In order to be fully comparable with US studies, the authors find that almost all previous studies on the Japanese stock market only included larger firms (that is, firms sitting in the first section of the TSE), while some studies used only a sample of the first section stocks, so Chan, Hamao, and Lakonishok (1991) use both the first and second sections of the TSE. </w:t>
      </w:r>
      <w:r>
        <w:rPr>
          <w:rFonts w:ascii="Times New Roman" w:hAnsi="Times New Roman" w:cs="Times New Roman"/>
          <w:sz w:val="24"/>
        </w:rPr>
        <w:t xml:space="preserve">In studies looking at the Tokyo Stock Exchange, Chan, Hamao, and Lakonishok (1991) note that non-manufacturing firms tend to be left out of the sample as accounting data is not easily accessible. They make the argument that the non-manufacturing sector is too large a part of the economy to leave out, thus they include these stocks in their sample. </w:t>
      </w:r>
    </w:p>
    <w:p w:rsidR="00597D5C" w:rsidRPr="00566BF3" w:rsidRDefault="00597D5C" w:rsidP="00597D5C">
      <w:pPr>
        <w:pStyle w:val="ListParagraph"/>
        <w:spacing w:line="360" w:lineRule="auto"/>
        <w:ind w:left="0"/>
        <w:jc w:val="both"/>
        <w:rPr>
          <w:rFonts w:ascii="Times New Roman" w:hAnsi="Times New Roman" w:cs="Times New Roman"/>
          <w:sz w:val="24"/>
          <w:szCs w:val="36"/>
        </w:rPr>
      </w:pPr>
    </w:p>
    <w:p w:rsidR="00597D5C" w:rsidRPr="00566BF3" w:rsidRDefault="00597D5C" w:rsidP="00597D5C">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Chan, Hamao, and Lakonishok (1991) take a different approach to forming their portfolios. They make use of three steps in creating the portfolios. First, they sort all the stocks on the TSE into five groups based on the E/P ratio, ensuring the one portfolio has </w:t>
      </w:r>
      <w:r>
        <w:rPr>
          <w:rFonts w:ascii="Times New Roman" w:hAnsi="Times New Roman" w:cs="Times New Roman"/>
          <w:sz w:val="24"/>
          <w:szCs w:val="36"/>
        </w:rPr>
        <w:t xml:space="preserve">all </w:t>
      </w:r>
      <w:r w:rsidRPr="00566BF3">
        <w:rPr>
          <w:rFonts w:ascii="Times New Roman" w:hAnsi="Times New Roman" w:cs="Times New Roman"/>
          <w:sz w:val="24"/>
          <w:szCs w:val="36"/>
        </w:rPr>
        <w:t xml:space="preserve">the negative earnings in it. Next the authors separate each portfolio into four portfolios based on the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of the stocks. The E/P portfolios </w:t>
      </w:r>
      <w:r>
        <w:rPr>
          <w:rFonts w:ascii="Times New Roman" w:hAnsi="Times New Roman" w:cs="Times New Roman"/>
          <w:sz w:val="24"/>
          <w:szCs w:val="36"/>
        </w:rPr>
        <w:t>are initially sorted on value from lowest to highest. When these portfolios are again sorted on size, the same methodology applies. This suggests that a portfolio may consist of stocks that are small capitalisation and have a low E/P ratio, for example.</w:t>
      </w:r>
      <w:r w:rsidRPr="00566BF3">
        <w:rPr>
          <w:rFonts w:ascii="Times New Roman" w:hAnsi="Times New Roman" w:cs="Times New Roman"/>
          <w:sz w:val="24"/>
          <w:szCs w:val="36"/>
        </w:rPr>
        <w:t xml:space="preserve"> Third, and the last step, the BTM ratio is used to further divide these portfolios into four more groups, remembering that any negative BTM stocks go into the portfolio with negative earnings. To adjust for risk in the portfolios Chan, Hamao, and Lakonishok (1991) equally weight the portfolios. The authors use the Seemingly Unrelated Regression (SUR). This model is also used to test whether the variables (E/P, size, C/P, and BTM) are significant in the regression.</w:t>
      </w:r>
      <w:r>
        <w:rPr>
          <w:rFonts w:ascii="Times New Roman" w:hAnsi="Times New Roman" w:cs="Times New Roman"/>
          <w:sz w:val="24"/>
          <w:szCs w:val="36"/>
        </w:rPr>
        <w:t xml:space="preserve"> </w:t>
      </w:r>
      <w:r w:rsidRPr="00566BF3">
        <w:rPr>
          <w:rFonts w:ascii="Times New Roman" w:hAnsi="Times New Roman" w:cs="Times New Roman"/>
          <w:sz w:val="24"/>
          <w:szCs w:val="36"/>
        </w:rPr>
        <w:t>Chan, Hamao, and Lakonishok (1991) are another study that uses the Fama-</w:t>
      </w:r>
      <w:r>
        <w:rPr>
          <w:rFonts w:ascii="Times New Roman" w:hAnsi="Times New Roman" w:cs="Times New Roman"/>
          <w:sz w:val="24"/>
          <w:szCs w:val="36"/>
        </w:rPr>
        <w:t>MacBeth</w:t>
      </w:r>
      <w:r w:rsidRPr="00566BF3">
        <w:rPr>
          <w:rFonts w:ascii="Times New Roman" w:hAnsi="Times New Roman" w:cs="Times New Roman"/>
          <w:sz w:val="24"/>
          <w:szCs w:val="36"/>
        </w:rPr>
        <w:t xml:space="preserve"> (1973) methodology. The difference in the SUR </w:t>
      </w:r>
      <w:r w:rsidRPr="00566BF3">
        <w:rPr>
          <w:rFonts w:ascii="Times New Roman" w:hAnsi="Times New Roman" w:cs="Times New Roman"/>
          <w:sz w:val="24"/>
          <w:szCs w:val="36"/>
        </w:rPr>
        <w:lastRenderedPageBreak/>
        <w:t>and Fama-</w:t>
      </w:r>
      <w:r>
        <w:rPr>
          <w:rFonts w:ascii="Times New Roman" w:hAnsi="Times New Roman" w:cs="Times New Roman"/>
          <w:sz w:val="24"/>
          <w:szCs w:val="36"/>
        </w:rPr>
        <w:t>MacBeth</w:t>
      </w:r>
      <w:r w:rsidRPr="00566BF3">
        <w:rPr>
          <w:rFonts w:ascii="Times New Roman" w:hAnsi="Times New Roman" w:cs="Times New Roman"/>
          <w:sz w:val="24"/>
          <w:szCs w:val="36"/>
        </w:rPr>
        <w:t xml:space="preserve"> (1973) methods lie in the betas of the regressions. While the betas for the former are constant over time for each portfolio, the betas for the latter are updated periodically. </w:t>
      </w:r>
    </w:p>
    <w:p w:rsidR="00597D5C" w:rsidRPr="00566BF3" w:rsidRDefault="00597D5C" w:rsidP="00597D5C">
      <w:pPr>
        <w:pStyle w:val="ListParagraph"/>
        <w:spacing w:line="360" w:lineRule="auto"/>
        <w:ind w:left="0"/>
        <w:jc w:val="both"/>
        <w:rPr>
          <w:rFonts w:ascii="Times New Roman" w:hAnsi="Times New Roman" w:cs="Times New Roman"/>
          <w:sz w:val="24"/>
          <w:szCs w:val="36"/>
        </w:rPr>
      </w:pPr>
    </w:p>
    <w:p w:rsidR="008B084D" w:rsidRDefault="00597D5C" w:rsidP="008B084D">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t xml:space="preserve">To test the robustness of the results found by Chan, Hamao, and Lakonishok (1991), the authors change the order of their three step portfolio sorting method. The authors use monthly returns in their regressions. </w:t>
      </w:r>
      <w:r>
        <w:rPr>
          <w:rFonts w:ascii="Times New Roman" w:hAnsi="Times New Roman" w:cs="Times New Roman"/>
          <w:sz w:val="24"/>
        </w:rPr>
        <w:t xml:space="preserve">Univariate analysis of the portfolios created separately on E/P, BTM, C/P, and size are performed by Chan, Hamao, and Lakonishok (1991). </w:t>
      </w:r>
      <w:r w:rsidRPr="00566BF3">
        <w:rPr>
          <w:rFonts w:ascii="Times New Roman" w:hAnsi="Times New Roman" w:cs="Times New Roman"/>
          <w:sz w:val="24"/>
          <w:szCs w:val="36"/>
        </w:rPr>
        <w:t>They sort portfolios by each fundamental variable, ensuring that if there are any negative values they go into the special portfolio, while the positive values are equally sorted into four portfolios. Results for the portfolio sorted on E/P show that high E/P outperforms low E/P (value outperforms growth). The return differential between the top E/</w:t>
      </w:r>
      <w:r>
        <w:rPr>
          <w:rFonts w:ascii="Times New Roman" w:hAnsi="Times New Roman" w:cs="Times New Roman"/>
          <w:sz w:val="24"/>
          <w:szCs w:val="36"/>
        </w:rPr>
        <w:t>P and bottom E/P portfolios is 0</w:t>
      </w:r>
      <w:r w:rsidRPr="00566BF3">
        <w:rPr>
          <w:rFonts w:ascii="Times New Roman" w:hAnsi="Times New Roman" w:cs="Times New Roman"/>
          <w:sz w:val="24"/>
          <w:szCs w:val="36"/>
        </w:rPr>
        <w:t>.4% per</w:t>
      </w:r>
      <w:r>
        <w:rPr>
          <w:rFonts w:ascii="Times New Roman" w:hAnsi="Times New Roman" w:cs="Times New Roman"/>
          <w:sz w:val="24"/>
          <w:szCs w:val="36"/>
        </w:rPr>
        <w:t xml:space="preserve"> month. Confirming the value strategies produces superior returns than</w:t>
      </w:r>
      <w:r w:rsidRPr="00566BF3">
        <w:rPr>
          <w:rFonts w:ascii="Times New Roman" w:hAnsi="Times New Roman" w:cs="Times New Roman"/>
          <w:sz w:val="24"/>
          <w:szCs w:val="36"/>
        </w:rPr>
        <w:t xml:space="preserve"> growth</w:t>
      </w:r>
      <w:r>
        <w:rPr>
          <w:rFonts w:ascii="Times New Roman" w:hAnsi="Times New Roman" w:cs="Times New Roman"/>
          <w:sz w:val="24"/>
          <w:szCs w:val="36"/>
        </w:rPr>
        <w:t xml:space="preserve"> strategies</w:t>
      </w:r>
      <w:r w:rsidRPr="00566BF3">
        <w:rPr>
          <w:rFonts w:ascii="Times New Roman" w:hAnsi="Times New Roman" w:cs="Times New Roman"/>
          <w:sz w:val="24"/>
          <w:szCs w:val="36"/>
        </w:rPr>
        <w:t xml:space="preserve"> theory, Chan, Hamao, and Lakonishok (1991) portfolios sorted on size have a return difference of 0.97%, with the small sized portfolio outperforming the large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stock portfolio, the largest return difference per month between the top and bottom portfolios comes from the BTM ratio sorted portfolios. Here the return difference is 1.1% in favour of the high BTM portfolio, while the high C/P sorted portfolio earns a premium of 0.79% over its low C/P counterpart.</w:t>
      </w:r>
      <w:r>
        <w:rPr>
          <w:rFonts w:ascii="Times New Roman" w:hAnsi="Times New Roman" w:cs="Times New Roman"/>
          <w:sz w:val="24"/>
          <w:szCs w:val="36"/>
        </w:rPr>
        <w:t xml:space="preserve"> </w:t>
      </w:r>
      <w:r w:rsidRPr="00566BF3">
        <w:rPr>
          <w:rFonts w:ascii="Times New Roman" w:hAnsi="Times New Roman" w:cs="Times New Roman"/>
          <w:sz w:val="24"/>
          <w:szCs w:val="36"/>
        </w:rPr>
        <w:t>The most interesting result of Chan, Hamao, and Lakonishok (1991) however, is that of the portfolios formed on the basis of negative earnings or negative BTM ratio. The returns for these portfolios are high. The return difference for these portfolios against the other positive-variable sorted portfolios is almost 100 basis points.</w:t>
      </w:r>
    </w:p>
    <w:p w:rsidR="008B084D" w:rsidRDefault="008B084D" w:rsidP="008B084D">
      <w:pPr>
        <w:spacing w:line="360" w:lineRule="auto"/>
        <w:jc w:val="both"/>
        <w:rPr>
          <w:rFonts w:ascii="Times New Roman" w:hAnsi="Times New Roman" w:cs="Times New Roman"/>
          <w:sz w:val="24"/>
          <w:szCs w:val="36"/>
        </w:rPr>
      </w:pPr>
    </w:p>
    <w:p w:rsidR="00FE0A40" w:rsidRDefault="00FE0A40" w:rsidP="00FE0A40">
      <w:pPr>
        <w:spacing w:line="360" w:lineRule="auto"/>
        <w:jc w:val="both"/>
        <w:rPr>
          <w:rFonts w:ascii="Times New Roman" w:hAnsi="Times New Roman" w:cs="Times New Roman"/>
          <w:sz w:val="24"/>
          <w:szCs w:val="36"/>
        </w:rPr>
      </w:pPr>
      <w:r>
        <w:rPr>
          <w:rFonts w:ascii="Times New Roman" w:hAnsi="Times New Roman" w:cs="Times New Roman"/>
          <w:sz w:val="24"/>
        </w:rPr>
        <w:t xml:space="preserve">Lakonishok, Shleifer, and Vishny (1994) avoid the look-ahead bias by requiring firms in their sample to have five years of past data. In this way, Lakonishok, Shleifer, and Vishny (1994) are ensuring that the look-ahead bias, which is generally sitting in those five years of past data, is avoided. The authors require five years of past data but do not use this data in the study as it is only a prerequisite of including the firms in the sample. Lakonishok, Shleifer, and Vishny (1994) also decide to ignore any NASDAQ firms as they argue these firms were almost all successful in Compustat. One problem with the data used by Lakonishok, Shleifer, and Vishny (1994) is that they use only the largest half of NYSE and AMEX firms. They argue that the look-ahead bias does not affect this top 50% but they do not account for the </w:t>
      </w:r>
      <w:r>
        <w:rPr>
          <w:rFonts w:ascii="Times New Roman" w:hAnsi="Times New Roman" w:cs="Times New Roman"/>
          <w:sz w:val="24"/>
        </w:rPr>
        <w:lastRenderedPageBreak/>
        <w:t xml:space="preserve">fact that they are ignoring the bottom 50% market capitalisation. These smaller firms may have a different effect on the results obtained by Lakonishok, Shleifer, and Vishny (1994). </w:t>
      </w:r>
      <w:r>
        <w:rPr>
          <w:rFonts w:ascii="Times New Roman" w:hAnsi="Times New Roman" w:cs="Times New Roman"/>
          <w:sz w:val="24"/>
          <w:szCs w:val="36"/>
        </w:rPr>
        <w:t xml:space="preserve">Examining Compustat and CRSP data, </w:t>
      </w:r>
      <w:r>
        <w:rPr>
          <w:rFonts w:ascii="Times New Roman" w:hAnsi="Times New Roman" w:cs="Times New Roman"/>
          <w:sz w:val="24"/>
        </w:rPr>
        <w:t xml:space="preserve">Lakonishok, Shleifer, and Vishny (1994) create portfolios from the NYSE and AMEX. Their sample period ranges from April 1963 to April 1990. During this period the Compustat database was expanded to include firms in the NASDAQ.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Lakonishok, Shleifer, and Vishny (1994) equally weight their portfolios. The returns are calculated on an annual buy-and-hold technique. Portfolios are rebalanced at the end of each year. Results presented in Lakonishok, Shleifer, and Vishny (1994) include both raw returns and size-adjusted returns. The authors adjust for size by separating all the stocks in the sample into deciles based on their market capitalisation for the prior year. Each size decile is considered a portfolio. The authors then calculate the annual return for a buy-and-hold portfolio that is equally weighted by all the stocks in its specific size portfolio (say X) for the specific year. This return then replaces each stock’s return in the specific size portfolio (X) for each year in the sample period. This is now the size benchmark return. From there, Lakonishok, Shleifer, and Vishny (1994) calculate the size-adjusted return by subtracting from the original portfolio’s return for a specific year the size benchmark return for the same portfolio for the same specific year. Negative earnings and negative cash flows are excluded from the portfolios because when the variables are positive and have low values it tells the investor that there is high expected growth. However, when the variables are negative and have low values it does not necessarily indicate future high growth. Thus Lakonishok, Shleifer, and Vishny (1994) replace any negative E/P or C/P values with zero.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Following the same idea as Fama and French (1992), Lakonishok, Shleifer, and Vishny (1994) sort their 10 portfolios based on the BTM ratio. They use the previous year’s book value and divide it by the formation year’s market value. Lakonishok, Shleifer, and Vishny (1994) focus is on long-term investors, and not the investor interested in making a quick profit. In this vein, they look at the portfolio returns for up to five years post formation. Similar to Chan, Hamao, and Lakonishok (1991) and Fama and French (1992), Lakonishok, Shleifer, and Vishny (1994) find that the high BTM portfolio outperforms the low BTM portfolio. Looking at the average return over the 5 years of post formation, the extreme </w:t>
      </w:r>
      <w:r>
        <w:rPr>
          <w:rFonts w:ascii="Times New Roman" w:hAnsi="Times New Roman" w:cs="Times New Roman"/>
          <w:sz w:val="24"/>
        </w:rPr>
        <w:lastRenderedPageBreak/>
        <w:t xml:space="preserve">growth portfolio earns an annual average return of 9.3%, while the extreme value portfolio earns an annual average return of 19.8%. This 10.5% difference is clear evidence in favour of the contrarian strategy. Lakonishok, Shleifer, and Vishny (1994) adjusts these BTM portfolios for size and find there is a 7.8% (smaller) difference between the extreme growth and value portfolios. The size adjusted return for the growth portfolio is negative, at -4.3%, while it is positive for the value portfolio.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By employing a two-way sort, Lakonishok, Shleifer, and Vishny (1994) assert that it will ensure firms are not sitting in the wrong classification (value vs. growth). For example, firms with low earnings that are expected to bounce back because they are only temporarily depressed are considered growth stocks as they have a low E/P ratio. This may not be the case when the stock is again sorted by another fundamental variable, Lakonishok, Shleifer, and Vishny (1994). The combination of two-way sorts used by the authors are GS and C/P (to account for past growth and expected growth), and G/S and E/P (once again to account for past and future growth), BTM and GS, E/P and BTM, and C/P and BTM. The BTM ratio is also considered by Lakonishok, Shleifer, and Vishny (1994) and Chin, Prevost and Gottesman (2002) to proxy for past growth, thus the BTM combination sorts include a variable for past growth and one for expected future growth. In order to sort stocks into the two dimensional portfolios, Lakonishok, Shleifer, and Vishny (1994) do not use the decile approach as they did in their initial regression, but rather follow a method more similar to Fama and French (1992). First, Lakonishok, Shleifer, and Vishny (1994) take the stocks in their sample and sort them into 3 </w:t>
      </w:r>
      <w:r w:rsidRPr="00CA35E9">
        <w:rPr>
          <w:rFonts w:ascii="Times New Roman" w:hAnsi="Times New Roman" w:cs="Times New Roman"/>
          <w:sz w:val="24"/>
        </w:rPr>
        <w:t>portfolios</w:t>
      </w:r>
      <w:r>
        <w:rPr>
          <w:rFonts w:ascii="Times New Roman" w:hAnsi="Times New Roman" w:cs="Times New Roman"/>
          <w:sz w:val="24"/>
        </w:rPr>
        <w:t xml:space="preserve"> (top 30%, middle 40%, and bottom 30%) based on GS. They do exactly the same with all the stocks, except they base the sorting on E/P. From these two separate sorts, the intersections are taken. This suggests that an extreme value portfolio would be one that has a low GS ratio and a high E/P ratio. An extreme growth portfolio would be one that has a high GS ratio and a low E/P ratio, Lakonishok, Shleifer, and Vishny (1994). The two strategies that include past growth (GS) and expected future growth have the following results. The difference between the extreme value and extreme growth portfolios based on GS and C/P is 10.7% on average. Adjusting for size, Lakonishok, Shleifer, and Vishny (1994) note the return differential decreases to 8.7%. The conclusion arrived at by Lakonishok, Shleifer, and Vishny (1994) is that these two variables have explanatory power over returns. The second of the strategies, which is based on GS and E/P, produces similar results in that the return differential of the two variables combined is greater </w:t>
      </w:r>
      <w:r>
        <w:rPr>
          <w:rFonts w:ascii="Times New Roman" w:hAnsi="Times New Roman" w:cs="Times New Roman"/>
          <w:sz w:val="24"/>
        </w:rPr>
        <w:lastRenderedPageBreak/>
        <w:t xml:space="preserve">than either of them alone. The difference in return between the extreme value and extreme growth portfolio is 11.2%. The size adjusted return differential is 7.7%. One can clearly see with the GS-E/P classification that an investor would need to be sure about which firms simply have depressed earnings, and which firms are growth in the true sense of the word. This two dimensional sort ensures that the depressed earnings firms are not lumped together with the growth stocks, leaving the investor with a larger return than if the portfolios were sorted by a single variable, Lakonishok, Shleifer, and Vishny (1994).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When the portfolios are sorted by BTM and GS, the difference between the value and growth portfolios are larger, Lakonishok, Shleifer, and Vishny (1994). The value portfolio has an annual average return of 21.2%, while the growth portfolio only has an annual average return of 13%. Sorting portfolios based on E/P and BTM, the return differential sits at 9.9%, while the portfolios sorted on C/P and BTM produce a return differential of 10%. Explanations given by Lakonishok, Shleifer, and Vishny (1994) follow that the two-way sort provides a much clearer picture in terms of returns for the investor. More information is added when using a two dimensional sort, which ultimately leaves the investor with a higher return.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Using a multiple regression, Lakonishok, Shleifer, and Vishny (1994) determine which variables are significant in impacting the returns of growth and value portfolios. The independent variables used in the multiple regressions include past 5 year growth in sales (GS), the BTM ratio, E/P, market capitalisation, and C/P. The dependent variable is the return on stock i. Lakonishok, Shleifer, and Vishny (1994) find the most significant independent variables on a stand-alone basis, and included in a multiple regression are C/P and GS. The authors also note that the significance of the BTM ratio decreases when it is included in a regression with other variables. </w:t>
      </w:r>
    </w:p>
    <w:p w:rsidR="00FE0A40" w:rsidRDefault="00FE0A40" w:rsidP="00FE0A40">
      <w:pPr>
        <w:spacing w:line="360" w:lineRule="auto"/>
        <w:jc w:val="both"/>
        <w:rPr>
          <w:rFonts w:ascii="Times New Roman" w:hAnsi="Times New Roman" w:cs="Times New Roman"/>
          <w:sz w:val="24"/>
        </w:rPr>
      </w:pPr>
    </w:p>
    <w:p w:rsidR="008B084D" w:rsidRDefault="00FE0A40" w:rsidP="008B084D">
      <w:pPr>
        <w:spacing w:line="360" w:lineRule="auto"/>
        <w:jc w:val="both"/>
        <w:rPr>
          <w:rFonts w:ascii="Times New Roman" w:hAnsi="Times New Roman" w:cs="Times New Roman"/>
          <w:sz w:val="24"/>
        </w:rPr>
      </w:pPr>
      <w:r>
        <w:rPr>
          <w:rFonts w:ascii="Times New Roman" w:hAnsi="Times New Roman" w:cs="Times New Roman"/>
          <w:sz w:val="24"/>
        </w:rPr>
        <w:t xml:space="preserve">Lakonishok, Shleifer, and Vishny (1994) test whether or not the sample with the larger stocks has similar returns to the sample with all the stocks in. They use only the two-way sort and compare the results to the full sample. The CP-GS sort results in a 7.8% difference in annual average returns between the value and growth portfolios. This is smaller when it is compared to the full sample CP-GS sort, which has a return differential of 10.7%. The EP-GS larger </w:t>
      </w:r>
      <w:r>
        <w:rPr>
          <w:rFonts w:ascii="Times New Roman" w:hAnsi="Times New Roman" w:cs="Times New Roman"/>
          <w:sz w:val="24"/>
        </w:rPr>
        <w:lastRenderedPageBreak/>
        <w:t>stock sample sort has an annual average return differential of 8.3%. This, in comparison to the full sample difference of 7.7% is not at all different, Lakonishok, Shleifer, and Vishny (1994). What is slightly different in the larger sample of the authors’ study is the size adjusted returns. The size adjusted returns for the larger sample sorted on EP-GS appears to be smaller, while in the full sample, the size adjusted returns are higher.</w:t>
      </w:r>
    </w:p>
    <w:p w:rsidR="008B084D" w:rsidRDefault="008B084D" w:rsidP="008B084D">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eastAsia="Times New Roman" w:hAnsi="Times New Roman" w:cs="Times New Roman"/>
          <w:sz w:val="24"/>
          <w:lang w:val="en-GB" w:eastAsia="en-GB"/>
        </w:rPr>
      </w:pPr>
      <w:r w:rsidRPr="001E52F7">
        <w:rPr>
          <w:rFonts w:ascii="Times New Roman" w:hAnsi="Times New Roman" w:cs="Times New Roman"/>
          <w:sz w:val="24"/>
        </w:rPr>
        <w:t xml:space="preserve">Brouwer, van der Put, and Veld (1997) study France, Germany, the Netherlands, and the United Kingdom markets over the period 1982 to 1993 </w:t>
      </w:r>
      <w:r>
        <w:rPr>
          <w:rFonts w:ascii="Times New Roman" w:hAnsi="Times New Roman" w:cs="Times New Roman"/>
          <w:sz w:val="24"/>
        </w:rPr>
        <w:t>in order to determine whether their assertion that the BTM ratio is not an appropriate value ratio in the value vs. growth argument.</w:t>
      </w:r>
      <w:r w:rsidR="0089390A">
        <w:rPr>
          <w:rFonts w:ascii="Times New Roman" w:hAnsi="Times New Roman" w:cs="Times New Roman"/>
          <w:sz w:val="24"/>
        </w:rPr>
        <w:t xml:space="preserve"> </w:t>
      </w:r>
      <w:r w:rsidR="0089390A">
        <w:rPr>
          <w:rFonts w:ascii="Times New Roman" w:eastAsia="Times New Roman" w:hAnsi="Times New Roman" w:cs="Times New Roman"/>
          <w:sz w:val="24"/>
          <w:lang w:val="en-GB" w:eastAsia="en-GB"/>
        </w:rPr>
        <w:t>They justify this choice of period because it includes times of up and down markets. Specifically, they mention the two years, 1992 and 1993, that were noted as periods of low economic activity in Europe.</w:t>
      </w:r>
      <w:r>
        <w:rPr>
          <w:rFonts w:ascii="Times New Roman" w:hAnsi="Times New Roman" w:cs="Times New Roman"/>
          <w:sz w:val="24"/>
        </w:rPr>
        <w:t xml:space="preserve"> </w:t>
      </w:r>
      <w:r>
        <w:rPr>
          <w:rFonts w:ascii="Times New Roman" w:eastAsia="Times New Roman" w:hAnsi="Times New Roman" w:cs="Times New Roman"/>
          <w:sz w:val="24"/>
          <w:lang w:val="en-GB" w:eastAsia="en-GB"/>
        </w:rPr>
        <w:t xml:space="preserve">Brouwer, van der Put, and Veld (1997) create portfolios on the basis of four variables: C/P, E/P, D/P and the BTM ratio. The stock market taking up the smallest portion of the dataset is the Amsterdam Stock Exchange; while, unsurprisingly, the London Stock Exchange constitutes the largest portion of the dataset. In contrast to Basu (1977), Brouwer, van der Put, and Veld (1997) include non-industrial firms in their dataset. They create five portfolios, examining the annual returns on the growth and value portfolios. While most of the firms in the dataset have December year ends, there is a small portion of companies that have March year ends. Taking this into account, Brouwer, van der Put, and Veld (1997) choose to create their portfolios at the end of June so as to ensure that all information is available to the user at the time the portfolio is created. This process is similar to the one followed by Lakonishok, Shleifer, and Vishny (1994) to prevent any look-ahead bias. To avoid another bias, the survivorship bias, Brouwer, van der Put, and Veld (1997) ensure delisted companies are included in their dataset. Basu (1977) also includes delisted firms in their study. This ensures that not only the surviving firms are used in their study. </w:t>
      </w:r>
    </w:p>
    <w:p w:rsidR="00FE0A40" w:rsidRDefault="00FE0A40" w:rsidP="00FE0A40">
      <w:pPr>
        <w:spacing w:line="360" w:lineRule="auto"/>
        <w:jc w:val="both"/>
        <w:rPr>
          <w:rFonts w:ascii="Times New Roman" w:eastAsia="Times New Roman" w:hAnsi="Times New Roman" w:cs="Times New Roman"/>
          <w:sz w:val="24"/>
          <w:lang w:val="en-GB" w:eastAsia="en-GB"/>
        </w:rPr>
      </w:pPr>
    </w:p>
    <w:p w:rsidR="00FE0A40" w:rsidRDefault="00FE0A40" w:rsidP="00FE0A40">
      <w:pPr>
        <w:spacing w:line="360" w:lineRule="auto"/>
        <w:jc w:val="both"/>
        <w:rPr>
          <w:rFonts w:ascii="Times New Roman" w:eastAsia="Times New Roman" w:hAnsi="Times New Roman" w:cs="Times New Roman"/>
          <w:sz w:val="24"/>
          <w:lang w:val="en-GB" w:eastAsia="en-GB"/>
        </w:rPr>
      </w:pPr>
      <w:r>
        <w:rPr>
          <w:rFonts w:ascii="Times New Roman" w:eastAsia="Times New Roman" w:hAnsi="Times New Roman" w:cs="Times New Roman"/>
          <w:sz w:val="24"/>
          <w:lang w:val="en-GB" w:eastAsia="en-GB"/>
        </w:rPr>
        <w:t xml:space="preserve">Brouwer, van der Put, and Veld (1997) set out to correct their dataset for the possibility of industrial as well as country biases. They intimate that there is </w:t>
      </w:r>
      <w:r w:rsidR="0089390A">
        <w:rPr>
          <w:rFonts w:ascii="Times New Roman" w:eastAsia="Times New Roman" w:hAnsi="Times New Roman" w:cs="Times New Roman"/>
          <w:sz w:val="24"/>
          <w:lang w:val="en-GB" w:eastAsia="en-GB"/>
        </w:rPr>
        <w:t>a need for this as certain countries in their dataset has</w:t>
      </w:r>
      <w:r>
        <w:rPr>
          <w:rFonts w:ascii="Times New Roman" w:eastAsia="Times New Roman" w:hAnsi="Times New Roman" w:cs="Times New Roman"/>
          <w:sz w:val="24"/>
          <w:lang w:val="en-GB" w:eastAsia="en-GB"/>
        </w:rPr>
        <w:t xml:space="preserve"> specific performance traits. For example, the Netherlands typically has the highest E/P ratios, while companies in the energy trade (regardless of the country) also have the highest average E/P ratios. The result is that each stock has a relative value ratio, and this is the value that Brouwer, van der Put, and Veld (1997) use to sort their </w:t>
      </w:r>
      <w:r>
        <w:rPr>
          <w:rFonts w:ascii="Times New Roman" w:eastAsia="Times New Roman" w:hAnsi="Times New Roman" w:cs="Times New Roman"/>
          <w:sz w:val="24"/>
          <w:lang w:val="en-GB" w:eastAsia="en-GB"/>
        </w:rPr>
        <w:lastRenderedPageBreak/>
        <w:t>portfolios. Brouwer, van der Put, and Veld (1997) follow a multiple regression to determine which of the four ratios are significant. As there are 11 formation periods, there are 11 regressions run by the authors. The cross-sectional regression model looks as follows:</w:t>
      </w:r>
    </w:p>
    <w:p w:rsidR="00FE0A40" w:rsidRDefault="00FE0A40" w:rsidP="00FE0A40">
      <w:pPr>
        <w:spacing w:line="360" w:lineRule="auto"/>
        <w:jc w:val="both"/>
        <w:rPr>
          <w:rFonts w:ascii="Times New Roman" w:eastAsia="Times New Roman" w:hAnsi="Times New Roman" w:cs="Times New Roman"/>
          <w:sz w:val="24"/>
          <w:lang w:val="en-GB" w:eastAsia="en-GB"/>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FE0A40" w:rsidTr="00700A7C">
        <w:tc>
          <w:tcPr>
            <w:tcW w:w="750" w:type="pct"/>
          </w:tcPr>
          <w:p w:rsidR="00FE0A40" w:rsidRDefault="00FE0A40" w:rsidP="00700A7C">
            <w:pPr>
              <w:spacing w:line="360" w:lineRule="auto"/>
              <w:jc w:val="both"/>
              <w:rPr>
                <w:rFonts w:ascii="Times New Roman" w:hAnsi="Times New Roman" w:cs="Times New Roman"/>
                <w:sz w:val="24"/>
              </w:rPr>
            </w:pPr>
          </w:p>
        </w:tc>
        <w:tc>
          <w:tcPr>
            <w:tcW w:w="3750" w:type="pct"/>
          </w:tcPr>
          <w:p w:rsidR="00FE0A40" w:rsidRPr="00FC3133" w:rsidRDefault="000963F3" w:rsidP="00700A7C">
            <w:pPr>
              <w:spacing w:line="360" w:lineRule="auto"/>
              <w:jc w:val="both"/>
              <w:rPr>
                <w:rFonts w:ascii="Times New Roman" w:hAnsi="Times New Roman" w:cs="Times New Roman"/>
                <w:sz w:val="24"/>
              </w:rPr>
            </w:pPr>
            <m:oMathPara>
              <m:oMath>
                <m:sSub>
                  <m:sSubPr>
                    <m:ctrlPr>
                      <w:rPr>
                        <w:rFonts w:ascii="Cambria Math" w:hAnsi="Cambria Math" w:cs="Times New Roman"/>
                        <w:sz w:val="24"/>
                      </w:rPr>
                    </m:ctrlPr>
                  </m:sSubPr>
                  <m:e>
                    <m:r>
                      <m:rPr>
                        <m:sty m:val="p"/>
                      </m:rPr>
                      <w:rPr>
                        <w:rFonts w:ascii="Cambria Math" w:hAnsi="Cambria Math" w:cs="Times New Roman"/>
                        <w:sz w:val="24"/>
                      </w:rPr>
                      <m:t>R</m:t>
                    </m:r>
                  </m:e>
                  <m:sub>
                    <m:r>
                      <m:rPr>
                        <m:sty m:val="p"/>
                      </m:rPr>
                      <w:rPr>
                        <w:rFonts w:ascii="Cambria Math" w:hAnsi="Cambria Math" w:cs="Times New Roman"/>
                        <w:sz w:val="24"/>
                      </w:rPr>
                      <m:t>i,t</m:t>
                    </m:r>
                  </m:sub>
                </m:sSub>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o,t</m:t>
                    </m:r>
                  </m:sub>
                </m:sSub>
                <m:r>
                  <m:rPr>
                    <m:sty m:val="p"/>
                  </m:rPr>
                  <w:rPr>
                    <w:rFonts w:ascii="Cambria Math" w:hAnsi="Cambria Math" w:cs="Times New Roman"/>
                    <w:sz w:val="24"/>
                  </w:rPr>
                  <m:t>+</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1,t</m:t>
                    </m:r>
                  </m:sub>
                </m:sSub>
                <m:d>
                  <m:dPr>
                    <m:ctrlPr>
                      <w:rPr>
                        <w:rFonts w:ascii="Cambria Math" w:hAnsi="Cambria Math" w:cs="Times New Roman"/>
                        <w:sz w:val="24"/>
                      </w:rPr>
                    </m:ctrlPr>
                  </m:dPr>
                  <m:e>
                    <m:sSub>
                      <m:sSubPr>
                        <m:ctrlPr>
                          <w:rPr>
                            <w:rFonts w:ascii="Cambria Math" w:hAnsi="Cambria Math" w:cs="Times New Roman"/>
                            <w:sz w:val="24"/>
                          </w:rPr>
                        </m:ctrlPr>
                      </m:sSubPr>
                      <m:e>
                        <m:acc>
                          <m:accPr>
                            <m:chr m:val="̃"/>
                            <m:ctrlPr>
                              <w:rPr>
                                <w:rFonts w:ascii="Cambria Math" w:hAnsi="Cambria Math" w:cs="Times New Roman"/>
                                <w:sz w:val="24"/>
                              </w:rPr>
                            </m:ctrlPr>
                          </m:accPr>
                          <m:e>
                            <m:f>
                              <m:fPr>
                                <m:type m:val="lin"/>
                                <m:ctrlPr>
                                  <w:rPr>
                                    <w:rFonts w:ascii="Cambria Math" w:hAnsi="Cambria Math" w:cs="Times New Roman"/>
                                    <w:sz w:val="24"/>
                                  </w:rPr>
                                </m:ctrlPr>
                              </m:fPr>
                              <m:num>
                                <m:r>
                                  <m:rPr>
                                    <m:sty m:val="p"/>
                                  </m:rPr>
                                  <w:rPr>
                                    <w:rFonts w:ascii="Cambria Math" w:hAnsi="Cambria Math" w:cs="Times New Roman"/>
                                    <w:sz w:val="24"/>
                                  </w:rPr>
                                  <m:t>E</m:t>
                                </m:r>
                              </m:num>
                              <m:den>
                                <m:r>
                                  <m:rPr>
                                    <m:sty m:val="p"/>
                                  </m:rPr>
                                  <w:rPr>
                                    <w:rFonts w:ascii="Cambria Math" w:hAnsi="Cambria Math" w:cs="Times New Roman"/>
                                    <w:sz w:val="24"/>
                                  </w:rPr>
                                  <m:t>P</m:t>
                                </m:r>
                              </m:den>
                            </m:f>
                          </m:e>
                        </m:acc>
                      </m:e>
                      <m:sub>
                        <m:r>
                          <m:rPr>
                            <m:sty m:val="p"/>
                          </m:rPr>
                          <w:rPr>
                            <w:rFonts w:ascii="Cambria Math" w:hAnsi="Cambria Math" w:cs="Times New Roman"/>
                            <w:sz w:val="24"/>
                          </w:rPr>
                          <m:t>i,t</m:t>
                        </m:r>
                      </m:sub>
                    </m:sSub>
                  </m:e>
                </m:d>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2,t</m:t>
                    </m:r>
                  </m:sub>
                </m:sSub>
                <m:d>
                  <m:dPr>
                    <m:ctrlPr>
                      <w:rPr>
                        <w:rFonts w:ascii="Cambria Math" w:hAnsi="Cambria Math" w:cs="Times New Roman"/>
                        <w:sz w:val="24"/>
                      </w:rPr>
                    </m:ctrlPr>
                  </m:dPr>
                  <m:e>
                    <m:sSub>
                      <m:sSubPr>
                        <m:ctrlPr>
                          <w:rPr>
                            <w:rFonts w:ascii="Cambria Math" w:hAnsi="Cambria Math" w:cs="Times New Roman"/>
                            <w:sz w:val="24"/>
                          </w:rPr>
                        </m:ctrlPr>
                      </m:sSubPr>
                      <m:e>
                        <m:acc>
                          <m:accPr>
                            <m:chr m:val="̃"/>
                            <m:ctrlPr>
                              <w:rPr>
                                <w:rFonts w:ascii="Cambria Math" w:hAnsi="Cambria Math" w:cs="Times New Roman"/>
                                <w:sz w:val="24"/>
                              </w:rPr>
                            </m:ctrlPr>
                          </m:accPr>
                          <m:e>
                            <m:f>
                              <m:fPr>
                                <m:type m:val="lin"/>
                                <m:ctrlPr>
                                  <w:rPr>
                                    <w:rFonts w:ascii="Cambria Math" w:hAnsi="Cambria Math" w:cs="Times New Roman"/>
                                    <w:sz w:val="24"/>
                                  </w:rPr>
                                </m:ctrlPr>
                              </m:fPr>
                              <m:num>
                                <m:r>
                                  <m:rPr>
                                    <m:sty m:val="p"/>
                                  </m:rPr>
                                  <w:rPr>
                                    <w:rFonts w:ascii="Cambria Math" w:hAnsi="Cambria Math" w:cs="Times New Roman"/>
                                    <w:sz w:val="24"/>
                                  </w:rPr>
                                  <m:t>CF</m:t>
                                </m:r>
                              </m:num>
                              <m:den>
                                <m:r>
                                  <m:rPr>
                                    <m:sty m:val="p"/>
                                  </m:rPr>
                                  <w:rPr>
                                    <w:rFonts w:ascii="Cambria Math" w:hAnsi="Cambria Math" w:cs="Times New Roman"/>
                                    <w:sz w:val="24"/>
                                  </w:rPr>
                                  <m:t>P</m:t>
                                </m:r>
                              </m:den>
                            </m:f>
                          </m:e>
                        </m:acc>
                      </m:e>
                      <m:sub>
                        <m:r>
                          <m:rPr>
                            <m:sty m:val="p"/>
                          </m:rPr>
                          <w:rPr>
                            <w:rFonts w:ascii="Cambria Math" w:hAnsi="Cambria Math" w:cs="Times New Roman"/>
                            <w:sz w:val="24"/>
                          </w:rPr>
                          <m:t>i,t</m:t>
                        </m:r>
                      </m:sub>
                    </m:sSub>
                  </m:e>
                </m:d>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3,t</m:t>
                    </m:r>
                  </m:sub>
                </m:sSub>
                <m:d>
                  <m:dPr>
                    <m:ctrlPr>
                      <w:rPr>
                        <w:rFonts w:ascii="Cambria Math" w:hAnsi="Cambria Math" w:cs="Times New Roman"/>
                        <w:sz w:val="24"/>
                      </w:rPr>
                    </m:ctrlPr>
                  </m:dPr>
                  <m:e>
                    <m:sSub>
                      <m:sSubPr>
                        <m:ctrlPr>
                          <w:rPr>
                            <w:rFonts w:ascii="Cambria Math" w:hAnsi="Cambria Math" w:cs="Times New Roman"/>
                            <w:sz w:val="24"/>
                          </w:rPr>
                        </m:ctrlPr>
                      </m:sSubPr>
                      <m:e>
                        <m:acc>
                          <m:accPr>
                            <m:chr m:val="̃"/>
                            <m:ctrlPr>
                              <w:rPr>
                                <w:rFonts w:ascii="Cambria Math" w:hAnsi="Cambria Math" w:cs="Times New Roman"/>
                                <w:sz w:val="24"/>
                              </w:rPr>
                            </m:ctrlPr>
                          </m:accPr>
                          <m:e>
                            <m:f>
                              <m:fPr>
                                <m:type m:val="lin"/>
                                <m:ctrlPr>
                                  <w:rPr>
                                    <w:rFonts w:ascii="Cambria Math" w:hAnsi="Cambria Math" w:cs="Times New Roman"/>
                                    <w:sz w:val="24"/>
                                  </w:rPr>
                                </m:ctrlPr>
                              </m:fPr>
                              <m:num>
                                <m:r>
                                  <m:rPr>
                                    <m:sty m:val="p"/>
                                  </m:rPr>
                                  <w:rPr>
                                    <w:rFonts w:ascii="Cambria Math" w:hAnsi="Cambria Math" w:cs="Times New Roman"/>
                                    <w:sz w:val="24"/>
                                  </w:rPr>
                                  <m:t>B</m:t>
                                </m:r>
                              </m:num>
                              <m:den>
                                <m:r>
                                  <m:rPr>
                                    <m:sty m:val="p"/>
                                  </m:rPr>
                                  <w:rPr>
                                    <w:rFonts w:ascii="Cambria Math" w:hAnsi="Cambria Math" w:cs="Times New Roman"/>
                                    <w:sz w:val="24"/>
                                  </w:rPr>
                                  <m:t>M</m:t>
                                </m:r>
                              </m:den>
                            </m:f>
                          </m:e>
                        </m:acc>
                      </m:e>
                      <m:sub>
                        <m:r>
                          <m:rPr>
                            <m:sty m:val="p"/>
                          </m:rPr>
                          <w:rPr>
                            <w:rFonts w:ascii="Cambria Math" w:hAnsi="Cambria Math" w:cs="Times New Roman"/>
                            <w:sz w:val="24"/>
                          </w:rPr>
                          <m:t>i,t</m:t>
                        </m:r>
                      </m:sub>
                    </m:sSub>
                  </m:e>
                </m:d>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4,t</m:t>
                    </m:r>
                  </m:sub>
                </m:sSub>
                <m:d>
                  <m:dPr>
                    <m:ctrlPr>
                      <w:rPr>
                        <w:rFonts w:ascii="Cambria Math" w:hAnsi="Cambria Math" w:cs="Times New Roman"/>
                        <w:sz w:val="24"/>
                      </w:rPr>
                    </m:ctrlPr>
                  </m:dPr>
                  <m:e>
                    <m:sSub>
                      <m:sSubPr>
                        <m:ctrlPr>
                          <w:rPr>
                            <w:rFonts w:ascii="Cambria Math" w:hAnsi="Cambria Math" w:cs="Times New Roman"/>
                            <w:sz w:val="24"/>
                          </w:rPr>
                        </m:ctrlPr>
                      </m:sSubPr>
                      <m:e>
                        <m:acc>
                          <m:accPr>
                            <m:chr m:val="̃"/>
                            <m:ctrlPr>
                              <w:rPr>
                                <w:rFonts w:ascii="Cambria Math" w:hAnsi="Cambria Math" w:cs="Times New Roman"/>
                                <w:sz w:val="24"/>
                              </w:rPr>
                            </m:ctrlPr>
                          </m:accPr>
                          <m:e>
                            <m:r>
                              <m:rPr>
                                <m:sty m:val="p"/>
                              </m:rPr>
                              <w:rPr>
                                <w:rFonts w:ascii="Cambria Math" w:hAnsi="Cambria Math" w:cs="Times New Roman"/>
                                <w:sz w:val="24"/>
                              </w:rPr>
                              <m:t>Yld</m:t>
                            </m:r>
                          </m:e>
                        </m:acc>
                      </m:e>
                      <m:sub>
                        <m:r>
                          <m:rPr>
                            <m:sty m:val="p"/>
                          </m:rPr>
                          <w:rPr>
                            <w:rFonts w:ascii="Cambria Math" w:hAnsi="Cambria Math" w:cs="Times New Roman"/>
                            <w:sz w:val="24"/>
                          </w:rPr>
                          <m:t>i,t</m:t>
                        </m:r>
                      </m:sub>
                    </m:sSub>
                  </m:e>
                </m:d>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α</m:t>
                    </m:r>
                  </m:e>
                  <m:sub>
                    <m:r>
                      <m:rPr>
                        <m:sty m:val="p"/>
                      </m:rPr>
                      <w:rPr>
                        <w:rFonts w:ascii="Cambria Math" w:hAnsi="Cambria Math" w:cs="Times New Roman"/>
                        <w:sz w:val="24"/>
                      </w:rPr>
                      <m:t>5,t</m:t>
                    </m:r>
                  </m:sub>
                </m:sSub>
                <m:r>
                  <m:rPr>
                    <m:sty m:val="p"/>
                  </m:rPr>
                  <w:rPr>
                    <w:rFonts w:ascii="Cambria Math" w:hAnsi="Cambria Math" w:cs="Times New Roman"/>
                    <w:sz w:val="24"/>
                  </w:rPr>
                  <m:t>ln</m:t>
                </m:r>
                <m:d>
                  <m:dPr>
                    <m:ctrlPr>
                      <w:rPr>
                        <w:rFonts w:ascii="Cambria Math" w:hAnsi="Cambria Math" w:cs="Times New Roman"/>
                        <w:sz w:val="24"/>
                      </w:rPr>
                    </m:ctrlPr>
                  </m:dPr>
                  <m:e>
                    <m:sSub>
                      <m:sSubPr>
                        <m:ctrlPr>
                          <w:rPr>
                            <w:rFonts w:ascii="Cambria Math" w:hAnsi="Cambria Math" w:cs="Times New Roman"/>
                            <w:sz w:val="24"/>
                          </w:rPr>
                        </m:ctrlPr>
                      </m:sSubPr>
                      <m:e>
                        <m:r>
                          <m:rPr>
                            <m:sty m:val="p"/>
                          </m:rPr>
                          <w:rPr>
                            <w:rFonts w:ascii="Cambria Math" w:hAnsi="Cambria Math" w:cs="Times New Roman"/>
                            <w:sz w:val="24"/>
                          </w:rPr>
                          <m:t>ME</m:t>
                        </m:r>
                      </m:e>
                      <m:sub>
                        <m:r>
                          <m:rPr>
                            <m:sty m:val="p"/>
                          </m:rPr>
                          <w:rPr>
                            <w:rFonts w:ascii="Cambria Math" w:hAnsi="Cambria Math" w:cs="Times New Roman"/>
                            <w:sz w:val="24"/>
                          </w:rPr>
                          <m:t>i,t</m:t>
                        </m:r>
                      </m:sub>
                    </m:sSub>
                  </m:e>
                </m:d>
                <m:r>
                  <m:rPr>
                    <m:sty m:val="p"/>
                  </m:rPr>
                  <w:rPr>
                    <w:rFonts w:ascii="Cambria Math" w:hAnsi="Cambria Math" w:cs="Times New Roman"/>
                    <w:sz w:val="24"/>
                  </w:rPr>
                  <m:t xml:space="preserve">+ </m:t>
                </m:r>
                <m:sSub>
                  <m:sSubPr>
                    <m:ctrlPr>
                      <w:rPr>
                        <w:rFonts w:ascii="Cambria Math" w:hAnsi="Cambria Math" w:cs="Times New Roman"/>
                        <w:sz w:val="24"/>
                      </w:rPr>
                    </m:ctrlPr>
                  </m:sSubPr>
                  <m:e>
                    <m:r>
                      <m:rPr>
                        <m:sty m:val="p"/>
                      </m:rPr>
                      <w:rPr>
                        <w:rFonts w:ascii="Cambria Math" w:hAnsi="Cambria Math" w:cs="Times New Roman"/>
                        <w:sz w:val="24"/>
                      </w:rPr>
                      <m:t>ε</m:t>
                    </m:r>
                  </m:e>
                  <m:sub>
                    <m:r>
                      <m:rPr>
                        <m:sty m:val="p"/>
                      </m:rPr>
                      <w:rPr>
                        <w:rFonts w:ascii="Cambria Math" w:hAnsi="Cambria Math" w:cs="Times New Roman"/>
                        <w:sz w:val="24"/>
                      </w:rPr>
                      <m:t>i,t</m:t>
                    </m:r>
                  </m:sub>
                </m:sSub>
              </m:oMath>
            </m:oMathPara>
          </w:p>
        </w:tc>
        <w:tc>
          <w:tcPr>
            <w:tcW w:w="750" w:type="pct"/>
            <w:vAlign w:val="center"/>
          </w:tcPr>
          <w:p w:rsidR="00FE0A40" w:rsidRDefault="00FE0A40" w:rsidP="00700A7C">
            <w:pPr>
              <w:spacing w:line="360" w:lineRule="auto"/>
              <w:jc w:val="right"/>
              <w:rPr>
                <w:rFonts w:ascii="Times New Roman" w:hAnsi="Times New Roman" w:cs="Times New Roman"/>
                <w:sz w:val="24"/>
              </w:rPr>
            </w:pPr>
            <w:r>
              <w:rPr>
                <w:rFonts w:ascii="Times New Roman" w:hAnsi="Times New Roman" w:cs="Times New Roman"/>
                <w:sz w:val="24"/>
              </w:rPr>
              <w:t>(1</w:t>
            </w:r>
            <w:r w:rsidR="00FE4B4D">
              <w:rPr>
                <w:rFonts w:ascii="Times New Roman" w:hAnsi="Times New Roman" w:cs="Times New Roman"/>
                <w:sz w:val="24"/>
              </w:rPr>
              <w:t>5</w:t>
            </w:r>
            <w:r>
              <w:rPr>
                <w:rFonts w:ascii="Times New Roman" w:hAnsi="Times New Roman" w:cs="Times New Roman"/>
                <w:sz w:val="24"/>
              </w:rPr>
              <w:t>)</w:t>
            </w:r>
          </w:p>
        </w:tc>
      </w:tr>
    </w:tbl>
    <w:p w:rsidR="00FE0A40" w:rsidRDefault="00FE0A40" w:rsidP="00FE0A40">
      <w:pPr>
        <w:spacing w:line="360" w:lineRule="auto"/>
        <w:jc w:val="both"/>
        <w:rPr>
          <w:rFonts w:ascii="Times New Roman" w:hAnsi="Times New Roman" w:cs="Times New Roman"/>
          <w:sz w:val="24"/>
        </w:rPr>
      </w:pPr>
    </w:p>
    <w:p w:rsidR="00FE0A40" w:rsidRPr="00BE3D6A" w:rsidRDefault="00FE0A40" w:rsidP="00FE0A40">
      <w:pPr>
        <w:spacing w:line="360" w:lineRule="auto"/>
        <w:jc w:val="both"/>
        <w:rPr>
          <w:rFonts w:ascii="Times New Roman" w:eastAsia="Times New Roman" w:hAnsi="Times New Roman" w:cs="Times New Roman"/>
          <w:sz w:val="24"/>
          <w:szCs w:val="24"/>
        </w:rPr>
      </w:pPr>
      <w:r w:rsidRPr="00BE3D6A">
        <w:rPr>
          <w:rFonts w:ascii="Times New Roman" w:hAnsi="Times New Roman" w:cs="Times New Roman"/>
          <w:sz w:val="24"/>
          <w:szCs w:val="24"/>
        </w:rPr>
        <w:t>The dependent variable in the equation (R</w:t>
      </w:r>
      <w:r w:rsidRPr="00BE3D6A">
        <w:rPr>
          <w:rFonts w:ascii="Times New Roman" w:hAnsi="Times New Roman" w:cs="Times New Roman"/>
          <w:sz w:val="24"/>
          <w:szCs w:val="24"/>
          <w:vertAlign w:val="subscript"/>
        </w:rPr>
        <w:t>i,t</w:t>
      </w:r>
      <w:r w:rsidRPr="00BE3D6A">
        <w:rPr>
          <w:rFonts w:ascii="Times New Roman" w:hAnsi="Times New Roman" w:cs="Times New Roman"/>
          <w:sz w:val="24"/>
          <w:szCs w:val="24"/>
        </w:rPr>
        <w:t xml:space="preserve">) is the one year hedged return on stock i. </w:t>
      </w:r>
      <w:r w:rsidRPr="00BE3D6A">
        <w:rPr>
          <w:rFonts w:ascii="Times New Roman" w:eastAsia="Times New Roman" w:hAnsi="Times New Roman" w:cs="Times New Roman"/>
          <w:sz w:val="24"/>
          <w:szCs w:val="24"/>
          <w:lang w:val="en-GB" w:eastAsia="en-GB"/>
        </w:rPr>
        <w:t xml:space="preserve">Brouwer, van der Put, and Veld (1997) compare hedged returns as they believe it will ignore currency return forecasts. </w:t>
      </w:r>
      <w:r>
        <w:rPr>
          <w:rFonts w:ascii="Times New Roman" w:eastAsia="Times New Roman" w:hAnsi="Times New Roman" w:cs="Times New Roman"/>
          <w:sz w:val="24"/>
          <w:szCs w:val="24"/>
          <w:lang w:val="en-GB" w:eastAsia="en-GB"/>
        </w:rPr>
        <w:t>O</w:t>
      </w:r>
      <w:r w:rsidRPr="00BE3D6A">
        <w:rPr>
          <w:rFonts w:ascii="Times New Roman" w:eastAsia="Times New Roman" w:hAnsi="Times New Roman" w:cs="Times New Roman"/>
          <w:sz w:val="24"/>
          <w:szCs w:val="24"/>
          <w:lang w:val="en-GB" w:eastAsia="en-GB"/>
        </w:rPr>
        <w:t>ne is ultimately compari</w:t>
      </w:r>
      <w:r>
        <w:rPr>
          <w:rFonts w:ascii="Times New Roman" w:eastAsia="Times New Roman" w:hAnsi="Times New Roman" w:cs="Times New Roman"/>
          <w:sz w:val="24"/>
          <w:szCs w:val="24"/>
          <w:lang w:val="en-GB" w:eastAsia="en-GB"/>
        </w:rPr>
        <w:t>ng average portfolio risk premiums</w:t>
      </w:r>
      <w:r w:rsidRPr="00BE3D6A">
        <w:rPr>
          <w:rFonts w:ascii="Times New Roman" w:eastAsia="Times New Roman" w:hAnsi="Times New Roman" w:cs="Times New Roman"/>
          <w:sz w:val="24"/>
          <w:szCs w:val="24"/>
          <w:lang w:val="en-GB" w:eastAsia="en-GB"/>
        </w:rPr>
        <w:t xml:space="preserve"> when comparing the hedged returns. The independent variables in the multiple regression include the corrected C/P ratio (</w:t>
      </w:r>
      <m:oMath>
        <m:acc>
          <m:accPr>
            <m:chr m:val="̃"/>
            <m:ctrlPr>
              <w:rPr>
                <w:rFonts w:ascii="Cambria Math" w:eastAsia="Times New Roman" w:hAnsi="Times New Roman" w:cs="Times New Roman"/>
                <w:i/>
                <w:sz w:val="24"/>
                <w:szCs w:val="24"/>
              </w:rPr>
            </m:ctrlPr>
          </m:acc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CF</m:t>
                </m:r>
                <m:r>
                  <w:rPr>
                    <w:rFonts w:ascii="Times New Roman" w:eastAsia="Times New Roman" w:hAnsi="Times New Roman" w:cs="Times New Roman"/>
                    <w:sz w:val="24"/>
                    <w:szCs w:val="24"/>
                  </w:rPr>
                  <m:t>⁄</m:t>
                </m:r>
                <m:r>
                  <w:rPr>
                    <w:rFonts w:ascii="Cambria Math" w:eastAsia="Times New Roman" w:hAnsi="Cambria Math" w:cs="Times New Roman"/>
                    <w:sz w:val="24"/>
                    <w:szCs w:val="24"/>
                  </w:rPr>
                  <m:t>P</m:t>
                </m:r>
              </m:e>
              <m:sub>
                <m:r>
                  <w:rPr>
                    <w:rFonts w:ascii="Cambria Math" w:eastAsia="Times New Roman" w:hAnsi="Cambria Math" w:cs="Times New Roman"/>
                    <w:sz w:val="24"/>
                    <w:szCs w:val="24"/>
                  </w:rPr>
                  <m:t>i</m:t>
                </m:r>
                <m:r>
                  <w:rPr>
                    <w:rFonts w:ascii="Cambria Math" w:eastAsia="Times New Roman" w:hAnsi="Times New Roman" w:cs="Times New Roman"/>
                    <w:sz w:val="24"/>
                    <w:szCs w:val="24"/>
                  </w:rPr>
                  <m:t>,</m:t>
                </m:r>
                <m:r>
                  <w:rPr>
                    <w:rFonts w:ascii="Cambria Math" w:eastAsia="Times New Roman" w:hAnsi="Cambria Math" w:cs="Times New Roman"/>
                    <w:sz w:val="24"/>
                    <w:szCs w:val="24"/>
                  </w:rPr>
                  <m:t>t</m:t>
                </m:r>
              </m:sub>
            </m:sSub>
          </m:e>
        </m:acc>
      </m:oMath>
      <w:r w:rsidRPr="00BE3D6A">
        <w:rPr>
          <w:rFonts w:ascii="Times New Roman" w:eastAsia="Times New Roman" w:hAnsi="Times New Roman" w:cs="Times New Roman"/>
          <w:sz w:val="24"/>
          <w:szCs w:val="24"/>
        </w:rPr>
        <w:t>), the corrected E/P ratio (</w:t>
      </w:r>
      <m:oMath>
        <m:acc>
          <m:accPr>
            <m:chr m:val="̃"/>
            <m:ctrlPr>
              <w:rPr>
                <w:rFonts w:ascii="Cambria Math" w:eastAsia="Times New Roman" w:hAnsi="Times New Roman" w:cs="Times New Roman"/>
                <w:i/>
                <w:sz w:val="24"/>
                <w:szCs w:val="24"/>
              </w:rPr>
            </m:ctrlPr>
          </m:accPr>
          <m:e>
            <m:sSub>
              <m:sSubPr>
                <m:ctrlPr>
                  <w:rPr>
                    <w:rFonts w:ascii="Cambria Math" w:eastAsia="Times New Roman" w:hAnsi="Times New Roman" w:cs="Times New Roman"/>
                    <w:i/>
                    <w:sz w:val="24"/>
                    <w:szCs w:val="24"/>
                  </w:rPr>
                </m:ctrlPr>
              </m:sSubPr>
              <m:e>
                <m:f>
                  <m:fPr>
                    <m:type m:val="lin"/>
                    <m:ctrlPr>
                      <w:rPr>
                        <w:rFonts w:ascii="Cambria Math" w:eastAsia="Times New Roman" w:hAnsi="Times New Roman" w:cs="Times New Roman"/>
                        <w:i/>
                        <w:sz w:val="24"/>
                        <w:szCs w:val="24"/>
                      </w:rPr>
                    </m:ctrlPr>
                  </m:fPr>
                  <m:num>
                    <m:r>
                      <w:rPr>
                        <w:rFonts w:ascii="Cambria Math" w:eastAsia="Times New Roman" w:hAnsi="Cambria Math" w:cs="Times New Roman"/>
                        <w:sz w:val="24"/>
                        <w:szCs w:val="24"/>
                      </w:rPr>
                      <m:t>E</m:t>
                    </m:r>
                  </m:num>
                  <m:den>
                    <m:r>
                      <w:rPr>
                        <w:rFonts w:ascii="Cambria Math" w:eastAsia="Times New Roman" w:hAnsi="Cambria Math" w:cs="Times New Roman"/>
                        <w:sz w:val="24"/>
                        <w:szCs w:val="24"/>
                      </w:rPr>
                      <m:t>P</m:t>
                    </m:r>
                  </m:den>
                </m:f>
              </m:e>
              <m:sub>
                <m:r>
                  <w:rPr>
                    <w:rFonts w:ascii="Cambria Math" w:eastAsia="Times New Roman" w:hAnsi="Cambria Math" w:cs="Times New Roman"/>
                    <w:sz w:val="24"/>
                    <w:szCs w:val="24"/>
                  </w:rPr>
                  <m:t>i</m:t>
                </m:r>
                <m:r>
                  <w:rPr>
                    <w:rFonts w:ascii="Cambria Math" w:eastAsia="Times New Roman" w:hAnsi="Times New Roman" w:cs="Times New Roman"/>
                    <w:sz w:val="24"/>
                    <w:szCs w:val="24"/>
                  </w:rPr>
                  <m:t>,</m:t>
                </m:r>
                <m:r>
                  <w:rPr>
                    <w:rFonts w:ascii="Cambria Math" w:eastAsia="Times New Roman" w:hAnsi="Cambria Math" w:cs="Times New Roman"/>
                    <w:sz w:val="24"/>
                    <w:szCs w:val="24"/>
                  </w:rPr>
                  <m:t>t</m:t>
                </m:r>
              </m:sub>
            </m:sSub>
          </m:e>
        </m:acc>
      </m:oMath>
      <w:r w:rsidRPr="00BE3D6A">
        <w:rPr>
          <w:rFonts w:ascii="Times New Roman" w:eastAsia="Times New Roman" w:hAnsi="Times New Roman" w:cs="Times New Roman"/>
          <w:sz w:val="24"/>
          <w:szCs w:val="24"/>
        </w:rPr>
        <w:t>), the corrected BTM ratio (</w:t>
      </w:r>
      <m:oMath>
        <m:acc>
          <m:accPr>
            <m:chr m:val="̃"/>
            <m:ctrlPr>
              <w:rPr>
                <w:rFonts w:ascii="Cambria Math" w:eastAsia="Times New Roman" w:hAnsi="Times New Roman" w:cs="Times New Roman"/>
                <w:i/>
                <w:sz w:val="24"/>
                <w:szCs w:val="24"/>
              </w:rPr>
            </m:ctrlPr>
          </m:accPr>
          <m:e>
            <m:sSub>
              <m:sSubPr>
                <m:ctrlPr>
                  <w:rPr>
                    <w:rFonts w:ascii="Cambria Math" w:eastAsia="Times New Roman" w:hAnsi="Times New Roman" w:cs="Times New Roman"/>
                    <w:i/>
                    <w:sz w:val="24"/>
                    <w:szCs w:val="24"/>
                  </w:rPr>
                </m:ctrlPr>
              </m:sSubPr>
              <m:e>
                <m:f>
                  <m:fPr>
                    <m:type m:val="lin"/>
                    <m:ctrlPr>
                      <w:rPr>
                        <w:rFonts w:ascii="Cambria Math" w:eastAsia="Times New Roman" w:hAnsi="Times New Roman" w:cs="Times New Roman"/>
                        <w:i/>
                        <w:sz w:val="24"/>
                        <w:szCs w:val="24"/>
                      </w:rPr>
                    </m:ctrlPr>
                  </m:fPr>
                  <m:num>
                    <m:r>
                      <w:rPr>
                        <w:rFonts w:ascii="Cambria Math" w:eastAsia="Times New Roman" w:hAnsi="Cambria Math" w:cs="Times New Roman"/>
                        <w:sz w:val="24"/>
                        <w:szCs w:val="24"/>
                      </w:rPr>
                      <m:t>B</m:t>
                    </m:r>
                  </m:num>
                  <m:den>
                    <m:r>
                      <w:rPr>
                        <w:rFonts w:ascii="Cambria Math" w:eastAsia="Times New Roman" w:hAnsi="Cambria Math" w:cs="Times New Roman"/>
                        <w:sz w:val="24"/>
                        <w:szCs w:val="24"/>
                      </w:rPr>
                      <m:t>M</m:t>
                    </m:r>
                  </m:den>
                </m:f>
              </m:e>
              <m:sub>
                <m:r>
                  <w:rPr>
                    <w:rFonts w:ascii="Cambria Math" w:eastAsia="Times New Roman" w:hAnsi="Cambria Math" w:cs="Times New Roman"/>
                    <w:sz w:val="24"/>
                    <w:szCs w:val="24"/>
                  </w:rPr>
                  <m:t>i</m:t>
                </m:r>
                <m:r>
                  <w:rPr>
                    <w:rFonts w:ascii="Cambria Math" w:eastAsia="Times New Roman" w:hAnsi="Times New Roman" w:cs="Times New Roman"/>
                    <w:sz w:val="24"/>
                    <w:szCs w:val="24"/>
                  </w:rPr>
                  <m:t>,</m:t>
                </m:r>
                <m:r>
                  <w:rPr>
                    <w:rFonts w:ascii="Cambria Math" w:eastAsia="Times New Roman" w:hAnsi="Cambria Math" w:cs="Times New Roman"/>
                    <w:sz w:val="24"/>
                    <w:szCs w:val="24"/>
                  </w:rPr>
                  <m:t>t</m:t>
                </m:r>
              </m:sub>
            </m:sSub>
            <m:r>
              <w:rPr>
                <w:rFonts w:ascii="Cambria Math" w:eastAsia="Times New Roman" w:hAnsi="Times New Roman" w:cs="Times New Roman"/>
                <w:sz w:val="24"/>
                <w:szCs w:val="24"/>
              </w:rPr>
              <m:t>)</m:t>
            </m:r>
          </m:e>
        </m:acc>
      </m:oMath>
      <w:r w:rsidRPr="00BE3D6A">
        <w:rPr>
          <w:rFonts w:ascii="Times New Roman" w:eastAsia="Times New Roman" w:hAnsi="Times New Roman" w:cs="Times New Roman"/>
          <w:sz w:val="24"/>
          <w:szCs w:val="24"/>
        </w:rPr>
        <w:t xml:space="preserve"> and the corrected dividend yield (</w:t>
      </w:r>
      <m:oMath>
        <m:sSub>
          <m:sSubPr>
            <m:ctrlPr>
              <w:rPr>
                <w:rFonts w:ascii="Cambria Math" w:eastAsia="Times New Roman" w:hAnsi="Times New Roman" w:cs="Times New Roman"/>
                <w:i/>
                <w:sz w:val="24"/>
                <w:szCs w:val="24"/>
              </w:rPr>
            </m:ctrlPr>
          </m:sSubPr>
          <m:e>
            <m:acc>
              <m:accPr>
                <m:chr m:val="̃"/>
                <m:ctrlPr>
                  <w:rPr>
                    <w:rFonts w:ascii="Cambria Math" w:eastAsia="Times New Roman" w:hAnsi="Times New Roman" w:cs="Times New Roman"/>
                    <w:i/>
                    <w:sz w:val="24"/>
                    <w:szCs w:val="24"/>
                  </w:rPr>
                </m:ctrlPr>
              </m:accPr>
              <m:e>
                <m:r>
                  <w:rPr>
                    <w:rFonts w:ascii="Cambria Math" w:eastAsia="Times New Roman" w:hAnsi="Cambria Math" w:cs="Times New Roman"/>
                    <w:sz w:val="24"/>
                    <w:szCs w:val="24"/>
                  </w:rPr>
                  <m:t>Yld</m:t>
                </m:r>
              </m:e>
            </m:acc>
          </m:e>
          <m:sub>
            <m:r>
              <w:rPr>
                <w:rFonts w:ascii="Cambria Math" w:eastAsia="Times New Roman" w:hAnsi="Cambria Math" w:cs="Times New Roman"/>
                <w:sz w:val="24"/>
                <w:szCs w:val="24"/>
              </w:rPr>
              <m:t>i</m:t>
            </m:r>
            <m:r>
              <w:rPr>
                <w:rFonts w:ascii="Cambria Math" w:eastAsia="Times New Roman" w:hAnsi="Times New Roman" w:cs="Times New Roman"/>
                <w:sz w:val="24"/>
                <w:szCs w:val="24"/>
              </w:rPr>
              <m:t>,</m:t>
            </m:r>
            <m:r>
              <w:rPr>
                <w:rFonts w:ascii="Cambria Math" w:eastAsia="Times New Roman" w:hAnsi="Cambria Math" w:cs="Times New Roman"/>
                <w:sz w:val="24"/>
                <w:szCs w:val="24"/>
              </w:rPr>
              <m:t>t</m:t>
            </m:r>
          </m:sub>
        </m:sSub>
        <m:r>
          <w:rPr>
            <w:rFonts w:ascii="Cambria Math" w:eastAsia="Times New Roman" w:hAnsi="Times New Roman" w:cs="Times New Roman"/>
            <w:sz w:val="24"/>
            <w:szCs w:val="24"/>
          </w:rPr>
          <m:t>)</m:t>
        </m:r>
      </m:oMath>
      <w:r w:rsidRPr="00BE3D6A">
        <w:rPr>
          <w:rFonts w:ascii="Times New Roman" w:eastAsia="Times New Roman" w:hAnsi="Times New Roman" w:cs="Times New Roman"/>
          <w:sz w:val="24"/>
          <w:szCs w:val="24"/>
        </w:rPr>
        <w:t xml:space="preserve">. The final independent variable is the natural logarithm of the market </w:t>
      </w:r>
      <w:r>
        <w:rPr>
          <w:rFonts w:ascii="Times New Roman" w:eastAsia="Times New Roman" w:hAnsi="Times New Roman" w:cs="Times New Roman"/>
          <w:sz w:val="24"/>
          <w:szCs w:val="24"/>
        </w:rPr>
        <w:t>capitalisation</w:t>
      </w:r>
      <w:r w:rsidRPr="00BE3D6A">
        <w:rPr>
          <w:rFonts w:ascii="Times New Roman" w:eastAsia="Times New Roman" w:hAnsi="Times New Roman" w:cs="Times New Roman"/>
          <w:sz w:val="24"/>
          <w:szCs w:val="24"/>
        </w:rPr>
        <w:t xml:space="preserve"> of stock i. </w:t>
      </w:r>
    </w:p>
    <w:p w:rsidR="00FE0A40" w:rsidRDefault="00FE0A40" w:rsidP="00FE0A40">
      <w:pPr>
        <w:spacing w:line="360" w:lineRule="auto"/>
        <w:jc w:val="both"/>
        <w:rPr>
          <w:rFonts w:ascii="Times New Roman" w:eastAsia="Times New Roman" w:hAnsi="Times New Roman" w:cs="Times New Roman"/>
          <w:sz w:val="24"/>
        </w:rPr>
      </w:pPr>
    </w:p>
    <w:p w:rsidR="00FE0A40" w:rsidRDefault="00FE0A40" w:rsidP="00FE0A40">
      <w:pPr>
        <w:spacing w:line="360" w:lineRule="auto"/>
        <w:jc w:val="both"/>
        <w:rPr>
          <w:rFonts w:ascii="Times New Roman" w:eastAsia="Times New Roman" w:hAnsi="Times New Roman" w:cs="Times New Roman"/>
          <w:sz w:val="24"/>
          <w:lang w:val="en-GB" w:eastAsia="en-GB"/>
        </w:rPr>
      </w:pPr>
      <w:r>
        <w:rPr>
          <w:rFonts w:ascii="Times New Roman" w:eastAsia="Times New Roman" w:hAnsi="Times New Roman" w:cs="Times New Roman"/>
          <w:sz w:val="24"/>
        </w:rPr>
        <w:t xml:space="preserve">Results of </w:t>
      </w:r>
      <w:r>
        <w:rPr>
          <w:rFonts w:ascii="Times New Roman" w:eastAsia="Times New Roman" w:hAnsi="Times New Roman" w:cs="Times New Roman"/>
          <w:sz w:val="24"/>
          <w:lang w:val="en-GB" w:eastAsia="en-GB"/>
        </w:rPr>
        <w:t xml:space="preserve">Brouwer, van der Put, and Veld (1997) annual average returns for each variable sorted portfolio shows that the value portfolios outperform the growth portfolios. While the difference between the two extreme portfolios for the portfolios sorted (separately) on E/P and D/P are around the 5% mark, the BTM and C/P portfolios tell a different story. The difference between the extreme portfolios for the BTM sorted portfolios is 10%, while the difference for the C/P sorted portfolios is 20.8%. Comparing this to Chan, Hamao, and Lakonishok (1991), the results appear to be consistent as these authors find that the value portfolios sorted on E/P, C/P, and BTM all outperform the growth portfolios. However, in Chan, Hamao, and Lakonishok (1991) the most notable outperformance is for the BTM sorted portfolio. Comparing Brouwer, van der Put, and Veld (1997) results to Lakonishok, Shleifer, and Vishny (1994), one is able to clearly see that the results are fairly similar. Lakonishok, Shleifer, and Vishny (1994) have the most notable outperformance for the C/P sorted portfolio (with a difference of 9.9%). The E/P sorted portfolio has the smallest return difference of 3.9%, albeit positive. The second largest return difference in Lakonishok, Shleifer, and Vishny (1994) study is that same as in the Brouwer, van der Put, and Veld (1997) study – the BTM sorted portfolio. In the Lakonishok, Shleifer, and Vishny (1994) </w:t>
      </w:r>
      <w:r>
        <w:rPr>
          <w:rFonts w:ascii="Times New Roman" w:eastAsia="Times New Roman" w:hAnsi="Times New Roman" w:cs="Times New Roman"/>
          <w:sz w:val="24"/>
          <w:lang w:val="en-GB" w:eastAsia="en-GB"/>
        </w:rPr>
        <w:lastRenderedPageBreak/>
        <w:t xml:space="preserve">study the outperformance is 6.3%, while in Brouwer, van der Put, and Veld (1997) it is 10%. One of the differences between the two studies is the time period under consideration. Lakonishok, Shleifer, and Vishny (1994) consider 27 years (1963 – 1990), while Brouwer, van der Put, and Veld (1997) examine the period 1982 – 1993, which is less than half the time period of Lakonishok, Shleifer, and Vishny (1994). Sample composition may also be another consideration for the small difference in returns. </w:t>
      </w:r>
    </w:p>
    <w:p w:rsidR="00FE0A40" w:rsidRDefault="00FE0A40" w:rsidP="00FE0A40">
      <w:pPr>
        <w:spacing w:line="360" w:lineRule="auto"/>
        <w:jc w:val="both"/>
        <w:rPr>
          <w:rFonts w:ascii="Times New Roman" w:eastAsia="Times New Roman" w:hAnsi="Times New Roman" w:cs="Times New Roman"/>
          <w:sz w:val="24"/>
          <w:lang w:val="en-GB" w:eastAsia="en-GB"/>
        </w:rPr>
      </w:pPr>
    </w:p>
    <w:p w:rsidR="00FE0A40" w:rsidRDefault="00FE0A40" w:rsidP="00FE0A40">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szCs w:val="24"/>
          <w:lang w:val="en-GB" w:eastAsia="en-GB"/>
        </w:rPr>
        <w:t xml:space="preserve">Brouwer, van der Put, and Veld (1997) perform annual ordinary least squares (OLS) regressions with all the variables included. </w:t>
      </w:r>
      <w:r>
        <w:rPr>
          <w:rFonts w:ascii="Times New Roman" w:eastAsia="Times New Roman" w:hAnsi="Times New Roman" w:cs="Times New Roman"/>
          <w:sz w:val="24"/>
          <w:szCs w:val="24"/>
          <w:lang w:val="en-GB" w:eastAsia="en-GB"/>
        </w:rPr>
        <w:t xml:space="preserve">A holding period return is calculated by the authors at the end of each year studied. A cross-sectional regression is run, using these returns as the dependent variables for each respective year and the E/P, D/P, C/P, and BTM ratios, along with the natural logarithm of market value are the independent variables. </w:t>
      </w:r>
      <w:r w:rsidRPr="001E52F7">
        <w:rPr>
          <w:rFonts w:ascii="Times New Roman" w:eastAsia="Times New Roman" w:hAnsi="Times New Roman" w:cs="Times New Roman"/>
          <w:sz w:val="24"/>
          <w:szCs w:val="24"/>
          <w:lang w:val="en-GB" w:eastAsia="en-GB"/>
        </w:rPr>
        <w:t xml:space="preserve">The C/P coefficient is positive and significant at the 1% level, the only other variable being significant at the 1% level is the natural logarithm of market </w:t>
      </w:r>
      <w:r>
        <w:rPr>
          <w:rFonts w:ascii="Times New Roman" w:eastAsia="Times New Roman" w:hAnsi="Times New Roman" w:cs="Times New Roman"/>
          <w:sz w:val="24"/>
          <w:szCs w:val="24"/>
          <w:lang w:val="en-GB" w:eastAsia="en-GB"/>
        </w:rPr>
        <w:t>capitalisation</w:t>
      </w:r>
      <w:r w:rsidRPr="001E52F7">
        <w:rPr>
          <w:rFonts w:ascii="Times New Roman" w:eastAsia="Times New Roman" w:hAnsi="Times New Roman" w:cs="Times New Roman"/>
          <w:sz w:val="24"/>
          <w:szCs w:val="24"/>
          <w:lang w:val="en-GB" w:eastAsia="en-GB"/>
        </w:rPr>
        <w:t xml:space="preserve">. Albeit a negative coefficient, the natural logarithm of market </w:t>
      </w:r>
      <w:r>
        <w:rPr>
          <w:rFonts w:ascii="Times New Roman" w:eastAsia="Times New Roman" w:hAnsi="Times New Roman" w:cs="Times New Roman"/>
          <w:sz w:val="24"/>
          <w:szCs w:val="24"/>
          <w:lang w:val="en-GB" w:eastAsia="en-GB"/>
        </w:rPr>
        <w:t>capitalisation</w:t>
      </w:r>
      <w:r w:rsidRPr="001E52F7">
        <w:rPr>
          <w:rFonts w:ascii="Times New Roman" w:eastAsia="Times New Roman" w:hAnsi="Times New Roman" w:cs="Times New Roman"/>
          <w:sz w:val="24"/>
          <w:szCs w:val="24"/>
          <w:lang w:val="en-GB" w:eastAsia="en-GB"/>
        </w:rPr>
        <w:t xml:space="preserve"> indicates that the small firm effect is present in the study of Brouwer, van der Put, and Veld (1997).  With C/P being a better variable than E/P to explain the cross-section of returns, Brouwer, van der Put, and Veld (1997) conclude that this is because C/P is a more stable accounting measure than earnings. The E/P variable even changes its sign (from positive to negative) when all other variables are included in the regression; verifying for the authors that the C/P measure is a better variable to explain returns.</w:t>
      </w:r>
    </w:p>
    <w:p w:rsidR="00FE0A40" w:rsidRDefault="00FE0A40" w:rsidP="00FE0A40">
      <w:pPr>
        <w:spacing w:line="360" w:lineRule="auto"/>
        <w:jc w:val="both"/>
        <w:rPr>
          <w:rFonts w:ascii="Times New Roman" w:eastAsia="Times New Roman" w:hAnsi="Times New Roman" w:cs="Times New Roman"/>
          <w:sz w:val="24"/>
          <w:lang w:val="en-GB" w:eastAsia="en-GB"/>
        </w:rPr>
      </w:pPr>
    </w:p>
    <w:p w:rsidR="008B084D" w:rsidRDefault="00FE0A40" w:rsidP="008B084D">
      <w:pPr>
        <w:spacing w:line="360" w:lineRule="auto"/>
        <w:jc w:val="both"/>
        <w:rPr>
          <w:rFonts w:ascii="Times New Roman" w:eastAsia="Times New Roman" w:hAnsi="Times New Roman" w:cs="Times New Roman"/>
          <w:sz w:val="24"/>
          <w:lang w:val="en-GB" w:eastAsia="en-GB"/>
        </w:rPr>
      </w:pPr>
      <w:r>
        <w:rPr>
          <w:rFonts w:ascii="Times New Roman" w:eastAsia="Times New Roman" w:hAnsi="Times New Roman" w:cs="Times New Roman"/>
          <w:sz w:val="24"/>
          <w:lang w:val="en-GB" w:eastAsia="en-GB"/>
        </w:rPr>
        <w:t xml:space="preserve">Brouwer, van der Put, and Veld (1997) calculate a success-ratio to determine how consistent the superior performance of value portfolios over growth portfolios is. The success-ratio is the number of years of value portfolio outperformance, expressed in percentage form. For the four portfolios (E/P, C/P, D/P, and BTM) the success-ratios range from 64% (BTM ratio) to 100% (C/P ratio). This simply tells the reader that there is consistency in the superior performance of value strategies over growth strategies. The 100% success-ratio implies that not once, in the eleven year period of Brouwer, van der Put, and Veld (1997) did the value portfolio sorted on the C/P ratio underperform the growth portfolio sorted on the same ratio. Thus, a conclusion can be drawn from this result and the earlier one of the value portfolio </w:t>
      </w:r>
      <w:r>
        <w:rPr>
          <w:rFonts w:ascii="Times New Roman" w:eastAsia="Times New Roman" w:hAnsi="Times New Roman" w:cs="Times New Roman"/>
          <w:sz w:val="24"/>
          <w:lang w:val="en-GB" w:eastAsia="en-GB"/>
        </w:rPr>
        <w:lastRenderedPageBreak/>
        <w:t>outperforming the growth by 20.8%: if one is to create a portfolio based on a fundamental-to-price variable and is investing in the European markets, one should settle on the C/P ratio.</w:t>
      </w:r>
    </w:p>
    <w:p w:rsidR="008B084D" w:rsidRDefault="008B084D" w:rsidP="008B084D">
      <w:pPr>
        <w:spacing w:line="360" w:lineRule="auto"/>
        <w:jc w:val="both"/>
        <w:rPr>
          <w:rFonts w:ascii="Times New Roman" w:eastAsia="Times New Roman" w:hAnsi="Times New Roman" w:cs="Times New Roman"/>
          <w:sz w:val="24"/>
          <w:lang w:val="en-GB" w:eastAsia="en-GB"/>
        </w:rPr>
      </w:pPr>
    </w:p>
    <w:p w:rsidR="00FE0A40" w:rsidRPr="00566BF3" w:rsidRDefault="00FE0A40" w:rsidP="00FE0A4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While the size premium found by Strong and Xu (1997) has already been discussed in this dissertation, further examination of the study by the authors is examined here. </w:t>
      </w:r>
      <w:r w:rsidRPr="00566BF3">
        <w:rPr>
          <w:rFonts w:ascii="Times New Roman" w:hAnsi="Times New Roman" w:cs="Times New Roman"/>
          <w:sz w:val="24"/>
          <w:szCs w:val="36"/>
        </w:rPr>
        <w:t xml:space="preserve">Strong and Xu (1997) apply the Fama and French (1993) three-factor model to their data from the London Stock Exchange. Their data ranges from 1973 to 1992. Their variables include leverage, the E/P and BTM ratios, size, and beta risk. Their monthly data that is not collected from the Exstat database (that is, all data that is not accounting data) is restricted in order to reduce any bias. Pre-1975 Strong and Xu (1997) took a one-third random sample of the London Share Price Database (LSPD). Although this restriction is the case for data dating prior to 1975, the period from 1973 to 1992 is not restricted by any percentage, but rather to Exstat and </w:t>
      </w:r>
      <w:r w:rsidRPr="00964E7B">
        <w:rPr>
          <w:rFonts w:ascii="Times New Roman" w:hAnsi="Times New Roman" w:cs="Times New Roman"/>
          <w:sz w:val="24"/>
          <w:szCs w:val="36"/>
        </w:rPr>
        <w:t>LSPD</w:t>
      </w:r>
      <w:r w:rsidRPr="00E979F1">
        <w:rPr>
          <w:rFonts w:ascii="Times New Roman" w:hAnsi="Times New Roman" w:cs="Times New Roman"/>
          <w:color w:val="FF0000"/>
          <w:sz w:val="24"/>
          <w:szCs w:val="36"/>
        </w:rPr>
        <w:t>.</w:t>
      </w:r>
      <w:r w:rsidRPr="00566BF3">
        <w:rPr>
          <w:rFonts w:ascii="Times New Roman" w:hAnsi="Times New Roman" w:cs="Times New Roman"/>
          <w:sz w:val="24"/>
          <w:szCs w:val="36"/>
        </w:rPr>
        <w:t xml:space="preserve"> Companies need to be in both these databases to be included in the sample. Only companies with a single class of share are included in the samples. As with the Fama and French (1993) model, Strong and Xu (1997) calculate post-ranking betas and use them as independent variables in their regressions. In order to be consistent with Fama and French (1992), Strong and Xu (1997) present results of their regressions for an equally</w:t>
      </w:r>
      <w:r w:rsidR="00531EE8">
        <w:rPr>
          <w:rFonts w:ascii="Times New Roman" w:hAnsi="Times New Roman" w:cs="Times New Roman"/>
          <w:sz w:val="24"/>
          <w:szCs w:val="36"/>
        </w:rPr>
        <w:t xml:space="preserve"> </w:t>
      </w:r>
      <w:r w:rsidRPr="00566BF3">
        <w:rPr>
          <w:rFonts w:ascii="Times New Roman" w:hAnsi="Times New Roman" w:cs="Times New Roman"/>
          <w:sz w:val="24"/>
          <w:szCs w:val="36"/>
        </w:rPr>
        <w:t xml:space="preserve">weighted index. Strong </w:t>
      </w:r>
      <w:r w:rsidR="00531EE8">
        <w:rPr>
          <w:rFonts w:ascii="Times New Roman" w:hAnsi="Times New Roman" w:cs="Times New Roman"/>
          <w:sz w:val="24"/>
          <w:szCs w:val="36"/>
        </w:rPr>
        <w:t xml:space="preserve">and Xu (1997) suggest the value </w:t>
      </w:r>
      <w:r w:rsidRPr="00566BF3">
        <w:rPr>
          <w:rFonts w:ascii="Times New Roman" w:hAnsi="Times New Roman" w:cs="Times New Roman"/>
          <w:sz w:val="24"/>
          <w:szCs w:val="36"/>
        </w:rPr>
        <w:t xml:space="preserve">weighted index has the ability to magnify the betas. The betas of smaller firms are smaller and the betas of larger </w:t>
      </w:r>
      <w:r w:rsidR="00531EE8">
        <w:rPr>
          <w:rFonts w:ascii="Times New Roman" w:hAnsi="Times New Roman" w:cs="Times New Roman"/>
          <w:sz w:val="24"/>
          <w:szCs w:val="36"/>
        </w:rPr>
        <w:t xml:space="preserve">firms are greater using a value </w:t>
      </w:r>
      <w:r w:rsidRPr="00566BF3">
        <w:rPr>
          <w:rFonts w:ascii="Times New Roman" w:hAnsi="Times New Roman" w:cs="Times New Roman"/>
          <w:sz w:val="24"/>
          <w:szCs w:val="36"/>
        </w:rPr>
        <w:t xml:space="preserve">weighted index. </w:t>
      </w:r>
    </w:p>
    <w:p w:rsidR="00FE0A40" w:rsidRPr="00566BF3" w:rsidRDefault="00FE0A40" w:rsidP="00FE0A40"/>
    <w:p w:rsidR="008B084D" w:rsidRDefault="00FE0A40" w:rsidP="008B084D">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t>Sorting portfolios using two variables, Strong and Xu (1997) follow the Fama-</w:t>
      </w:r>
      <w:r>
        <w:rPr>
          <w:rFonts w:ascii="Times New Roman" w:hAnsi="Times New Roman" w:cs="Times New Roman"/>
          <w:sz w:val="24"/>
          <w:szCs w:val="36"/>
        </w:rPr>
        <w:t>MacBeth</w:t>
      </w:r>
      <w:r w:rsidRPr="00566BF3">
        <w:rPr>
          <w:rFonts w:ascii="Times New Roman" w:hAnsi="Times New Roman" w:cs="Times New Roman"/>
          <w:sz w:val="24"/>
          <w:szCs w:val="36"/>
        </w:rPr>
        <w:t xml:space="preserve"> (1973) method. Portfolios sorted on beta and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produces results in favour of the latter variable. Beta, in CAPM, is a significant coefficient according to Strong and Xu (1997) tests, however, when beta is combined with the market value sorting, beta becomes insignificant. Combining accounting variables with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the authors find while BTM and leverage alone explain average returns, when they are combined with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this latter variable becomes insignificant. By utilising the E/P ratio as a dummy variable when the ratio is negative and the actual E/P amount when it is positive, the results show that the dummy variable has a t-statistic of 2.48. Implying the dummy variable is significant at the 10% level. The positive E/P values are significant at the 10% level. When the earnings yield is combined with market value, both variables become insignificant in explaining the average returns. Strong and Xu (1997) findings can be reviewed as follows. </w:t>
      </w:r>
      <w:r w:rsidRPr="00566BF3">
        <w:rPr>
          <w:rFonts w:ascii="Times New Roman" w:hAnsi="Times New Roman" w:cs="Times New Roman"/>
          <w:sz w:val="24"/>
          <w:szCs w:val="36"/>
        </w:rPr>
        <w:lastRenderedPageBreak/>
        <w:t xml:space="preserve">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is a better explanatory variable tha</w:t>
      </w:r>
      <w:r>
        <w:rPr>
          <w:rFonts w:ascii="Times New Roman" w:hAnsi="Times New Roman" w:cs="Times New Roman"/>
          <w:sz w:val="24"/>
          <w:szCs w:val="36"/>
        </w:rPr>
        <w:t>n</w:t>
      </w:r>
      <w:r w:rsidRPr="00566BF3">
        <w:rPr>
          <w:rFonts w:ascii="Times New Roman" w:hAnsi="Times New Roman" w:cs="Times New Roman"/>
          <w:sz w:val="24"/>
          <w:szCs w:val="36"/>
        </w:rPr>
        <w:t xml:space="preserve"> beta, and explains returns in the earlier period under consideration (1955 – 1992). In the later period under consideration (1973 – 1992)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becomes insignificant in the two-way sort with BTM and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and leverage and market </w:t>
      </w:r>
      <w:r>
        <w:rPr>
          <w:rFonts w:ascii="Times New Roman" w:hAnsi="Times New Roman" w:cs="Times New Roman"/>
          <w:sz w:val="24"/>
          <w:szCs w:val="36"/>
        </w:rPr>
        <w:t>capitalisation</w:t>
      </w:r>
      <w:r w:rsidRPr="00566BF3">
        <w:rPr>
          <w:rFonts w:ascii="Times New Roman" w:hAnsi="Times New Roman" w:cs="Times New Roman"/>
          <w:sz w:val="24"/>
          <w:szCs w:val="36"/>
        </w:rPr>
        <w:t>. This results in the two variables (BTM and leverage) being the two consistently significant variables in this UK study by Strong and Xu (1997).</w:t>
      </w:r>
    </w:p>
    <w:p w:rsidR="008B084D" w:rsidRDefault="008B084D" w:rsidP="008B084D">
      <w:pPr>
        <w:spacing w:line="360" w:lineRule="auto"/>
        <w:jc w:val="both"/>
        <w:rPr>
          <w:rFonts w:ascii="Times New Roman" w:hAnsi="Times New Roman" w:cs="Times New Roman"/>
          <w:sz w:val="24"/>
          <w:szCs w:val="36"/>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Levis and Liodakis (2001) take a look at the London Stock Exchange over the period 1968 to 1997. As with Fama and French (1992), Levis and Liodakis (2001) do not include financial firms in their study, effectively removing 537 from 3868 companies in their dataset. Portfolios are sorted on the BTM, E/P, C/P ratios and 3 years past growth rates in earnings per share. Consistent with Lakonishok, Shleifer, and Vishny (1994), negative earnings and cash flows are excluded from the sample. Levis and Liodakis (2001) create dual sorted portfolios, sorted initially on market capitalisation and then on the BTM ratio. 9 portfolios are the end result of the intersection of the three size and three BTM portfolios. The portfolios are rebalanced annually. This sorting procedure is similar to that of Fama and French (1993).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The return patterns of high minus low BTM portfolios over the 5 years prior to portfolio formation indicates that low BTM stocks outperforms high BTM stocks. This is what is expected by Levis and Liodakis (2001) as growth stocks must have superior past performance, while value stocks must have poor past performance. 1 year after portfolio formation the high BTM portfolio outperforms the low BTM portfolio by 11.6%. The percentage outperformance of value over growth portfolios decreases monotonically in Levis and Liodakis (2001) study. In the 5</w:t>
      </w:r>
      <w:r w:rsidRPr="004F7799">
        <w:rPr>
          <w:rFonts w:ascii="Times New Roman" w:hAnsi="Times New Roman" w:cs="Times New Roman"/>
          <w:sz w:val="24"/>
          <w:vertAlign w:val="superscript"/>
        </w:rPr>
        <w:t>th</w:t>
      </w:r>
      <w:r>
        <w:rPr>
          <w:rFonts w:ascii="Times New Roman" w:hAnsi="Times New Roman" w:cs="Times New Roman"/>
          <w:sz w:val="24"/>
        </w:rPr>
        <w:t xml:space="preserve"> year after portfolio formation, the value portfolio outperforms the growth portfolio by only 3.42%. This result, however, is not statistically significant. The 1 year post formation return is statistically significant at the 5% level, while the 2 year post formation return is statistically significant at the 10% level. With both the E/P and C/P single sorted portfolio, while the high minus low returns are positive, and thus in favour of the contrarian strategy, the results are not statistically significant for any of the 5 post formation years. The historical EPS growth patterns of Levis and Liodakis (2001) also indicate a positive return differential for value minus growth, but there still remains no statistical significance. </w:t>
      </w: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following dual sorted portfolios created by Levis and Liodakis (2001) are sorted initially on the BTM, C/P, or E/P ratio and the second variable, the 3 years previous earnings growth. The initial sorting is created by separating the stocks into the top 30%, middle 40%, and bottom 30%. The second sorting follows the same procedure, with the end result of 9 portfolios. This dual sorting effectively determines whether the extrapolation hypothesis holds over the period 1968 to 1997 in the UK. The results of Levis and Liodakis (2001) show that, even though the value dual sorted portfolio (high BTM, low EPS growth) outperforms the growth dual sorted portfolio (low BTM, high EPS growth) the result is not statistically significant. In fact, none of the dual sorted portfolios have significant results. Levis and Liodakis (2001) conclude that the extrapolation hypothesis is not valued over their time period in the UK. This result is in contrast to Lakonishok, Shleifer, and Vishny (1994), De Bondt and Thaler (1985), and Bauman and Miller (1997) who find evidence of investors extrapolating past performance too far into the future.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The suggestion made by Levis and Liodakis (2001) with regard to the errors-in-expectations hypothesis is that all the errors may not come from investors mispricing stocks alone, but may also be due to analysts making errors in forecasting earnings. The authors consider the positive and negative earnings surprises and the impact they have on the strategies created. The negative and positive earnings surprises are much larger for the value portfolios, contradicting the errors-in-expectations hypothesis. Furthermore, Levis and Liodakis (2001) note that their results are also in contradiction to the results of Dreman and Berry (1995) who find there is a lot of similarity in their results of positive and negative earnings surprises. Continuing further with the examination of positive and negative earnings surprises on the strategies of Levis and Liodakis (2001), positive earnings surprises on value portfolios lead to superior performance when compared to positive earnings surprises on growth portfolios. The authors consider the one year returns for the BTM, C/P, E/P, and historical EPS growth portfolios with earnings surprises. The positive surprises have a larger effect on the value portfolios (high BTM, C/P, E/P and low historical EPS growth) than on the growth portfolios. The returns for the high BTM, C/P, E/P and low EPS growth portfolios are 21.68%, 21.61%, 20.34%, and 20.91% respectively, while the returns for the low BTM, C/P, E/P and high historical EPS growth portfolios are 16.90%, 19.16%, 18.43%, and 15.87% respectively. The most notable result with regards to the negative earnings surprise is the BTM portfolios. The low BTM portfolio is affected more by a negative earnings surprise than the high BTM </w:t>
      </w:r>
      <w:r>
        <w:rPr>
          <w:rFonts w:ascii="Times New Roman" w:hAnsi="Times New Roman" w:cs="Times New Roman"/>
          <w:sz w:val="24"/>
        </w:rPr>
        <w:lastRenderedPageBreak/>
        <w:t xml:space="preserve">portfolio, with the low BTM portfolio earning a negative 5.65% return. The high BTM portfolio earns a positive 11.15% return with the negative earnings surprise, according to Levis and Liodakis (2001). </w:t>
      </w:r>
    </w:p>
    <w:p w:rsidR="00FE0A40" w:rsidRDefault="00FE0A40" w:rsidP="00FE0A40">
      <w:pPr>
        <w:spacing w:line="360" w:lineRule="auto"/>
        <w:jc w:val="both"/>
        <w:rPr>
          <w:rFonts w:ascii="Times New Roman" w:hAnsi="Times New Roman" w:cs="Times New Roman"/>
          <w:sz w:val="24"/>
        </w:rPr>
      </w:pPr>
    </w:p>
    <w:p w:rsidR="008B084D" w:rsidRDefault="00FE0A40" w:rsidP="008B084D">
      <w:pPr>
        <w:spacing w:line="360" w:lineRule="auto"/>
        <w:jc w:val="both"/>
        <w:rPr>
          <w:rFonts w:ascii="Times New Roman" w:hAnsi="Times New Roman" w:cs="Times New Roman"/>
          <w:sz w:val="24"/>
        </w:rPr>
      </w:pPr>
      <w:r>
        <w:rPr>
          <w:rFonts w:ascii="Times New Roman" w:hAnsi="Times New Roman" w:cs="Times New Roman"/>
          <w:sz w:val="24"/>
        </w:rPr>
        <w:t>Regressing the BTM, C/P, E/P and historical EPS growth variables against earnings surprises, Levis and Liodakis (2001) separated the negative and positive earnings surprises into two dependent variables. The authors use the generalized method of moments (GMM) model in order to make the assumption that any disturbances in the equations are not correlated with the two instruments – surprise and size. The expectation of Levis and Liodakis (2001) is to find significant positive coefficients for the growth variables (low BTM, E/P, C/P and high historical EPS growth). The results indicate that positive surprises have a significant effect on value portfolios, but not for the historical EPS growth portfolio. The negative earnings surprise results confirm the theory that a negative surprise on an already poorly performing firm does not have as large effect as that of a well performing firm. The value portfolio coefficients are smaller than the growth portfolio coefficients. This result of Levis and Liodakis (2001) is similar to Dreman and Berry (1995) who note that a reinforcing event has a much smaller impact on a portfolio than an event trigger.</w:t>
      </w:r>
    </w:p>
    <w:p w:rsidR="008B084D" w:rsidRDefault="008B084D" w:rsidP="008B084D">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Chin, Prevost, and Gottesman (2002) evaluate the contrarian strategy, using accounting based valuation measures, in New Zealand. They do this in order to compare it to the US and Japanese results of the existence of contrarian profits, whether it is due to riskier value stocks or naive investors. The data is collected by Chin, Prevost, and Gottesman (2002) from Datex Investor Services and Datastream database. As in Levis and Liodakis (2001) and Fama and French (1992), Chin, Prevost, and Gottesman (2002) exclude financial firms, arguing that increased leverage on a financial firm’s financial statements may not have the same implication as that on a non-financial firm’s Balance Sheet. As in Brouwer, van der Put, and Veld (1997), Chin, Prevost, and Gottesman (2002) acknowledge that the financial statements need to be available to the investor at the time of portfolio formation. In the latter authors’ case they assume that the financial statements will be available to the user within 3 months of the firm’s fiscal year end.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Another requirement of the dataset is that 3 years of monthly returns are required for each stock. The sample period, therefore, ranges from the end of March 1986 to the end of March 1996. Chin, Prevost, and Gottesman (2002) follow the methodology of Lakonishok, Shleifer, and Vishny (1994) using the four variables they use in their paper – GS, BTM, E/P, and C/P. However, while Lakonishok, Shleifer, and Vishny (1994) require 5 years of past sales growth for their GS variable, Chin, Prevost, and Gottesman (2002) only require 1 year past growth in sales. The authors calculate annual buy-and-hold returns from daily stock returns. In contrast to authors who use monthly returns (including Fama and French, 1995, and Chan, Hamao, and Lakonishok, 1991) Chin, Prevost, and Gottesman (2002) argue that using annual returns minimizes transaction costs and any errors caused by thin trading. Similar to Lakonishok, Shleifer, and Vishny (1994), Chin, Prevost, and Gottesman (2002) sort their portfolios based on a single variable initially and then by two variables. Chin, Prevost, and Gottesman (2002) use the two variables GS and BTM as proxies for past growth of a firm, while the CP and EP measures are used as proxies for expected future growth. Therefore, when the two way classification sort is used, the authors combine a past growth variable with an expected future growth variable. It is said that the two way sort contributes to the precise classification of the value and growth portfolios, Chin, Prevost, and Gottesman (2002).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For the one way sort, Chin, Prevost, and Gottesman (2002) create 6 portfolios for each classification variable, the top and bottom extreme portfolios being classified as value and growth. For instance, the top portfolio with a high BTM ratio is the value portfolio, while the bottom portfolio with the lowest BTM stocks is the growth portfolio, with regard to the C/P and E/P sorted portfolio, Chin, Prevost, and Gottesman (2002) do not include negative cash flows or negative earnings as they do not have the same attributes that would proxy for expected growth rates. The interpretations for these negative values do not fall in line with the interpretation for the positive C/P and E/P ratios.</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For reasons of convenience, the portfolios are equally weighted and annually rebalanced, Chin, Prevost, and Gottesman (2002). The results for the BTM single sorted portfolios indicate that in the first post formation year growth outperformed value by 19.8%, but in the second and third post formation years value outperformed growth by an average of 24.7%. Lakonishok, Shleifer, and Vishny (1994) have different results, with value outperforming </w:t>
      </w:r>
      <w:r>
        <w:rPr>
          <w:rFonts w:ascii="Times New Roman" w:hAnsi="Times New Roman" w:cs="Times New Roman"/>
          <w:sz w:val="24"/>
        </w:rPr>
        <w:lastRenderedPageBreak/>
        <w:t xml:space="preserve">growth in the first year. Thus, Chin, Prevost, and Gottesman (2002) study seems to be in favour of the contention that contrarian strategies require longer horizons to be profitable. The C/P and E/P single sorted strategies provide evidence in favour of the theory that a longer horizon is required. For both these strategies the first post formation year return difference between value and growth is negative (-12.4% for C/P and -13.8% for E/P). Chin, Prevost, and Gottesman (2002) expect the C/P portfolio to outperform its E/P counterpart as earnings are thought to be a more unstable accounting measure. However, their results do not support their expectations as the cumulative return for the E/P portfolios is greater at 88.8%. This result is contradictory to the results of Lakonishok, Shleifer, and Vishny (1994) and Chan, Hamao, and Lakonishok (1991). These authors find cash flow to be a better accounting measure, and therefore, the ratio C/P to be a superior proxy than that of E/P.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The GS sorted portfolio of Chin, Prevost, and Gottesman (2002) produces results not expected by the authors. While in the first post formation year the value minus growth return is positive, it is only 8.6%. In the second post formation year it drops 14.4% to -5.8%. The third post formation year does not say much either for the contrarian strategy as the return difference is only 3%. This result is somewhat contrasting to that of Lakonishok, Shleifer, and Vishny (1994). These authors find that the spread in returns for the GS sorted portfolios is fairly decent, although it is nothing in magnitude when compared to the BTM portfolio or C/P portfolio. The difference between Lakonishok, Shleifer, and Vishny (1994) and Chin, Prevost, and Gottesman (2002) may be due to the fact that the GS measures are calculated differently; time periods differ, as do the stock markets under consideration.</w:t>
      </w:r>
    </w:p>
    <w:p w:rsidR="00FE0A40" w:rsidRP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Chin, Prevost, and Gottesman (2002) sort their two dimensional portfolios using the following method. Using the BTM-CP portfolio as an example, stocks are separated into three groups based on the BTM ratio. This is done from lowest to highest. Again, in ascending order, and within each of the three BTM groups, Chin, Prevost, and Gottesman (2002) divide the stocks into two portfolios using the CP ratio. This suggests that within three BTM groups are two CP portfolios for each group. Six portfolios are the result. To determine which of these six portfolios are growth and value, one needs to look at which stocks make up the portfolio, if the portfolio consists of high BTM and high C/P stocks it suggests the portfolio is value. Of the 5 different two-way sorted portfolios only the BTM-GS portfolio </w:t>
      </w:r>
      <w:r>
        <w:rPr>
          <w:rFonts w:ascii="Times New Roman" w:hAnsi="Times New Roman" w:cs="Times New Roman"/>
          <w:sz w:val="24"/>
        </w:rPr>
        <w:lastRenderedPageBreak/>
        <w:t xml:space="preserve">proxies solely for past growth. Each of the other dual sorted portfolios has a variable that proxies for past growth and one that proxies for future expected growth. What Chin, Prevost, and Gottesman (2002) expect from this dual sorted portfolio (BTM-GS) is that there will not be much difference from the single sorted portfolios. The reason for this is that a lot of information captured by the BTM ratio is also captured by the GS ratio, thus not adding much more to the explanation of returns.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While the BTM-GS, BTM-CP, and EP-BTM sorted portfolios all experience negative returns (in terms of return differential between value and growth) in the first post formation year and positive returns in the two following that, the CP-GS and EP-GS sorted portfolios experience positive returns for all three post formation periods. The portfolios first sorted on the BTM ratio are allowing Chin, Prevost, and Gottesman (2002) to control for the BTM ratio, thus determining whether CP or GS have an explanatory power. The portfolio first sorted on the E/P ratio indicates that, controlling for the E/P ratios the BTM ratio adds to the explanation of returns as the returns for this two-way sorted portfolio is larger than that of either variable sorted separately. However, the BTM ratio is more informative when combined with the C/P ratio and not the E/P ratio, Chin, Prevost, and Gottesman (2002). This result shall be investigated in this dissertation. Similar to Lakonishok, Shleifer, and Vishny (1994), Chin, Prevost, and Gottesman (2002) find that the two dimensional sort EP-GS is the most profitable dual sorted strategy. The cumulative returns for value minus growth are larger than any of the other two-way sorted portfolios, and the value premium is positive even for the first post formation year. These results, as a whole, indicate that creating portfolios using two variables instead of one will result in superior performance. In explanation for the negative first year returns to most of the strategies, Chin, Prevost, and Gottesman (2002) propose that noise traders are the culprits. They assert that these traders are overconfident in their expectations of future growth and therefore become disappointed when their expectations fall flat in the first year. Thus, they decide to get rid of their growth stocks, while investing in value stocks, all of which take place in the second year. Chin, Prevost, and Gottesman (2002) argument suggests that if a market such as the New Zealand market is imperfectly competitive then the short-term effects of noise traders may have an effect in the longer term. This argument is based on the assumption that noise traders bet against rational traders in an imperfectly competitive market, resulting in higher returns or profits that the noise trader wishes to maintain in the future. This time for correction appears to take longer in smaller </w:t>
      </w:r>
      <w:r>
        <w:rPr>
          <w:rFonts w:ascii="Times New Roman" w:hAnsi="Times New Roman" w:cs="Times New Roman"/>
          <w:sz w:val="24"/>
        </w:rPr>
        <w:lastRenderedPageBreak/>
        <w:t xml:space="preserve">markets (such as New Zealand) while it does not seem to take much time at all in more sophisticated and larger markets (such as the US and Japan), Chin, Prevost, and Gottesman (2002). </w:t>
      </w:r>
    </w:p>
    <w:p w:rsidR="00FE0A40" w:rsidRPr="00156C7A" w:rsidRDefault="00FE0A40" w:rsidP="00FE0A40">
      <w:pPr>
        <w:spacing w:line="360" w:lineRule="auto"/>
        <w:jc w:val="both"/>
        <w:rPr>
          <w:rFonts w:ascii="Times New Roman" w:hAnsi="Times New Roman" w:cs="Times New Roman"/>
          <w:sz w:val="24"/>
        </w:rPr>
      </w:pPr>
    </w:p>
    <w:p w:rsidR="008B084D" w:rsidRDefault="00FE0A40" w:rsidP="008B084D">
      <w:pPr>
        <w:spacing w:line="360" w:lineRule="auto"/>
        <w:jc w:val="both"/>
        <w:rPr>
          <w:rFonts w:ascii="Times New Roman" w:hAnsi="Times New Roman" w:cs="Times New Roman"/>
          <w:sz w:val="24"/>
        </w:rPr>
      </w:pPr>
      <w:r>
        <w:rPr>
          <w:rFonts w:ascii="Times New Roman" w:hAnsi="Times New Roman" w:cs="Times New Roman"/>
          <w:sz w:val="24"/>
        </w:rPr>
        <w:t>Performing a multiple regression to determine how well the variables used to sort the portfolios explain stock returns, Chin, Prevost, and Gottesman (2002) follow, once again the methodology of Lakonishok, Shleifer, and Vishny (1994). The familiar multiple regression includes the independent variables BTM, C/P, E/P, and GS. The dependent variables is the one year post formation returns, and then Chin, Prevost, and Gottesman (2002) run the regression again with the two year post formation return as the new dependent variable as they find the first year results in growth outperforming value. In order to be consistent with Lakonishok, Shleifer, and Vishny (1994) who run the multiple regression only for the first post formation year because value premiums are found for this period, Chin, Prevost, and Gottesman (2002) include both post formation periods. The Fama-MacBeth (1973) method is used by Chin, Prevost, and Gottesman (2002) to calculate the t-statistics for each of the valuation ratios. The results of the multiple regression confirms what the authors found earlier, in that one year post formation return is negatively related to the variables. All variables but GS are significant at the 5% level. When it comes to the second post formation year return as the dependent variable, there is a severe lack of significance for the coefficients. Chin, Prevost, and Gottesman (2002) suggest the reason for this is due to noise traders.</w:t>
      </w:r>
    </w:p>
    <w:p w:rsidR="008B084D" w:rsidRDefault="008B084D" w:rsidP="008B084D">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eastAsia="Times New Roman" w:hAnsi="Times New Roman" w:cs="Times New Roman"/>
          <w:sz w:val="24"/>
          <w:lang w:val="en-GB" w:eastAsia="en-GB"/>
        </w:rPr>
      </w:pPr>
      <w:r w:rsidRPr="001E52F7">
        <w:rPr>
          <w:rFonts w:ascii="Times New Roman" w:eastAsia="Times New Roman" w:hAnsi="Times New Roman" w:cs="Times New Roman"/>
          <w:sz w:val="24"/>
          <w:lang w:val="en-GB" w:eastAsia="en-GB"/>
        </w:rPr>
        <w:t xml:space="preserve">Chan, Karceski, and Lakonishok (2003) make the interesting finding that growth companies have persistence in sales growth. A firm can maintain such growth through expansion (into other markets or through new store openings) or by creating new products. The concern here is that increasing sales growth may not necessarily increase growth in profits. Literature suggests technology and pharmaceutical firms may be able to sustain their high growth rates over long periods of time because of their intangible assets (specialized technologies or drug patents). </w:t>
      </w:r>
      <w:r w:rsidRPr="001E52F7">
        <w:rPr>
          <w:rFonts w:ascii="Times New Roman" w:hAnsi="Times New Roman" w:cs="Times New Roman"/>
          <w:sz w:val="24"/>
        </w:rPr>
        <w:t xml:space="preserve">The authors calculate growth rates over 5 and 10 year periods. </w:t>
      </w:r>
      <w:r w:rsidRPr="001E52F7">
        <w:rPr>
          <w:rFonts w:ascii="Times New Roman" w:eastAsia="Times New Roman" w:hAnsi="Times New Roman" w:cs="Times New Roman"/>
          <w:sz w:val="24"/>
          <w:lang w:val="en-GB" w:eastAsia="en-GB"/>
        </w:rPr>
        <w:t xml:space="preserve">Even though sales growth is correlated with earnings growth it is more consistent, so it should be able to provide a reliable conclusion.  Continuing with the predictability of the earnings growth hypothesis, Chan, Karceski, and Lakonishok (2003) emphasize that profitability growth rates will </w:t>
      </w:r>
      <w:r w:rsidRPr="001E52F7">
        <w:rPr>
          <w:rFonts w:ascii="Times New Roman" w:eastAsia="Times New Roman" w:hAnsi="Times New Roman" w:cs="Times New Roman"/>
          <w:sz w:val="24"/>
          <w:lang w:val="en-GB" w:eastAsia="en-GB"/>
        </w:rPr>
        <w:lastRenderedPageBreak/>
        <w:t>ultimately revert to a normal rate, suggesting investors who are attracted to these stocks that are trading at high multiples should be wary as most firms are not able to maintain such high growth.</w:t>
      </w:r>
    </w:p>
    <w:p w:rsidR="00FE0A40" w:rsidRDefault="00FE0A40" w:rsidP="00FE0A40">
      <w:pPr>
        <w:spacing w:line="360" w:lineRule="auto"/>
        <w:jc w:val="both"/>
        <w:rPr>
          <w:rFonts w:ascii="Times New Roman" w:eastAsia="Times New Roman" w:hAnsi="Times New Roman" w:cs="Times New Roman"/>
          <w:sz w:val="24"/>
          <w:lang w:val="en-GB" w:eastAsia="en-GB"/>
        </w:rPr>
      </w:pPr>
    </w:p>
    <w:p w:rsidR="00FE0A40" w:rsidRDefault="00FE0A40" w:rsidP="00FE0A4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van Rensburg and Robertson (2003) attempt to identify variables or factors that can explain the returns of stocks listed on the JSE. The authors use data from McGregor and INet over the period June 1990 to July 2000. As opposed to this dissertation, van Rensburg and Robertson (2003) account for liquidity by including shares in their dataset that have a turnover ratio of larger than 0.01%. Essentially this decreases their sample size from an average of 419 stocks over the entire sample period to 336 stocks. van Rensburg and Robertson (2003) look to 24 style attributes to determine which ones explain the cross section of return the best. Among them, and similar to this dissertation, the authors use attributes such as the P/E, D</w:t>
      </w:r>
      <w:r w:rsidR="00531EE8">
        <w:rPr>
          <w:rFonts w:ascii="Times New Roman" w:hAnsi="Times New Roman" w:cs="Times New Roman"/>
          <w:sz w:val="24"/>
          <w:szCs w:val="36"/>
        </w:rPr>
        <w:t>/</w:t>
      </w:r>
      <w:r>
        <w:rPr>
          <w:rFonts w:ascii="Times New Roman" w:hAnsi="Times New Roman" w:cs="Times New Roman"/>
          <w:sz w:val="24"/>
          <w:szCs w:val="36"/>
        </w:rPr>
        <w:t xml:space="preserve">P, and C/P ratios. The monthly returns, with all 24 style attributes are considered by the authors in their univariate regressions. They run univariate regressions in order to determine which variables could be used in a multifactor regression. The value effect is demonstrated by the C/P, D/P, P/E, price-to-profit, and price-to-NAV variables. van Rensburg and Robertson (2003) note that this value effect of C/P is a new finding on the JSE. Risk adjusted returns produce similar value effects, with the exception of the value effect of the price-to-profit factors, which loses its significance after the returns have been adjusted for risk. </w:t>
      </w:r>
    </w:p>
    <w:p w:rsidR="00FE0A40" w:rsidRDefault="00FE0A40" w:rsidP="00FE0A40">
      <w:pPr>
        <w:pStyle w:val="ListParagraph"/>
        <w:spacing w:line="360" w:lineRule="auto"/>
        <w:ind w:left="0"/>
        <w:jc w:val="both"/>
        <w:rPr>
          <w:rFonts w:ascii="Times New Roman" w:hAnsi="Times New Roman" w:cs="Times New Roman"/>
          <w:sz w:val="24"/>
          <w:szCs w:val="36"/>
        </w:rPr>
      </w:pPr>
    </w:p>
    <w:p w:rsidR="00FE0A40" w:rsidRDefault="00FE0A40" w:rsidP="00FE0A40">
      <w:pPr>
        <w:spacing w:line="360" w:lineRule="auto"/>
        <w:jc w:val="both"/>
        <w:rPr>
          <w:rFonts w:ascii="Times New Roman" w:hAnsi="Times New Roman" w:cs="Times New Roman"/>
          <w:sz w:val="24"/>
          <w:szCs w:val="36"/>
        </w:rPr>
      </w:pPr>
      <w:r>
        <w:rPr>
          <w:rFonts w:ascii="Times New Roman" w:hAnsi="Times New Roman" w:cs="Times New Roman"/>
          <w:sz w:val="24"/>
          <w:szCs w:val="36"/>
        </w:rPr>
        <w:t>To check whether multicollinearity is a factor in the multifactor model of van Rensburg and Robertson (2003), the authors compare the correlations of all 24 style factors. The size factor is negatively related to the D/P ratio; while van Rensburg and Robertson (2003) note that the value factors have the tendency to be positively related. The authors also demonstrate that size and the P/E ratio are the two factors that are jointly significant, and thus are used in a two factor regression. Both these factors coefficients are negative and small. They are also statistically significant at the 5% level.</w:t>
      </w:r>
    </w:p>
    <w:p w:rsidR="00FE0A40" w:rsidRDefault="00FE0A40" w:rsidP="00FE0A40">
      <w:pPr>
        <w:spacing w:line="360" w:lineRule="auto"/>
        <w:jc w:val="both"/>
        <w:rPr>
          <w:rFonts w:ascii="Times New Roman" w:hAnsi="Times New Roman" w:cs="Times New Roman"/>
          <w:sz w:val="24"/>
          <w:szCs w:val="36"/>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As with most studies quoted in this dissertation, Drew, Naughton, and Veeraraghvan (2003) examine monthly stock returns. They source their data from the Great China Database. </w:t>
      </w:r>
      <w:r w:rsidRPr="001E52F7">
        <w:rPr>
          <w:rFonts w:ascii="Times New Roman" w:hAnsi="Times New Roman" w:cs="Times New Roman"/>
          <w:sz w:val="24"/>
        </w:rPr>
        <w:t xml:space="preserve">Drew, Naughton, and Veeraraghvan (2003) consider the Shanghai stock markets which had been closed up until the 1990’s. Among the interesting points made about the Shanghai stock </w:t>
      </w:r>
      <w:r w:rsidRPr="001E52F7">
        <w:rPr>
          <w:rFonts w:ascii="Times New Roman" w:hAnsi="Times New Roman" w:cs="Times New Roman"/>
          <w:sz w:val="24"/>
        </w:rPr>
        <w:lastRenderedPageBreak/>
        <w:t xml:space="preserve">market and Shenzhen stock exchange, which are to be joined, is the fact that domestic institutional ownership in China only reaches just over 20% of the market </w:t>
      </w:r>
      <w:r>
        <w:rPr>
          <w:rFonts w:ascii="Times New Roman" w:hAnsi="Times New Roman" w:cs="Times New Roman"/>
          <w:sz w:val="24"/>
        </w:rPr>
        <w:t>capitalisation</w:t>
      </w:r>
      <w:r w:rsidRPr="001E52F7">
        <w:rPr>
          <w:rFonts w:ascii="Times New Roman" w:hAnsi="Times New Roman" w:cs="Times New Roman"/>
          <w:sz w:val="24"/>
        </w:rPr>
        <w:t xml:space="preserve">. This is not as interesting as the fact that these institutions are state controlled and thus are non-tradeable holdings. The non-traded securities are a problem as they may not be effectively priced, Drew, Naughton, and Veeraraghvan (2003).  Traded securities ensure that the supply and demand bring the price to equilibrium and to the correct, fundamental value. Non-traded shares do not undergo this supply and demand function, thus their prices may not be what would have been if they were traded, Drew, Naughton, and Veeraraghvan (2003). There is a state controlled portion of stocks in China amounting to 38% of market </w:t>
      </w:r>
      <w:r>
        <w:rPr>
          <w:rFonts w:ascii="Times New Roman" w:hAnsi="Times New Roman" w:cs="Times New Roman"/>
          <w:sz w:val="24"/>
        </w:rPr>
        <w:t>capitalisation</w:t>
      </w:r>
      <w:r w:rsidRPr="001E52F7">
        <w:rPr>
          <w:rFonts w:ascii="Times New Roman" w:hAnsi="Times New Roman" w:cs="Times New Roman"/>
          <w:sz w:val="24"/>
        </w:rPr>
        <w:t xml:space="preserve"> at the time of Drew, Naughton, and Veeraraghvan (2003) study. These stocks are also not tradeable. There is no clear evidence to prove the notion suggested in Drew, Naughton, and Veeraraghvan (2003) paper that there are not that many sophisticated investors in China and investment decisions are made based on rumours rather than knowledge.  As there are two markets in China, the Shanghai and the Shenzhen stock exchanges, Drew, Naughton, and Veeraraghvan (2003) choose to study the former as it is the larger of the two markets. Also, it appears to the authors that there is a larger sophisticated investor population in the Shanghai market and the market </w:t>
      </w:r>
      <w:r>
        <w:rPr>
          <w:rFonts w:ascii="Times New Roman" w:hAnsi="Times New Roman" w:cs="Times New Roman"/>
          <w:sz w:val="24"/>
        </w:rPr>
        <w:t>capitalisation</w:t>
      </w:r>
      <w:r w:rsidRPr="001E52F7">
        <w:rPr>
          <w:rFonts w:ascii="Times New Roman" w:hAnsi="Times New Roman" w:cs="Times New Roman"/>
          <w:sz w:val="24"/>
        </w:rPr>
        <w:t xml:space="preserve"> of firms is larger than that of the Shenzhen.</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Drew, Naughton, and Veeraraghvan (2003) follow Fama and French (1993) three-factor model, thus the dependent variable is a series of different portfolios, and the independent variables are the market factor, market capitalisation (in terms of SMB) and the value factor (in terms of HML). The dependent variable of Drew, Naughton, and Veeraraghvan (2003) consists of 6 portfolios (S/L, S/M, S/H, B/L, B/M, and B/H). The authors take the average returns for each of these six portfolios as the dependent variable. The market return factor should be of interest to the reader as it is the market return of all the stocks included in the calculation of the dependent variables. The negative values that are excluded from the BTM portfolios are included in the market return variable. As demonstrated by Fama and French (1993), a good asset-pricing model that is well-specified will result in zero intercepts. This implies that, in Fama and French (1993) time-series regressions, the intercepts are a gauge for how well the various combinations of factors explain the cross-section of average returns.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lastRenderedPageBreak/>
        <w:t>Drew, Naughton, and Veeraraghvan (2003) look at whether size or the BTM ratio is able to proxy for systematic risk factors. By taking the intersections of the two size portfolios and the three BTM portfolios, the authors are able to mimic the creation of the 6 dependent portfolios. These portfolios are rebalanced every year. When Drew, Naughton, and Veeraraghvan (2003) consider their portfolio statistics with regards to their 6 dependent portfolios, they note that over the 1993-2000 sample period the portfolio with the largest number of average stocks is the small size-high BTM portfolio, with 90 shares on average over the entire period. A close second is the large size-low BTM portfolio with 89 shares. This suggests that the two largest portfolios are the two most extreme portfolios – with small size-high BTM the extreme value portfolio and big size-low BTM the extreme growth portfolio. Drew, Naughton, and Veeraraghvan (2003) have very small portfolios, with some only consisting of 2 or 3 stocks. The performance results of the 6 portfolios indicate that the small capitalisation shares perform better than the large capitalisation shares. The three portfolios sorted on small capitalisation and low, medium, or high BTM all have higher positive mean monthly returns than the three portfolios sorted on large capitalisation and low, medium, or high BTM. The coefficient of variation for the three small capitalisation portfolios are much lower than that of the large capitalisation firms, suggesting that the latter are riskier and risk-averse investors should invest in small capitalisation portfolios.</w:t>
      </w:r>
      <w:r w:rsidR="00531EE8">
        <w:rPr>
          <w:rFonts w:ascii="Times New Roman" w:hAnsi="Times New Roman" w:cs="Times New Roman"/>
          <w:sz w:val="24"/>
        </w:rPr>
        <w:t xml:space="preserve"> </w:t>
      </w:r>
      <w:r>
        <w:rPr>
          <w:rFonts w:ascii="Times New Roman" w:hAnsi="Times New Roman" w:cs="Times New Roman"/>
          <w:sz w:val="24"/>
        </w:rPr>
        <w:t>This is similar to the findings of Fama and French (1996) who find that small firms have positive slopes and large firms negative slopes. The coefficient on the value factor is negative for both small and large capitalisation stocks. Further investigation leads Drew, Naughton, and Veeraraghvan (2003) to conclude that small capitalisation-high BTM stocks have a much higher size premium than any other combination of size and BTM stocks. Low BTM stocks appear to generate higher value premiums than their high BTM counterparts.</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 xml:space="preserve">The results of the 3-factor model run by Drew, Naughton, and Veeraraghvan (2003) coincide with that of Fama and French (1996). Drew, Naughton, and Veeraraghvan (2003) note that the intercepts for all six two-way sorted portfolios are indistinguishable from zero. The coefficient for the market factor is positive and just over 1 for all 6 portfolios. This result is significant at the 1% level. The size coefficient has very similar properties to that of the regressions run by Fama and French (1996). It is significant at the 1% level and positive, but only for the small capitalisation portfolios. The size coefficient for the three large capitalisation portfolios is negative and not significant. The SMB factor earns a monthly </w:t>
      </w:r>
      <w:r>
        <w:rPr>
          <w:rFonts w:ascii="Times New Roman" w:hAnsi="Times New Roman" w:cs="Times New Roman"/>
          <w:sz w:val="24"/>
        </w:rPr>
        <w:lastRenderedPageBreak/>
        <w:t xml:space="preserve">return of 0.9273% with a standard deviation of 3.81%, which is interpreted by Drew, Naughton, and Veeraraghvan (2003) as small firms being riskier than large sized firms. </w:t>
      </w:r>
    </w:p>
    <w:p w:rsidR="00FE0A40" w:rsidRDefault="00FE0A40" w:rsidP="00FE0A40">
      <w:pPr>
        <w:spacing w:line="360" w:lineRule="auto"/>
        <w:jc w:val="both"/>
        <w:rPr>
          <w:rFonts w:ascii="Times New Roman" w:hAnsi="Times New Roman" w:cs="Times New Roman"/>
          <w:sz w:val="24"/>
        </w:rPr>
      </w:pPr>
    </w:p>
    <w:p w:rsidR="00FE0A40" w:rsidRDefault="00FE0A40" w:rsidP="00FE0A40">
      <w:pPr>
        <w:spacing w:line="360" w:lineRule="auto"/>
        <w:jc w:val="both"/>
        <w:rPr>
          <w:rFonts w:ascii="Times New Roman" w:hAnsi="Times New Roman" w:cs="Times New Roman"/>
          <w:sz w:val="24"/>
        </w:rPr>
      </w:pPr>
      <w:r>
        <w:rPr>
          <w:rFonts w:ascii="Times New Roman" w:hAnsi="Times New Roman" w:cs="Times New Roman"/>
          <w:sz w:val="24"/>
        </w:rPr>
        <w:t>The most notable variable in Drew, Naughton, and Veeraraghvan (2003) study is the HML factor as the Chinese investors seem to view growth stocks as distressed instead of value stocks. The HML factor has a negative monthly return of -0.2%, with a standard deviation of 3.81%. This result is in contrast to Fama and French (1993), with Drew, Naughton, and Veeraraghvan (2003) finding that value firms are not distressed firms. The value coefficient is negative for all 6 portfolios, but is only statistically significant at the 1% level for four of the portfolios. The other two portfolios have a value coefficient that is statistically significant at the 5% level. In answer to the finding of the negative monthly return on the HML factor, Drew, Naughton, and Veeraraghvan (2003) offer two reasons for this growth effect. The value effect, in that value outperforms growth portfolios, may have been found by investors and thus exploited, leaving any investor who attempts to profit from the value strategy without any arbitrage profits. However, Drew, Naughton, and Veeraraghvan (2003) ascertain that if this reason is indeed the answer to the growth effect, then why have these savvy investors not taken advantage of the size effect found in their data? The second and more convenient explanation for the growth effect is that of investor irrationality. They suggest that investors in China make the mistake of believing growth stocks to be distressed, thus investing in them, as would a contrarian investor who, according to Fama and French (1993) views a value stock as distressed. Drew, Naughton, and Veeraraghvan (2003) argument lies in the theory that investors in China do not have sufficient knowledge of investing and ultimately trade like noise traders instead of sophisticated ones. These irrational investors in China do not process information from many different sources and come to a conclusion, Drew, Naughton, and Veeraraghvan (2003). This inability leads Drew, Naughton, and Veeraraghvan (2003) to the negative return results on the HML factor. They conclude that the value premium is not as pervasive in China. The final test made by Drew, Naughton, and Veeraraghvan (2003) is that of autocorrelation. The Durbin-Watson test statistic indicates that there is no autocorrelation between the factors in any of the 6 portfolios. This is noted as each portfolio has a Durbin-Watson test statistic of greater than 2.</w:t>
      </w:r>
    </w:p>
    <w:p w:rsidR="00FE0A40" w:rsidRDefault="00FE0A40" w:rsidP="00FE0A40">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sidRPr="001E52F7">
        <w:rPr>
          <w:rFonts w:ascii="Times New Roman" w:hAnsi="Times New Roman" w:cs="Times New Roman"/>
          <w:sz w:val="24"/>
        </w:rPr>
        <w:lastRenderedPageBreak/>
        <w:t>The results of Chan and Lakonishok (2004)</w:t>
      </w:r>
      <w:r w:rsidR="00531EE8">
        <w:rPr>
          <w:rFonts w:ascii="Times New Roman" w:hAnsi="Times New Roman" w:cs="Times New Roman"/>
          <w:sz w:val="24"/>
        </w:rPr>
        <w:t>,</w:t>
      </w:r>
      <w:r w:rsidRPr="001E52F7">
        <w:rPr>
          <w:rFonts w:ascii="Times New Roman" w:hAnsi="Times New Roman" w:cs="Times New Roman"/>
          <w:sz w:val="24"/>
        </w:rPr>
        <w:t xml:space="preserve"> when they study markets outside the US</w:t>
      </w:r>
      <w:r>
        <w:rPr>
          <w:rFonts w:ascii="Times New Roman" w:hAnsi="Times New Roman" w:cs="Times New Roman"/>
          <w:sz w:val="24"/>
        </w:rPr>
        <w:t>,</w:t>
      </w:r>
      <w:r w:rsidRPr="001E52F7">
        <w:rPr>
          <w:rFonts w:ascii="Times New Roman" w:hAnsi="Times New Roman" w:cs="Times New Roman"/>
          <w:sz w:val="24"/>
        </w:rPr>
        <w:t xml:space="preserve"> are consistent with that of Capaul, Rowley, and Sharpe (1993) – value outperforms growth portfolios. </w:t>
      </w:r>
      <w:r>
        <w:rPr>
          <w:rFonts w:ascii="Times New Roman" w:hAnsi="Times New Roman" w:cs="Times New Roman"/>
          <w:sz w:val="24"/>
        </w:rPr>
        <w:t xml:space="preserve">Chan and Lakonishok (2004) update the evidence of three papers, produced by Fama and French (1992), Lakonishok, Shleifer, and Vishny (1994), and Chan, Hamao, and Lakonishok (1991). Chan and Lakonishok (2004) create portfolios based on a composite indicator that consists of a combination BTM, C/P, E/P, and sales-to-price variables. The authors create ten portfolios, for both large capitalisation and small capitalisation stocks. The value portfolios exhibit returns greater than the benchmark in the study (Russell 1000 Value Index). </w:t>
      </w:r>
      <w:r w:rsidRPr="001E52F7">
        <w:rPr>
          <w:rFonts w:ascii="Times New Roman" w:hAnsi="Times New Roman" w:cs="Times New Roman"/>
          <w:sz w:val="24"/>
        </w:rPr>
        <w:t xml:space="preserve">These markets outside the US include developed markets in Europe and the Far East. Capaul, Rowley, and Sharpe (1993) consider several markets including France, Japan, and Germany; they find that value strategies outperform growth in every country considered. </w:t>
      </w:r>
      <w:r>
        <w:rPr>
          <w:rFonts w:ascii="Times New Roman" w:hAnsi="Times New Roman" w:cs="Times New Roman"/>
          <w:sz w:val="24"/>
        </w:rPr>
        <w:t>The inverse relationship between the market and the value portfolio noted by Harris and Marston (1994) conflicts with Chan and Lakonishok (2004), who note that value stocks are riskier than growth stocks; hence they have higher betas than growth stocks. The riskier value stocks underperform in down states of the market. In contrast, Harris and Marston (1994) suggest that value stocks are not riskier than growth stocks and that their betas are not higher. This conflict is just one example of the value-is-riskier theory and the advocates and opponents of it.</w:t>
      </w:r>
    </w:p>
    <w:p w:rsidR="00FE0A40" w:rsidRDefault="00FE0A40" w:rsidP="00FE0A40">
      <w:pPr>
        <w:spacing w:line="360" w:lineRule="auto"/>
        <w:jc w:val="both"/>
        <w:rPr>
          <w:rFonts w:ascii="Times New Roman" w:eastAsia="Times New Roman" w:hAnsi="Times New Roman" w:cs="Times New Roman"/>
          <w:sz w:val="24"/>
          <w:lang w:val="en-GB" w:eastAsia="en-GB"/>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 xml:space="preserve">Chen </w:t>
      </w:r>
      <w:r w:rsidRPr="00962075">
        <w:rPr>
          <w:rFonts w:ascii="Times New Roman" w:hAnsi="Times New Roman" w:cs="Times New Roman"/>
          <w:i/>
          <w:sz w:val="24"/>
        </w:rPr>
        <w:t>et al.</w:t>
      </w:r>
      <w:r>
        <w:rPr>
          <w:rFonts w:ascii="Times New Roman" w:hAnsi="Times New Roman" w:cs="Times New Roman"/>
          <w:sz w:val="24"/>
        </w:rPr>
        <w:t xml:space="preserve"> (2005) use data from Compustat. They use from this data source the monthly returns for the period 1981 to 2001. This period, they argue, covers all phases of economic activity. The two firm-specific measures Chen </w:t>
      </w:r>
      <w:r w:rsidRPr="00962075">
        <w:rPr>
          <w:rFonts w:ascii="Times New Roman" w:hAnsi="Times New Roman" w:cs="Times New Roman"/>
          <w:i/>
          <w:sz w:val="24"/>
        </w:rPr>
        <w:t>et al.</w:t>
      </w:r>
      <w:r>
        <w:rPr>
          <w:rFonts w:ascii="Times New Roman" w:hAnsi="Times New Roman" w:cs="Times New Roman"/>
          <w:sz w:val="24"/>
        </w:rPr>
        <w:t xml:space="preserve"> (2005) use in their study are market capitalisation and the book-to-market ratio. The choice of these variables comes from past studies, of which includes Fama and French (1992, 1993). The requirement in order for a firm to be included in the sample includes 5 years of past monthly returns as well as the requirement that the two firm-specific variables need to be available. The calculation of these two variables is the same of that in Fama and French (1992).</w:t>
      </w:r>
    </w:p>
    <w:p w:rsidR="00052855" w:rsidRDefault="00052855" w:rsidP="00052855">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 xml:space="preserve">With regards to the macro-model of Chen </w:t>
      </w:r>
      <w:r w:rsidRPr="00962075">
        <w:rPr>
          <w:rFonts w:ascii="Times New Roman" w:hAnsi="Times New Roman" w:cs="Times New Roman"/>
          <w:i/>
          <w:sz w:val="24"/>
        </w:rPr>
        <w:t>et al.</w:t>
      </w:r>
      <w:r>
        <w:rPr>
          <w:rFonts w:ascii="Times New Roman" w:hAnsi="Times New Roman" w:cs="Times New Roman"/>
          <w:sz w:val="24"/>
        </w:rPr>
        <w:t xml:space="preserve"> (2005) the variables used are the market index, the growth rates in industrial production and that of the oil price, the term structure premium, the default risk premium, the unanticipated inflation rate, and the change in expected inflation. These macro-variables are sourced from the Federal Reserve Bank of St. </w:t>
      </w:r>
      <w:r>
        <w:rPr>
          <w:rFonts w:ascii="Times New Roman" w:hAnsi="Times New Roman" w:cs="Times New Roman"/>
          <w:sz w:val="24"/>
        </w:rPr>
        <w:lastRenderedPageBreak/>
        <w:t xml:space="preserve">Louis, Ibbotson and Sinquefield, and the Department of Energy. Chen </w:t>
      </w:r>
      <w:r w:rsidRPr="00962075">
        <w:rPr>
          <w:rFonts w:ascii="Times New Roman" w:hAnsi="Times New Roman" w:cs="Times New Roman"/>
          <w:i/>
          <w:sz w:val="24"/>
        </w:rPr>
        <w:t>et al.</w:t>
      </w:r>
      <w:r>
        <w:rPr>
          <w:rFonts w:ascii="Times New Roman" w:hAnsi="Times New Roman" w:cs="Times New Roman"/>
          <w:sz w:val="24"/>
        </w:rPr>
        <w:t xml:space="preserve"> (2005) run two sets of regressions – one with the natural logarithm of market capitalisation as the dependent variable and the 7 macro-variables as the independent variables. The goal of this is to determine if any of the macro-variables are related to any of the firm-specific variables. In addition to this, Chen </w:t>
      </w:r>
      <w:r w:rsidRPr="00962075">
        <w:rPr>
          <w:rFonts w:ascii="Times New Roman" w:hAnsi="Times New Roman" w:cs="Times New Roman"/>
          <w:i/>
          <w:sz w:val="24"/>
        </w:rPr>
        <w:t>et al.</w:t>
      </w:r>
      <w:r>
        <w:rPr>
          <w:rFonts w:ascii="Times New Roman" w:hAnsi="Times New Roman" w:cs="Times New Roman"/>
          <w:sz w:val="24"/>
        </w:rPr>
        <w:t xml:space="preserve"> (2005) create five portfolios for each of the firm specific variables, sorting them in ascending order.</w:t>
      </w:r>
    </w:p>
    <w:p w:rsidR="00052855" w:rsidRDefault="00052855" w:rsidP="00052855">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 xml:space="preserve">The macro-variables have small correlation coefficients. Among the largest is the correlation coefficient between the rate of growth in the price of oil and the unanticipated inflation rate. This is probably the most obvious correlation as the oil price would be linked to inflation. The main result, however, is that Chen </w:t>
      </w:r>
      <w:r w:rsidRPr="00962075">
        <w:rPr>
          <w:rFonts w:ascii="Times New Roman" w:hAnsi="Times New Roman" w:cs="Times New Roman"/>
          <w:i/>
          <w:sz w:val="24"/>
        </w:rPr>
        <w:t>et al.</w:t>
      </w:r>
      <w:r>
        <w:rPr>
          <w:rFonts w:ascii="Times New Roman" w:hAnsi="Times New Roman" w:cs="Times New Roman"/>
          <w:sz w:val="24"/>
        </w:rPr>
        <w:t xml:space="preserve"> (2005) can conclude that there are no perfectly correlated variables within the macro-model. Although the results of the cross-sectional regression run with the natural logarithm of size as the dependent variable suggest that the macro-variables are significant, some inconsistencies are found. Two variables, the term structure premium and unanticipated inflation are significant but the signs of the coefficients related to each variable are constantly changing. Chen </w:t>
      </w:r>
      <w:r w:rsidRPr="00962075">
        <w:rPr>
          <w:rFonts w:ascii="Times New Roman" w:hAnsi="Times New Roman" w:cs="Times New Roman"/>
          <w:i/>
          <w:sz w:val="24"/>
        </w:rPr>
        <w:t>et al.</w:t>
      </w:r>
      <w:r>
        <w:rPr>
          <w:rFonts w:ascii="Times New Roman" w:hAnsi="Times New Roman" w:cs="Times New Roman"/>
          <w:sz w:val="24"/>
        </w:rPr>
        <w:t xml:space="preserve"> (2005) suggest that this is due to the impact of the variables on market capitalisation being inconsistent. The results for the second cross-sectional regression run by Chen </w:t>
      </w:r>
      <w:r w:rsidRPr="00962075">
        <w:rPr>
          <w:rFonts w:ascii="Times New Roman" w:hAnsi="Times New Roman" w:cs="Times New Roman"/>
          <w:i/>
          <w:sz w:val="24"/>
        </w:rPr>
        <w:t>et al.</w:t>
      </w:r>
      <w:r>
        <w:rPr>
          <w:rFonts w:ascii="Times New Roman" w:hAnsi="Times New Roman" w:cs="Times New Roman"/>
          <w:sz w:val="24"/>
        </w:rPr>
        <w:t xml:space="preserve"> (2005), with the BTM ratio as the dependent variable, show less consistency than that for the first cross-sectional regression. However, when the authors compare the significance for the first regression series to the second they note that, while the results for the first regression series are significant for 15 periods (the entire sample period), the regression associated with the BTM ratio comes in quite close with significant results for 12 time periods. </w:t>
      </w:r>
    </w:p>
    <w:p w:rsidR="00052855" w:rsidRDefault="00052855" w:rsidP="00052855">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 xml:space="preserve">Chen </w:t>
      </w:r>
      <w:r w:rsidRPr="00962075">
        <w:rPr>
          <w:rFonts w:ascii="Times New Roman" w:hAnsi="Times New Roman" w:cs="Times New Roman"/>
          <w:i/>
          <w:sz w:val="24"/>
        </w:rPr>
        <w:t>et al.</w:t>
      </w:r>
      <w:r>
        <w:rPr>
          <w:rFonts w:ascii="Times New Roman" w:hAnsi="Times New Roman" w:cs="Times New Roman"/>
          <w:sz w:val="24"/>
        </w:rPr>
        <w:t xml:space="preserve"> (2005) compare the small sized portfolio (in terms of market capitalisation) to the large sized portfolio, specifically looking at the beta of the market index. Only twice out of the 15 year period does the small sized portfolio have a larger market beta than the large sized portfolio. This implies that larger firms are more sensitive to changes in the market than smaller firms. However, the term structure beta tells a different story. Larger firms seem to be less affected by changes in the term structure premium. From the seven macro-variables analysis, Chen </w:t>
      </w:r>
      <w:r w:rsidRPr="00962075">
        <w:rPr>
          <w:rFonts w:ascii="Times New Roman" w:hAnsi="Times New Roman" w:cs="Times New Roman"/>
          <w:i/>
          <w:sz w:val="24"/>
        </w:rPr>
        <w:t>et al.</w:t>
      </w:r>
      <w:r>
        <w:rPr>
          <w:rFonts w:ascii="Times New Roman" w:hAnsi="Times New Roman" w:cs="Times New Roman"/>
          <w:sz w:val="24"/>
        </w:rPr>
        <w:t xml:space="preserve"> (2005) propose the following to a potential investor who is looking to lower his risk exposure to interest rates and inflation: avoid the smaller stocks. On the other </w:t>
      </w:r>
      <w:r>
        <w:rPr>
          <w:rFonts w:ascii="Times New Roman" w:hAnsi="Times New Roman" w:cs="Times New Roman"/>
          <w:sz w:val="24"/>
        </w:rPr>
        <w:lastRenderedPageBreak/>
        <w:t xml:space="preserve">hand, when the market is not doing well, the consensus is to stick to the smaller stocks as the larger ones are more sensitive to movements in the market, Chen </w:t>
      </w:r>
      <w:r w:rsidRPr="00962075">
        <w:rPr>
          <w:rFonts w:ascii="Times New Roman" w:hAnsi="Times New Roman" w:cs="Times New Roman"/>
          <w:i/>
          <w:sz w:val="24"/>
        </w:rPr>
        <w:t>et al.</w:t>
      </w:r>
      <w:r>
        <w:rPr>
          <w:rFonts w:ascii="Times New Roman" w:hAnsi="Times New Roman" w:cs="Times New Roman"/>
          <w:sz w:val="24"/>
        </w:rPr>
        <w:t xml:space="preserve"> (2005).</w:t>
      </w:r>
    </w:p>
    <w:p w:rsidR="00052855" w:rsidRDefault="00052855" w:rsidP="00052855">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The portfolios formed on the BTM ratio have very different results to the ones formed on size. For instance, 12 out of 15 times the market beta for the low BTM portfolios</w:t>
      </w:r>
      <w:r w:rsidR="00F51553">
        <w:rPr>
          <w:rFonts w:ascii="Times New Roman" w:hAnsi="Times New Roman" w:cs="Times New Roman"/>
          <w:sz w:val="24"/>
        </w:rPr>
        <w:t xml:space="preserve"> are</w:t>
      </w:r>
      <w:r>
        <w:rPr>
          <w:rFonts w:ascii="Times New Roman" w:hAnsi="Times New Roman" w:cs="Times New Roman"/>
          <w:sz w:val="24"/>
        </w:rPr>
        <w:t xml:space="preserve"> higher than that of the high BTM portfolios. Low BTM stocks are considered growth stocks. This result implies that changes in the market will have a greater effect on growth stocks, Chen </w:t>
      </w:r>
      <w:r w:rsidRPr="00962075">
        <w:rPr>
          <w:rFonts w:ascii="Times New Roman" w:hAnsi="Times New Roman" w:cs="Times New Roman"/>
          <w:i/>
          <w:sz w:val="24"/>
        </w:rPr>
        <w:t>et al.</w:t>
      </w:r>
      <w:r>
        <w:rPr>
          <w:rFonts w:ascii="Times New Roman" w:hAnsi="Times New Roman" w:cs="Times New Roman"/>
          <w:sz w:val="24"/>
        </w:rPr>
        <w:t xml:space="preserve"> (2005). From earlier, small sized stocks are considered value stocks, thus the result is consistent with the regressions performed with market capitalisation – the larger stocks are more sensitive to market movements. The notion that small capitalisation firms have higher risk and are thus awarded with a higher discount rate is challenged by Chan </w:t>
      </w:r>
      <w:r>
        <w:rPr>
          <w:rFonts w:ascii="Times New Roman" w:hAnsi="Times New Roman" w:cs="Times New Roman"/>
          <w:i/>
          <w:sz w:val="24"/>
        </w:rPr>
        <w:t xml:space="preserve">et al. </w:t>
      </w:r>
      <w:r>
        <w:rPr>
          <w:rFonts w:ascii="Times New Roman" w:hAnsi="Times New Roman" w:cs="Times New Roman"/>
          <w:sz w:val="24"/>
        </w:rPr>
        <w:t xml:space="preserve">(2005). They test the betas of the small sized stocks and find that they are generally smaller than the large capitalisation stocks. Implicit in this finding is that small capitalisation stocks are not riskier than large capitalisation stocks. There is no solid conclusion that can be drawn from the BTM regressions, unlike the size regressions, Chen </w:t>
      </w:r>
      <w:r w:rsidRPr="00962075">
        <w:rPr>
          <w:rFonts w:ascii="Times New Roman" w:hAnsi="Times New Roman" w:cs="Times New Roman"/>
          <w:i/>
          <w:sz w:val="24"/>
        </w:rPr>
        <w:t>et al.</w:t>
      </w:r>
      <w:r>
        <w:rPr>
          <w:rFonts w:ascii="Times New Roman" w:hAnsi="Times New Roman" w:cs="Times New Roman"/>
          <w:sz w:val="24"/>
        </w:rPr>
        <w:t xml:space="preserve"> (2005).</w:t>
      </w:r>
      <w:r w:rsidRPr="00052855">
        <w:rPr>
          <w:rFonts w:ascii="Times New Roman" w:hAnsi="Times New Roman" w:cs="Times New Roman"/>
          <w:sz w:val="24"/>
        </w:rPr>
        <w:t xml:space="preserve"> </w:t>
      </w:r>
    </w:p>
    <w:p w:rsidR="008B084D" w:rsidRDefault="008B084D" w:rsidP="008B084D">
      <w:pPr>
        <w:spacing w:line="360" w:lineRule="auto"/>
        <w:jc w:val="both"/>
        <w:rPr>
          <w:rFonts w:ascii="Times New Roman" w:hAnsi="Times New Roman" w:cs="Times New Roman"/>
          <w:sz w:val="24"/>
        </w:rPr>
      </w:pPr>
    </w:p>
    <w:p w:rsidR="00052855" w:rsidRPr="001E52F7" w:rsidRDefault="00052855" w:rsidP="00052855">
      <w:pPr>
        <w:spacing w:line="360" w:lineRule="auto"/>
        <w:jc w:val="both"/>
        <w:rPr>
          <w:rFonts w:ascii="Times New Roman" w:hAnsi="Times New Roman" w:cs="Times New Roman"/>
          <w:sz w:val="24"/>
        </w:rPr>
      </w:pPr>
      <w:r w:rsidRPr="001E52F7">
        <w:rPr>
          <w:rFonts w:ascii="Times New Roman" w:hAnsi="Times New Roman" w:cs="Times New Roman"/>
          <w:sz w:val="24"/>
        </w:rPr>
        <w:t xml:space="preserve">Michailidis, Tsopoglou, and Papanastasiou (2007) look at how well the variables E/P, BTM, and size explain the cross section of returns in the Athens Stock Market. They use a smaller time period than most papers in the literature review (seven years) and justify the choice of period because the market went through extreme high and low returns </w:t>
      </w:r>
      <w:r>
        <w:rPr>
          <w:rFonts w:ascii="Times New Roman" w:hAnsi="Times New Roman" w:cs="Times New Roman"/>
          <w:sz w:val="24"/>
        </w:rPr>
        <w:t>from 1997 to 2003</w:t>
      </w:r>
      <w:r w:rsidRPr="001E52F7">
        <w:rPr>
          <w:rFonts w:ascii="Times New Roman" w:hAnsi="Times New Roman" w:cs="Times New Roman"/>
          <w:sz w:val="24"/>
        </w:rPr>
        <w:t xml:space="preserve">. The authors explain their choice of time period as a chance to study periods of varying financial conditions. Hopefully, in this study the case will be the same, even though the time period under consideration is longer. Michailidis, Tsopoglou, and Papanastasiou (2007) believe that excluding financial firms from their study will minimize the impact of high leverage on the results. Increased levels of leverage for non-financial firms may indicate to an investor that the firm is in financial distress, while high leverage in a financial firm is not necessarily an indication of distress. As with most studies, stocks that are left out of the study are illiquid or have not got sufficient financial information. In comparison to </w:t>
      </w:r>
      <w:r>
        <w:rPr>
          <w:rFonts w:ascii="Times New Roman" w:hAnsi="Times New Roman" w:cs="Times New Roman"/>
          <w:sz w:val="24"/>
        </w:rPr>
        <w:t>this</w:t>
      </w:r>
      <w:r w:rsidRPr="001E52F7">
        <w:rPr>
          <w:rFonts w:ascii="Times New Roman" w:hAnsi="Times New Roman" w:cs="Times New Roman"/>
          <w:sz w:val="24"/>
        </w:rPr>
        <w:t xml:space="preserve"> study,</w:t>
      </w:r>
      <w:r>
        <w:rPr>
          <w:rFonts w:ascii="Times New Roman" w:hAnsi="Times New Roman" w:cs="Times New Roman"/>
          <w:sz w:val="24"/>
        </w:rPr>
        <w:t xml:space="preserve"> which looks at the</w:t>
      </w:r>
      <w:r w:rsidRPr="001E52F7">
        <w:rPr>
          <w:rFonts w:ascii="Times New Roman" w:hAnsi="Times New Roman" w:cs="Times New Roman"/>
          <w:sz w:val="24"/>
        </w:rPr>
        <w:t xml:space="preserve"> JSE, Michailidis, Tsopoglou, and Papanastasiou (2007) consider weekly returns (as opposed to monthly, as this study uses) of stocks listed on the Athens Stock Exchange (ASE). The authors reason that using monthly data will lead to incorrect estimations of the beta coefficient. However, one must be weary of data that has a higher </w:t>
      </w:r>
      <w:r w:rsidRPr="001E52F7">
        <w:rPr>
          <w:rFonts w:ascii="Times New Roman" w:hAnsi="Times New Roman" w:cs="Times New Roman"/>
          <w:sz w:val="24"/>
        </w:rPr>
        <w:lastRenderedPageBreak/>
        <w:t xml:space="preserve">frequency (such as daily returns) as this will lead to very noisy figures. The authors contend that both size and the BTM ratio proxy for the two different dimensions of </w:t>
      </w:r>
      <w:r>
        <w:rPr>
          <w:rFonts w:ascii="Times New Roman" w:hAnsi="Times New Roman" w:cs="Times New Roman"/>
          <w:sz w:val="24"/>
        </w:rPr>
        <w:t xml:space="preserve">unnamed </w:t>
      </w:r>
      <w:r w:rsidRPr="001E52F7">
        <w:rPr>
          <w:rFonts w:ascii="Times New Roman" w:hAnsi="Times New Roman" w:cs="Times New Roman"/>
          <w:sz w:val="24"/>
        </w:rPr>
        <w:t xml:space="preserve">risk, this being the reason why they are included in their Greek study. </w:t>
      </w:r>
    </w:p>
    <w:p w:rsidR="00052855" w:rsidRDefault="00052855" w:rsidP="00052855">
      <w:pPr>
        <w:spacing w:line="360" w:lineRule="auto"/>
        <w:jc w:val="both"/>
        <w:rPr>
          <w:rFonts w:ascii="Times New Roman" w:hAnsi="Times New Roman" w:cs="Times New Roman"/>
          <w:sz w:val="24"/>
        </w:rPr>
      </w:pPr>
    </w:p>
    <w:p w:rsidR="00052855" w:rsidRDefault="00052855" w:rsidP="00052855">
      <w:pPr>
        <w:spacing w:line="360" w:lineRule="auto"/>
        <w:jc w:val="both"/>
        <w:rPr>
          <w:rFonts w:ascii="Times New Roman" w:hAnsi="Times New Roman" w:cs="Times New Roman"/>
          <w:sz w:val="24"/>
        </w:rPr>
      </w:pPr>
      <w:r>
        <w:rPr>
          <w:rFonts w:ascii="Times New Roman" w:hAnsi="Times New Roman" w:cs="Times New Roman"/>
          <w:sz w:val="24"/>
        </w:rPr>
        <w:t xml:space="preserve">To start off their analysis, </w:t>
      </w:r>
      <w:r w:rsidRPr="001E52F7">
        <w:rPr>
          <w:rFonts w:ascii="Times New Roman" w:hAnsi="Times New Roman" w:cs="Times New Roman"/>
          <w:sz w:val="24"/>
        </w:rPr>
        <w:t>Michailidis, Tsopoglou, and Papanastasiou (2007)</w:t>
      </w:r>
      <w:r>
        <w:rPr>
          <w:rFonts w:ascii="Times New Roman" w:hAnsi="Times New Roman" w:cs="Times New Roman"/>
          <w:sz w:val="24"/>
        </w:rPr>
        <w:t xml:space="preserve"> sort their portfolios on size alone. The authors find that beta ranges from -0.1979 to 0.4857. The authors then </w:t>
      </w:r>
      <w:r w:rsidRPr="00566BF3">
        <w:rPr>
          <w:rFonts w:ascii="Times New Roman" w:hAnsi="Times New Roman" w:cs="Times New Roman"/>
          <w:sz w:val="24"/>
        </w:rPr>
        <w:t xml:space="preserve">use a two-way sort. They first separate stocks into size based on market </w:t>
      </w:r>
      <w:r>
        <w:rPr>
          <w:rFonts w:ascii="Times New Roman" w:hAnsi="Times New Roman" w:cs="Times New Roman"/>
          <w:sz w:val="24"/>
        </w:rPr>
        <w:t>capitalisation</w:t>
      </w:r>
      <w:r w:rsidRPr="00566BF3">
        <w:rPr>
          <w:rFonts w:ascii="Times New Roman" w:hAnsi="Times New Roman" w:cs="Times New Roman"/>
          <w:sz w:val="24"/>
        </w:rPr>
        <w:t>. They divide them into three deciles – top 30 percent, middle 40 percent, and bottom 30 percent. Next they sort the three deciles based on their beta estimates.</w:t>
      </w:r>
      <w:r>
        <w:rPr>
          <w:rFonts w:ascii="Times New Roman" w:hAnsi="Times New Roman" w:cs="Times New Roman"/>
          <w:sz w:val="24"/>
        </w:rPr>
        <w:t xml:space="preserve"> </w:t>
      </w:r>
      <w:r w:rsidRPr="00566BF3">
        <w:rPr>
          <w:rFonts w:ascii="Times New Roman" w:hAnsi="Times New Roman" w:cs="Times New Roman"/>
          <w:sz w:val="24"/>
        </w:rPr>
        <w:t xml:space="preserve">They perform this sorting in order to account for changes in beta. </w:t>
      </w:r>
      <w:r>
        <w:rPr>
          <w:rFonts w:ascii="Times New Roman" w:hAnsi="Times New Roman" w:cs="Times New Roman"/>
          <w:sz w:val="24"/>
        </w:rPr>
        <w:t xml:space="preserve">When </w:t>
      </w:r>
      <w:r w:rsidRPr="001E52F7">
        <w:rPr>
          <w:rFonts w:ascii="Times New Roman" w:hAnsi="Times New Roman" w:cs="Times New Roman"/>
          <w:sz w:val="24"/>
        </w:rPr>
        <w:t>Michailidis, Tsopoglou, and Papanastasiou (2007)</w:t>
      </w:r>
      <w:r>
        <w:rPr>
          <w:rFonts w:ascii="Times New Roman" w:hAnsi="Times New Roman" w:cs="Times New Roman"/>
          <w:sz w:val="24"/>
        </w:rPr>
        <w:t xml:space="preserve"> analyse the returns of portfolios created on size and beta, they notice that the range of beta is significantly lowered. The authors note that the </w:t>
      </w:r>
      <w:r>
        <w:rPr>
          <w:rFonts w:ascii="TimesNewRoman" w:hAnsi="TimesNewRoman" w:cs="TimesNewRoman"/>
          <w:sz w:val="24"/>
          <w:szCs w:val="24"/>
        </w:rPr>
        <w:t>Sharpe (1964), Lintner (1965), and Black (1972)</w:t>
      </w:r>
      <w:r>
        <w:rPr>
          <w:rFonts w:ascii="Times New Roman" w:hAnsi="Times New Roman" w:cs="Times New Roman"/>
          <w:sz w:val="24"/>
        </w:rPr>
        <w:t xml:space="preserve"> model is contradicted in their study. When beta and size are accounted for, beta and size can be linked to average returns. However, when beta is unrelated to size there is no evidence of a relation between beta and average returns. Therefore, </w:t>
      </w:r>
      <w:r w:rsidRPr="001E52F7">
        <w:rPr>
          <w:rFonts w:ascii="Times New Roman" w:hAnsi="Times New Roman" w:cs="Times New Roman"/>
          <w:sz w:val="24"/>
        </w:rPr>
        <w:t>Michailidis, Tsopoglou, and Papanastasiou (2007)</w:t>
      </w:r>
      <w:r>
        <w:rPr>
          <w:rFonts w:ascii="Times New Roman" w:hAnsi="Times New Roman" w:cs="Times New Roman"/>
          <w:sz w:val="24"/>
        </w:rPr>
        <w:t xml:space="preserve"> conclude that when portfolios are controlled for size, beta has no relation to average stock returns. </w:t>
      </w:r>
    </w:p>
    <w:p w:rsidR="00052855" w:rsidRPr="001E52F7" w:rsidRDefault="00052855" w:rsidP="00052855">
      <w:pPr>
        <w:spacing w:line="360" w:lineRule="auto"/>
        <w:jc w:val="both"/>
        <w:rPr>
          <w:rFonts w:ascii="Times New Roman" w:hAnsi="Times New Roman" w:cs="Times New Roman"/>
          <w:sz w:val="24"/>
        </w:rPr>
      </w:pPr>
    </w:p>
    <w:p w:rsidR="00052855" w:rsidRPr="00566BF3" w:rsidRDefault="00052855" w:rsidP="00052855">
      <w:pPr>
        <w:pStyle w:val="ListParagraph"/>
        <w:spacing w:line="360" w:lineRule="auto"/>
        <w:ind w:left="0"/>
        <w:jc w:val="both"/>
        <w:rPr>
          <w:rFonts w:ascii="Times New Roman" w:hAnsi="Times New Roman" w:cs="Times New Roman"/>
          <w:sz w:val="24"/>
        </w:rPr>
      </w:pPr>
      <w:r w:rsidRPr="00566BF3">
        <w:rPr>
          <w:rFonts w:ascii="Times New Roman" w:hAnsi="Times New Roman" w:cs="Times New Roman"/>
          <w:sz w:val="24"/>
        </w:rPr>
        <w:t xml:space="preserve">The authors’ one dimensional sorts are created separately on market </w:t>
      </w:r>
      <w:r>
        <w:rPr>
          <w:rFonts w:ascii="Times New Roman" w:hAnsi="Times New Roman" w:cs="Times New Roman"/>
          <w:sz w:val="24"/>
        </w:rPr>
        <w:t>capitalisation</w:t>
      </w:r>
      <w:r w:rsidRPr="00566BF3">
        <w:rPr>
          <w:rFonts w:ascii="Times New Roman" w:hAnsi="Times New Roman" w:cs="Times New Roman"/>
          <w:sz w:val="24"/>
        </w:rPr>
        <w:t>, beta, BTM and E/P. They, again, create three portfolios for each variable they have sorted on (top 30%, middle 40% and bottom 30%). Their regression equation is as follows:</w:t>
      </w:r>
    </w:p>
    <w:p w:rsidR="00052855" w:rsidRPr="00566BF3" w:rsidRDefault="00052855" w:rsidP="00052855">
      <w:pPr>
        <w:pStyle w:val="ListParagraph"/>
        <w:tabs>
          <w:tab w:val="left" w:pos="5408"/>
        </w:tabs>
        <w:spacing w:line="360" w:lineRule="auto"/>
        <w:ind w:left="0"/>
        <w:jc w:val="both"/>
        <w:rPr>
          <w:rFonts w:ascii="Times New Roman" w:hAnsi="Times New Roman" w:cs="Times New Roman"/>
          <w:sz w:val="24"/>
        </w:rPr>
      </w:pPr>
      <w:r>
        <w:rPr>
          <w:rFonts w:ascii="Times New Roman" w:hAnsi="Times New Roman" w:cs="Times New Roman"/>
          <w:sz w:val="24"/>
        </w:rPr>
        <w:tab/>
      </w: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4"/>
        <w:gridCol w:w="6932"/>
        <w:gridCol w:w="926"/>
      </w:tblGrid>
      <w:tr w:rsidR="00052855" w:rsidTr="00700A7C">
        <w:tc>
          <w:tcPr>
            <w:tcW w:w="749" w:type="pct"/>
          </w:tcPr>
          <w:p w:rsidR="00052855" w:rsidRDefault="00052855" w:rsidP="00700A7C">
            <w:pPr>
              <w:pStyle w:val="ListParagraph"/>
              <w:spacing w:line="360" w:lineRule="auto"/>
              <w:ind w:left="0"/>
              <w:jc w:val="both"/>
              <w:rPr>
                <w:rFonts w:ascii="Times New Roman" w:hAnsi="Times New Roman" w:cs="Times New Roman"/>
                <w:sz w:val="24"/>
                <w:szCs w:val="36"/>
              </w:rPr>
            </w:pPr>
          </w:p>
        </w:tc>
        <w:tc>
          <w:tcPr>
            <w:tcW w:w="3750" w:type="pct"/>
          </w:tcPr>
          <w:p w:rsidR="00052855" w:rsidRPr="001A0A98" w:rsidRDefault="000963F3" w:rsidP="00700A7C">
            <w:pPr>
              <w:pStyle w:val="ListParagraph"/>
              <w:spacing w:line="360" w:lineRule="auto"/>
              <w:ind w:left="0"/>
              <w:jc w:val="both"/>
              <w:rPr>
                <w:rFonts w:ascii="Times New Roman" w:hAnsi="Times New Roman" w:cs="Times New Roman"/>
                <w:sz w:val="24"/>
                <w:szCs w:val="24"/>
              </w:rPr>
            </w:pPr>
            <m:oMathPara>
              <m:oMath>
                <m:sSub>
                  <m:sSubPr>
                    <m:ctrlPr>
                      <w:rPr>
                        <w:rFonts w:ascii="Cambria Math" w:hAnsi="Times New Roman" w:cs="Times New Roman"/>
                        <w:sz w:val="24"/>
                        <w:szCs w:val="24"/>
                      </w:rPr>
                    </m:ctrlPr>
                  </m:sSubPr>
                  <m:e>
                    <m:r>
                      <m:rPr>
                        <m:sty m:val="p"/>
                      </m:rPr>
                      <w:rPr>
                        <w:rFonts w:ascii="Cambria Math" w:hAnsi="Times New Roman" w:cs="Times New Roman"/>
                        <w:sz w:val="24"/>
                        <w:szCs w:val="24"/>
                      </w:rPr>
                      <m:t>R</m:t>
                    </m:r>
                  </m:e>
                  <m:sub>
                    <m:r>
                      <m:rPr>
                        <m:sty m:val="p"/>
                      </m:rPr>
                      <w:rPr>
                        <w:rFonts w:ascii="Cambria Math" w:hAnsi="Times New Roman" w:cs="Times New Roman"/>
                        <w:sz w:val="24"/>
                        <w:szCs w:val="24"/>
                      </w:rPr>
                      <m:t>pt</m:t>
                    </m:r>
                  </m:sub>
                </m:sSub>
                <m:r>
                  <m:rPr>
                    <m:sty m:val="p"/>
                  </m:rPr>
                  <w:rPr>
                    <w:rFonts w:ascii="Cambria Math" w:hAnsi="Times New Roman" w:cs="Times New Roman"/>
                    <w:sz w:val="24"/>
                    <w:szCs w:val="24"/>
                  </w:rPr>
                  <m:t xml:space="preserve">= </m:t>
                </m:r>
                <m:r>
                  <m:rPr>
                    <m:sty m:val="p"/>
                  </m:rPr>
                  <w:rPr>
                    <w:rFonts w:ascii="Times New Roman" w:hAnsi="Times New Roman" w:cs="Times New Roman"/>
                    <w:sz w:val="24"/>
                    <w:szCs w:val="24"/>
                  </w:rPr>
                  <m:t>α</m:t>
                </m:r>
                <m:r>
                  <m:rPr>
                    <m:sty m:val="p"/>
                  </m:rPr>
                  <w:rPr>
                    <w:rFonts w:ascii="Cambria Math" w:hAnsi="Times New Roman" w:cs="Times New Roman"/>
                    <w:sz w:val="24"/>
                    <w:szCs w:val="24"/>
                  </w:rPr>
                  <m:t xml:space="preserve">+ </m:t>
                </m:r>
                <m:sSub>
                  <m:sSubPr>
                    <m:ctrlPr>
                      <w:rPr>
                        <w:rFonts w:ascii="Cambria Math" w:hAnsi="Times New Roman" w:cs="Times New Roman"/>
                        <w:sz w:val="24"/>
                        <w:szCs w:val="24"/>
                      </w:rPr>
                    </m:ctrlPr>
                  </m:sSubPr>
                  <m:e>
                    <m:r>
                      <m:rPr>
                        <m:sty m:val="p"/>
                      </m:rPr>
                      <w:rPr>
                        <w:rFonts w:ascii="Cambria Math" w:hAnsi="Times New Roman" w:cs="Times New Roman"/>
                        <w:sz w:val="24"/>
                        <w:szCs w:val="24"/>
                      </w:rPr>
                      <m:t>b</m:t>
                    </m:r>
                  </m:e>
                  <m:sub>
                    <m:r>
                      <m:rPr>
                        <m:sty m:val="p"/>
                      </m:rPr>
                      <w:rPr>
                        <w:rFonts w:ascii="Cambria Math" w:hAnsi="Times New Roman" w:cs="Times New Roman"/>
                        <w:sz w:val="24"/>
                        <w:szCs w:val="24"/>
                      </w:rPr>
                      <m:t>2t</m:t>
                    </m:r>
                  </m:sub>
                </m:sSub>
                <m:r>
                  <m:rPr>
                    <m:sty m:val="p"/>
                  </m:rPr>
                  <w:rPr>
                    <w:rFonts w:ascii="Cambria Math" w:hAnsi="Times New Roman" w:cs="Times New Roman"/>
                    <w:sz w:val="24"/>
                    <w:szCs w:val="24"/>
                  </w:rPr>
                  <m:t>ln</m:t>
                </m:r>
                <m:d>
                  <m:dPr>
                    <m:ctrlPr>
                      <w:rPr>
                        <w:rFonts w:ascii="Cambria Math" w:hAnsi="Times New Roman" w:cs="Times New Roman"/>
                        <w:sz w:val="24"/>
                        <w:szCs w:val="24"/>
                      </w:rPr>
                    </m:ctrlPr>
                  </m:dPr>
                  <m:e>
                    <m:sSub>
                      <m:sSubPr>
                        <m:ctrlPr>
                          <w:rPr>
                            <w:rFonts w:ascii="Cambria Math" w:hAnsi="Times New Roman" w:cs="Times New Roman"/>
                            <w:sz w:val="24"/>
                            <w:szCs w:val="24"/>
                          </w:rPr>
                        </m:ctrlPr>
                      </m:sSubPr>
                      <m:e>
                        <m:r>
                          <m:rPr>
                            <m:sty m:val="p"/>
                          </m:rPr>
                          <w:rPr>
                            <w:rFonts w:ascii="Cambria Math" w:hAnsi="Times New Roman" w:cs="Times New Roman"/>
                            <w:sz w:val="24"/>
                            <w:szCs w:val="24"/>
                          </w:rPr>
                          <m:t>ME</m:t>
                        </m:r>
                      </m:e>
                      <m:sub>
                        <m:r>
                          <m:rPr>
                            <m:sty m:val="p"/>
                          </m:rPr>
                          <w:rPr>
                            <w:rFonts w:ascii="Cambria Math" w:hAnsi="Times New Roman" w:cs="Times New Roman"/>
                            <w:sz w:val="24"/>
                            <w:szCs w:val="24"/>
                          </w:rPr>
                          <m:t>pt</m:t>
                        </m:r>
                      </m:sub>
                    </m:sSub>
                  </m:e>
                </m:d>
                <m:r>
                  <m:rPr>
                    <m:sty m:val="p"/>
                  </m:rPr>
                  <w:rPr>
                    <w:rFonts w:ascii="Cambria Math" w:hAnsi="Times New Roman" w:cs="Times New Roman"/>
                    <w:sz w:val="24"/>
                    <w:szCs w:val="24"/>
                  </w:rPr>
                  <m:t xml:space="preserve">+ </m:t>
                </m:r>
                <m:sSub>
                  <m:sSubPr>
                    <m:ctrlPr>
                      <w:rPr>
                        <w:rFonts w:ascii="Cambria Math" w:hAnsi="Times New Roman" w:cs="Times New Roman"/>
                        <w:sz w:val="24"/>
                        <w:szCs w:val="24"/>
                      </w:rPr>
                    </m:ctrlPr>
                  </m:sSubPr>
                  <m:e>
                    <m:r>
                      <m:rPr>
                        <m:sty m:val="p"/>
                      </m:rPr>
                      <w:rPr>
                        <w:rFonts w:ascii="Cambria Math" w:hAnsi="Times New Roman" w:cs="Times New Roman"/>
                        <w:sz w:val="24"/>
                        <w:szCs w:val="24"/>
                      </w:rPr>
                      <m:t>b</m:t>
                    </m:r>
                  </m:e>
                  <m:sub>
                    <m:r>
                      <m:rPr>
                        <m:sty m:val="p"/>
                      </m:rPr>
                      <w:rPr>
                        <w:rFonts w:ascii="Cambria Math" w:hAnsi="Times New Roman" w:cs="Times New Roman"/>
                        <w:sz w:val="24"/>
                        <w:szCs w:val="24"/>
                      </w:rPr>
                      <m:t>3t</m:t>
                    </m:r>
                  </m:sub>
                </m:sSub>
                <m:func>
                  <m:funcPr>
                    <m:ctrlPr>
                      <w:rPr>
                        <w:rFonts w:ascii="Cambria Math" w:hAnsi="Times New Roman" w:cs="Times New Roman"/>
                        <w:sz w:val="24"/>
                        <w:szCs w:val="24"/>
                      </w:rPr>
                    </m:ctrlPr>
                  </m:funcPr>
                  <m:fName>
                    <m:r>
                      <m:rPr>
                        <m:sty m:val="p"/>
                      </m:rPr>
                      <w:rPr>
                        <w:rFonts w:ascii="Cambria Math" w:hAnsi="Times New Roman" w:cs="Times New Roman"/>
                        <w:sz w:val="24"/>
                        <w:szCs w:val="24"/>
                      </w:rPr>
                      <m:t>ln</m:t>
                    </m:r>
                  </m:fName>
                  <m:e>
                    <m:d>
                      <m:dPr>
                        <m:ctrlPr>
                          <w:rPr>
                            <w:rFonts w:ascii="Cambria Math" w:hAnsi="Times New Roman" w:cs="Times New Roman"/>
                            <w:sz w:val="24"/>
                            <w:szCs w:val="24"/>
                          </w:rPr>
                        </m:ctrlPr>
                      </m:dPr>
                      <m:e>
                        <m:sSub>
                          <m:sSubPr>
                            <m:ctrlPr>
                              <w:rPr>
                                <w:rFonts w:ascii="Cambria Math" w:hAnsi="Times New Roman" w:cs="Times New Roman"/>
                                <w:sz w:val="24"/>
                                <w:szCs w:val="24"/>
                              </w:rPr>
                            </m:ctrlPr>
                          </m:sSubPr>
                          <m:e>
                            <m:r>
                              <m:rPr>
                                <m:sty m:val="p"/>
                              </m:rPr>
                              <w:rPr>
                                <w:rFonts w:ascii="Cambria Math" w:hAnsi="Times New Roman" w:cs="Times New Roman"/>
                                <w:sz w:val="24"/>
                                <w:szCs w:val="24"/>
                              </w:rPr>
                              <m:t>BTM</m:t>
                            </m:r>
                          </m:e>
                          <m:sub>
                            <m:r>
                              <m:rPr>
                                <m:sty m:val="p"/>
                              </m:rPr>
                              <w:rPr>
                                <w:rFonts w:ascii="Cambria Math" w:hAnsi="Times New Roman" w:cs="Times New Roman"/>
                                <w:sz w:val="24"/>
                                <w:szCs w:val="24"/>
                              </w:rPr>
                              <m:t>pt</m:t>
                            </m:r>
                          </m:sub>
                        </m:sSub>
                      </m:e>
                    </m:d>
                  </m:e>
                </m:func>
                <m:r>
                  <m:rPr>
                    <m:sty m:val="p"/>
                  </m:rPr>
                  <w:rPr>
                    <w:rFonts w:ascii="Cambria Math" w:hAnsi="Times New Roman" w:cs="Times New Roman"/>
                    <w:sz w:val="24"/>
                    <w:szCs w:val="24"/>
                  </w:rPr>
                  <m:t xml:space="preserve">+ </m:t>
                </m:r>
                <m:sSub>
                  <m:sSubPr>
                    <m:ctrlPr>
                      <w:rPr>
                        <w:rFonts w:ascii="Cambria Math" w:hAnsi="Times New Roman" w:cs="Times New Roman"/>
                        <w:sz w:val="24"/>
                        <w:szCs w:val="24"/>
                      </w:rPr>
                    </m:ctrlPr>
                  </m:sSubPr>
                  <m:e>
                    <m:r>
                      <m:rPr>
                        <m:sty m:val="p"/>
                      </m:rPr>
                      <w:rPr>
                        <w:rFonts w:ascii="Cambria Math" w:hAnsi="Times New Roman" w:cs="Times New Roman"/>
                        <w:sz w:val="24"/>
                        <w:szCs w:val="24"/>
                      </w:rPr>
                      <m:t>e</m:t>
                    </m:r>
                  </m:e>
                  <m:sub>
                    <m:r>
                      <m:rPr>
                        <m:sty m:val="p"/>
                      </m:rPr>
                      <w:rPr>
                        <w:rFonts w:ascii="Cambria Math" w:hAnsi="Times New Roman" w:cs="Times New Roman"/>
                        <w:sz w:val="24"/>
                        <w:szCs w:val="24"/>
                      </w:rPr>
                      <m:t>t</m:t>
                    </m:r>
                  </m:sub>
                </m:sSub>
                <m:r>
                  <m:rPr>
                    <m:sty m:val="p"/>
                  </m:rPr>
                  <w:rPr>
                    <w:rFonts w:ascii="Cambria Math" w:hAnsi="Times New Roman" w:cs="Times New Roman"/>
                    <w:sz w:val="24"/>
                    <w:szCs w:val="24"/>
                  </w:rPr>
                  <m:t xml:space="preserve">+ </m:t>
                </m:r>
                <m:sSub>
                  <m:sSubPr>
                    <m:ctrlPr>
                      <w:rPr>
                        <w:rFonts w:ascii="Cambria Math" w:hAnsi="Times New Roman" w:cs="Times New Roman"/>
                        <w:sz w:val="24"/>
                        <w:szCs w:val="24"/>
                      </w:rPr>
                    </m:ctrlPr>
                  </m:sSubPr>
                  <m:e>
                    <m:r>
                      <m:rPr>
                        <m:sty m:val="p"/>
                      </m:rPr>
                      <w:rPr>
                        <w:rFonts w:ascii="Cambria Math" w:hAnsi="Times New Roman" w:cs="Times New Roman"/>
                        <w:sz w:val="24"/>
                        <w:szCs w:val="24"/>
                      </w:rPr>
                      <m:t>b</m:t>
                    </m:r>
                  </m:e>
                  <m:sub>
                    <m:r>
                      <m:rPr>
                        <m:sty m:val="p"/>
                      </m:rPr>
                      <w:rPr>
                        <w:rFonts w:ascii="Cambria Math" w:hAnsi="Times New Roman" w:cs="Times New Roman"/>
                        <w:sz w:val="24"/>
                        <w:szCs w:val="24"/>
                      </w:rPr>
                      <m:t>4t</m:t>
                    </m:r>
                  </m:sub>
                </m:sSub>
                <m:sSub>
                  <m:sSubPr>
                    <m:ctrlPr>
                      <w:rPr>
                        <w:rFonts w:ascii="Cambria Math" w:hAnsi="Times New Roman" w:cs="Times New Roman"/>
                        <w:sz w:val="24"/>
                        <w:szCs w:val="24"/>
                      </w:rPr>
                    </m:ctrlPr>
                  </m:sSubPr>
                  <m:e>
                    <m:r>
                      <m:rPr>
                        <m:sty m:val="p"/>
                      </m:rPr>
                      <w:rPr>
                        <w:rFonts w:ascii="Cambria Math" w:hAnsi="Times New Roman" w:cs="Times New Roman"/>
                        <w:sz w:val="24"/>
                        <w:szCs w:val="24"/>
                      </w:rPr>
                      <m:t>(E/P</m:t>
                    </m:r>
                  </m:e>
                  <m:sub>
                    <m:r>
                      <m:rPr>
                        <m:sty m:val="p"/>
                      </m:rPr>
                      <w:rPr>
                        <w:rFonts w:ascii="Cambria Math" w:hAnsi="Times New Roman" w:cs="Times New Roman"/>
                        <w:sz w:val="24"/>
                        <w:szCs w:val="24"/>
                      </w:rPr>
                      <m:t>pt</m:t>
                    </m:r>
                  </m:sub>
                </m:sSub>
                <m:r>
                  <m:rPr>
                    <m:sty m:val="p"/>
                  </m:rPr>
                  <w:rPr>
                    <w:rFonts w:ascii="Cambria Math" w:hAnsi="Times New Roman" w:cs="Times New Roman"/>
                    <w:sz w:val="24"/>
                    <w:szCs w:val="24"/>
                  </w:rPr>
                  <m:t>)</m:t>
                </m:r>
              </m:oMath>
            </m:oMathPara>
          </w:p>
        </w:tc>
        <w:tc>
          <w:tcPr>
            <w:tcW w:w="750" w:type="pct"/>
            <w:vAlign w:val="center"/>
          </w:tcPr>
          <w:p w:rsidR="00052855" w:rsidRDefault="00052855" w:rsidP="00700A7C">
            <w:pPr>
              <w:pStyle w:val="ListParagraph"/>
              <w:spacing w:line="360" w:lineRule="auto"/>
              <w:ind w:left="0"/>
              <w:jc w:val="right"/>
              <w:rPr>
                <w:rFonts w:ascii="Times New Roman" w:hAnsi="Times New Roman" w:cs="Times New Roman"/>
                <w:sz w:val="24"/>
                <w:szCs w:val="36"/>
              </w:rPr>
            </w:pPr>
            <w:r>
              <w:rPr>
                <w:rFonts w:ascii="Times New Roman" w:hAnsi="Times New Roman" w:cs="Times New Roman"/>
                <w:sz w:val="24"/>
                <w:szCs w:val="36"/>
              </w:rPr>
              <w:t>(</w:t>
            </w:r>
            <w:r w:rsidR="00FE4B4D">
              <w:rPr>
                <w:rFonts w:ascii="Times New Roman" w:hAnsi="Times New Roman" w:cs="Times New Roman"/>
                <w:sz w:val="24"/>
                <w:szCs w:val="36"/>
              </w:rPr>
              <w:t>16</w:t>
            </w:r>
            <w:r>
              <w:rPr>
                <w:rFonts w:ascii="Times New Roman" w:hAnsi="Times New Roman" w:cs="Times New Roman"/>
                <w:sz w:val="24"/>
                <w:szCs w:val="36"/>
              </w:rPr>
              <w:t>)</w:t>
            </w:r>
          </w:p>
        </w:tc>
      </w:tr>
    </w:tbl>
    <w:p w:rsidR="00052855" w:rsidRDefault="00052855" w:rsidP="00052855">
      <w:pPr>
        <w:spacing w:line="360" w:lineRule="auto"/>
        <w:jc w:val="both"/>
        <w:rPr>
          <w:rFonts w:ascii="Times New Roman" w:hAnsi="Times New Roman" w:cs="Times New Roman"/>
          <w:sz w:val="24"/>
        </w:rPr>
      </w:pPr>
    </w:p>
    <w:p w:rsidR="008B084D" w:rsidRDefault="00052855" w:rsidP="008B084D">
      <w:pPr>
        <w:spacing w:line="360" w:lineRule="auto"/>
        <w:jc w:val="both"/>
        <w:rPr>
          <w:rFonts w:ascii="Times New Roman" w:hAnsi="Times New Roman" w:cs="Times New Roman"/>
          <w:sz w:val="24"/>
          <w:szCs w:val="24"/>
        </w:rPr>
      </w:pPr>
      <w:r w:rsidRPr="001E52F7">
        <w:rPr>
          <w:rFonts w:ascii="Times New Roman" w:hAnsi="Times New Roman" w:cs="Times New Roman"/>
          <w:sz w:val="24"/>
        </w:rPr>
        <w:t xml:space="preserve">Portfolios formed by Michailidis, Tsopoglou, and Papanastasiou (2007) on the E/P ratio show little significant relation between E/P and average returns. This is in conflict with Ball (1978) who contests E/P is a proxy for various omitted sources of risk. Similarly, no significant relation between the BTM ratio and average returns can be inferred from the regressions run with portfolios sorted on the BTM ratio. Michailidis, Tsopoglou, and Papanastasiou (2007) offer an explanation for this result. Most of the firms in their sample have negative book values. This could be the cause of the lack of relationship between the BTM ratio and average returns. Taking into consideration beta, the BTM ratio, size, and the E/P ratio combined, the </w:t>
      </w:r>
      <w:r w:rsidRPr="001E52F7">
        <w:rPr>
          <w:rFonts w:ascii="Times New Roman" w:hAnsi="Times New Roman" w:cs="Times New Roman"/>
          <w:sz w:val="24"/>
        </w:rPr>
        <w:lastRenderedPageBreak/>
        <w:t xml:space="preserve">authors find that these variables help to explain the variation of returns. However, beta and the other variables are positively related, so the evidence is not supportive of the model </w:t>
      </w:r>
      <w:r w:rsidRPr="001E52F7">
        <w:rPr>
          <w:rFonts w:ascii="Times New Roman" w:hAnsi="Times New Roman" w:cs="Times New Roman"/>
          <w:sz w:val="24"/>
          <w:szCs w:val="24"/>
        </w:rPr>
        <w:t>explaining average returns. These variables, jointly, do not have any power to interpret returns. Results of the regressions run by Michailidis, Tsopoglou, and Papanastasiou (2007) intimate that CAPM does not hold in their data as they find no positive relation between beta and average returns. The authors suggest the reason for this may be due to the extreme volatility in the Athens Stock Exchange over the time period tested.</w:t>
      </w:r>
    </w:p>
    <w:p w:rsidR="008B084D" w:rsidRDefault="008B084D" w:rsidP="008B084D">
      <w:pPr>
        <w:spacing w:line="360" w:lineRule="auto"/>
        <w:jc w:val="both"/>
        <w:rPr>
          <w:rFonts w:ascii="Times New Roman" w:hAnsi="Times New Roman" w:cs="Times New Roman"/>
          <w:sz w:val="24"/>
          <w:szCs w:val="24"/>
        </w:rPr>
      </w:pPr>
    </w:p>
    <w:p w:rsidR="00052855" w:rsidRDefault="00052855" w:rsidP="00052855">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Basiewicz and Auret (2009) also study the JSE stock returns and what factors can explain these returns. The authors source their data from INet and McGregor, as well as Bloomberg. Their sample period extends that of van Rensburg and Robertson (2003), ranging from December 1989 to July 2005. Monthly returns are taken and portfolios are created on both the equally weighted and value weighted basis. This is similar to the dissertation presented. Portfolios are also rebalanced annually. Basiewicz and Auret (2009) note that the high correlations among variables with price in the denominator are to be expected. With the authors’ univariate regressions they find that the BTM ratio is a better predictor of returns than the E/P ratio or the C/P ratio. The multivariate regressions indicate that size and BTM can proxy for stock returns, while the E/P ratio is not significant at all. </w:t>
      </w:r>
    </w:p>
    <w:p w:rsidR="00052855" w:rsidRDefault="00052855" w:rsidP="00052855">
      <w:pPr>
        <w:pStyle w:val="ListParagraph"/>
        <w:spacing w:line="360" w:lineRule="auto"/>
        <w:ind w:left="0"/>
        <w:jc w:val="both"/>
        <w:rPr>
          <w:rFonts w:ascii="Times New Roman" w:hAnsi="Times New Roman" w:cs="Times New Roman"/>
          <w:sz w:val="24"/>
          <w:szCs w:val="36"/>
        </w:rPr>
      </w:pPr>
    </w:p>
    <w:p w:rsidR="00052855" w:rsidRPr="00052855" w:rsidRDefault="008B084D" w:rsidP="00052855">
      <w:pPr>
        <w:spacing w:line="360" w:lineRule="auto"/>
        <w:rPr>
          <w:rFonts w:ascii="Times New Roman" w:hAnsi="Times New Roman" w:cs="Times New Roman"/>
          <w:b/>
          <w:sz w:val="32"/>
        </w:rPr>
      </w:pPr>
      <w:r w:rsidRPr="008B084D">
        <w:rPr>
          <w:rFonts w:ascii="Times New Roman" w:hAnsi="Times New Roman" w:cs="Times New Roman"/>
          <w:b/>
          <w:sz w:val="32"/>
        </w:rPr>
        <w:t>Evidence relating to the three-factor model</w:t>
      </w:r>
    </w:p>
    <w:p w:rsidR="00052855" w:rsidRDefault="00052855" w:rsidP="00052855">
      <w:pPr>
        <w:pStyle w:val="ListParagraph"/>
        <w:spacing w:line="360" w:lineRule="auto"/>
        <w:ind w:left="0"/>
        <w:jc w:val="both"/>
        <w:rPr>
          <w:rFonts w:ascii="Times New Roman" w:hAnsi="Times New Roman" w:cs="Times New Roman"/>
          <w:sz w:val="24"/>
          <w:szCs w:val="36"/>
        </w:rPr>
      </w:pPr>
    </w:p>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Both Daniel and Titman (1997) and Davis, Fama, and French (2000) use a model alternate to that of the characteristics one – the three-factor model. The</w:t>
      </w:r>
      <w:r>
        <w:rPr>
          <w:rFonts w:ascii="Times New Roman" w:hAnsi="Times New Roman" w:cs="Times New Roman"/>
          <w:sz w:val="24"/>
          <w:szCs w:val="36"/>
        </w:rPr>
        <w:t xml:space="preserve"> latter authors source data from the NYSE, AMEX, and NASDAQ markets, including both industrial and non-industrial firms. Davis, Fama, and French (2000)</w:t>
      </w:r>
      <w:r w:rsidRPr="00566BF3">
        <w:rPr>
          <w:rFonts w:ascii="Times New Roman" w:hAnsi="Times New Roman" w:cs="Times New Roman"/>
          <w:sz w:val="24"/>
          <w:szCs w:val="36"/>
        </w:rPr>
        <w:t xml:space="preserve"> form six value weighted portfolios (S/</w:t>
      </w:r>
      <w:r>
        <w:rPr>
          <w:rFonts w:ascii="Times New Roman" w:hAnsi="Times New Roman" w:cs="Times New Roman"/>
          <w:sz w:val="24"/>
          <w:szCs w:val="36"/>
        </w:rPr>
        <w:t>L, S/M, S/H, B/L, B/M, and B/H) over the period 1926 to 1996.</w:t>
      </w:r>
      <w:r w:rsidRPr="00566BF3">
        <w:rPr>
          <w:rFonts w:ascii="Times New Roman" w:hAnsi="Times New Roman" w:cs="Times New Roman"/>
          <w:sz w:val="24"/>
          <w:szCs w:val="36"/>
        </w:rPr>
        <w:t xml:space="preserve"> Taking the correlation of the SMB and HML factors provides an indication of whether the HML is free of the size effect and whether the SMB is free of the BTM effect. Davis, Fama, and French (2000) find a correlation of 0.13 which </w:t>
      </w:r>
      <w:r>
        <w:rPr>
          <w:rFonts w:ascii="Times New Roman" w:hAnsi="Times New Roman" w:cs="Times New Roman"/>
          <w:sz w:val="24"/>
          <w:szCs w:val="36"/>
        </w:rPr>
        <w:t>implies</w:t>
      </w:r>
      <w:r w:rsidRPr="00566BF3">
        <w:rPr>
          <w:rFonts w:ascii="Times New Roman" w:hAnsi="Times New Roman" w:cs="Times New Roman"/>
          <w:sz w:val="24"/>
          <w:szCs w:val="36"/>
        </w:rPr>
        <w:t xml:space="preserve"> the factors are relatively free of the effects mentioned above. The tests of the three-factor model centre on the </w:t>
      </w:r>
      <w:r>
        <w:rPr>
          <w:rFonts w:ascii="Times New Roman" w:hAnsi="Times New Roman" w:cs="Times New Roman"/>
          <w:sz w:val="24"/>
          <w:szCs w:val="36"/>
        </w:rPr>
        <w:t>hypothesis</w:t>
      </w:r>
      <w:r w:rsidRPr="00566BF3">
        <w:rPr>
          <w:rFonts w:ascii="Times New Roman" w:hAnsi="Times New Roman" w:cs="Times New Roman"/>
          <w:sz w:val="24"/>
          <w:szCs w:val="36"/>
        </w:rPr>
        <w:t xml:space="preserve"> that the intercepts in the equation are indistinguishable from zero (Davis, Fama, and French, 2000). </w:t>
      </w:r>
      <w:r>
        <w:rPr>
          <w:rFonts w:ascii="Times New Roman" w:hAnsi="Times New Roman" w:cs="Times New Roman"/>
          <w:sz w:val="24"/>
          <w:szCs w:val="36"/>
        </w:rPr>
        <w:t xml:space="preserve">The market premium averages a return of 0.67% per month, and is statistically significant over the period 1926 to 1997. The </w:t>
      </w:r>
      <w:r>
        <w:rPr>
          <w:rFonts w:ascii="Times New Roman" w:hAnsi="Times New Roman" w:cs="Times New Roman"/>
          <w:sz w:val="24"/>
          <w:szCs w:val="36"/>
        </w:rPr>
        <w:lastRenderedPageBreak/>
        <w:t xml:space="preserve">HML or value factor also exhibits a strong positive premium with an average of 0.46% per month over the entire sample period. Davis, Fama, and French (2000) value-weight the six components that make up the size factor. The authors attribute this method to the results that they find. The size premium, while positive, has a lower test statistic than the value and market premiums, and its average return over the sample period is low at 0.2%. If the authors removed the value component from the calculation of the size factor the size premium would increase to an average of 0.33% per month over the same period. </w:t>
      </w:r>
    </w:p>
    <w:p w:rsidR="00052855" w:rsidRDefault="00052855" w:rsidP="00052855">
      <w:pPr>
        <w:pStyle w:val="ListParagraph"/>
        <w:spacing w:line="360" w:lineRule="auto"/>
        <w:ind w:left="0"/>
        <w:jc w:val="both"/>
        <w:rPr>
          <w:rFonts w:ascii="Times New Roman" w:hAnsi="Times New Roman" w:cs="Times New Roman"/>
          <w:sz w:val="24"/>
          <w:szCs w:val="36"/>
        </w:rPr>
      </w:pPr>
    </w:p>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1E52F7">
        <w:rPr>
          <w:rFonts w:ascii="Times New Roman" w:hAnsi="Times New Roman" w:cs="Times New Roman"/>
          <w:sz w:val="24"/>
        </w:rPr>
        <w:t>Antoniou, Galariotis, and Spyrou (2006) look at whether there is negative serial correlation in the London Stock Exchange (LSE).</w:t>
      </w:r>
      <w:r>
        <w:rPr>
          <w:rFonts w:ascii="Times New Roman" w:hAnsi="Times New Roman" w:cs="Times New Roman"/>
          <w:sz w:val="24"/>
        </w:rPr>
        <w:t xml:space="preserve"> </w:t>
      </w:r>
      <w:r w:rsidRPr="001E52F7">
        <w:rPr>
          <w:rFonts w:ascii="Times New Roman" w:hAnsi="Times New Roman" w:cs="Times New Roman"/>
          <w:sz w:val="24"/>
        </w:rPr>
        <w:t xml:space="preserve">The authors use two procedures to take risk into account, they use the Fama and French (1996) three-factor model, and they consider market risk. </w:t>
      </w:r>
      <w:r>
        <w:rPr>
          <w:rFonts w:ascii="Times New Roman" w:hAnsi="Times New Roman" w:cs="Times New Roman"/>
          <w:sz w:val="24"/>
        </w:rPr>
        <w:t>Fama and French (1996)</w:t>
      </w:r>
      <w:r w:rsidRPr="001E52F7">
        <w:rPr>
          <w:rFonts w:ascii="Times New Roman" w:hAnsi="Times New Roman" w:cs="Times New Roman"/>
          <w:sz w:val="24"/>
        </w:rPr>
        <w:t xml:space="preserve"> </w:t>
      </w:r>
      <w:r>
        <w:rPr>
          <w:rFonts w:ascii="Times New Roman" w:hAnsi="Times New Roman" w:cs="Times New Roman"/>
          <w:sz w:val="24"/>
        </w:rPr>
        <w:t>assume risk is</w:t>
      </w:r>
      <w:r w:rsidRPr="001E52F7">
        <w:rPr>
          <w:rFonts w:ascii="Times New Roman" w:hAnsi="Times New Roman" w:cs="Times New Roman"/>
          <w:sz w:val="24"/>
        </w:rPr>
        <w:t xml:space="preserve"> related to the market index so the authors include an error variable in their equation, which is the residual from the market model.</w:t>
      </w:r>
      <w:r>
        <w:rPr>
          <w:rFonts w:ascii="Times New Roman" w:hAnsi="Times New Roman" w:cs="Times New Roman"/>
          <w:sz w:val="24"/>
        </w:rPr>
        <w:t xml:space="preserve"> </w:t>
      </w:r>
      <w:r w:rsidRPr="00566BF3">
        <w:rPr>
          <w:rFonts w:ascii="Times New Roman" w:hAnsi="Times New Roman" w:cs="Times New Roman"/>
          <w:sz w:val="24"/>
          <w:szCs w:val="36"/>
        </w:rPr>
        <w:t>Antoniou, Galariotis, and Spyrou (2006) create portfolios on the equally weighted basis us</w:t>
      </w:r>
      <w:r>
        <w:rPr>
          <w:rFonts w:ascii="Times New Roman" w:hAnsi="Times New Roman" w:cs="Times New Roman"/>
          <w:sz w:val="24"/>
          <w:szCs w:val="36"/>
        </w:rPr>
        <w:t>ing</w:t>
      </w:r>
      <w:r w:rsidRPr="00566BF3">
        <w:rPr>
          <w:rFonts w:ascii="Times New Roman" w:hAnsi="Times New Roman" w:cs="Times New Roman"/>
          <w:sz w:val="24"/>
          <w:szCs w:val="36"/>
        </w:rPr>
        <w:t xml:space="preserve"> a top 20% bottom 20% split for the SMB and HML factors.</w:t>
      </w:r>
      <w:r>
        <w:rPr>
          <w:rFonts w:ascii="Times New Roman" w:hAnsi="Times New Roman" w:cs="Times New Roman"/>
          <w:sz w:val="24"/>
          <w:szCs w:val="36"/>
        </w:rPr>
        <w:t xml:space="preserve"> </w:t>
      </w:r>
      <w:r w:rsidRPr="00566BF3">
        <w:rPr>
          <w:rFonts w:ascii="Times New Roman" w:hAnsi="Times New Roman" w:cs="Times New Roman"/>
          <w:sz w:val="24"/>
          <w:szCs w:val="36"/>
        </w:rPr>
        <w:t xml:space="preserve">They </w:t>
      </w:r>
      <w:r>
        <w:rPr>
          <w:rFonts w:ascii="Times New Roman" w:hAnsi="Times New Roman" w:cs="Times New Roman"/>
          <w:sz w:val="24"/>
          <w:szCs w:val="36"/>
        </w:rPr>
        <w:t>acknowledge</w:t>
      </w:r>
      <w:r w:rsidRPr="00566BF3">
        <w:rPr>
          <w:rFonts w:ascii="Times New Roman" w:hAnsi="Times New Roman" w:cs="Times New Roman"/>
          <w:sz w:val="24"/>
          <w:szCs w:val="36"/>
        </w:rPr>
        <w:t xml:space="preserve"> that Fama and French (1996) take the top 30% and bottom 30%</w:t>
      </w:r>
      <w:r>
        <w:rPr>
          <w:rFonts w:ascii="Times New Roman" w:hAnsi="Times New Roman" w:cs="Times New Roman"/>
          <w:sz w:val="24"/>
          <w:szCs w:val="36"/>
        </w:rPr>
        <w:t>. In the current dissertation the split is 50-50.</w:t>
      </w:r>
      <w:r w:rsidRPr="00566BF3">
        <w:rPr>
          <w:rFonts w:ascii="Times New Roman" w:hAnsi="Times New Roman" w:cs="Times New Roman"/>
          <w:sz w:val="24"/>
          <w:szCs w:val="36"/>
        </w:rPr>
        <w:t xml:space="preserve"> Antoniou, Galariotis,</w:t>
      </w:r>
      <w:r>
        <w:rPr>
          <w:rFonts w:ascii="Times New Roman" w:hAnsi="Times New Roman" w:cs="Times New Roman"/>
          <w:sz w:val="24"/>
          <w:szCs w:val="36"/>
        </w:rPr>
        <w:t xml:space="preserve"> and Spyrou (2006) use both the 30% and 50%</w:t>
      </w:r>
      <w:r w:rsidRPr="00566BF3">
        <w:rPr>
          <w:rFonts w:ascii="Times New Roman" w:hAnsi="Times New Roman" w:cs="Times New Roman"/>
          <w:sz w:val="24"/>
          <w:szCs w:val="36"/>
        </w:rPr>
        <w:t xml:space="preserve"> splits in two separate tests, as well as take into account value weighted portfolios, in order to determine if their choice of portfolio creation is biased in any way. Their value weighted portfolios produce very similar results when comparison is made against the equally weighted portfolios. However, the authors do note that risk-adjusted profits are greater for the value weighted portfolios. This is because the largest firms will have a larger weighting in the calculations. The largest firms, incidentally, are the most profitable in Antoniou, Galariotis, and Spyrou (2006) sample, so the increased weighting will have a larger effect considering the returns are greater too. </w:t>
      </w:r>
    </w:p>
    <w:p w:rsidR="00052855" w:rsidRPr="00566BF3" w:rsidRDefault="00052855" w:rsidP="00052855"/>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Antoniou, Galariotis, and Spyrou (2006) follow a contrarian strategy where portfolios are rebalanced weekly. It is suggested by </w:t>
      </w:r>
      <w:r>
        <w:rPr>
          <w:rFonts w:ascii="Times New Roman" w:hAnsi="Times New Roman" w:cs="Times New Roman"/>
          <w:sz w:val="24"/>
          <w:szCs w:val="36"/>
        </w:rPr>
        <w:t>Basiewicz and Auret (2009)</w:t>
      </w:r>
      <w:r w:rsidRPr="00566BF3">
        <w:rPr>
          <w:rFonts w:ascii="Times New Roman" w:hAnsi="Times New Roman" w:cs="Times New Roman"/>
          <w:sz w:val="24"/>
          <w:szCs w:val="36"/>
        </w:rPr>
        <w:t xml:space="preserve"> that portfolios that are rebalanced annually are more likely to be representative of the typical investor. </w:t>
      </w:r>
      <w:r>
        <w:rPr>
          <w:rFonts w:ascii="Times New Roman" w:hAnsi="Times New Roman" w:cs="Times New Roman"/>
          <w:sz w:val="24"/>
          <w:szCs w:val="36"/>
        </w:rPr>
        <w:t>The r</w:t>
      </w:r>
      <w:r w:rsidRPr="00566BF3">
        <w:rPr>
          <w:rFonts w:ascii="Times New Roman" w:hAnsi="Times New Roman" w:cs="Times New Roman"/>
          <w:sz w:val="24"/>
          <w:szCs w:val="36"/>
        </w:rPr>
        <w:t xml:space="preserve">eason for this is that weekly rebalanced portfolios will most probably incur higher trading costs. </w:t>
      </w:r>
      <w:r>
        <w:rPr>
          <w:rFonts w:ascii="Times New Roman" w:hAnsi="Times New Roman" w:cs="Times New Roman"/>
          <w:sz w:val="24"/>
        </w:rPr>
        <w:t xml:space="preserve">Lakonishok, Shleifer, and Vishny (1994) also agree with annual portfolio rebalancing. This argument is similar to Basiewicz and Auret (2009). Lakonishok, Shleifer, and Vishny (1994) portfolios are thus annually rebalanced, therefore coming closer to capturing the returns on an average investor would earn. </w:t>
      </w:r>
      <w:r w:rsidRPr="00566BF3">
        <w:rPr>
          <w:rFonts w:ascii="Times New Roman" w:hAnsi="Times New Roman" w:cs="Times New Roman"/>
          <w:sz w:val="24"/>
          <w:szCs w:val="36"/>
        </w:rPr>
        <w:t xml:space="preserve">Findings initially made by Antoniou, Galariotis, and Spyrou (2006) provide evidence contradictory to US findings such as </w:t>
      </w:r>
      <w:r>
        <w:rPr>
          <w:rFonts w:ascii="Times New Roman" w:hAnsi="Times New Roman" w:cs="Times New Roman"/>
          <w:sz w:val="24"/>
          <w:szCs w:val="36"/>
        </w:rPr>
        <w:t xml:space="preserve"> De Bondt and Thaler (1985)</w:t>
      </w:r>
      <w:r w:rsidRPr="00490DF2">
        <w:rPr>
          <w:rFonts w:ascii="Times New Roman" w:hAnsi="Times New Roman" w:cs="Times New Roman"/>
          <w:color w:val="FF0000"/>
          <w:sz w:val="24"/>
          <w:szCs w:val="36"/>
        </w:rPr>
        <w:t>.</w:t>
      </w:r>
      <w:r w:rsidRPr="00566BF3">
        <w:rPr>
          <w:rFonts w:ascii="Times New Roman" w:hAnsi="Times New Roman" w:cs="Times New Roman"/>
          <w:sz w:val="24"/>
          <w:szCs w:val="36"/>
        </w:rPr>
        <w:t xml:space="preserve"> </w:t>
      </w:r>
      <w:r w:rsidRPr="00566BF3">
        <w:rPr>
          <w:rFonts w:ascii="Times New Roman" w:hAnsi="Times New Roman" w:cs="Times New Roman"/>
          <w:sz w:val="24"/>
          <w:szCs w:val="36"/>
        </w:rPr>
        <w:lastRenderedPageBreak/>
        <w:t>Antoniou, Galariotis, and Spyrou (2006</w:t>
      </w:r>
      <w:r>
        <w:rPr>
          <w:rFonts w:ascii="Times New Roman" w:hAnsi="Times New Roman" w:cs="Times New Roman"/>
          <w:sz w:val="24"/>
          <w:szCs w:val="36"/>
        </w:rPr>
        <w:t>)</w:t>
      </w:r>
      <w:r w:rsidRPr="00566BF3">
        <w:rPr>
          <w:rFonts w:ascii="Times New Roman" w:hAnsi="Times New Roman" w:cs="Times New Roman"/>
          <w:sz w:val="24"/>
          <w:szCs w:val="36"/>
        </w:rPr>
        <w:t xml:space="preserve"> find that the contrarian strategy is more profitable for larger firms than smaller firms. This goes against the argument and findings that smaller firms produce higher profits.</w:t>
      </w:r>
      <w:r w:rsidR="00B17D7B">
        <w:rPr>
          <w:rFonts w:ascii="Times New Roman" w:hAnsi="Times New Roman" w:cs="Times New Roman"/>
          <w:sz w:val="24"/>
          <w:szCs w:val="36"/>
        </w:rPr>
        <w:t xml:space="preserve"> However, the largest firm portfolio and smallest firm portfolio experience the highest profits. </w:t>
      </w:r>
      <w:r w:rsidRPr="00566BF3">
        <w:rPr>
          <w:rFonts w:ascii="Times New Roman" w:hAnsi="Times New Roman" w:cs="Times New Roman"/>
          <w:sz w:val="24"/>
          <w:szCs w:val="36"/>
        </w:rPr>
        <w:t xml:space="preserve"> </w:t>
      </w:r>
      <w:r w:rsidR="004513F2">
        <w:rPr>
          <w:rFonts w:ascii="Times New Roman" w:hAnsi="Times New Roman" w:cs="Times New Roman"/>
          <w:sz w:val="24"/>
          <w:szCs w:val="36"/>
        </w:rPr>
        <w:t>This is evidence of a reversal of the small firm effect, Antoniou, Galariotis, and Spyrou (2006).</w:t>
      </w:r>
    </w:p>
    <w:p w:rsidR="00052855" w:rsidRPr="00566BF3" w:rsidRDefault="00052855" w:rsidP="004513F2"/>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Antoniou, Galariotis, and Spyrou (2006) use weekly returns over the period 1984 to 2000. All stocks in the sample come from the LSE. The authors create five size portfolios based on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ensuring that each portfolio has 20% of the firms in the sample for that year. In contrast to Lakonishok, Shleifer, and Vishny (1994), Antoniou, Galariotis, and Spyrou (2006) only use one type of sort to create their portfolios, namely market </w:t>
      </w:r>
      <w:r>
        <w:rPr>
          <w:rFonts w:ascii="Times New Roman" w:hAnsi="Times New Roman" w:cs="Times New Roman"/>
          <w:sz w:val="24"/>
          <w:szCs w:val="36"/>
        </w:rPr>
        <w:t>capitalisation</w:t>
      </w:r>
      <w:r w:rsidRPr="00566BF3">
        <w:rPr>
          <w:rFonts w:ascii="Times New Roman" w:hAnsi="Times New Roman" w:cs="Times New Roman"/>
          <w:sz w:val="24"/>
          <w:szCs w:val="36"/>
        </w:rPr>
        <w:t xml:space="preserve">. Lakonishok, Shleifer, and Vishny (1994) on the other hand, create several portfolios using ratios such as BTM, E/P, C/P, and GS. </w:t>
      </w:r>
    </w:p>
    <w:p w:rsidR="00052855" w:rsidRPr="00566BF3" w:rsidRDefault="00052855" w:rsidP="00052855"/>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Antoniou, Galariotis, and Spyrou (2006) focus on three different types of returns – raw returns and two risk-adjusted returns. The risk-adjusted returns are divided into two different methods, the single-factor and the three-factor risk adjusted returns. The authors’ raw returns equation looks as follows:</w:t>
      </w:r>
    </w:p>
    <w:p w:rsidR="00052855" w:rsidRPr="00566BF3" w:rsidRDefault="00052855" w:rsidP="00052855">
      <w:pPr>
        <w:pStyle w:val="ListParagraph"/>
        <w:spacing w:line="360" w:lineRule="auto"/>
        <w:ind w:left="0"/>
        <w:jc w:val="both"/>
        <w:rPr>
          <w:rFonts w:ascii="Times New Roman" w:hAnsi="Times New Roman" w:cs="Times New Roman"/>
          <w:sz w:val="24"/>
          <w:szCs w:val="36"/>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052855" w:rsidTr="00700A7C">
        <w:tc>
          <w:tcPr>
            <w:tcW w:w="750" w:type="pct"/>
          </w:tcPr>
          <w:p w:rsidR="00052855" w:rsidRDefault="00052855" w:rsidP="00700A7C">
            <w:pPr>
              <w:pStyle w:val="ListParagraph"/>
              <w:spacing w:line="360" w:lineRule="auto"/>
              <w:ind w:left="0"/>
              <w:jc w:val="both"/>
              <w:rPr>
                <w:rFonts w:ascii="Times New Roman" w:hAnsi="Times New Roman" w:cs="Times New Roman"/>
                <w:sz w:val="24"/>
                <w:szCs w:val="36"/>
              </w:rPr>
            </w:pPr>
          </w:p>
        </w:tc>
        <w:tc>
          <w:tcPr>
            <w:tcW w:w="3750" w:type="pct"/>
          </w:tcPr>
          <w:p w:rsidR="00052855" w:rsidRDefault="000963F3" w:rsidP="00700A7C">
            <w:pPr>
              <w:pStyle w:val="ListParagraph"/>
              <w:spacing w:line="360" w:lineRule="auto"/>
              <w:ind w:left="0"/>
              <w:jc w:val="both"/>
              <w:rPr>
                <w:rFonts w:ascii="Times New Roman" w:hAnsi="Times New Roman" w:cs="Times New Roman"/>
                <w:sz w:val="24"/>
                <w:szCs w:val="36"/>
              </w:rPr>
            </w:pPr>
            <m:oMathPara>
              <m:oMath>
                <m:sSub>
                  <m:sSubPr>
                    <m:ctrlPr>
                      <w:rPr>
                        <w:rFonts w:ascii="Cambria Math" w:hAnsi="Times New Roman"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i</m:t>
                    </m:r>
                    <m:r>
                      <w:rPr>
                        <w:rFonts w:ascii="Cambria Math" w:hAnsi="Times New Roman" w:cs="Times New Roman"/>
                        <w:sz w:val="24"/>
                        <w:szCs w:val="36"/>
                      </w:rPr>
                      <m:t>,</m:t>
                    </m:r>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a</m:t>
                    </m:r>
                  </m:e>
                  <m:sub>
                    <m:r>
                      <w:rPr>
                        <w:rFonts w:ascii="Cambria Math" w:hAnsi="Times New Roman" w:cs="Times New Roman"/>
                        <w:sz w:val="24"/>
                        <w:szCs w:val="36"/>
                      </w:rPr>
                      <m:t>0</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b</m:t>
                    </m:r>
                  </m:e>
                  <m:sub>
                    <m:r>
                      <w:rPr>
                        <w:rFonts w:ascii="Cambria Math" w:hAnsi="Times New Roman" w:cs="Times New Roman"/>
                        <w:sz w:val="24"/>
                        <w:szCs w:val="36"/>
                      </w:rPr>
                      <m:t>0</m:t>
                    </m:r>
                  </m:sub>
                </m:sSub>
                <m:sSub>
                  <m:sSubPr>
                    <m:ctrlPr>
                      <w:rPr>
                        <w:rFonts w:ascii="Cambria Math" w:hAnsi="Times New Roman"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m</m:t>
                    </m:r>
                    <m:r>
                      <w:rPr>
                        <w:rFonts w:ascii="Cambria Math" w:hAnsi="Times New Roman" w:cs="Times New Roman"/>
                        <w:sz w:val="24"/>
                        <w:szCs w:val="36"/>
                      </w:rPr>
                      <m:t>,</m:t>
                    </m:r>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e</m:t>
                    </m:r>
                  </m:e>
                  <m:sub>
                    <m:r>
                      <w:rPr>
                        <w:rFonts w:ascii="Cambria Math" w:hAnsi="Cambria Math" w:cs="Times New Roman"/>
                        <w:sz w:val="24"/>
                        <w:szCs w:val="36"/>
                      </w:rPr>
                      <m:t>i</m:t>
                    </m:r>
                    <m:r>
                      <w:rPr>
                        <w:rFonts w:ascii="Cambria Math" w:hAnsi="Times New Roman" w:cs="Times New Roman"/>
                        <w:sz w:val="24"/>
                        <w:szCs w:val="36"/>
                      </w:rPr>
                      <m:t>,</m:t>
                    </m:r>
                    <m:r>
                      <w:rPr>
                        <w:rFonts w:ascii="Cambria Math" w:hAnsi="Cambria Math" w:cs="Times New Roman"/>
                        <w:sz w:val="24"/>
                        <w:szCs w:val="36"/>
                      </w:rPr>
                      <m:t>t</m:t>
                    </m:r>
                  </m:sub>
                </m:sSub>
              </m:oMath>
            </m:oMathPara>
          </w:p>
        </w:tc>
        <w:tc>
          <w:tcPr>
            <w:tcW w:w="750" w:type="pct"/>
            <w:vAlign w:val="center"/>
          </w:tcPr>
          <w:p w:rsidR="00052855" w:rsidRDefault="00052855" w:rsidP="00700A7C">
            <w:pPr>
              <w:pStyle w:val="ListParagraph"/>
              <w:spacing w:line="360" w:lineRule="auto"/>
              <w:ind w:left="0"/>
              <w:jc w:val="right"/>
              <w:rPr>
                <w:rFonts w:ascii="Times New Roman" w:hAnsi="Times New Roman" w:cs="Times New Roman"/>
                <w:sz w:val="24"/>
                <w:szCs w:val="36"/>
              </w:rPr>
            </w:pPr>
            <w:r>
              <w:rPr>
                <w:rFonts w:ascii="Times New Roman" w:hAnsi="Times New Roman" w:cs="Times New Roman"/>
                <w:sz w:val="24"/>
                <w:szCs w:val="36"/>
              </w:rPr>
              <w:t>(</w:t>
            </w:r>
            <w:r w:rsidR="00FE4B4D">
              <w:rPr>
                <w:rFonts w:ascii="Times New Roman" w:hAnsi="Times New Roman" w:cs="Times New Roman"/>
                <w:sz w:val="24"/>
                <w:szCs w:val="36"/>
              </w:rPr>
              <w:t>17</w:t>
            </w:r>
            <w:r>
              <w:rPr>
                <w:rFonts w:ascii="Times New Roman" w:hAnsi="Times New Roman" w:cs="Times New Roman"/>
                <w:sz w:val="24"/>
                <w:szCs w:val="36"/>
              </w:rPr>
              <w:t>)</w:t>
            </w:r>
          </w:p>
        </w:tc>
      </w:tr>
    </w:tbl>
    <w:p w:rsidR="00052855" w:rsidRPr="00566BF3" w:rsidRDefault="00052855" w:rsidP="00052855">
      <w:pPr>
        <w:pStyle w:val="ListParagraph"/>
        <w:spacing w:line="360" w:lineRule="auto"/>
        <w:ind w:left="0"/>
        <w:jc w:val="both"/>
        <w:rPr>
          <w:rFonts w:ascii="Times New Roman" w:hAnsi="Times New Roman" w:cs="Times New Roman"/>
          <w:sz w:val="24"/>
          <w:szCs w:val="36"/>
        </w:rPr>
      </w:pPr>
    </w:p>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The risk-adjusted return is denoted by the error term (e</w:t>
      </w:r>
      <w:r w:rsidRPr="00566BF3">
        <w:rPr>
          <w:rFonts w:ascii="Times New Roman" w:hAnsi="Times New Roman" w:cs="Times New Roman"/>
          <w:sz w:val="24"/>
          <w:szCs w:val="36"/>
          <w:vertAlign w:val="subscript"/>
        </w:rPr>
        <w:t>i, t</w:t>
      </w:r>
      <w:r w:rsidRPr="00566BF3">
        <w:rPr>
          <w:rFonts w:ascii="Times New Roman" w:hAnsi="Times New Roman" w:cs="Times New Roman"/>
          <w:sz w:val="24"/>
          <w:szCs w:val="36"/>
        </w:rPr>
        <w:t>). The market model includes the raw return of stock i (r</w:t>
      </w:r>
      <w:r w:rsidRPr="00566BF3">
        <w:rPr>
          <w:rFonts w:ascii="Times New Roman" w:hAnsi="Times New Roman" w:cs="Times New Roman"/>
          <w:sz w:val="24"/>
          <w:szCs w:val="36"/>
          <w:vertAlign w:val="subscript"/>
        </w:rPr>
        <w:t>i, t</w:t>
      </w:r>
      <w:r w:rsidRPr="00566BF3">
        <w:rPr>
          <w:rFonts w:ascii="Times New Roman" w:hAnsi="Times New Roman" w:cs="Times New Roman"/>
          <w:sz w:val="24"/>
          <w:szCs w:val="36"/>
        </w:rPr>
        <w:t>) and the return on the market portfolio (r</w:t>
      </w:r>
      <w:r w:rsidRPr="00566BF3">
        <w:rPr>
          <w:rFonts w:ascii="Times New Roman" w:hAnsi="Times New Roman" w:cs="Times New Roman"/>
          <w:sz w:val="24"/>
          <w:szCs w:val="36"/>
          <w:vertAlign w:val="subscript"/>
        </w:rPr>
        <w:t>m, t</w:t>
      </w:r>
      <w:r w:rsidRPr="00566BF3">
        <w:rPr>
          <w:rFonts w:ascii="Times New Roman" w:hAnsi="Times New Roman" w:cs="Times New Roman"/>
          <w:sz w:val="24"/>
          <w:szCs w:val="36"/>
        </w:rPr>
        <w:t>). This raw return of the stock is included in Antoniou, Galariotis, and Spyrou (2006) three-factor regression equation. Similar to that of Fama and French (1996), Antoniou, Galariotis, and Spyrou (2006) include a market factor, a size factor (SMB) and a value factor (HML). However, the authors examine the adjusted returns so they include the regression residual e</w:t>
      </w:r>
      <w:r w:rsidRPr="00566BF3">
        <w:rPr>
          <w:rFonts w:ascii="Times New Roman" w:hAnsi="Times New Roman" w:cs="Times New Roman"/>
          <w:sz w:val="24"/>
          <w:szCs w:val="36"/>
          <w:vertAlign w:val="subscript"/>
        </w:rPr>
        <w:t>i, t</w:t>
      </w:r>
      <w:r w:rsidRPr="00566BF3">
        <w:rPr>
          <w:rFonts w:ascii="Times New Roman" w:hAnsi="Times New Roman" w:cs="Times New Roman"/>
          <w:sz w:val="24"/>
          <w:szCs w:val="36"/>
        </w:rPr>
        <w:t>. They also do not want to examine excess returns so they remove the risk-free rate from Fama and French (1996) three-factor model and use raw returns for the stocks and market instead. Their raw returns three-factor risk adjusted equation is as follows:</w:t>
      </w:r>
    </w:p>
    <w:p w:rsidR="00052855" w:rsidRPr="00566BF3" w:rsidRDefault="00052855" w:rsidP="00052855">
      <w:pPr>
        <w:pStyle w:val="ListParagraph"/>
        <w:spacing w:line="360" w:lineRule="auto"/>
        <w:ind w:left="0"/>
        <w:jc w:val="both"/>
        <w:rPr>
          <w:rFonts w:ascii="Times New Roman" w:hAnsi="Times New Roman" w:cs="Times New Roman"/>
          <w:sz w:val="24"/>
          <w:szCs w:val="36"/>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386"/>
        <w:gridCol w:w="6932"/>
        <w:gridCol w:w="924"/>
      </w:tblGrid>
      <w:tr w:rsidR="00052855" w:rsidTr="00700A7C">
        <w:tc>
          <w:tcPr>
            <w:tcW w:w="750" w:type="pct"/>
          </w:tcPr>
          <w:p w:rsidR="00052855" w:rsidRDefault="00052855" w:rsidP="00700A7C">
            <w:pPr>
              <w:pStyle w:val="ListParagraph"/>
              <w:spacing w:line="360" w:lineRule="auto"/>
              <w:ind w:left="0"/>
              <w:jc w:val="both"/>
              <w:rPr>
                <w:rFonts w:ascii="Times New Roman" w:hAnsi="Times New Roman" w:cs="Times New Roman"/>
                <w:sz w:val="24"/>
                <w:szCs w:val="36"/>
              </w:rPr>
            </w:pPr>
          </w:p>
        </w:tc>
        <w:tc>
          <w:tcPr>
            <w:tcW w:w="3750" w:type="pct"/>
          </w:tcPr>
          <w:p w:rsidR="00052855" w:rsidRDefault="000963F3" w:rsidP="00700A7C">
            <w:pPr>
              <w:pStyle w:val="ListParagraph"/>
              <w:spacing w:line="360" w:lineRule="auto"/>
              <w:ind w:left="0"/>
              <w:jc w:val="both"/>
              <w:rPr>
                <w:rFonts w:ascii="Times New Roman" w:hAnsi="Times New Roman" w:cs="Times New Roman"/>
                <w:sz w:val="24"/>
                <w:szCs w:val="36"/>
              </w:rPr>
            </w:pPr>
            <m:oMathPara>
              <m:oMath>
                <m:sSub>
                  <m:sSubPr>
                    <m:ctrlPr>
                      <w:rPr>
                        <w:rFonts w:ascii="Cambria Math" w:hAnsi="Times New Roman"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i</m:t>
                    </m:r>
                    <m:r>
                      <w:rPr>
                        <w:rFonts w:ascii="Cambria Math" w:hAnsi="Times New Roman" w:cs="Times New Roman"/>
                        <w:sz w:val="24"/>
                        <w:szCs w:val="36"/>
                      </w:rPr>
                      <m:t>,</m:t>
                    </m:r>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i</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b</m:t>
                    </m:r>
                  </m:e>
                  <m:sub>
                    <m:r>
                      <w:rPr>
                        <w:rFonts w:ascii="Cambria Math" w:hAnsi="Cambria Math" w:cs="Times New Roman"/>
                        <w:sz w:val="24"/>
                        <w:szCs w:val="36"/>
                      </w:rPr>
                      <m:t>m</m:t>
                    </m:r>
                  </m:sub>
                </m:sSub>
                <m:sSub>
                  <m:sSubPr>
                    <m:ctrlPr>
                      <w:rPr>
                        <w:rFonts w:ascii="Cambria Math" w:hAnsi="Times New Roman"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m</m:t>
                    </m:r>
                    <m:r>
                      <w:rPr>
                        <w:rFonts w:ascii="Cambria Math" w:hAnsi="Times New Roman" w:cs="Times New Roman"/>
                        <w:sz w:val="24"/>
                        <w:szCs w:val="36"/>
                      </w:rPr>
                      <m:t>,</m:t>
                    </m:r>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b</m:t>
                    </m:r>
                  </m:e>
                  <m:sub>
                    <m:r>
                      <w:rPr>
                        <w:rFonts w:ascii="Cambria Math" w:hAnsi="Cambria Math" w:cs="Times New Roman"/>
                        <w:sz w:val="24"/>
                        <w:szCs w:val="36"/>
                      </w:rPr>
                      <m:t>SM</m:t>
                    </m:r>
                    <m:r>
                      <w:rPr>
                        <w:rFonts w:ascii="Cambria Math" w:hAnsi="Cambria Math" w:cs="Times New Roman"/>
                        <w:sz w:val="24"/>
                        <w:szCs w:val="36"/>
                      </w:rPr>
                      <m:t>B</m:t>
                    </m:r>
                  </m:sub>
                </m:sSub>
                <m:sSub>
                  <m:sSubPr>
                    <m:ctrlPr>
                      <w:rPr>
                        <w:rFonts w:ascii="Cambria Math" w:hAnsi="Times New Roman" w:cs="Times New Roman"/>
                        <w:i/>
                        <w:sz w:val="24"/>
                        <w:szCs w:val="36"/>
                      </w:rPr>
                    </m:ctrlPr>
                  </m:sSubPr>
                  <m:e>
                    <m:r>
                      <w:rPr>
                        <w:rFonts w:ascii="Cambria Math" w:hAnsi="Cambria Math" w:cs="Times New Roman"/>
                        <w:sz w:val="24"/>
                        <w:szCs w:val="36"/>
                      </w:rPr>
                      <m:t>SMB</m:t>
                    </m:r>
                  </m:e>
                  <m:sub>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b</m:t>
                    </m:r>
                  </m:e>
                  <m:sub>
                    <m:r>
                      <w:rPr>
                        <w:rFonts w:ascii="Cambria Math" w:hAnsi="Cambria Math" w:cs="Times New Roman"/>
                        <w:sz w:val="24"/>
                        <w:szCs w:val="36"/>
                      </w:rPr>
                      <m:t>HML</m:t>
                    </m:r>
                  </m:sub>
                </m:sSub>
                <m:sSub>
                  <m:sSubPr>
                    <m:ctrlPr>
                      <w:rPr>
                        <w:rFonts w:ascii="Cambria Math" w:hAnsi="Times New Roman" w:cs="Times New Roman"/>
                        <w:i/>
                        <w:sz w:val="24"/>
                        <w:szCs w:val="36"/>
                      </w:rPr>
                    </m:ctrlPr>
                  </m:sSubPr>
                  <m:e>
                    <m:r>
                      <w:rPr>
                        <w:rFonts w:ascii="Cambria Math" w:hAnsi="Cambria Math" w:cs="Times New Roman"/>
                        <w:sz w:val="24"/>
                        <w:szCs w:val="36"/>
                      </w:rPr>
                      <m:t>HML</m:t>
                    </m:r>
                  </m:e>
                  <m:sub>
                    <m:r>
                      <w:rPr>
                        <w:rFonts w:ascii="Cambria Math" w:hAnsi="Cambria Math" w:cs="Times New Roman"/>
                        <w:sz w:val="24"/>
                        <w:szCs w:val="36"/>
                      </w:rPr>
                      <m:t>t</m:t>
                    </m:r>
                  </m:sub>
                </m:sSub>
                <m:r>
                  <w:rPr>
                    <w:rFonts w:ascii="Cambria Math" w:hAnsi="Times New Roman" w:cs="Times New Roman"/>
                    <w:sz w:val="24"/>
                    <w:szCs w:val="36"/>
                  </w:rPr>
                  <m:t xml:space="preserve">+ </m:t>
                </m:r>
                <m:sSub>
                  <m:sSubPr>
                    <m:ctrlPr>
                      <w:rPr>
                        <w:rFonts w:ascii="Cambria Math" w:hAnsi="Times New Roman" w:cs="Times New Roman"/>
                        <w:i/>
                        <w:sz w:val="24"/>
                        <w:szCs w:val="36"/>
                      </w:rPr>
                    </m:ctrlPr>
                  </m:sSubPr>
                  <m:e>
                    <m:r>
                      <w:rPr>
                        <w:rFonts w:ascii="Cambria Math" w:hAnsi="Cambria Math" w:cs="Times New Roman"/>
                        <w:sz w:val="24"/>
                        <w:szCs w:val="36"/>
                      </w:rPr>
                      <m:t>e</m:t>
                    </m:r>
                  </m:e>
                  <m:sub>
                    <m:r>
                      <w:rPr>
                        <w:rFonts w:ascii="Cambria Math" w:hAnsi="Cambria Math" w:cs="Times New Roman"/>
                        <w:sz w:val="24"/>
                        <w:szCs w:val="36"/>
                      </w:rPr>
                      <m:t>i</m:t>
                    </m:r>
                    <m:r>
                      <w:rPr>
                        <w:rFonts w:ascii="Cambria Math" w:hAnsi="Times New Roman" w:cs="Times New Roman"/>
                        <w:sz w:val="24"/>
                        <w:szCs w:val="36"/>
                      </w:rPr>
                      <m:t>,</m:t>
                    </m:r>
                    <m:r>
                      <w:rPr>
                        <w:rFonts w:ascii="Cambria Math" w:hAnsi="Cambria Math" w:cs="Times New Roman"/>
                        <w:sz w:val="24"/>
                        <w:szCs w:val="36"/>
                      </w:rPr>
                      <m:t>t</m:t>
                    </m:r>
                  </m:sub>
                </m:sSub>
              </m:oMath>
            </m:oMathPara>
          </w:p>
        </w:tc>
        <w:tc>
          <w:tcPr>
            <w:tcW w:w="750" w:type="pct"/>
            <w:vAlign w:val="center"/>
          </w:tcPr>
          <w:p w:rsidR="00052855" w:rsidRDefault="00052855" w:rsidP="00FE4B4D">
            <w:pPr>
              <w:pStyle w:val="ListParagraph"/>
              <w:spacing w:line="360" w:lineRule="auto"/>
              <w:ind w:left="0"/>
              <w:jc w:val="right"/>
              <w:rPr>
                <w:rFonts w:ascii="Times New Roman" w:hAnsi="Times New Roman" w:cs="Times New Roman"/>
                <w:sz w:val="24"/>
                <w:szCs w:val="36"/>
              </w:rPr>
            </w:pPr>
            <w:r>
              <w:rPr>
                <w:rFonts w:ascii="Times New Roman" w:hAnsi="Times New Roman" w:cs="Times New Roman"/>
                <w:sz w:val="24"/>
                <w:szCs w:val="36"/>
              </w:rPr>
              <w:t>(1</w:t>
            </w:r>
            <w:r w:rsidR="00FE4B4D">
              <w:rPr>
                <w:rFonts w:ascii="Times New Roman" w:hAnsi="Times New Roman" w:cs="Times New Roman"/>
                <w:sz w:val="24"/>
                <w:szCs w:val="36"/>
              </w:rPr>
              <w:t>8</w:t>
            </w:r>
            <w:r>
              <w:rPr>
                <w:rFonts w:ascii="Times New Roman" w:hAnsi="Times New Roman" w:cs="Times New Roman"/>
                <w:sz w:val="24"/>
                <w:szCs w:val="36"/>
              </w:rPr>
              <w:t>)</w:t>
            </w:r>
          </w:p>
        </w:tc>
      </w:tr>
    </w:tbl>
    <w:p w:rsidR="00052855" w:rsidRPr="00566BF3" w:rsidRDefault="00052855" w:rsidP="00052855">
      <w:pPr>
        <w:pStyle w:val="ListParagraph"/>
        <w:spacing w:line="360" w:lineRule="auto"/>
        <w:ind w:left="0"/>
        <w:jc w:val="both"/>
        <w:rPr>
          <w:rFonts w:ascii="Times New Roman" w:hAnsi="Times New Roman" w:cs="Times New Roman"/>
          <w:sz w:val="24"/>
          <w:szCs w:val="36"/>
        </w:rPr>
      </w:pPr>
    </w:p>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lastRenderedPageBreak/>
        <w:t xml:space="preserve">They, again in contrast to Fama and French (1996), construct their factors differently. For the SMB factor Antoniou, Galariotis, and Spyrou (2006) use non-financial stocks and separate them into the top and bottom 20% of their market </w:t>
      </w:r>
      <w:r>
        <w:rPr>
          <w:rFonts w:ascii="Times New Roman" w:hAnsi="Times New Roman" w:cs="Times New Roman"/>
          <w:sz w:val="24"/>
          <w:szCs w:val="36"/>
        </w:rPr>
        <w:t>capitalisation</w:t>
      </w:r>
      <w:r w:rsidRPr="00566BF3">
        <w:rPr>
          <w:rFonts w:ascii="Times New Roman" w:hAnsi="Times New Roman" w:cs="Times New Roman"/>
          <w:sz w:val="24"/>
          <w:szCs w:val="36"/>
        </w:rPr>
        <w:t>. They equally weight the two portfolios. SMB is small-minus-b</w:t>
      </w:r>
      <w:r>
        <w:rPr>
          <w:rFonts w:ascii="Times New Roman" w:hAnsi="Times New Roman" w:cs="Times New Roman"/>
          <w:sz w:val="24"/>
          <w:szCs w:val="36"/>
        </w:rPr>
        <w:t>i</w:t>
      </w:r>
      <w:r w:rsidRPr="00566BF3">
        <w:rPr>
          <w:rFonts w:ascii="Times New Roman" w:hAnsi="Times New Roman" w:cs="Times New Roman"/>
          <w:sz w:val="24"/>
          <w:szCs w:val="36"/>
        </w:rPr>
        <w:t xml:space="preserve">g, therefore the SMB factor is the difference between the bottom 20% and top 20%. The HML factor is constructed similarly as the top and bottom 20% of the non-financial stocks ranked by the BTM ratio are created. Each portfolio is equally weighted, and then the difference between the return on the high BTM and low BTM is taken to create the HML factor. </w:t>
      </w:r>
    </w:p>
    <w:p w:rsidR="00052855" w:rsidRPr="00566BF3" w:rsidRDefault="00052855" w:rsidP="00052855"/>
    <w:p w:rsidR="00052855" w:rsidRPr="00566BF3" w:rsidRDefault="00052855" w:rsidP="00052855">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Antoniou, Galariotis, and Spyrou (2006) test their three regression models for serial correlation. Results show that there is negative serial correlation in the raw returns, and when returns are adjusted for risk in the single factor and three factor models there still remains negative serial correlation. The number of firms to experience first order negative serial correlation increases from 643 (when risk-adjusted returns are adjusted by a single factor – the market) to 739 (when risk-adjusted returns are adjusted by three factors). While the authors are happy to concede that this negative correlation supports the overreaction </w:t>
      </w:r>
      <w:r>
        <w:rPr>
          <w:rFonts w:ascii="Times New Roman" w:hAnsi="Times New Roman" w:cs="Times New Roman"/>
          <w:sz w:val="24"/>
          <w:szCs w:val="36"/>
        </w:rPr>
        <w:t>hypothesis</w:t>
      </w:r>
      <w:r w:rsidRPr="00566BF3">
        <w:rPr>
          <w:rFonts w:ascii="Times New Roman" w:hAnsi="Times New Roman" w:cs="Times New Roman"/>
          <w:sz w:val="24"/>
          <w:szCs w:val="36"/>
        </w:rPr>
        <w:t xml:space="preserve">, they are quick to point out that the frequency of trading may play an important role in the results they have obtained. In order to curb the effects of infrequent trading, Antoniou, Galariotis, and Spyrou (2006) remove from their sample stocks that have not been traded for a month. Their results remain in favour of the overreaction </w:t>
      </w:r>
      <w:r>
        <w:rPr>
          <w:rFonts w:ascii="Times New Roman" w:hAnsi="Times New Roman" w:cs="Times New Roman"/>
          <w:sz w:val="24"/>
          <w:szCs w:val="36"/>
        </w:rPr>
        <w:t>hypothesis</w:t>
      </w:r>
      <w:r w:rsidRPr="00566BF3">
        <w:rPr>
          <w:rFonts w:ascii="Times New Roman" w:hAnsi="Times New Roman" w:cs="Times New Roman"/>
          <w:sz w:val="24"/>
          <w:szCs w:val="36"/>
        </w:rPr>
        <w:t xml:space="preserve">. </w:t>
      </w:r>
      <w:r w:rsidRPr="001E52F7">
        <w:rPr>
          <w:rFonts w:ascii="Times New Roman" w:hAnsi="Times New Roman" w:cs="Times New Roman"/>
          <w:sz w:val="24"/>
        </w:rPr>
        <w:t>A short-term contrarian strategy is profitable in the LSE, however Antoniou, Galariotis, and Spyrou (2006) stress that active traders in the market have the ability to diminish these profits as they aggressively look for information asymmetries – this observation is not uncommon among authors studied.</w:t>
      </w:r>
    </w:p>
    <w:p w:rsidR="007F0481" w:rsidRDefault="007F0481" w:rsidP="00842726"/>
    <w:p w:rsidR="007F0481" w:rsidRDefault="007F0481" w:rsidP="00F92487">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literature covered examines a wide range of authors and stock markets. The main stock markets dealt with, however, are the NYSE, AMEX, and NASDAQ. From these markets the clear result is that value outperforms a growth strategy. The BTM ratio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keep appearing as the best variables by which to sort stocks, in order to achieve these value premiums. Whether a three-factor regression or a multiple regression is used, the outcome is still the same using these two variables. When the LSE is analysed, the value effect is also found to be prevalent. In this case, however, researchers have found that leverage can explain stock returns, as can book-to-market value and size. A notable point </w:t>
      </w:r>
      <w:r>
        <w:rPr>
          <w:rFonts w:ascii="Times New Roman" w:hAnsi="Times New Roman" w:cs="Times New Roman"/>
          <w:sz w:val="24"/>
          <w:szCs w:val="36"/>
        </w:rPr>
        <w:lastRenderedPageBreak/>
        <w:t xml:space="preserve">from Levis and Liodakis (2001) is that they do not find a value effect using BTM to sort stocks listed on the LSE. Instead, these authors find evidence of a growth effect (or momentum). Other evidence of the momentum strategy comes from Forner and Marhuenda (2003), who find the momentum strategy profitable in the short term and the contrarian strategy profitable 3 years after portfolio formation. The E/P and C/P also seem to explain stock returns, but at times not as well as the BTM ratio or market </w:t>
      </w:r>
      <w:r w:rsidR="00610C8D">
        <w:rPr>
          <w:rFonts w:ascii="Times New Roman" w:hAnsi="Times New Roman" w:cs="Times New Roman"/>
          <w:sz w:val="24"/>
          <w:szCs w:val="36"/>
        </w:rPr>
        <w:t>capitalisation</w:t>
      </w:r>
      <w:r>
        <w:rPr>
          <w:rFonts w:ascii="Times New Roman" w:hAnsi="Times New Roman" w:cs="Times New Roman"/>
          <w:sz w:val="24"/>
          <w:szCs w:val="36"/>
        </w:rPr>
        <w:t>.</w:t>
      </w:r>
    </w:p>
    <w:p w:rsidR="009C62A2" w:rsidRPr="00566BF3" w:rsidRDefault="009C62A2" w:rsidP="00A02570">
      <w:pPr>
        <w:spacing w:line="360" w:lineRule="auto"/>
        <w:jc w:val="both"/>
        <w:rPr>
          <w:rFonts w:ascii="Times New Roman" w:hAnsi="Times New Roman" w:cs="Times New Roman"/>
        </w:rPr>
      </w:pPr>
    </w:p>
    <w:p w:rsidR="009C71EB" w:rsidRPr="00566BF3" w:rsidRDefault="007751C9" w:rsidP="00FF500C">
      <w:pPr>
        <w:pStyle w:val="ListParagraph"/>
        <w:numPr>
          <w:ilvl w:val="0"/>
          <w:numId w:val="18"/>
        </w:numPr>
        <w:spacing w:line="360" w:lineRule="auto"/>
        <w:jc w:val="both"/>
        <w:outlineLvl w:val="0"/>
        <w:rPr>
          <w:rFonts w:ascii="Times New Roman" w:hAnsi="Times New Roman" w:cs="Times New Roman"/>
          <w:b/>
          <w:sz w:val="36"/>
          <w:szCs w:val="36"/>
        </w:rPr>
      </w:pPr>
      <w:bookmarkStart w:id="49" w:name="_Toc281403414"/>
      <w:bookmarkStart w:id="50" w:name="_Toc305166517"/>
      <w:r w:rsidRPr="00566BF3">
        <w:rPr>
          <w:rFonts w:ascii="Times New Roman" w:hAnsi="Times New Roman" w:cs="Times New Roman"/>
          <w:b/>
          <w:sz w:val="36"/>
          <w:szCs w:val="36"/>
        </w:rPr>
        <w:t xml:space="preserve">Data and </w:t>
      </w:r>
      <w:r w:rsidR="003D6D1A" w:rsidRPr="00566BF3">
        <w:rPr>
          <w:rFonts w:ascii="Times New Roman" w:hAnsi="Times New Roman" w:cs="Times New Roman"/>
          <w:b/>
          <w:sz w:val="36"/>
          <w:szCs w:val="36"/>
        </w:rPr>
        <w:t>Methodology</w:t>
      </w:r>
      <w:bookmarkEnd w:id="49"/>
      <w:bookmarkEnd w:id="50"/>
    </w:p>
    <w:p w:rsidR="00E47CAD" w:rsidRPr="00566BF3" w:rsidRDefault="003D6D1A" w:rsidP="00A02570">
      <w:pPr>
        <w:pStyle w:val="ListParagraph"/>
        <w:spacing w:line="360" w:lineRule="auto"/>
        <w:jc w:val="both"/>
        <w:outlineLvl w:val="0"/>
        <w:rPr>
          <w:rFonts w:ascii="Times New Roman" w:hAnsi="Times New Roman" w:cs="Times New Roman"/>
          <w:b/>
          <w:sz w:val="36"/>
          <w:szCs w:val="36"/>
        </w:rPr>
      </w:pPr>
      <w:r w:rsidRPr="00566BF3">
        <w:rPr>
          <w:rFonts w:ascii="Times New Roman" w:hAnsi="Times New Roman" w:cs="Times New Roman"/>
          <w:b/>
          <w:sz w:val="36"/>
          <w:szCs w:val="36"/>
        </w:rPr>
        <w:t xml:space="preserve"> </w:t>
      </w:r>
    </w:p>
    <w:p w:rsidR="00D11818" w:rsidRDefault="0099589E" w:rsidP="00A02570">
      <w:pPr>
        <w:spacing w:line="360" w:lineRule="auto"/>
        <w:jc w:val="both"/>
        <w:rPr>
          <w:rFonts w:ascii="Times New Roman" w:hAnsi="Times New Roman" w:cs="Times New Roman"/>
          <w:sz w:val="24"/>
        </w:rPr>
      </w:pPr>
      <w:r w:rsidRPr="00566BF3">
        <w:rPr>
          <w:rFonts w:ascii="Times New Roman" w:hAnsi="Times New Roman" w:cs="Times New Roman"/>
          <w:sz w:val="24"/>
        </w:rPr>
        <w:t xml:space="preserve">The data is </w:t>
      </w:r>
      <w:r w:rsidR="008C2909">
        <w:rPr>
          <w:rFonts w:ascii="Times New Roman" w:hAnsi="Times New Roman" w:cs="Times New Roman"/>
          <w:sz w:val="24"/>
        </w:rPr>
        <w:t>obtained</w:t>
      </w:r>
      <w:r w:rsidRPr="00566BF3">
        <w:rPr>
          <w:rFonts w:ascii="Times New Roman" w:hAnsi="Times New Roman" w:cs="Times New Roman"/>
          <w:sz w:val="24"/>
        </w:rPr>
        <w:t xml:space="preserve"> from </w:t>
      </w:r>
      <w:r w:rsidR="00B87EE3">
        <w:rPr>
          <w:rFonts w:ascii="Times New Roman" w:hAnsi="Times New Roman" w:cs="Times New Roman"/>
          <w:sz w:val="24"/>
        </w:rPr>
        <w:t xml:space="preserve">FinData@Wits </w:t>
      </w:r>
      <w:r w:rsidR="004678D8">
        <w:rPr>
          <w:rFonts w:ascii="Times New Roman" w:hAnsi="Times New Roman" w:cs="Times New Roman"/>
          <w:sz w:val="24"/>
        </w:rPr>
        <w:t>for the period August 1990 to June 2009.</w:t>
      </w:r>
      <w:r w:rsidR="00B772AF" w:rsidRPr="00566BF3">
        <w:rPr>
          <w:rFonts w:ascii="Times New Roman" w:hAnsi="Times New Roman" w:cs="Times New Roman"/>
          <w:sz w:val="24"/>
        </w:rPr>
        <w:t xml:space="preserve"> </w:t>
      </w:r>
      <w:r w:rsidR="004678D8" w:rsidRPr="00566BF3">
        <w:rPr>
          <w:rFonts w:ascii="Times New Roman" w:hAnsi="Times New Roman" w:cs="Times New Roman"/>
          <w:sz w:val="24"/>
        </w:rPr>
        <w:t>Any</w:t>
      </w:r>
      <w:r w:rsidR="00B772AF" w:rsidRPr="00566BF3">
        <w:rPr>
          <w:rFonts w:ascii="Times New Roman" w:hAnsi="Times New Roman" w:cs="Times New Roman"/>
          <w:sz w:val="24"/>
        </w:rPr>
        <w:t xml:space="preserve"> additional data that is required for this study is obtained from</w:t>
      </w:r>
      <w:r w:rsidRPr="00566BF3">
        <w:rPr>
          <w:rFonts w:ascii="Times New Roman" w:hAnsi="Times New Roman" w:cs="Times New Roman"/>
          <w:sz w:val="24"/>
        </w:rPr>
        <w:t xml:space="preserve"> </w:t>
      </w:r>
      <w:r w:rsidR="00B772AF" w:rsidRPr="00566BF3">
        <w:rPr>
          <w:rFonts w:ascii="Times New Roman" w:hAnsi="Times New Roman" w:cs="Times New Roman"/>
          <w:sz w:val="24"/>
        </w:rPr>
        <w:t>I</w:t>
      </w:r>
      <w:r w:rsidR="00EC5119">
        <w:rPr>
          <w:rFonts w:ascii="Times New Roman" w:hAnsi="Times New Roman" w:cs="Times New Roman"/>
          <w:sz w:val="24"/>
        </w:rPr>
        <w:t>-</w:t>
      </w:r>
      <w:r w:rsidR="00B772AF" w:rsidRPr="00566BF3">
        <w:rPr>
          <w:rFonts w:ascii="Times New Roman" w:hAnsi="Times New Roman" w:cs="Times New Roman"/>
          <w:sz w:val="24"/>
        </w:rPr>
        <w:t>Net</w:t>
      </w:r>
      <w:r w:rsidR="00EC5119">
        <w:rPr>
          <w:rFonts w:ascii="Times New Roman" w:hAnsi="Times New Roman" w:cs="Times New Roman"/>
          <w:sz w:val="24"/>
        </w:rPr>
        <w:t xml:space="preserve"> Bridge</w:t>
      </w:r>
      <w:r w:rsidR="00B772AF" w:rsidRPr="00566BF3">
        <w:rPr>
          <w:rFonts w:ascii="Times New Roman" w:hAnsi="Times New Roman" w:cs="Times New Roman"/>
          <w:sz w:val="24"/>
        </w:rPr>
        <w:t xml:space="preserve"> and McGregor BFA.</w:t>
      </w:r>
      <w:r w:rsidR="00B87EE3">
        <w:rPr>
          <w:rFonts w:ascii="Times New Roman" w:hAnsi="Times New Roman" w:cs="Times New Roman"/>
          <w:sz w:val="24"/>
        </w:rPr>
        <w:t xml:space="preserve"> </w:t>
      </w:r>
      <w:r w:rsidR="00B706DE">
        <w:rPr>
          <w:rFonts w:ascii="Times New Roman" w:hAnsi="Times New Roman" w:cs="Times New Roman"/>
          <w:sz w:val="24"/>
        </w:rPr>
        <w:t xml:space="preserve">The choice of August as the portfolio formation month is </w:t>
      </w:r>
      <w:r w:rsidR="00EC5119">
        <w:rPr>
          <w:rFonts w:ascii="Times New Roman" w:hAnsi="Times New Roman" w:cs="Times New Roman"/>
          <w:sz w:val="24"/>
        </w:rPr>
        <w:t>not</w:t>
      </w:r>
      <w:r w:rsidR="00B706DE">
        <w:rPr>
          <w:rFonts w:ascii="Times New Roman" w:hAnsi="Times New Roman" w:cs="Times New Roman"/>
          <w:sz w:val="24"/>
        </w:rPr>
        <w:t xml:space="preserve"> arbitrary. </w:t>
      </w:r>
      <w:r w:rsidR="00EC5119">
        <w:rPr>
          <w:rFonts w:ascii="Times New Roman" w:hAnsi="Times New Roman" w:cs="Times New Roman"/>
          <w:sz w:val="24"/>
        </w:rPr>
        <w:t>Data available on I-Net Bridge begins at the end of 1987. When</w:t>
      </w:r>
      <w:r w:rsidR="00B706DE">
        <w:rPr>
          <w:rFonts w:ascii="Times New Roman" w:hAnsi="Times New Roman" w:cs="Times New Roman"/>
          <w:sz w:val="24"/>
        </w:rPr>
        <w:t xml:space="preserve"> tests are performed it is found a sufficient number of stocks for a portfolio </w:t>
      </w:r>
      <w:r w:rsidR="00E22286">
        <w:rPr>
          <w:rFonts w:ascii="Times New Roman" w:hAnsi="Times New Roman" w:cs="Times New Roman"/>
          <w:sz w:val="24"/>
        </w:rPr>
        <w:t>fall</w:t>
      </w:r>
      <w:r w:rsidR="00B706DE">
        <w:rPr>
          <w:rFonts w:ascii="Times New Roman" w:hAnsi="Times New Roman" w:cs="Times New Roman"/>
          <w:sz w:val="24"/>
        </w:rPr>
        <w:t xml:space="preserve"> in the month of August 199</w:t>
      </w:r>
      <w:r w:rsidR="00B87EE3">
        <w:rPr>
          <w:rFonts w:ascii="Times New Roman" w:hAnsi="Times New Roman" w:cs="Times New Roman"/>
          <w:sz w:val="24"/>
        </w:rPr>
        <w:t>0</w:t>
      </w:r>
      <w:r w:rsidR="00B706DE">
        <w:rPr>
          <w:rFonts w:ascii="Times New Roman" w:hAnsi="Times New Roman" w:cs="Times New Roman"/>
          <w:sz w:val="24"/>
        </w:rPr>
        <w:t>.</w:t>
      </w:r>
      <w:r w:rsidR="00B87EE3">
        <w:rPr>
          <w:rFonts w:ascii="Times New Roman" w:hAnsi="Times New Roman" w:cs="Times New Roman"/>
          <w:sz w:val="24"/>
        </w:rPr>
        <w:t xml:space="preserve"> Prior to August</w:t>
      </w:r>
      <w:r w:rsidR="00B706DE">
        <w:rPr>
          <w:rFonts w:ascii="Times New Roman" w:hAnsi="Times New Roman" w:cs="Times New Roman"/>
          <w:sz w:val="24"/>
        </w:rPr>
        <w:t xml:space="preserve"> </w:t>
      </w:r>
      <w:r w:rsidR="00B87EE3">
        <w:rPr>
          <w:rFonts w:ascii="Times New Roman" w:hAnsi="Times New Roman" w:cs="Times New Roman"/>
          <w:sz w:val="24"/>
        </w:rPr>
        <w:t xml:space="preserve">1990 data for variables such as the market </w:t>
      </w:r>
      <w:r w:rsidR="00610C8D">
        <w:rPr>
          <w:rFonts w:ascii="Times New Roman" w:hAnsi="Times New Roman" w:cs="Times New Roman"/>
          <w:sz w:val="24"/>
        </w:rPr>
        <w:t>capitalisation</w:t>
      </w:r>
      <w:r w:rsidR="00B87EE3">
        <w:rPr>
          <w:rFonts w:ascii="Times New Roman" w:hAnsi="Times New Roman" w:cs="Times New Roman"/>
          <w:sz w:val="24"/>
        </w:rPr>
        <w:t xml:space="preserve"> and book-to-market ratio were few and far between. When tests were conducted to determine how many stocks would be included in each portfolio it was found to be 84 stocks for August 1990. The test performed determined how many stocks had information on the book-to-market ratio (84), how many stocks had information on the market </w:t>
      </w:r>
      <w:r w:rsidR="00610C8D">
        <w:rPr>
          <w:rFonts w:ascii="Times New Roman" w:hAnsi="Times New Roman" w:cs="Times New Roman"/>
          <w:sz w:val="24"/>
        </w:rPr>
        <w:t>capitalisation</w:t>
      </w:r>
      <w:r w:rsidR="00B87EE3">
        <w:rPr>
          <w:rFonts w:ascii="Times New Roman" w:hAnsi="Times New Roman" w:cs="Times New Roman"/>
          <w:sz w:val="24"/>
        </w:rPr>
        <w:t xml:space="preserve"> (690) and how many </w:t>
      </w:r>
      <w:r w:rsidR="00B75A8B">
        <w:rPr>
          <w:rFonts w:ascii="Times New Roman" w:hAnsi="Times New Roman" w:cs="Times New Roman"/>
          <w:sz w:val="24"/>
        </w:rPr>
        <w:t xml:space="preserve">stocks </w:t>
      </w:r>
      <w:r w:rsidR="00B87EE3">
        <w:rPr>
          <w:rFonts w:ascii="Times New Roman" w:hAnsi="Times New Roman" w:cs="Times New Roman"/>
          <w:sz w:val="24"/>
        </w:rPr>
        <w:t xml:space="preserve">had information on the total shareholder return (1292). The result is that in this month only 84 firms can be used in portfolio creation as </w:t>
      </w:r>
      <w:r w:rsidR="008C2909">
        <w:rPr>
          <w:rFonts w:ascii="Times New Roman" w:hAnsi="Times New Roman" w:cs="Times New Roman"/>
          <w:sz w:val="24"/>
        </w:rPr>
        <w:t>the book-to-market ratio has the least amount of information in the database so dictates the number of stocks to use.</w:t>
      </w:r>
      <w:r w:rsidR="00B87EE3">
        <w:rPr>
          <w:rFonts w:ascii="Times New Roman" w:hAnsi="Times New Roman" w:cs="Times New Roman"/>
          <w:sz w:val="24"/>
        </w:rPr>
        <w:t xml:space="preserve"> Therefore, August 1990 becomes the starting date for the formation of the market </w:t>
      </w:r>
      <w:r w:rsidR="00610C8D">
        <w:rPr>
          <w:rFonts w:ascii="Times New Roman" w:hAnsi="Times New Roman" w:cs="Times New Roman"/>
          <w:sz w:val="24"/>
        </w:rPr>
        <w:t>capitalisation</w:t>
      </w:r>
      <w:r w:rsidR="00B87EE3">
        <w:rPr>
          <w:rFonts w:ascii="Times New Roman" w:hAnsi="Times New Roman" w:cs="Times New Roman"/>
          <w:sz w:val="24"/>
        </w:rPr>
        <w:t xml:space="preserve">, book-to-market, earnings-to-price, </w:t>
      </w:r>
      <w:r w:rsidR="00923C6D">
        <w:rPr>
          <w:rFonts w:ascii="Times New Roman" w:hAnsi="Times New Roman" w:cs="Times New Roman"/>
          <w:sz w:val="24"/>
        </w:rPr>
        <w:t xml:space="preserve">cash flow-to-price, </w:t>
      </w:r>
      <w:r w:rsidR="00B87EE3">
        <w:rPr>
          <w:rFonts w:ascii="Times New Roman" w:hAnsi="Times New Roman" w:cs="Times New Roman"/>
          <w:sz w:val="24"/>
        </w:rPr>
        <w:t xml:space="preserve">and dividend-to-price variables. These </w:t>
      </w:r>
      <w:r w:rsidR="00923C6D">
        <w:rPr>
          <w:rFonts w:ascii="Times New Roman" w:hAnsi="Times New Roman" w:cs="Times New Roman"/>
          <w:sz w:val="24"/>
        </w:rPr>
        <w:t>five</w:t>
      </w:r>
      <w:r w:rsidR="00B87EE3">
        <w:rPr>
          <w:rFonts w:ascii="Times New Roman" w:hAnsi="Times New Roman" w:cs="Times New Roman"/>
          <w:sz w:val="24"/>
        </w:rPr>
        <w:t xml:space="preserve"> variables make up the single sorted independent variables of the study. </w:t>
      </w:r>
    </w:p>
    <w:p w:rsidR="00EC5119" w:rsidRDefault="00EC5119" w:rsidP="00A02570">
      <w:pPr>
        <w:spacing w:line="360" w:lineRule="auto"/>
        <w:jc w:val="both"/>
        <w:rPr>
          <w:rFonts w:ascii="Times New Roman" w:hAnsi="Times New Roman" w:cs="Times New Roman"/>
          <w:sz w:val="24"/>
        </w:rPr>
      </w:pPr>
    </w:p>
    <w:p w:rsidR="00472D33" w:rsidRDefault="00472D33" w:rsidP="00A02570">
      <w:pPr>
        <w:spacing w:line="360" w:lineRule="auto"/>
        <w:jc w:val="both"/>
        <w:rPr>
          <w:rFonts w:ascii="Times New Roman" w:hAnsi="Times New Roman" w:cs="Times New Roman"/>
          <w:sz w:val="24"/>
        </w:rPr>
      </w:pPr>
      <w:r>
        <w:rPr>
          <w:rFonts w:ascii="Times New Roman" w:hAnsi="Times New Roman" w:cs="Times New Roman"/>
          <w:sz w:val="24"/>
        </w:rPr>
        <w:t xml:space="preserve">It is already established that portfolios of shares are constructed on 31August of each year. Monthly returns for each portfolio are calculated, and the results between these portfolios are compared on both a risk-adjusted basis and a risk-unadjusted basis. The risk-adjusted basis includes looking at the Sharpe and Treynor measures for the portfolios. The total monthly </w:t>
      </w:r>
      <w:r w:rsidR="00F55D66">
        <w:rPr>
          <w:rFonts w:ascii="Times New Roman" w:hAnsi="Times New Roman" w:cs="Times New Roman"/>
          <w:sz w:val="24"/>
        </w:rPr>
        <w:t xml:space="preserve">excess </w:t>
      </w:r>
      <w:r>
        <w:rPr>
          <w:rFonts w:ascii="Times New Roman" w:hAnsi="Times New Roman" w:cs="Times New Roman"/>
          <w:sz w:val="24"/>
        </w:rPr>
        <w:t>return is calculated for each portfolio over the sampl</w:t>
      </w:r>
      <w:r w:rsidR="00473CF6">
        <w:rPr>
          <w:rFonts w:ascii="Times New Roman" w:hAnsi="Times New Roman" w:cs="Times New Roman"/>
          <w:sz w:val="24"/>
        </w:rPr>
        <w:t>e</w:t>
      </w:r>
      <w:r>
        <w:rPr>
          <w:rFonts w:ascii="Times New Roman" w:hAnsi="Times New Roman" w:cs="Times New Roman"/>
          <w:sz w:val="24"/>
        </w:rPr>
        <w:t xml:space="preserve"> period using a continuously </w:t>
      </w:r>
      <w:r>
        <w:rPr>
          <w:rFonts w:ascii="Times New Roman" w:hAnsi="Times New Roman" w:cs="Times New Roman"/>
          <w:sz w:val="24"/>
        </w:rPr>
        <w:lastRenderedPageBreak/>
        <w:t xml:space="preserve">compounded rate of return. Dividends are included in the return calculation. Excess monthly returns are calculated by subtracting the monthly risk-free rate, which is the 3 month </w:t>
      </w:r>
      <w:r w:rsidR="00BE464E">
        <w:rPr>
          <w:rFonts w:ascii="Times New Roman" w:hAnsi="Times New Roman" w:cs="Times New Roman"/>
          <w:sz w:val="24"/>
        </w:rPr>
        <w:t>B</w:t>
      </w:r>
      <w:r>
        <w:rPr>
          <w:rFonts w:ascii="Times New Roman" w:hAnsi="Times New Roman" w:cs="Times New Roman"/>
          <w:sz w:val="24"/>
        </w:rPr>
        <w:t xml:space="preserve">anker’s </w:t>
      </w:r>
      <w:r w:rsidR="00BE464E">
        <w:rPr>
          <w:rFonts w:ascii="Times New Roman" w:hAnsi="Times New Roman" w:cs="Times New Roman"/>
          <w:sz w:val="24"/>
        </w:rPr>
        <w:t>A</w:t>
      </w:r>
      <w:r>
        <w:rPr>
          <w:rFonts w:ascii="Times New Roman" w:hAnsi="Times New Roman" w:cs="Times New Roman"/>
          <w:sz w:val="24"/>
        </w:rPr>
        <w:t xml:space="preserve">cceptance rate. </w:t>
      </w:r>
      <w:r w:rsidR="00473CF6">
        <w:rPr>
          <w:rFonts w:ascii="Times New Roman" w:hAnsi="Times New Roman" w:cs="Times New Roman"/>
          <w:sz w:val="24"/>
        </w:rPr>
        <w:t xml:space="preserve">This is in line with Graham and Uliana </w:t>
      </w:r>
      <w:r w:rsidR="00BE464E">
        <w:rPr>
          <w:rFonts w:ascii="Times New Roman" w:hAnsi="Times New Roman" w:cs="Times New Roman"/>
          <w:sz w:val="24"/>
        </w:rPr>
        <w:t>(2001) who also use the 90 day Banker’s A</w:t>
      </w:r>
      <w:r w:rsidR="00473CF6">
        <w:rPr>
          <w:rFonts w:ascii="Times New Roman" w:hAnsi="Times New Roman" w:cs="Times New Roman"/>
          <w:sz w:val="24"/>
        </w:rPr>
        <w:t>cceptance rate as a proxy for the risk free rate in their study of the JSE.</w:t>
      </w:r>
      <w:r w:rsidR="00BE464E">
        <w:rPr>
          <w:rFonts w:ascii="Times New Roman" w:hAnsi="Times New Roman" w:cs="Times New Roman"/>
          <w:sz w:val="24"/>
        </w:rPr>
        <w:t xml:space="preserve"> The authors note that the 90 day Banker’s Acceptance rate is a good proxy to use as it is more liquid than other South African risk-free rate proxies.</w:t>
      </w:r>
      <w:r w:rsidR="00473CF6">
        <w:rPr>
          <w:rFonts w:ascii="Times New Roman" w:hAnsi="Times New Roman" w:cs="Times New Roman"/>
          <w:sz w:val="24"/>
        </w:rPr>
        <w:t xml:space="preserve"> </w:t>
      </w:r>
      <w:r>
        <w:rPr>
          <w:rFonts w:ascii="Times New Roman" w:hAnsi="Times New Roman" w:cs="Times New Roman"/>
          <w:sz w:val="24"/>
        </w:rPr>
        <w:t>The mean monthly excess returns</w:t>
      </w:r>
      <w:r w:rsidR="00F55D66">
        <w:rPr>
          <w:rFonts w:ascii="Times New Roman" w:hAnsi="Times New Roman" w:cs="Times New Roman"/>
          <w:sz w:val="24"/>
        </w:rPr>
        <w:t xml:space="preserve"> for the portfolios</w:t>
      </w:r>
      <w:r>
        <w:rPr>
          <w:rFonts w:ascii="Times New Roman" w:hAnsi="Times New Roman" w:cs="Times New Roman"/>
          <w:sz w:val="24"/>
        </w:rPr>
        <w:t xml:space="preserve"> are calculated as follows:</w:t>
      </w:r>
    </w:p>
    <w:p w:rsidR="005B611B" w:rsidRDefault="005B611B" w:rsidP="00A02570">
      <w:pPr>
        <w:spacing w:line="360" w:lineRule="auto"/>
        <w:jc w:val="both"/>
        <w:rPr>
          <w:rFonts w:ascii="Times New Roman" w:hAnsi="Times New Roman" w:cs="Times New Roman"/>
          <w:sz w:val="24"/>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1168"/>
        <w:gridCol w:w="6810"/>
        <w:gridCol w:w="1264"/>
      </w:tblGrid>
      <w:tr w:rsidR="00F938AE" w:rsidTr="002E30C5">
        <w:tc>
          <w:tcPr>
            <w:tcW w:w="600" w:type="pct"/>
          </w:tcPr>
          <w:p w:rsidR="00F938AE" w:rsidRDefault="00F938AE" w:rsidP="00A02570">
            <w:pPr>
              <w:spacing w:line="360" w:lineRule="auto"/>
              <w:jc w:val="both"/>
              <w:rPr>
                <w:rFonts w:ascii="Times New Roman" w:hAnsi="Times New Roman" w:cs="Times New Roman"/>
                <w:sz w:val="24"/>
              </w:rPr>
            </w:pPr>
          </w:p>
        </w:tc>
        <w:tc>
          <w:tcPr>
            <w:tcW w:w="3500" w:type="pct"/>
            <w:vAlign w:val="center"/>
          </w:tcPr>
          <w:p w:rsidR="008B084D" w:rsidRDefault="000963F3" w:rsidP="008B084D">
            <w:pPr>
              <w:spacing w:line="360" w:lineRule="auto"/>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pi</m:t>
                    </m:r>
                  </m:sub>
                </m:sSub>
                <m:r>
                  <w:rPr>
                    <w:rFonts w:ascii="Cambria Math" w:hAnsi="Cambria Math" w:cs="Times New Roman"/>
                    <w:sz w:val="24"/>
                  </w:rPr>
                  <m:t>=</m:t>
                </m:r>
                <m:f>
                  <m:fPr>
                    <m:type m:val="skw"/>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i,j,t</m:t>
                        </m:r>
                      </m:sub>
                    </m:sSub>
                  </m:num>
                  <m:den>
                    <m:r>
                      <w:rPr>
                        <w:rFonts w:ascii="Cambria Math" w:hAnsi="Cambria Math" w:cs="Times New Roman"/>
                        <w:sz w:val="24"/>
                      </w:rPr>
                      <m:t>N</m:t>
                    </m:r>
                  </m:den>
                </m:f>
              </m:oMath>
            </m:oMathPara>
          </w:p>
        </w:tc>
        <w:tc>
          <w:tcPr>
            <w:tcW w:w="650" w:type="pct"/>
            <w:vAlign w:val="center"/>
          </w:tcPr>
          <w:p w:rsidR="008B084D" w:rsidRDefault="002E30C5" w:rsidP="00FE4B4D">
            <w:pPr>
              <w:spacing w:line="360" w:lineRule="auto"/>
              <w:jc w:val="center"/>
              <w:rPr>
                <w:rFonts w:ascii="Times New Roman" w:hAnsi="Times New Roman" w:cs="Times New Roman"/>
                <w:sz w:val="24"/>
              </w:rPr>
            </w:pPr>
            <w:r>
              <w:rPr>
                <w:rFonts w:ascii="Times New Roman" w:hAnsi="Times New Roman" w:cs="Times New Roman"/>
                <w:sz w:val="24"/>
              </w:rPr>
              <w:t>(</w:t>
            </w:r>
            <w:r w:rsidR="00FE4B4D">
              <w:rPr>
                <w:rFonts w:ascii="Times New Roman" w:hAnsi="Times New Roman" w:cs="Times New Roman"/>
                <w:sz w:val="24"/>
              </w:rPr>
              <w:t>19</w:t>
            </w:r>
            <w:r>
              <w:rPr>
                <w:rFonts w:ascii="Times New Roman" w:hAnsi="Times New Roman" w:cs="Times New Roman"/>
                <w:sz w:val="24"/>
              </w:rPr>
              <w:t>)</w:t>
            </w:r>
          </w:p>
        </w:tc>
      </w:tr>
    </w:tbl>
    <w:p w:rsidR="00472D33" w:rsidRDefault="00472D33" w:rsidP="00A02570">
      <w:pPr>
        <w:spacing w:line="360" w:lineRule="auto"/>
        <w:jc w:val="both"/>
        <w:rPr>
          <w:rFonts w:ascii="Times New Roman" w:hAnsi="Times New Roman" w:cs="Times New Roman"/>
          <w:sz w:val="24"/>
        </w:rPr>
      </w:pPr>
    </w:p>
    <w:p w:rsidR="00472D33" w:rsidRDefault="00472D33" w:rsidP="00A02570">
      <w:pPr>
        <w:spacing w:line="360" w:lineRule="auto"/>
        <w:jc w:val="both"/>
        <w:rPr>
          <w:rFonts w:ascii="Times New Roman" w:hAnsi="Times New Roman" w:cs="Times New Roman"/>
          <w:sz w:val="24"/>
        </w:rPr>
      </w:pPr>
      <w:r>
        <w:rPr>
          <w:rFonts w:ascii="Times New Roman" w:hAnsi="Times New Roman" w:cs="Times New Roman"/>
          <w:sz w:val="24"/>
        </w:rPr>
        <w:t>Where:</w:t>
      </w:r>
      <w:r>
        <w:rPr>
          <w:rFonts w:ascii="Times New Roman" w:hAnsi="Times New Roman" w:cs="Times New Roman"/>
          <w:sz w:val="24"/>
        </w:rPr>
        <w:tab/>
      </w:r>
      <w:r>
        <w:rPr>
          <w:rFonts w:ascii="Times New Roman" w:hAnsi="Times New Roman" w:cs="Times New Roman"/>
          <w:sz w:val="24"/>
        </w:rPr>
        <w:tab/>
        <w:t>R</w:t>
      </w:r>
      <w:r>
        <w:rPr>
          <w:rFonts w:ascii="Times New Roman" w:hAnsi="Times New Roman" w:cs="Times New Roman"/>
          <w:sz w:val="24"/>
          <w:vertAlign w:val="subscript"/>
        </w:rPr>
        <w:t xml:space="preserve">pi </w:t>
      </w:r>
      <w:r>
        <w:rPr>
          <w:rFonts w:ascii="Times New Roman" w:hAnsi="Times New Roman" w:cs="Times New Roman"/>
          <w:sz w:val="24"/>
        </w:rPr>
        <w:t xml:space="preserve">= mean monthly excess return on portfolio i  </w:t>
      </w:r>
    </w:p>
    <w:p w:rsidR="008B084D" w:rsidRDefault="00472D33" w:rsidP="008B084D">
      <w:pPr>
        <w:spacing w:line="360" w:lineRule="auto"/>
        <w:ind w:left="720" w:firstLine="720"/>
        <w:jc w:val="both"/>
        <w:rPr>
          <w:rFonts w:ascii="Times New Roman" w:hAnsi="Times New Roman" w:cs="Times New Roman"/>
          <w:sz w:val="24"/>
        </w:rPr>
      </w:pPr>
      <w:r>
        <w:rPr>
          <w:rFonts w:ascii="Times New Roman" w:hAnsi="Times New Roman" w:cs="Times New Roman"/>
          <w:sz w:val="24"/>
        </w:rPr>
        <w:t>R</w:t>
      </w:r>
      <w:r>
        <w:rPr>
          <w:rFonts w:ascii="Times New Roman" w:hAnsi="Times New Roman" w:cs="Times New Roman"/>
          <w:sz w:val="24"/>
          <w:vertAlign w:val="subscript"/>
        </w:rPr>
        <w:t>pi</w:t>
      </w:r>
      <w:r>
        <w:rPr>
          <w:rFonts w:ascii="Times New Roman" w:hAnsi="Times New Roman" w:cs="Times New Roman"/>
          <w:sz w:val="24"/>
        </w:rPr>
        <w:t xml:space="preserve"> = Return for portfolio i at the end of month t for year j </w:t>
      </w:r>
    </w:p>
    <w:p w:rsidR="00472D33" w:rsidRDefault="00472D33" w:rsidP="00A02570">
      <w:pPr>
        <w:spacing w:line="36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N = number of monthly observations</w:t>
      </w:r>
    </w:p>
    <w:p w:rsidR="00CE050C" w:rsidRDefault="00CE050C" w:rsidP="00A02570">
      <w:pPr>
        <w:spacing w:line="360" w:lineRule="auto"/>
        <w:jc w:val="both"/>
        <w:rPr>
          <w:rFonts w:ascii="Times New Roman" w:hAnsi="Times New Roman" w:cs="Times New Roman"/>
          <w:sz w:val="24"/>
        </w:rPr>
      </w:pPr>
    </w:p>
    <w:p w:rsidR="00EC5119" w:rsidRDefault="00EC5119" w:rsidP="00EC5119">
      <w:pPr>
        <w:spacing w:line="360" w:lineRule="auto"/>
        <w:jc w:val="both"/>
        <w:rPr>
          <w:rFonts w:ascii="Times New Roman" w:hAnsi="Times New Roman" w:cs="Times New Roman"/>
          <w:sz w:val="24"/>
          <w:szCs w:val="36"/>
        </w:rPr>
      </w:pPr>
      <w:r w:rsidRPr="00566BF3">
        <w:rPr>
          <w:rFonts w:ascii="Times New Roman" w:hAnsi="Times New Roman" w:cs="Times New Roman"/>
          <w:sz w:val="24"/>
          <w:szCs w:val="36"/>
        </w:rPr>
        <w:t xml:space="preserve">In this </w:t>
      </w:r>
      <w:r>
        <w:rPr>
          <w:rFonts w:ascii="Times New Roman" w:hAnsi="Times New Roman" w:cs="Times New Roman"/>
          <w:sz w:val="24"/>
          <w:szCs w:val="36"/>
        </w:rPr>
        <w:t>dissertation</w:t>
      </w:r>
      <w:r w:rsidRPr="00566BF3">
        <w:rPr>
          <w:rFonts w:ascii="Times New Roman" w:hAnsi="Times New Roman" w:cs="Times New Roman"/>
          <w:sz w:val="24"/>
          <w:szCs w:val="36"/>
        </w:rPr>
        <w:t>, firms may produce preliminary financial statements before their final financial statements. When this is the case only the final financial statements are used as general accounting practi</w:t>
      </w:r>
      <w:r w:rsidR="006660F3">
        <w:rPr>
          <w:rFonts w:ascii="Times New Roman" w:hAnsi="Times New Roman" w:cs="Times New Roman"/>
          <w:sz w:val="24"/>
          <w:szCs w:val="36"/>
        </w:rPr>
        <w:t>c</w:t>
      </w:r>
      <w:r w:rsidRPr="00566BF3">
        <w:rPr>
          <w:rFonts w:ascii="Times New Roman" w:hAnsi="Times New Roman" w:cs="Times New Roman"/>
          <w:sz w:val="24"/>
          <w:szCs w:val="36"/>
        </w:rPr>
        <w:t>e allows for firms to estimate certain future attributes according to past experience.</w:t>
      </w:r>
      <w:r>
        <w:rPr>
          <w:rFonts w:ascii="Times New Roman" w:hAnsi="Times New Roman" w:cs="Times New Roman"/>
          <w:sz w:val="24"/>
          <w:szCs w:val="36"/>
        </w:rPr>
        <w:t xml:space="preserve"> The book-to-market ratio is calculated the book value of equity divided by the market value of equity. Book value is taken from I-Net Bridge, summing item LI05 and BI05, which is “Equity” and “Intangibles: Assets excluded by analyst” respectively. To calculate the market equity,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at the end of the year is multiplied by the price per share at the end of the same year. </w:t>
      </w:r>
      <w:r w:rsidR="00310094">
        <w:rPr>
          <w:rFonts w:ascii="Times New Roman" w:hAnsi="Times New Roman" w:cs="Times New Roman"/>
          <w:sz w:val="24"/>
          <w:szCs w:val="36"/>
        </w:rPr>
        <w:t xml:space="preserve">If a share listed or delisted in a certain year it is given a return of 0% for that specific year. </w:t>
      </w:r>
    </w:p>
    <w:p w:rsidR="00850B73" w:rsidRPr="00566BF3" w:rsidRDefault="00850B73" w:rsidP="00EC5119">
      <w:pPr>
        <w:spacing w:line="360" w:lineRule="auto"/>
        <w:jc w:val="both"/>
        <w:rPr>
          <w:rFonts w:ascii="Times New Roman" w:hAnsi="Times New Roman" w:cs="Times New Roman"/>
          <w:sz w:val="24"/>
          <w:szCs w:val="36"/>
        </w:rPr>
      </w:pPr>
    </w:p>
    <w:p w:rsidR="00850B73" w:rsidRPr="001E52F7" w:rsidRDefault="002E30C5" w:rsidP="00850B73">
      <w:pPr>
        <w:spacing w:line="360" w:lineRule="auto"/>
        <w:jc w:val="both"/>
        <w:rPr>
          <w:rFonts w:ascii="Times New Roman" w:hAnsi="Times New Roman" w:cs="Times New Roman"/>
          <w:sz w:val="24"/>
        </w:rPr>
      </w:pPr>
      <w:r>
        <w:rPr>
          <w:rFonts w:ascii="Times New Roman" w:hAnsi="Times New Roman" w:cs="Times New Roman"/>
          <w:sz w:val="24"/>
        </w:rPr>
        <w:t xml:space="preserve">The value portfolio is defined as having stocks with above median BTM, C/P, E/P, D/P values and below median market </w:t>
      </w:r>
      <w:r w:rsidR="00610C8D">
        <w:rPr>
          <w:rFonts w:ascii="Times New Roman" w:hAnsi="Times New Roman" w:cs="Times New Roman"/>
          <w:sz w:val="24"/>
        </w:rPr>
        <w:t>capitalisation</w:t>
      </w:r>
      <w:r>
        <w:rPr>
          <w:rFonts w:ascii="Times New Roman" w:hAnsi="Times New Roman" w:cs="Times New Roman"/>
          <w:sz w:val="24"/>
        </w:rPr>
        <w:t xml:space="preserve"> value. A growth portfolio is defined as having stocks with below median BTM, C/P, E/P, D/P values and above median market </w:t>
      </w:r>
      <w:r w:rsidR="00610C8D">
        <w:rPr>
          <w:rFonts w:ascii="Times New Roman" w:hAnsi="Times New Roman" w:cs="Times New Roman"/>
          <w:sz w:val="24"/>
        </w:rPr>
        <w:t>capitalisation</w:t>
      </w:r>
      <w:r>
        <w:rPr>
          <w:rFonts w:ascii="Times New Roman" w:hAnsi="Times New Roman" w:cs="Times New Roman"/>
          <w:sz w:val="24"/>
        </w:rPr>
        <w:t xml:space="preserve"> value. Portfolios were initially split into the 25</w:t>
      </w:r>
      <w:r w:rsidR="008B084D" w:rsidRPr="008B084D">
        <w:rPr>
          <w:rFonts w:ascii="Times New Roman" w:hAnsi="Times New Roman" w:cs="Times New Roman"/>
          <w:sz w:val="24"/>
          <w:vertAlign w:val="superscript"/>
        </w:rPr>
        <w:t>th</w:t>
      </w:r>
      <w:r>
        <w:rPr>
          <w:rFonts w:ascii="Times New Roman" w:hAnsi="Times New Roman" w:cs="Times New Roman"/>
          <w:sz w:val="24"/>
        </w:rPr>
        <w:t xml:space="preserve"> and 75</w:t>
      </w:r>
      <w:r w:rsidR="008B084D" w:rsidRPr="008B084D">
        <w:rPr>
          <w:rFonts w:ascii="Times New Roman" w:hAnsi="Times New Roman" w:cs="Times New Roman"/>
          <w:sz w:val="24"/>
          <w:vertAlign w:val="superscript"/>
        </w:rPr>
        <w:t>th</w:t>
      </w:r>
      <w:r>
        <w:rPr>
          <w:rFonts w:ascii="Times New Roman" w:hAnsi="Times New Roman" w:cs="Times New Roman"/>
          <w:sz w:val="24"/>
        </w:rPr>
        <w:t xml:space="preserve"> percentiles. This leads to a major problem of very little data being included in some portfolios when the two-</w:t>
      </w:r>
      <w:r>
        <w:rPr>
          <w:rFonts w:ascii="Times New Roman" w:hAnsi="Times New Roman" w:cs="Times New Roman"/>
          <w:sz w:val="24"/>
        </w:rPr>
        <w:lastRenderedPageBreak/>
        <w:t xml:space="preserve">dimension sort is considered. </w:t>
      </w:r>
      <w:r w:rsidR="00850B73">
        <w:rPr>
          <w:rFonts w:ascii="Times New Roman" w:hAnsi="Times New Roman" w:cs="Times New Roman"/>
          <w:sz w:val="24"/>
        </w:rPr>
        <w:t>The sorting of the stocks into their respective portfolios is b</w:t>
      </w:r>
      <w:r>
        <w:rPr>
          <w:rFonts w:ascii="Times New Roman" w:hAnsi="Times New Roman" w:cs="Times New Roman"/>
          <w:sz w:val="24"/>
        </w:rPr>
        <w:t xml:space="preserve">ased on a 50-50 split. In addition to the small number of stocks in certain portfolios, this 50-50 split is also </w:t>
      </w:r>
      <w:r w:rsidR="00850B73">
        <w:rPr>
          <w:rFonts w:ascii="Times New Roman" w:hAnsi="Times New Roman" w:cs="Times New Roman"/>
          <w:sz w:val="24"/>
        </w:rPr>
        <w:t>due to the fact that the top 40 companies in South Africa make up a substantial part of the All Share Index.</w:t>
      </w:r>
      <w:r w:rsidR="001D5001">
        <w:rPr>
          <w:rFonts w:ascii="Times New Roman" w:hAnsi="Times New Roman" w:cs="Times New Roman"/>
          <w:sz w:val="24"/>
        </w:rPr>
        <w:t xml:space="preserve"> In order to have a representative sample of all types of firms in the portfolios it is better to have a 50-50 split.</w:t>
      </w:r>
      <w:r w:rsidR="00850B73">
        <w:rPr>
          <w:rFonts w:ascii="Times New Roman" w:hAnsi="Times New Roman" w:cs="Times New Roman"/>
          <w:sz w:val="24"/>
        </w:rPr>
        <w:t xml:space="preserve"> As a comparison, i</w:t>
      </w:r>
      <w:r w:rsidR="00850B73" w:rsidRPr="001E52F7">
        <w:rPr>
          <w:rFonts w:ascii="Times New Roman" w:hAnsi="Times New Roman" w:cs="Times New Roman"/>
          <w:sz w:val="24"/>
        </w:rPr>
        <w:t xml:space="preserve">n 2002 the New Zealand stock market constituted 0.4% of world equity, Chin, Prevost, and Gottesman (2002). Somewhat similar to South Africa, the top 40 companies in New Zealand make up roughly 95% of the New Zealand stock market. </w:t>
      </w:r>
      <w:r w:rsidR="00850B73">
        <w:rPr>
          <w:rFonts w:ascii="Times New Roman" w:hAnsi="Times New Roman" w:cs="Times New Roman"/>
          <w:sz w:val="24"/>
        </w:rPr>
        <w:t xml:space="preserve">In 2009 in South Africa, the top 40 companies make up 85% of the All Share Index. </w:t>
      </w:r>
      <w:r w:rsidR="00850B73" w:rsidRPr="001E52F7">
        <w:rPr>
          <w:rFonts w:ascii="Times New Roman" w:hAnsi="Times New Roman" w:cs="Times New Roman"/>
          <w:sz w:val="24"/>
        </w:rPr>
        <w:t>Chin, Prevost, and Gottesman (2002) further explain that most of the stocks on this stock exchange are subject to illiquidity and are not as traded n larger markets such as the US and Japan.</w:t>
      </w:r>
    </w:p>
    <w:p w:rsidR="00D11818" w:rsidRDefault="00D11818" w:rsidP="00A02570">
      <w:pPr>
        <w:spacing w:line="360" w:lineRule="auto"/>
        <w:jc w:val="both"/>
        <w:rPr>
          <w:rFonts w:ascii="Times New Roman" w:hAnsi="Times New Roman" w:cs="Times New Roman"/>
          <w:sz w:val="24"/>
        </w:rPr>
      </w:pPr>
    </w:p>
    <w:p w:rsidR="00231BAF" w:rsidRDefault="008C2909" w:rsidP="00A02570">
      <w:pPr>
        <w:spacing w:line="360" w:lineRule="auto"/>
        <w:jc w:val="both"/>
        <w:rPr>
          <w:rFonts w:ascii="Times New Roman" w:hAnsi="Times New Roman" w:cs="Times New Roman"/>
          <w:sz w:val="24"/>
        </w:rPr>
      </w:pPr>
      <w:r>
        <w:rPr>
          <w:rFonts w:ascii="Times New Roman" w:hAnsi="Times New Roman" w:cs="Times New Roman"/>
          <w:sz w:val="24"/>
        </w:rPr>
        <w:t>To create the book-to-market independent v</w:t>
      </w:r>
      <w:r w:rsidR="00D11818">
        <w:rPr>
          <w:rFonts w:ascii="Times New Roman" w:hAnsi="Times New Roman" w:cs="Times New Roman"/>
          <w:sz w:val="24"/>
        </w:rPr>
        <w:t xml:space="preserve">ariable, the BTM and total shareholder returns are used. For each start date, which is the August of each year, the </w:t>
      </w:r>
      <w:r w:rsidR="00087BA6">
        <w:rPr>
          <w:rFonts w:ascii="Times New Roman" w:hAnsi="Times New Roman" w:cs="Times New Roman"/>
          <w:sz w:val="24"/>
        </w:rPr>
        <w:t xml:space="preserve">monthly </w:t>
      </w:r>
      <w:r w:rsidR="00D11818">
        <w:rPr>
          <w:rFonts w:ascii="Times New Roman" w:hAnsi="Times New Roman" w:cs="Times New Roman"/>
          <w:sz w:val="24"/>
        </w:rPr>
        <w:t>BTM ratios are collected and are split 50-50 into either the high BTM or low BTM portfolio.</w:t>
      </w:r>
      <w:r w:rsidR="00087BA6">
        <w:rPr>
          <w:rFonts w:ascii="Times New Roman" w:hAnsi="Times New Roman" w:cs="Times New Roman"/>
          <w:sz w:val="24"/>
        </w:rPr>
        <w:t xml:space="preserve"> The monthly total shareholder returns are also collected.</w:t>
      </w:r>
      <w:r w:rsidR="00D11818">
        <w:rPr>
          <w:rFonts w:ascii="Times New Roman" w:hAnsi="Times New Roman" w:cs="Times New Roman"/>
          <w:sz w:val="24"/>
        </w:rPr>
        <w:t xml:space="preserve"> </w:t>
      </w:r>
      <w:r w:rsidR="00087BA6">
        <w:rPr>
          <w:rFonts w:ascii="Times New Roman" w:hAnsi="Times New Roman" w:cs="Times New Roman"/>
          <w:sz w:val="24"/>
        </w:rPr>
        <w:t xml:space="preserve">For August 1990 there are 84 firms in total, thus each portfolio consists of 42 firms. </w:t>
      </w:r>
      <w:r w:rsidR="000A2137">
        <w:rPr>
          <w:rFonts w:ascii="Times New Roman" w:hAnsi="Times New Roman" w:cs="Times New Roman"/>
          <w:sz w:val="24"/>
        </w:rPr>
        <w:t xml:space="preserve">Table </w:t>
      </w:r>
      <w:r w:rsidR="008B5BC6">
        <w:rPr>
          <w:rFonts w:ascii="Times New Roman" w:hAnsi="Times New Roman" w:cs="Times New Roman"/>
          <w:sz w:val="24"/>
        </w:rPr>
        <w:t xml:space="preserve">1 </w:t>
      </w:r>
      <w:r w:rsidR="00206FE3" w:rsidRPr="00231BAF">
        <w:rPr>
          <w:rFonts w:ascii="Times New Roman" w:hAnsi="Times New Roman" w:cs="Times New Roman"/>
          <w:sz w:val="24"/>
        </w:rPr>
        <w:t xml:space="preserve">provides the </w:t>
      </w:r>
      <w:r w:rsidR="00206FE3">
        <w:rPr>
          <w:rFonts w:ascii="Times New Roman" w:hAnsi="Times New Roman" w:cs="Times New Roman"/>
          <w:sz w:val="24"/>
        </w:rPr>
        <w:t>statistics for the number of stocks in each of the portfolios.</w:t>
      </w:r>
      <w:r w:rsidR="00087BA6">
        <w:rPr>
          <w:rFonts w:ascii="Times New Roman" w:hAnsi="Times New Roman" w:cs="Times New Roman"/>
          <w:sz w:val="24"/>
        </w:rPr>
        <w:t xml:space="preserve"> If a firm has a BTM ratio</w:t>
      </w:r>
      <w:r w:rsidR="00231BAF">
        <w:rPr>
          <w:rFonts w:ascii="Times New Roman" w:hAnsi="Times New Roman" w:cs="Times New Roman"/>
          <w:sz w:val="24"/>
        </w:rPr>
        <w:t xml:space="preserve"> and a corresponding shareholder return</w:t>
      </w:r>
      <w:r w:rsidR="00087BA6">
        <w:rPr>
          <w:rFonts w:ascii="Times New Roman" w:hAnsi="Times New Roman" w:cs="Times New Roman"/>
          <w:sz w:val="24"/>
        </w:rPr>
        <w:t xml:space="preserve"> in August 1990 then it is included in the selection data. The selection data is the firms that have the relevant information for the relevant period. The total shareholder returns are matched to each of the firms included in the selection data. If a firm’s BTM ratio lies below the 50% BTM mark it </w:t>
      </w:r>
      <w:r w:rsidR="00BC25C1">
        <w:rPr>
          <w:rFonts w:ascii="Times New Roman" w:hAnsi="Times New Roman" w:cs="Times New Roman"/>
          <w:sz w:val="24"/>
        </w:rPr>
        <w:t xml:space="preserve">will be placed in the low BTM portfolios, which is the growth portfolio. The firms with BTM ratios larger than the 50% BTM mark are placed in the value portfolio. The returns are both equally and value weighted for each of the value and growth portfolios. The portfolios are rebalanced annually over a period of 17 years and 11 months. For the BTM ratios, the total </w:t>
      </w:r>
      <w:r w:rsidR="001C4CCA">
        <w:rPr>
          <w:rFonts w:ascii="Times New Roman" w:hAnsi="Times New Roman" w:cs="Times New Roman"/>
          <w:sz w:val="24"/>
        </w:rPr>
        <w:t>number of firms reaches</w:t>
      </w:r>
      <w:r w:rsidR="00BC25C1">
        <w:rPr>
          <w:rFonts w:ascii="Times New Roman" w:hAnsi="Times New Roman" w:cs="Times New Roman"/>
          <w:sz w:val="24"/>
        </w:rPr>
        <w:t xml:space="preserve"> 4190, with an average of 221 firms per portfolio. </w:t>
      </w:r>
      <w:r w:rsidR="00B8621C">
        <w:rPr>
          <w:rFonts w:ascii="Times New Roman" w:hAnsi="Times New Roman" w:cs="Times New Roman"/>
          <w:sz w:val="24"/>
        </w:rPr>
        <w:t xml:space="preserve">The largest number of firms in a particular year occurs in 2000 with 291 firms constituting the BTM portfolios. The smallest is 42 in the first year of portfolio formation. </w:t>
      </w:r>
    </w:p>
    <w:p w:rsidR="00144120" w:rsidRDefault="00144120" w:rsidP="00A02570">
      <w:pPr>
        <w:spacing w:line="360" w:lineRule="auto"/>
        <w:jc w:val="both"/>
        <w:rPr>
          <w:rFonts w:ascii="Times New Roman" w:hAnsi="Times New Roman" w:cs="Times New Roman"/>
          <w:sz w:val="24"/>
        </w:rPr>
      </w:pPr>
    </w:p>
    <w:p w:rsidR="00144120" w:rsidRDefault="00144120" w:rsidP="00A02570">
      <w:pPr>
        <w:spacing w:line="360" w:lineRule="auto"/>
        <w:jc w:val="both"/>
        <w:rPr>
          <w:rFonts w:ascii="Times New Roman" w:hAnsi="Times New Roman" w:cs="Times New Roman"/>
          <w:sz w:val="24"/>
        </w:rPr>
      </w:pPr>
    </w:p>
    <w:p w:rsidR="00144120" w:rsidRPr="00231BAF" w:rsidRDefault="00144120" w:rsidP="00A02570">
      <w:pPr>
        <w:spacing w:line="360" w:lineRule="auto"/>
        <w:jc w:val="both"/>
        <w:rPr>
          <w:rFonts w:ascii="Times New Roman" w:hAnsi="Times New Roman" w:cs="Times New Roman"/>
          <w:sz w:val="24"/>
        </w:rPr>
      </w:pPr>
    </w:p>
    <w:tbl>
      <w:tblPr>
        <w:tblW w:w="10540" w:type="dxa"/>
        <w:tblInd w:w="-745" w:type="dxa"/>
        <w:tblLook w:val="04A0"/>
      </w:tblPr>
      <w:tblGrid>
        <w:gridCol w:w="1318"/>
        <w:gridCol w:w="797"/>
        <w:gridCol w:w="1051"/>
        <w:gridCol w:w="790"/>
        <w:gridCol w:w="1040"/>
        <w:gridCol w:w="797"/>
        <w:gridCol w:w="1051"/>
        <w:gridCol w:w="797"/>
        <w:gridCol w:w="1051"/>
        <w:gridCol w:w="797"/>
        <w:gridCol w:w="1051"/>
      </w:tblGrid>
      <w:tr w:rsidR="008B5BC6" w:rsidRPr="007556E6" w:rsidTr="00EE561B">
        <w:trPr>
          <w:trHeight w:val="315"/>
        </w:trPr>
        <w:tc>
          <w:tcPr>
            <w:tcW w:w="10540" w:type="dxa"/>
            <w:gridSpan w:val="11"/>
            <w:tcBorders>
              <w:top w:val="single" w:sz="8" w:space="0" w:color="auto"/>
              <w:left w:val="single" w:sz="8" w:space="0" w:color="auto"/>
              <w:bottom w:val="nil"/>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sz w:val="24"/>
                <w:szCs w:val="24"/>
              </w:rPr>
            </w:pPr>
            <w:r w:rsidRPr="007556E6">
              <w:rPr>
                <w:rFonts w:ascii="Times New Roman" w:eastAsia="Times New Roman" w:hAnsi="Times New Roman" w:cs="Times New Roman"/>
                <w:b/>
                <w:bCs/>
                <w:color w:val="000000"/>
                <w:sz w:val="24"/>
                <w:szCs w:val="24"/>
              </w:rPr>
              <w:lastRenderedPageBreak/>
              <w:t>Table 1</w:t>
            </w:r>
          </w:p>
        </w:tc>
      </w:tr>
      <w:tr w:rsidR="008B5BC6" w:rsidRPr="007556E6" w:rsidTr="00EE561B">
        <w:trPr>
          <w:trHeight w:val="315"/>
        </w:trPr>
        <w:tc>
          <w:tcPr>
            <w:tcW w:w="10540" w:type="dxa"/>
            <w:gridSpan w:val="11"/>
            <w:tcBorders>
              <w:top w:val="single" w:sz="8" w:space="0" w:color="auto"/>
              <w:left w:val="single" w:sz="8" w:space="0" w:color="auto"/>
              <w:bottom w:val="nil"/>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sz w:val="24"/>
                <w:szCs w:val="24"/>
              </w:rPr>
            </w:pPr>
            <w:r w:rsidRPr="007556E6">
              <w:rPr>
                <w:rFonts w:ascii="Times New Roman" w:eastAsia="Times New Roman" w:hAnsi="Times New Roman" w:cs="Times New Roman"/>
                <w:b/>
                <w:bCs/>
                <w:color w:val="000000"/>
                <w:sz w:val="24"/>
                <w:szCs w:val="24"/>
              </w:rPr>
              <w:t>Portfolio Share Information</w:t>
            </w:r>
          </w:p>
        </w:tc>
      </w:tr>
      <w:tr w:rsidR="008B5BC6" w:rsidRPr="007556E6" w:rsidTr="00EE561B">
        <w:trPr>
          <w:trHeight w:val="315"/>
        </w:trPr>
        <w:tc>
          <w:tcPr>
            <w:tcW w:w="10540" w:type="dxa"/>
            <w:gridSpan w:val="11"/>
            <w:tcBorders>
              <w:top w:val="nil"/>
              <w:left w:val="single" w:sz="8" w:space="0" w:color="auto"/>
              <w:bottom w:val="nil"/>
              <w:right w:val="single" w:sz="8" w:space="0" w:color="000000"/>
            </w:tcBorders>
            <w:shd w:val="clear" w:color="auto" w:fill="auto"/>
            <w:vAlign w:val="bottom"/>
            <w:hideMark/>
          </w:tcPr>
          <w:p w:rsidR="008B5BC6" w:rsidRPr="007556E6" w:rsidRDefault="008B5BC6" w:rsidP="006660F3">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 xml:space="preserve">Number of </w:t>
            </w:r>
            <w:r w:rsidR="006660F3">
              <w:rPr>
                <w:rFonts w:ascii="Times New Roman" w:eastAsia="Times New Roman" w:hAnsi="Times New Roman" w:cs="Times New Roman"/>
                <w:color w:val="000000"/>
                <w:sz w:val="20"/>
                <w:szCs w:val="20"/>
              </w:rPr>
              <w:t>firms</w:t>
            </w:r>
            <w:r w:rsidR="006660F3" w:rsidRPr="007556E6">
              <w:rPr>
                <w:rFonts w:ascii="Times New Roman" w:eastAsia="Times New Roman" w:hAnsi="Times New Roman" w:cs="Times New Roman"/>
                <w:color w:val="000000"/>
                <w:sz w:val="20"/>
                <w:szCs w:val="20"/>
              </w:rPr>
              <w:t xml:space="preserve"> </w:t>
            </w:r>
            <w:r w:rsidRPr="007556E6">
              <w:rPr>
                <w:rFonts w:ascii="Times New Roman" w:eastAsia="Times New Roman" w:hAnsi="Times New Roman" w:cs="Times New Roman"/>
                <w:color w:val="000000"/>
                <w:sz w:val="20"/>
                <w:szCs w:val="20"/>
              </w:rPr>
              <w:t>in the portfolios each year.</w:t>
            </w:r>
          </w:p>
        </w:tc>
      </w:tr>
      <w:tr w:rsidR="008B5BC6" w:rsidRPr="007556E6" w:rsidTr="00EE561B">
        <w:trPr>
          <w:trHeight w:val="315"/>
        </w:trPr>
        <w:tc>
          <w:tcPr>
            <w:tcW w:w="1318" w:type="dxa"/>
            <w:tcBorders>
              <w:top w:val="nil"/>
              <w:left w:val="single" w:sz="8" w:space="0" w:color="auto"/>
              <w:bottom w:val="nil"/>
              <w:right w:val="nil"/>
            </w:tcBorders>
            <w:shd w:val="clear" w:color="auto" w:fill="auto"/>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w:t>
            </w:r>
          </w:p>
        </w:tc>
        <w:tc>
          <w:tcPr>
            <w:tcW w:w="184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DP </w:t>
            </w:r>
          </w:p>
        </w:tc>
        <w:tc>
          <w:tcPr>
            <w:tcW w:w="1830" w:type="dxa"/>
            <w:gridSpan w:val="2"/>
            <w:tcBorders>
              <w:top w:val="single" w:sz="8" w:space="0" w:color="auto"/>
              <w:left w:val="nil"/>
              <w:bottom w:val="single" w:sz="8" w:space="0" w:color="auto"/>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EP</w:t>
            </w:r>
          </w:p>
        </w:tc>
        <w:tc>
          <w:tcPr>
            <w:tcW w:w="1848" w:type="dxa"/>
            <w:gridSpan w:val="2"/>
            <w:tcBorders>
              <w:top w:val="single" w:sz="8" w:space="0" w:color="auto"/>
              <w:left w:val="nil"/>
              <w:bottom w:val="single" w:sz="8" w:space="0" w:color="auto"/>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CP</w:t>
            </w:r>
          </w:p>
        </w:tc>
        <w:tc>
          <w:tcPr>
            <w:tcW w:w="1848" w:type="dxa"/>
            <w:gridSpan w:val="2"/>
            <w:tcBorders>
              <w:top w:val="single" w:sz="8" w:space="0" w:color="auto"/>
              <w:left w:val="nil"/>
              <w:bottom w:val="single" w:sz="8" w:space="0" w:color="auto"/>
              <w:right w:val="nil"/>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BTM</w:t>
            </w:r>
          </w:p>
        </w:tc>
        <w:tc>
          <w:tcPr>
            <w:tcW w:w="1848" w:type="dxa"/>
            <w:gridSpan w:val="2"/>
            <w:tcBorders>
              <w:top w:val="single" w:sz="8" w:space="0" w:color="auto"/>
              <w:left w:val="single" w:sz="8" w:space="0" w:color="auto"/>
              <w:bottom w:val="single" w:sz="8" w:space="0" w:color="auto"/>
              <w:right w:val="single" w:sz="8" w:space="0" w:color="000000"/>
            </w:tcBorders>
            <w:shd w:val="clear" w:color="auto" w:fill="auto"/>
            <w:vAlign w:val="bottom"/>
            <w:hideMark/>
          </w:tcPr>
          <w:p w:rsidR="008B5BC6" w:rsidRPr="007556E6" w:rsidRDefault="008B5BC6" w:rsidP="00EE561B">
            <w:pPr>
              <w:spacing w:after="0" w:line="240" w:lineRule="auto"/>
              <w:jc w:val="center"/>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MCap</w:t>
            </w:r>
          </w:p>
        </w:tc>
      </w:tr>
      <w:tr w:rsidR="008B5BC6" w:rsidRPr="007556E6" w:rsidTr="00EE561B">
        <w:trPr>
          <w:trHeight w:val="315"/>
        </w:trPr>
        <w:tc>
          <w:tcPr>
            <w:tcW w:w="1318" w:type="dxa"/>
            <w:tcBorders>
              <w:top w:val="single" w:sz="4" w:space="0" w:color="auto"/>
              <w:left w:val="single" w:sz="8"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Date</w:t>
            </w:r>
          </w:p>
        </w:tc>
        <w:tc>
          <w:tcPr>
            <w:tcW w:w="797" w:type="dxa"/>
            <w:tcBorders>
              <w:top w:val="single" w:sz="4" w:space="0" w:color="auto"/>
              <w:left w:val="single" w:sz="8"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Value</w:t>
            </w:r>
          </w:p>
        </w:tc>
        <w:tc>
          <w:tcPr>
            <w:tcW w:w="1051"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Growth </w:t>
            </w:r>
          </w:p>
        </w:tc>
        <w:tc>
          <w:tcPr>
            <w:tcW w:w="790" w:type="dxa"/>
            <w:tcBorders>
              <w:top w:val="single" w:sz="4" w:space="0" w:color="auto"/>
              <w:left w:val="nil"/>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Value</w:t>
            </w:r>
          </w:p>
        </w:tc>
        <w:tc>
          <w:tcPr>
            <w:tcW w:w="1040" w:type="dxa"/>
            <w:tcBorders>
              <w:top w:val="single" w:sz="4" w:space="0" w:color="auto"/>
              <w:left w:val="nil"/>
              <w:bottom w:val="single" w:sz="8" w:space="0" w:color="auto"/>
              <w:right w:val="single" w:sz="8"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Growth </w:t>
            </w:r>
          </w:p>
        </w:tc>
        <w:tc>
          <w:tcPr>
            <w:tcW w:w="797" w:type="dxa"/>
            <w:tcBorders>
              <w:top w:val="single" w:sz="4" w:space="0" w:color="auto"/>
              <w:left w:val="single" w:sz="4"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Value</w:t>
            </w:r>
          </w:p>
        </w:tc>
        <w:tc>
          <w:tcPr>
            <w:tcW w:w="1051" w:type="dxa"/>
            <w:tcBorders>
              <w:top w:val="single" w:sz="4" w:space="0" w:color="auto"/>
              <w:left w:val="nil"/>
              <w:bottom w:val="single" w:sz="8" w:space="0" w:color="auto"/>
              <w:right w:val="single" w:sz="8"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Growth </w:t>
            </w:r>
          </w:p>
        </w:tc>
        <w:tc>
          <w:tcPr>
            <w:tcW w:w="797" w:type="dxa"/>
            <w:tcBorders>
              <w:top w:val="single" w:sz="4" w:space="0" w:color="auto"/>
              <w:left w:val="single" w:sz="4"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Value</w:t>
            </w:r>
          </w:p>
        </w:tc>
        <w:tc>
          <w:tcPr>
            <w:tcW w:w="1051" w:type="dxa"/>
            <w:tcBorders>
              <w:top w:val="single" w:sz="4" w:space="0" w:color="auto"/>
              <w:left w:val="nil"/>
              <w:bottom w:val="single" w:sz="8" w:space="0" w:color="auto"/>
              <w:right w:val="single" w:sz="8"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Growth </w:t>
            </w:r>
          </w:p>
        </w:tc>
        <w:tc>
          <w:tcPr>
            <w:tcW w:w="797" w:type="dxa"/>
            <w:tcBorders>
              <w:top w:val="single" w:sz="4" w:space="0" w:color="auto"/>
              <w:left w:val="single" w:sz="4"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Value</w:t>
            </w:r>
          </w:p>
        </w:tc>
        <w:tc>
          <w:tcPr>
            <w:tcW w:w="1051" w:type="dxa"/>
            <w:tcBorders>
              <w:top w:val="single" w:sz="4" w:space="0" w:color="auto"/>
              <w:left w:val="nil"/>
              <w:bottom w:val="single" w:sz="8" w:space="0" w:color="auto"/>
              <w:right w:val="single" w:sz="8"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 xml:space="preserve">Growth </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1990</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345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345</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1991</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88</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88</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276</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336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336</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1992</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167</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167</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277</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306</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1993</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218</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218</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274</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274</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301</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1994</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204</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204</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263</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263</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290</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290</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1995</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257</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264</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264</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297</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1996</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262</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264</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264</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295</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1997</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170</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170</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256</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259</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285</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1998</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243</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243</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247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302</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1999</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141</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141</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251</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255</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323</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323</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2000</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144</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144</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314</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314</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2001</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130</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130</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266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272</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2002</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113</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113</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229</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229</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2003</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107</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107</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198</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198</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2004</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105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105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183</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183</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2005</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96</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96</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164</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164</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164</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164</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165</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165</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165</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2006</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85</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85</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151</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152</w:t>
            </w:r>
          </w:p>
        </w:tc>
      </w:tr>
      <w:tr w:rsidR="008B5BC6" w:rsidRPr="007556E6" w:rsidTr="007556E6">
        <w:trPr>
          <w:trHeight w:val="300"/>
        </w:trPr>
        <w:tc>
          <w:tcPr>
            <w:tcW w:w="1318" w:type="dxa"/>
            <w:tcBorders>
              <w:top w:val="nil"/>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2007</w:t>
            </w:r>
          </w:p>
        </w:tc>
        <w:tc>
          <w:tcPr>
            <w:tcW w:w="797" w:type="dxa"/>
            <w:tcBorders>
              <w:top w:val="nil"/>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73</w:t>
            </w:r>
          </w:p>
        </w:tc>
        <w:tc>
          <w:tcPr>
            <w:tcW w:w="1051" w:type="dxa"/>
            <w:tcBorders>
              <w:top w:val="nil"/>
              <w:left w:val="single" w:sz="4" w:space="0" w:color="auto"/>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73</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136</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136</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137</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137</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137</w:t>
            </w:r>
          </w:p>
        </w:tc>
      </w:tr>
      <w:tr w:rsidR="008B5BC6" w:rsidRPr="007556E6" w:rsidTr="007556E6">
        <w:trPr>
          <w:trHeight w:val="300"/>
        </w:trPr>
        <w:tc>
          <w:tcPr>
            <w:tcW w:w="1318" w:type="dxa"/>
            <w:tcBorders>
              <w:top w:val="nil"/>
              <w:left w:val="single" w:sz="8" w:space="0" w:color="auto"/>
              <w:bottom w:val="single" w:sz="4" w:space="0" w:color="auto"/>
              <w:right w:val="nil"/>
            </w:tcBorders>
            <w:shd w:val="clear" w:color="auto" w:fill="auto"/>
            <w:noWrap/>
            <w:vAlign w:val="bottom"/>
            <w:hideMark/>
          </w:tcPr>
          <w:p w:rsidR="008B5BC6" w:rsidRPr="007556E6" w:rsidRDefault="008B5BC6" w:rsidP="00EE561B">
            <w:pPr>
              <w:spacing w:after="0" w:line="240" w:lineRule="auto"/>
              <w:jc w:val="right"/>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2008</w:t>
            </w:r>
          </w:p>
        </w:tc>
        <w:tc>
          <w:tcPr>
            <w:tcW w:w="797" w:type="dxa"/>
            <w:tcBorders>
              <w:top w:val="nil"/>
              <w:left w:val="single" w:sz="8" w:space="0" w:color="auto"/>
              <w:bottom w:val="single" w:sz="4"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69</w:t>
            </w:r>
          </w:p>
        </w:tc>
        <w:tc>
          <w:tcPr>
            <w:tcW w:w="1051" w:type="dxa"/>
            <w:tcBorders>
              <w:top w:val="nil"/>
              <w:left w:val="single" w:sz="4" w:space="0" w:color="auto"/>
              <w:bottom w:val="single" w:sz="4"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69</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131</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132</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132</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132</w:t>
            </w:r>
          </w:p>
        </w:tc>
      </w:tr>
      <w:tr w:rsidR="008B5BC6" w:rsidRPr="007556E6" w:rsidTr="007556E6">
        <w:trPr>
          <w:trHeight w:val="315"/>
        </w:trPr>
        <w:tc>
          <w:tcPr>
            <w:tcW w:w="1318" w:type="dxa"/>
            <w:tcBorders>
              <w:top w:val="nil"/>
              <w:left w:val="single" w:sz="8" w:space="0" w:color="auto"/>
              <w:bottom w:val="nil"/>
              <w:right w:val="single" w:sz="4" w:space="0" w:color="auto"/>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Total</w:t>
            </w:r>
          </w:p>
        </w:tc>
        <w:tc>
          <w:tcPr>
            <w:tcW w:w="797"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2530</w:t>
            </w:r>
          </w:p>
        </w:tc>
        <w:tc>
          <w:tcPr>
            <w:tcW w:w="1051" w:type="dxa"/>
            <w:tcBorders>
              <w:top w:val="single" w:sz="4" w:space="0" w:color="auto"/>
              <w:left w:val="single" w:sz="4" w:space="0" w:color="auto"/>
              <w:bottom w:val="double" w:sz="4" w:space="0" w:color="auto"/>
              <w:right w:val="single" w:sz="4"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2530</w:t>
            </w:r>
          </w:p>
        </w:tc>
        <w:tc>
          <w:tcPr>
            <w:tcW w:w="790" w:type="dxa"/>
            <w:tcBorders>
              <w:top w:val="single" w:sz="4" w:space="0" w:color="auto"/>
              <w:left w:val="single" w:sz="4" w:space="0" w:color="auto"/>
              <w:bottom w:val="double" w:sz="6"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4146</w:t>
            </w:r>
          </w:p>
        </w:tc>
        <w:tc>
          <w:tcPr>
            <w:tcW w:w="1040" w:type="dxa"/>
            <w:tcBorders>
              <w:top w:val="single" w:sz="4" w:space="0" w:color="auto"/>
              <w:left w:val="nil"/>
              <w:bottom w:val="double" w:sz="6"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4146</w:t>
            </w:r>
          </w:p>
        </w:tc>
        <w:tc>
          <w:tcPr>
            <w:tcW w:w="797" w:type="dxa"/>
            <w:tcBorders>
              <w:top w:val="single" w:sz="4" w:space="0" w:color="auto"/>
              <w:left w:val="single" w:sz="4" w:space="0" w:color="auto"/>
              <w:bottom w:val="double" w:sz="6"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4174</w:t>
            </w:r>
          </w:p>
        </w:tc>
        <w:tc>
          <w:tcPr>
            <w:tcW w:w="1051" w:type="dxa"/>
            <w:tcBorders>
              <w:top w:val="single" w:sz="4" w:space="0" w:color="auto"/>
              <w:left w:val="nil"/>
              <w:bottom w:val="double" w:sz="6"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4174</w:t>
            </w:r>
          </w:p>
        </w:tc>
        <w:tc>
          <w:tcPr>
            <w:tcW w:w="797" w:type="dxa"/>
            <w:tcBorders>
              <w:top w:val="single" w:sz="4" w:space="0" w:color="auto"/>
              <w:left w:val="single" w:sz="4" w:space="0" w:color="auto"/>
              <w:bottom w:val="double" w:sz="6"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4190</w:t>
            </w:r>
          </w:p>
        </w:tc>
        <w:tc>
          <w:tcPr>
            <w:tcW w:w="1051" w:type="dxa"/>
            <w:tcBorders>
              <w:top w:val="single" w:sz="4" w:space="0" w:color="auto"/>
              <w:left w:val="nil"/>
              <w:bottom w:val="double" w:sz="6"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4190</w:t>
            </w:r>
          </w:p>
        </w:tc>
        <w:tc>
          <w:tcPr>
            <w:tcW w:w="797" w:type="dxa"/>
            <w:tcBorders>
              <w:top w:val="single" w:sz="4" w:space="0" w:color="auto"/>
              <w:left w:val="single" w:sz="4" w:space="0" w:color="auto"/>
              <w:bottom w:val="double" w:sz="6"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4862</w:t>
            </w:r>
          </w:p>
        </w:tc>
        <w:tc>
          <w:tcPr>
            <w:tcW w:w="1051" w:type="dxa"/>
            <w:tcBorders>
              <w:top w:val="single" w:sz="4" w:space="0" w:color="auto"/>
              <w:left w:val="nil"/>
              <w:bottom w:val="double" w:sz="6"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4862</w:t>
            </w:r>
          </w:p>
        </w:tc>
      </w:tr>
      <w:tr w:rsidR="008B5BC6" w:rsidRPr="007556E6" w:rsidTr="007556E6">
        <w:trPr>
          <w:trHeight w:val="315"/>
        </w:trPr>
        <w:tc>
          <w:tcPr>
            <w:tcW w:w="1318" w:type="dxa"/>
            <w:tcBorders>
              <w:top w:val="single" w:sz="8" w:space="0" w:color="auto"/>
              <w:left w:val="single" w:sz="8" w:space="0" w:color="auto"/>
              <w:bottom w:val="nil"/>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Average</w:t>
            </w:r>
          </w:p>
        </w:tc>
        <w:tc>
          <w:tcPr>
            <w:tcW w:w="797" w:type="dxa"/>
            <w:tcBorders>
              <w:top w:val="double" w:sz="4" w:space="0" w:color="auto"/>
              <w:left w:val="single" w:sz="8"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133</w:t>
            </w:r>
          </w:p>
        </w:tc>
        <w:tc>
          <w:tcPr>
            <w:tcW w:w="1051" w:type="dxa"/>
            <w:tcBorders>
              <w:top w:val="double" w:sz="4" w:space="0" w:color="auto"/>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133</w:t>
            </w:r>
          </w:p>
        </w:tc>
        <w:tc>
          <w:tcPr>
            <w:tcW w:w="790" w:type="dxa"/>
            <w:tcBorders>
              <w:top w:val="nil"/>
              <w:left w:val="nil"/>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218</w:t>
            </w:r>
          </w:p>
        </w:tc>
        <w:tc>
          <w:tcPr>
            <w:tcW w:w="1040"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218</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220</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220</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221</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221</w:t>
            </w:r>
          </w:p>
        </w:tc>
        <w:tc>
          <w:tcPr>
            <w:tcW w:w="797" w:type="dxa"/>
            <w:tcBorders>
              <w:top w:val="nil"/>
              <w:left w:val="single" w:sz="4" w:space="0" w:color="auto"/>
              <w:bottom w:val="nil"/>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256</w:t>
            </w:r>
          </w:p>
        </w:tc>
        <w:tc>
          <w:tcPr>
            <w:tcW w:w="1051" w:type="dxa"/>
            <w:tcBorders>
              <w:top w:val="nil"/>
              <w:left w:val="nil"/>
              <w:bottom w:val="nil"/>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256</w:t>
            </w:r>
          </w:p>
        </w:tc>
      </w:tr>
      <w:tr w:rsidR="008B5BC6" w:rsidRPr="007556E6" w:rsidTr="007556E6">
        <w:trPr>
          <w:trHeight w:val="315"/>
        </w:trPr>
        <w:tc>
          <w:tcPr>
            <w:tcW w:w="1318" w:type="dxa"/>
            <w:tcBorders>
              <w:top w:val="nil"/>
              <w:left w:val="single" w:sz="8" w:space="0" w:color="auto"/>
              <w:bottom w:val="single" w:sz="8" w:space="0" w:color="auto"/>
              <w:right w:val="nil"/>
            </w:tcBorders>
            <w:shd w:val="clear" w:color="auto" w:fill="auto"/>
            <w:noWrap/>
            <w:vAlign w:val="bottom"/>
            <w:hideMark/>
          </w:tcPr>
          <w:p w:rsidR="008B5BC6" w:rsidRPr="007556E6" w:rsidRDefault="008B5BC6" w:rsidP="00EE561B">
            <w:pPr>
              <w:spacing w:after="0" w:line="240" w:lineRule="auto"/>
              <w:rPr>
                <w:rFonts w:ascii="Times New Roman" w:eastAsia="Times New Roman" w:hAnsi="Times New Roman" w:cs="Times New Roman"/>
                <w:b/>
                <w:bCs/>
                <w:color w:val="000000"/>
              </w:rPr>
            </w:pPr>
            <w:r w:rsidRPr="007556E6">
              <w:rPr>
                <w:rFonts w:ascii="Times New Roman" w:eastAsia="Times New Roman" w:hAnsi="Times New Roman" w:cs="Times New Roman"/>
                <w:b/>
                <w:bCs/>
                <w:color w:val="000000"/>
              </w:rPr>
              <w:t>Median</w:t>
            </w:r>
          </w:p>
        </w:tc>
        <w:tc>
          <w:tcPr>
            <w:tcW w:w="797" w:type="dxa"/>
            <w:tcBorders>
              <w:top w:val="nil"/>
              <w:left w:val="single" w:sz="8" w:space="0" w:color="auto"/>
              <w:bottom w:val="single" w:sz="8"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130</w:t>
            </w:r>
          </w:p>
        </w:tc>
        <w:tc>
          <w:tcPr>
            <w:tcW w:w="1051" w:type="dxa"/>
            <w:tcBorders>
              <w:top w:val="nil"/>
              <w:left w:val="nil"/>
              <w:bottom w:val="single" w:sz="8"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130</w:t>
            </w:r>
          </w:p>
        </w:tc>
        <w:tc>
          <w:tcPr>
            <w:tcW w:w="790" w:type="dxa"/>
            <w:tcBorders>
              <w:top w:val="nil"/>
              <w:left w:val="nil"/>
              <w:bottom w:val="single" w:sz="8"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251</w:t>
            </w:r>
          </w:p>
        </w:tc>
        <w:tc>
          <w:tcPr>
            <w:tcW w:w="1040" w:type="dxa"/>
            <w:tcBorders>
              <w:top w:val="nil"/>
              <w:left w:val="nil"/>
              <w:bottom w:val="single" w:sz="8"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251</w:t>
            </w:r>
          </w:p>
        </w:tc>
        <w:tc>
          <w:tcPr>
            <w:tcW w:w="797" w:type="dxa"/>
            <w:tcBorders>
              <w:top w:val="nil"/>
              <w:left w:val="single" w:sz="4" w:space="0" w:color="auto"/>
              <w:bottom w:val="single" w:sz="8"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w:t>
            </w:r>
          </w:p>
        </w:tc>
        <w:tc>
          <w:tcPr>
            <w:tcW w:w="1051" w:type="dxa"/>
            <w:tcBorders>
              <w:top w:val="nil"/>
              <w:left w:val="nil"/>
              <w:bottom w:val="single" w:sz="8"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253</w:t>
            </w:r>
          </w:p>
        </w:tc>
        <w:tc>
          <w:tcPr>
            <w:tcW w:w="797" w:type="dxa"/>
            <w:tcBorders>
              <w:top w:val="nil"/>
              <w:left w:val="single" w:sz="4" w:space="0" w:color="auto"/>
              <w:bottom w:val="single" w:sz="8"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255</w:t>
            </w:r>
          </w:p>
        </w:tc>
        <w:tc>
          <w:tcPr>
            <w:tcW w:w="1051" w:type="dxa"/>
            <w:tcBorders>
              <w:top w:val="nil"/>
              <w:left w:val="nil"/>
              <w:bottom w:val="single" w:sz="8" w:space="0" w:color="auto"/>
              <w:right w:val="single" w:sz="8" w:space="0" w:color="auto"/>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255</w:t>
            </w:r>
          </w:p>
        </w:tc>
        <w:tc>
          <w:tcPr>
            <w:tcW w:w="797" w:type="dxa"/>
            <w:tcBorders>
              <w:top w:val="nil"/>
              <w:left w:val="single" w:sz="4" w:space="0" w:color="auto"/>
              <w:bottom w:val="single" w:sz="8" w:space="0" w:color="auto"/>
              <w:right w:val="nil"/>
            </w:tcBorders>
            <w:shd w:val="clear" w:color="auto" w:fill="auto"/>
            <w:noWrap/>
            <w:vAlign w:val="center"/>
            <w:hideMark/>
          </w:tcPr>
          <w:p w:rsidR="008B5BC6" w:rsidRPr="007556E6" w:rsidRDefault="008B5BC6" w:rsidP="007556E6">
            <w:pPr>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290</w:t>
            </w:r>
          </w:p>
        </w:tc>
        <w:tc>
          <w:tcPr>
            <w:tcW w:w="1051" w:type="dxa"/>
            <w:tcBorders>
              <w:top w:val="nil"/>
              <w:left w:val="nil"/>
              <w:bottom w:val="single" w:sz="8" w:space="0" w:color="auto"/>
              <w:right w:val="single" w:sz="8" w:space="0" w:color="auto"/>
            </w:tcBorders>
            <w:shd w:val="clear" w:color="auto" w:fill="auto"/>
            <w:noWrap/>
            <w:vAlign w:val="center"/>
            <w:hideMark/>
          </w:tcPr>
          <w:p w:rsidR="008B5BC6" w:rsidRPr="007556E6" w:rsidRDefault="008B5BC6" w:rsidP="008F5D6A">
            <w:pPr>
              <w:keepNext/>
              <w:spacing w:after="0" w:line="240" w:lineRule="auto"/>
              <w:jc w:val="center"/>
              <w:rPr>
                <w:rFonts w:ascii="Times New Roman" w:eastAsia="Times New Roman" w:hAnsi="Times New Roman" w:cs="Times New Roman"/>
                <w:color w:val="000000"/>
                <w:sz w:val="20"/>
                <w:szCs w:val="20"/>
              </w:rPr>
            </w:pPr>
            <w:r w:rsidRPr="007556E6">
              <w:rPr>
                <w:rFonts w:ascii="Times New Roman" w:eastAsia="Times New Roman" w:hAnsi="Times New Roman" w:cs="Times New Roman"/>
                <w:color w:val="000000"/>
                <w:sz w:val="20"/>
                <w:szCs w:val="20"/>
              </w:rPr>
              <w:t>290</w:t>
            </w:r>
          </w:p>
        </w:tc>
      </w:tr>
    </w:tbl>
    <w:p w:rsidR="008F5D6A" w:rsidRPr="008F5D6A" w:rsidRDefault="008F5D6A" w:rsidP="008F5D6A">
      <w:pPr>
        <w:pStyle w:val="Caption"/>
        <w:rPr>
          <w:color w:val="FFFFFF" w:themeColor="background1"/>
        </w:rPr>
      </w:pPr>
      <w:bookmarkStart w:id="51" w:name="_Toc305166524"/>
      <w:r w:rsidRPr="008F5D6A">
        <w:rPr>
          <w:color w:val="FFFFFF" w:themeColor="background1"/>
        </w:rPr>
        <w:t xml:space="preserve">Table </w:t>
      </w:r>
      <w:r w:rsidR="000963F3" w:rsidRPr="008F5D6A">
        <w:rPr>
          <w:color w:val="FFFFFF" w:themeColor="background1"/>
        </w:rPr>
        <w:fldChar w:fldCharType="begin"/>
      </w:r>
      <w:r w:rsidRPr="008F5D6A">
        <w:rPr>
          <w:color w:val="FFFFFF" w:themeColor="background1"/>
        </w:rPr>
        <w:instrText xml:space="preserve"> SEQ Table \* ARABIC </w:instrText>
      </w:r>
      <w:r w:rsidR="000963F3" w:rsidRPr="008F5D6A">
        <w:rPr>
          <w:color w:val="FFFFFF" w:themeColor="background1"/>
        </w:rPr>
        <w:fldChar w:fldCharType="separate"/>
      </w:r>
      <w:r w:rsidR="00AB32F5">
        <w:rPr>
          <w:noProof/>
          <w:color w:val="FFFFFF" w:themeColor="background1"/>
        </w:rPr>
        <w:t>1</w:t>
      </w:r>
      <w:r w:rsidR="000963F3" w:rsidRPr="008F5D6A">
        <w:rPr>
          <w:color w:val="FFFFFF" w:themeColor="background1"/>
        </w:rPr>
        <w:fldChar w:fldCharType="end"/>
      </w:r>
      <w:r w:rsidRPr="008F5D6A">
        <w:rPr>
          <w:color w:val="FFFFFF" w:themeColor="background1"/>
        </w:rPr>
        <w:t>- Portfolio Share Information</w:t>
      </w:r>
      <w:bookmarkEnd w:id="51"/>
    </w:p>
    <w:p w:rsidR="001D5001" w:rsidRDefault="00923C6D" w:rsidP="00A02570">
      <w:pPr>
        <w:spacing w:line="360" w:lineRule="auto"/>
        <w:jc w:val="both"/>
        <w:rPr>
          <w:rFonts w:ascii="Times New Roman" w:eastAsia="Times New Roman" w:hAnsi="Times New Roman" w:cs="Times New Roman"/>
          <w:sz w:val="24"/>
          <w:lang w:val="en-GB" w:eastAsia="en-GB"/>
        </w:rPr>
      </w:pPr>
      <w:r>
        <w:rPr>
          <w:rFonts w:ascii="Times New Roman" w:hAnsi="Times New Roman" w:cs="Times New Roman"/>
          <w:sz w:val="24"/>
        </w:rPr>
        <w:t xml:space="preserve">The market </w:t>
      </w:r>
      <w:r w:rsidR="00610C8D">
        <w:rPr>
          <w:rFonts w:ascii="Times New Roman" w:hAnsi="Times New Roman" w:cs="Times New Roman"/>
          <w:sz w:val="24"/>
        </w:rPr>
        <w:t>capitalisation</w:t>
      </w:r>
      <w:r>
        <w:rPr>
          <w:rFonts w:ascii="Times New Roman" w:hAnsi="Times New Roman" w:cs="Times New Roman"/>
          <w:sz w:val="24"/>
        </w:rPr>
        <w:t xml:space="preserve">, E/P, C/P, and D/P portfolios are created in a similar manner. </w:t>
      </w:r>
      <w:r w:rsidR="00231BAF">
        <w:rPr>
          <w:rFonts w:ascii="Times New Roman" w:hAnsi="Times New Roman" w:cs="Times New Roman"/>
          <w:sz w:val="24"/>
        </w:rPr>
        <w:t xml:space="preserve">The market </w:t>
      </w:r>
      <w:r w:rsidR="00610C8D">
        <w:rPr>
          <w:rFonts w:ascii="Times New Roman" w:hAnsi="Times New Roman" w:cs="Times New Roman"/>
          <w:sz w:val="24"/>
        </w:rPr>
        <w:t>capitalisation</w:t>
      </w:r>
      <w:r w:rsidR="00231BAF">
        <w:rPr>
          <w:rFonts w:ascii="Times New Roman" w:hAnsi="Times New Roman" w:cs="Times New Roman"/>
          <w:sz w:val="24"/>
        </w:rPr>
        <w:t xml:space="preserve"> independent variable is created by taking the monthly data for the market </w:t>
      </w:r>
      <w:r w:rsidR="00610C8D">
        <w:rPr>
          <w:rFonts w:ascii="Times New Roman" w:hAnsi="Times New Roman" w:cs="Times New Roman"/>
          <w:sz w:val="24"/>
        </w:rPr>
        <w:t>capitalisation</w:t>
      </w:r>
      <w:r w:rsidR="00231BAF">
        <w:rPr>
          <w:rFonts w:ascii="Times New Roman" w:hAnsi="Times New Roman" w:cs="Times New Roman"/>
          <w:sz w:val="24"/>
        </w:rPr>
        <w:t xml:space="preserve"> and the total shareholder returns for the entire period. For August of each year the market </w:t>
      </w:r>
      <w:r w:rsidR="00610C8D">
        <w:rPr>
          <w:rFonts w:ascii="Times New Roman" w:hAnsi="Times New Roman" w:cs="Times New Roman"/>
          <w:sz w:val="24"/>
        </w:rPr>
        <w:t>capitalisation</w:t>
      </w:r>
      <w:r w:rsidR="00231BAF">
        <w:rPr>
          <w:rFonts w:ascii="Times New Roman" w:hAnsi="Times New Roman" w:cs="Times New Roman"/>
          <w:sz w:val="24"/>
        </w:rPr>
        <w:t xml:space="preserve"> figures are collected, while for the 12 months the monthly shareholder returns are compiled. The market </w:t>
      </w:r>
      <w:r w:rsidR="00610C8D">
        <w:rPr>
          <w:rFonts w:ascii="Times New Roman" w:hAnsi="Times New Roman" w:cs="Times New Roman"/>
          <w:sz w:val="24"/>
        </w:rPr>
        <w:t>capitalisation</w:t>
      </w:r>
      <w:r w:rsidR="00231BAF">
        <w:rPr>
          <w:rFonts w:ascii="Times New Roman" w:hAnsi="Times New Roman" w:cs="Times New Roman"/>
          <w:sz w:val="24"/>
        </w:rPr>
        <w:t xml:space="preserve"> figures that lie above the 50% market </w:t>
      </w:r>
      <w:r w:rsidR="00610C8D">
        <w:rPr>
          <w:rFonts w:ascii="Times New Roman" w:hAnsi="Times New Roman" w:cs="Times New Roman"/>
          <w:sz w:val="24"/>
        </w:rPr>
        <w:t>capitalisation</w:t>
      </w:r>
      <w:r w:rsidR="00231BAF">
        <w:rPr>
          <w:rFonts w:ascii="Times New Roman" w:hAnsi="Times New Roman" w:cs="Times New Roman"/>
          <w:sz w:val="24"/>
        </w:rPr>
        <w:t xml:space="preserve"> mark are placed in the growth portfolio (for large stocks), while any market </w:t>
      </w:r>
      <w:r w:rsidR="00610C8D">
        <w:rPr>
          <w:rFonts w:ascii="Times New Roman" w:hAnsi="Times New Roman" w:cs="Times New Roman"/>
          <w:sz w:val="24"/>
        </w:rPr>
        <w:t>capitalisation</w:t>
      </w:r>
      <w:r w:rsidR="00231BAF">
        <w:rPr>
          <w:rFonts w:ascii="Times New Roman" w:hAnsi="Times New Roman" w:cs="Times New Roman"/>
          <w:sz w:val="24"/>
        </w:rPr>
        <w:t xml:space="preserve"> figures that lie below the 50% market </w:t>
      </w:r>
      <w:r w:rsidR="00610C8D">
        <w:rPr>
          <w:rFonts w:ascii="Times New Roman" w:hAnsi="Times New Roman" w:cs="Times New Roman"/>
          <w:sz w:val="24"/>
        </w:rPr>
        <w:t>capitalisation</w:t>
      </w:r>
      <w:r w:rsidR="00231BAF">
        <w:rPr>
          <w:rFonts w:ascii="Times New Roman" w:hAnsi="Times New Roman" w:cs="Times New Roman"/>
          <w:sz w:val="24"/>
        </w:rPr>
        <w:t xml:space="preserve"> mark are placed in the value portfolio (for small stocks). The value portfolio consists of small stocks because of t</w:t>
      </w:r>
      <w:r w:rsidR="00E9437E">
        <w:rPr>
          <w:rFonts w:ascii="Times New Roman" w:hAnsi="Times New Roman" w:cs="Times New Roman"/>
          <w:sz w:val="24"/>
        </w:rPr>
        <w:t>he study performed by Banz (1980</w:t>
      </w:r>
      <w:r w:rsidR="00231BAF">
        <w:rPr>
          <w:rFonts w:ascii="Times New Roman" w:hAnsi="Times New Roman" w:cs="Times New Roman"/>
          <w:sz w:val="24"/>
        </w:rPr>
        <w:t xml:space="preserve">) and </w:t>
      </w:r>
      <w:r w:rsidR="000800CC">
        <w:rPr>
          <w:rFonts w:ascii="Times New Roman" w:hAnsi="Times New Roman" w:cs="Times New Roman"/>
          <w:sz w:val="24"/>
        </w:rPr>
        <w:t xml:space="preserve">Chen </w:t>
      </w:r>
      <w:r w:rsidR="00962075" w:rsidRPr="00962075">
        <w:rPr>
          <w:rFonts w:ascii="Times New Roman" w:hAnsi="Times New Roman" w:cs="Times New Roman"/>
          <w:i/>
          <w:sz w:val="24"/>
        </w:rPr>
        <w:t>et al.</w:t>
      </w:r>
      <w:r w:rsidR="000800CC">
        <w:rPr>
          <w:rFonts w:ascii="Times New Roman" w:hAnsi="Times New Roman" w:cs="Times New Roman"/>
          <w:sz w:val="24"/>
        </w:rPr>
        <w:t xml:space="preserve"> </w:t>
      </w:r>
      <w:r w:rsidR="005160B2">
        <w:rPr>
          <w:rFonts w:ascii="Times New Roman" w:hAnsi="Times New Roman" w:cs="Times New Roman"/>
          <w:sz w:val="24"/>
        </w:rPr>
        <w:t>(</w:t>
      </w:r>
      <w:r w:rsidR="00231BAF" w:rsidRPr="00566BF3">
        <w:rPr>
          <w:rFonts w:ascii="Times New Roman" w:hAnsi="Times New Roman" w:cs="Times New Roman"/>
          <w:sz w:val="24"/>
        </w:rPr>
        <w:t>2005</w:t>
      </w:r>
      <w:r w:rsidR="005160B2">
        <w:rPr>
          <w:rFonts w:ascii="Times New Roman" w:hAnsi="Times New Roman" w:cs="Times New Roman"/>
          <w:sz w:val="24"/>
        </w:rPr>
        <w:t>)</w:t>
      </w:r>
      <w:r w:rsidR="0002501F">
        <w:rPr>
          <w:rFonts w:ascii="Times New Roman" w:hAnsi="Times New Roman" w:cs="Times New Roman"/>
          <w:sz w:val="24"/>
        </w:rPr>
        <w:t xml:space="preserve">. Small sized stocks are found to be negatively related to stock returns and are also a proxy for unobserved risk factors. The small stocks are invested in by contrarians to earn superior returns because they tend to be illiquid and are harder to sell, so are ignored by the average investor according to </w:t>
      </w:r>
      <w:r w:rsidR="0002501F">
        <w:rPr>
          <w:rFonts w:ascii="Times New Roman" w:eastAsia="Times New Roman" w:hAnsi="Times New Roman" w:cs="Times New Roman"/>
          <w:sz w:val="24"/>
          <w:lang w:val="en-GB" w:eastAsia="en-GB"/>
        </w:rPr>
        <w:t>Saville, 2009.</w:t>
      </w:r>
      <w:r w:rsidR="004120DB">
        <w:rPr>
          <w:rFonts w:ascii="Times New Roman" w:eastAsia="Times New Roman" w:hAnsi="Times New Roman" w:cs="Times New Roman"/>
          <w:sz w:val="24"/>
          <w:lang w:val="en-GB" w:eastAsia="en-GB"/>
        </w:rPr>
        <w:t xml:space="preserve"> The portfolio size of the market </w:t>
      </w:r>
      <w:r w:rsidR="00610C8D">
        <w:rPr>
          <w:rFonts w:ascii="Times New Roman" w:eastAsia="Times New Roman" w:hAnsi="Times New Roman" w:cs="Times New Roman"/>
          <w:sz w:val="24"/>
          <w:lang w:val="en-GB" w:eastAsia="en-GB"/>
        </w:rPr>
        <w:t>capitalisation</w:t>
      </w:r>
      <w:r w:rsidR="004120DB">
        <w:rPr>
          <w:rFonts w:ascii="Times New Roman" w:eastAsia="Times New Roman" w:hAnsi="Times New Roman" w:cs="Times New Roman"/>
          <w:sz w:val="24"/>
          <w:lang w:val="en-GB" w:eastAsia="en-GB"/>
        </w:rPr>
        <w:t xml:space="preserve"> portfolios seems to diminish in size over </w:t>
      </w:r>
      <w:r w:rsidR="004120DB">
        <w:rPr>
          <w:rFonts w:ascii="Times New Roman" w:eastAsia="Times New Roman" w:hAnsi="Times New Roman" w:cs="Times New Roman"/>
          <w:sz w:val="24"/>
          <w:lang w:val="en-GB" w:eastAsia="en-GB"/>
        </w:rPr>
        <w:lastRenderedPageBreak/>
        <w:t xml:space="preserve">the 1990-2009 period. In 1990 the portfolio size is 345 stocks, dropping to 285 stocks in 1997, but then increasing to 323 stocks in 1999 before dropping to its lowest level of 132 stocks in 2008, the last 12 months considered. However, the lowest number of stocks in the size portfolios is larger than the lowest number of stocks in the BTM portfolios.  </w:t>
      </w:r>
    </w:p>
    <w:p w:rsidR="001D5001" w:rsidRDefault="001D5001" w:rsidP="00A02570">
      <w:pPr>
        <w:spacing w:line="360" w:lineRule="auto"/>
        <w:jc w:val="both"/>
        <w:rPr>
          <w:rFonts w:ascii="Times New Roman" w:eastAsia="Times New Roman" w:hAnsi="Times New Roman" w:cs="Times New Roman"/>
          <w:sz w:val="24"/>
          <w:lang w:val="en-GB" w:eastAsia="en-GB"/>
        </w:rPr>
      </w:pPr>
    </w:p>
    <w:p w:rsidR="00B706DE" w:rsidRDefault="00D33959" w:rsidP="00A02570">
      <w:pPr>
        <w:spacing w:line="360" w:lineRule="auto"/>
        <w:jc w:val="both"/>
        <w:rPr>
          <w:rFonts w:ascii="Times New Roman" w:eastAsia="Times New Roman" w:hAnsi="Times New Roman" w:cs="Times New Roman"/>
          <w:sz w:val="24"/>
          <w:lang w:val="en-GB" w:eastAsia="en-GB"/>
        </w:rPr>
      </w:pPr>
      <w:r>
        <w:rPr>
          <w:rFonts w:ascii="Times New Roman" w:eastAsia="Times New Roman" w:hAnsi="Times New Roman" w:cs="Times New Roman"/>
          <w:sz w:val="24"/>
          <w:lang w:val="en-GB" w:eastAsia="en-GB"/>
        </w:rPr>
        <w:t xml:space="preserve">The smallest number of stocks in the E/P and C/P portfolios is 42 in the first year of portfolio formation, while the lowest number of stocks in the D/P portfolio sits at 73 in 2007. The stocks increase in size up to the year 2000 where both the E/P and C/P </w:t>
      </w:r>
      <w:r w:rsidR="00143386">
        <w:rPr>
          <w:rFonts w:ascii="Times New Roman" w:eastAsia="Times New Roman" w:hAnsi="Times New Roman" w:cs="Times New Roman"/>
          <w:sz w:val="24"/>
          <w:lang w:val="en-GB" w:eastAsia="en-GB"/>
        </w:rPr>
        <w:t>portfolios</w:t>
      </w:r>
      <w:r>
        <w:rPr>
          <w:rFonts w:ascii="Times New Roman" w:eastAsia="Times New Roman" w:hAnsi="Times New Roman" w:cs="Times New Roman"/>
          <w:sz w:val="24"/>
          <w:lang w:val="en-GB" w:eastAsia="en-GB"/>
        </w:rPr>
        <w:t xml:space="preserve"> consist of 291 firms each. The D/P portfolio consists of 204 stocks in 1994, after which the number of stocks steadily decrease to 69 stocks in the final year of 2008. The D/P variable averages 133 stocks per portfolio, with a total of 2530 stocks considered over the 17 year period. The E/P and C/P variables average 218 and 220 stocks per portfolio respectively, with a total of 4146 and 4174 stocks, respectively, considered over the entire period. </w:t>
      </w:r>
    </w:p>
    <w:p w:rsidR="009C62A2" w:rsidRDefault="009C62A2" w:rsidP="00A02570">
      <w:pPr>
        <w:spacing w:line="360" w:lineRule="auto"/>
        <w:jc w:val="both"/>
        <w:rPr>
          <w:rFonts w:ascii="Times New Roman" w:eastAsia="Times New Roman" w:hAnsi="Times New Roman" w:cs="Times New Roman"/>
          <w:sz w:val="24"/>
          <w:lang w:val="en-GB" w:eastAsia="en-GB"/>
        </w:rPr>
      </w:pPr>
    </w:p>
    <w:p w:rsidR="00777ED7" w:rsidRDefault="00777ED7" w:rsidP="00A02570">
      <w:pPr>
        <w:spacing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If, as Saville (2009) describes, value strategies outperform growth strategies in this dissertation, then </w:t>
      </w:r>
      <w:r w:rsidRPr="001E52F7">
        <w:rPr>
          <w:rFonts w:ascii="Times New Roman" w:eastAsia="Times New Roman" w:hAnsi="Times New Roman" w:cs="Times New Roman"/>
          <w:sz w:val="24"/>
          <w:szCs w:val="24"/>
          <w:lang w:val="en-GB" w:eastAsia="en-GB"/>
        </w:rPr>
        <w:t>both the size and liquidity premiums contribute to the superior performance as the portfolios are equally weighted (Saville, 2009). If a portfolio is equally weighted the stocks included in it are each given the same weighting, so superior performance from a value portfolio may be due to illiquid stocks and smaller sized stocks having higher returns to compensate the investor for the time and effort to find a buyer.</w:t>
      </w:r>
    </w:p>
    <w:p w:rsidR="005B611B" w:rsidRDefault="005B611B" w:rsidP="00A02570">
      <w:pPr>
        <w:spacing w:line="360" w:lineRule="auto"/>
        <w:jc w:val="both"/>
        <w:rPr>
          <w:rFonts w:ascii="Times New Roman" w:eastAsia="Times New Roman" w:hAnsi="Times New Roman" w:cs="Times New Roman"/>
          <w:sz w:val="24"/>
          <w:lang w:val="en-GB" w:eastAsia="en-GB"/>
        </w:rPr>
      </w:pPr>
    </w:p>
    <w:p w:rsidR="00FF788D" w:rsidRDefault="00310094" w:rsidP="00A02570">
      <w:pPr>
        <w:spacing w:line="360" w:lineRule="auto"/>
        <w:jc w:val="both"/>
        <w:rPr>
          <w:rFonts w:ascii="Times New Roman" w:hAnsi="Times New Roman" w:cs="Times New Roman"/>
          <w:sz w:val="24"/>
          <w:szCs w:val="36"/>
        </w:rPr>
      </w:pPr>
      <w:r>
        <w:rPr>
          <w:rFonts w:ascii="Times New Roman" w:hAnsi="Times New Roman" w:cs="Times New Roman"/>
          <w:sz w:val="24"/>
          <w:szCs w:val="36"/>
        </w:rPr>
        <w:t>The following will be tested in the study</w:t>
      </w:r>
      <w:r w:rsidR="00FF788D">
        <w:rPr>
          <w:rFonts w:ascii="Times New Roman" w:hAnsi="Times New Roman" w:cs="Times New Roman"/>
          <w:sz w:val="24"/>
          <w:szCs w:val="36"/>
        </w:rPr>
        <w:t>:</w:t>
      </w:r>
    </w:p>
    <w:p w:rsidR="00FF788D" w:rsidRDefault="00FF788D" w:rsidP="00A02570">
      <w:pPr>
        <w:spacing w:line="360" w:lineRule="auto"/>
        <w:jc w:val="both"/>
        <w:rPr>
          <w:rFonts w:ascii="Times New Roman" w:hAnsi="Times New Roman" w:cs="Times New Roman"/>
          <w:sz w:val="24"/>
          <w:szCs w:val="36"/>
        </w:rPr>
      </w:pPr>
    </w:p>
    <w:p w:rsidR="008B084D" w:rsidRDefault="00FF788D" w:rsidP="008B084D">
      <w:pPr>
        <w:spacing w:line="360" w:lineRule="auto"/>
        <w:ind w:left="720"/>
        <w:jc w:val="both"/>
        <w:rPr>
          <w:rFonts w:ascii="Times New Roman" w:hAnsi="Times New Roman" w:cs="Times New Roman"/>
          <w:sz w:val="24"/>
          <w:szCs w:val="36"/>
        </w:rPr>
      </w:pPr>
      <w:r>
        <w:rPr>
          <w:rFonts w:ascii="Times New Roman" w:hAnsi="Times New Roman" w:cs="Times New Roman"/>
          <w:sz w:val="24"/>
          <w:szCs w:val="36"/>
        </w:rPr>
        <w:t>H</w:t>
      </w:r>
      <w:r>
        <w:rPr>
          <w:rFonts w:ascii="Times New Roman" w:hAnsi="Times New Roman" w:cs="Times New Roman"/>
          <w:sz w:val="24"/>
          <w:szCs w:val="36"/>
          <w:vertAlign w:val="subscript"/>
        </w:rPr>
        <w:t>1</w:t>
      </w:r>
      <w:r>
        <w:rPr>
          <w:rFonts w:ascii="Times New Roman" w:hAnsi="Times New Roman" w:cs="Times New Roman"/>
          <w:sz w:val="24"/>
          <w:szCs w:val="36"/>
        </w:rPr>
        <w:t xml:space="preserve">: </w:t>
      </w:r>
      <w:r w:rsidR="00310094">
        <w:rPr>
          <w:rFonts w:ascii="Times New Roman" w:hAnsi="Times New Roman" w:cs="Times New Roman"/>
          <w:sz w:val="24"/>
          <w:szCs w:val="36"/>
        </w:rPr>
        <w:t xml:space="preserve">The return of a portfolio made up of high BTM (C/P, E/P, or D/P) stocks will outperform a portfolio that consists of low BTM (C/P, E/P, or D/P) </w:t>
      </w:r>
      <w:r>
        <w:rPr>
          <w:rFonts w:ascii="Times New Roman" w:hAnsi="Times New Roman" w:cs="Times New Roman"/>
          <w:sz w:val="24"/>
          <w:szCs w:val="36"/>
        </w:rPr>
        <w:t xml:space="preserve">stocks </w:t>
      </w:r>
    </w:p>
    <w:p w:rsidR="008B084D" w:rsidRDefault="008B084D" w:rsidP="008B084D">
      <w:pPr>
        <w:spacing w:line="360" w:lineRule="auto"/>
        <w:ind w:left="720"/>
        <w:jc w:val="both"/>
        <w:rPr>
          <w:rFonts w:ascii="Times New Roman" w:hAnsi="Times New Roman" w:cs="Times New Roman"/>
          <w:sz w:val="24"/>
          <w:szCs w:val="36"/>
        </w:rPr>
      </w:pPr>
    </w:p>
    <w:p w:rsidR="008B084D" w:rsidRDefault="00FF788D" w:rsidP="008B084D">
      <w:pPr>
        <w:spacing w:line="360" w:lineRule="auto"/>
        <w:ind w:left="720"/>
        <w:jc w:val="both"/>
        <w:rPr>
          <w:rFonts w:ascii="Times New Roman" w:hAnsi="Times New Roman" w:cs="Times New Roman"/>
          <w:sz w:val="24"/>
          <w:szCs w:val="36"/>
        </w:rPr>
      </w:pPr>
      <w:r>
        <w:rPr>
          <w:rFonts w:ascii="Times New Roman" w:hAnsi="Times New Roman" w:cs="Times New Roman"/>
          <w:sz w:val="24"/>
          <w:szCs w:val="36"/>
        </w:rPr>
        <w:t>H</w:t>
      </w:r>
      <w:r>
        <w:rPr>
          <w:rFonts w:ascii="Times New Roman" w:hAnsi="Times New Roman" w:cs="Times New Roman"/>
          <w:sz w:val="24"/>
          <w:szCs w:val="36"/>
          <w:vertAlign w:val="subscript"/>
        </w:rPr>
        <w:t>2</w:t>
      </w:r>
      <w:r>
        <w:rPr>
          <w:rFonts w:ascii="Times New Roman" w:hAnsi="Times New Roman" w:cs="Times New Roman"/>
          <w:sz w:val="24"/>
          <w:szCs w:val="36"/>
        </w:rPr>
        <w:t>: T</w:t>
      </w:r>
      <w:r w:rsidR="00310094">
        <w:rPr>
          <w:rFonts w:ascii="Times New Roman" w:hAnsi="Times New Roman" w:cs="Times New Roman"/>
          <w:sz w:val="24"/>
          <w:szCs w:val="36"/>
        </w:rPr>
        <w:t xml:space="preserve">he return of a portfolio made up of shares with small market </w:t>
      </w:r>
      <w:r w:rsidR="00610C8D">
        <w:rPr>
          <w:rFonts w:ascii="Times New Roman" w:hAnsi="Times New Roman" w:cs="Times New Roman"/>
          <w:sz w:val="24"/>
          <w:szCs w:val="36"/>
        </w:rPr>
        <w:t>capitalisation</w:t>
      </w:r>
      <w:r w:rsidR="00310094">
        <w:rPr>
          <w:rFonts w:ascii="Times New Roman" w:hAnsi="Times New Roman" w:cs="Times New Roman"/>
          <w:sz w:val="24"/>
          <w:szCs w:val="36"/>
        </w:rPr>
        <w:t xml:space="preserve"> stocks will outperform a portfolio consisting of high market </w:t>
      </w:r>
      <w:r w:rsidR="00610C8D">
        <w:rPr>
          <w:rFonts w:ascii="Times New Roman" w:hAnsi="Times New Roman" w:cs="Times New Roman"/>
          <w:sz w:val="24"/>
          <w:szCs w:val="36"/>
        </w:rPr>
        <w:t>capitalisation</w:t>
      </w:r>
      <w:r w:rsidR="00310094">
        <w:rPr>
          <w:rFonts w:ascii="Times New Roman" w:hAnsi="Times New Roman" w:cs="Times New Roman"/>
          <w:sz w:val="24"/>
          <w:szCs w:val="36"/>
        </w:rPr>
        <w:t xml:space="preserve"> stocks</w:t>
      </w:r>
    </w:p>
    <w:p w:rsidR="008B084D" w:rsidRDefault="008B084D" w:rsidP="008B084D">
      <w:pPr>
        <w:spacing w:line="360" w:lineRule="auto"/>
        <w:ind w:left="720"/>
        <w:jc w:val="both"/>
        <w:rPr>
          <w:rFonts w:ascii="Times New Roman" w:hAnsi="Times New Roman" w:cs="Times New Roman"/>
          <w:sz w:val="24"/>
          <w:szCs w:val="36"/>
        </w:rPr>
      </w:pPr>
    </w:p>
    <w:p w:rsidR="00651FF8" w:rsidRDefault="00310094">
      <w:pPr>
        <w:spacing w:line="360" w:lineRule="auto"/>
        <w:jc w:val="both"/>
        <w:rPr>
          <w:rFonts w:ascii="Times New Roman" w:hAnsi="Times New Roman" w:cs="Times New Roman"/>
          <w:sz w:val="24"/>
          <w:szCs w:val="36"/>
        </w:rPr>
      </w:pPr>
      <w:r>
        <w:rPr>
          <w:rFonts w:ascii="Times New Roman" w:hAnsi="Times New Roman" w:cs="Times New Roman"/>
          <w:sz w:val="24"/>
          <w:szCs w:val="36"/>
        </w:rPr>
        <w:lastRenderedPageBreak/>
        <w:t xml:space="preserve">The test that can be derived from the above two </w:t>
      </w:r>
      <w:r w:rsidR="00FF788D">
        <w:rPr>
          <w:rFonts w:ascii="Times New Roman" w:hAnsi="Times New Roman" w:cs="Times New Roman"/>
          <w:sz w:val="24"/>
          <w:szCs w:val="36"/>
        </w:rPr>
        <w:t xml:space="preserve">tests are: </w:t>
      </w:r>
    </w:p>
    <w:p w:rsidR="00651FF8" w:rsidRDefault="00651FF8">
      <w:pPr>
        <w:spacing w:line="360" w:lineRule="auto"/>
        <w:jc w:val="both"/>
        <w:rPr>
          <w:rFonts w:ascii="Times New Roman" w:hAnsi="Times New Roman" w:cs="Times New Roman"/>
          <w:sz w:val="24"/>
          <w:szCs w:val="36"/>
        </w:rPr>
      </w:pPr>
    </w:p>
    <w:p w:rsidR="008B084D" w:rsidRDefault="00FF788D" w:rsidP="008B084D">
      <w:pPr>
        <w:spacing w:line="360" w:lineRule="auto"/>
        <w:ind w:left="720"/>
        <w:jc w:val="both"/>
        <w:rPr>
          <w:rFonts w:ascii="Times New Roman" w:hAnsi="Times New Roman" w:cs="Times New Roman"/>
          <w:sz w:val="24"/>
          <w:szCs w:val="36"/>
        </w:rPr>
      </w:pPr>
      <w:r>
        <w:rPr>
          <w:rFonts w:ascii="Times New Roman" w:hAnsi="Times New Roman" w:cs="Times New Roman"/>
          <w:sz w:val="24"/>
          <w:szCs w:val="36"/>
        </w:rPr>
        <w:t>H</w:t>
      </w:r>
      <w:r>
        <w:rPr>
          <w:rFonts w:ascii="Times New Roman" w:hAnsi="Times New Roman" w:cs="Times New Roman"/>
          <w:sz w:val="24"/>
          <w:szCs w:val="36"/>
          <w:vertAlign w:val="subscript"/>
        </w:rPr>
        <w:t>3</w:t>
      </w:r>
      <w:r>
        <w:rPr>
          <w:rFonts w:ascii="Times New Roman" w:hAnsi="Times New Roman" w:cs="Times New Roman"/>
          <w:sz w:val="24"/>
          <w:szCs w:val="36"/>
        </w:rPr>
        <w:t>: A</w:t>
      </w:r>
      <w:r w:rsidR="00310094">
        <w:rPr>
          <w:rFonts w:ascii="Times New Roman" w:hAnsi="Times New Roman" w:cs="Times New Roman"/>
          <w:sz w:val="24"/>
          <w:szCs w:val="36"/>
        </w:rPr>
        <w:t xml:space="preserve"> portfolio consisting of </w:t>
      </w:r>
      <w:r w:rsidR="003E3F9E">
        <w:rPr>
          <w:rFonts w:ascii="Times New Roman" w:hAnsi="Times New Roman" w:cs="Times New Roman"/>
          <w:sz w:val="24"/>
          <w:szCs w:val="36"/>
        </w:rPr>
        <w:t xml:space="preserve">the combination of </w:t>
      </w:r>
      <w:r w:rsidR="00310094">
        <w:rPr>
          <w:rFonts w:ascii="Times New Roman" w:hAnsi="Times New Roman" w:cs="Times New Roman"/>
          <w:sz w:val="24"/>
          <w:szCs w:val="36"/>
        </w:rPr>
        <w:t xml:space="preserve">shares with </w:t>
      </w:r>
      <w:r w:rsidR="003E3F9E">
        <w:rPr>
          <w:rFonts w:ascii="Times New Roman" w:hAnsi="Times New Roman" w:cs="Times New Roman"/>
          <w:sz w:val="24"/>
          <w:szCs w:val="36"/>
        </w:rPr>
        <w:t xml:space="preserve">high BTM ratios and high </w:t>
      </w:r>
      <w:r w:rsidR="00310094">
        <w:rPr>
          <w:rFonts w:ascii="Times New Roman" w:hAnsi="Times New Roman" w:cs="Times New Roman"/>
          <w:sz w:val="24"/>
          <w:szCs w:val="36"/>
        </w:rPr>
        <w:t xml:space="preserve">C/P, E/P, or D/P </w:t>
      </w:r>
      <w:r w:rsidR="003E3F9E">
        <w:rPr>
          <w:rFonts w:ascii="Times New Roman" w:hAnsi="Times New Roman" w:cs="Times New Roman"/>
          <w:sz w:val="24"/>
          <w:szCs w:val="36"/>
        </w:rPr>
        <w:t>ratios</w:t>
      </w:r>
      <w:r w:rsidR="00310094">
        <w:rPr>
          <w:rFonts w:ascii="Times New Roman" w:hAnsi="Times New Roman" w:cs="Times New Roman"/>
          <w:sz w:val="24"/>
          <w:szCs w:val="36"/>
        </w:rPr>
        <w:t xml:space="preserve"> will have higher returns than a portfolio consisting of</w:t>
      </w:r>
      <w:r w:rsidR="003E3F9E">
        <w:rPr>
          <w:rFonts w:ascii="Times New Roman" w:hAnsi="Times New Roman" w:cs="Times New Roman"/>
          <w:sz w:val="24"/>
          <w:szCs w:val="36"/>
        </w:rPr>
        <w:t xml:space="preserve"> the combination of</w:t>
      </w:r>
      <w:r w:rsidR="00310094">
        <w:rPr>
          <w:rFonts w:ascii="Times New Roman" w:hAnsi="Times New Roman" w:cs="Times New Roman"/>
          <w:sz w:val="24"/>
          <w:szCs w:val="36"/>
        </w:rPr>
        <w:t xml:space="preserve"> l</w:t>
      </w:r>
      <w:r w:rsidR="003E3F9E">
        <w:rPr>
          <w:rFonts w:ascii="Times New Roman" w:hAnsi="Times New Roman" w:cs="Times New Roman"/>
          <w:sz w:val="24"/>
          <w:szCs w:val="36"/>
        </w:rPr>
        <w:t>ow BTM</w:t>
      </w:r>
      <w:r w:rsidR="00310094">
        <w:rPr>
          <w:rFonts w:ascii="Times New Roman" w:hAnsi="Times New Roman" w:cs="Times New Roman"/>
          <w:sz w:val="24"/>
          <w:szCs w:val="36"/>
        </w:rPr>
        <w:t xml:space="preserve"> stocks and l</w:t>
      </w:r>
      <w:r>
        <w:rPr>
          <w:rFonts w:ascii="Times New Roman" w:hAnsi="Times New Roman" w:cs="Times New Roman"/>
          <w:sz w:val="24"/>
          <w:szCs w:val="36"/>
        </w:rPr>
        <w:t xml:space="preserve">ow C/P, E/P, or D/P </w:t>
      </w:r>
      <w:r w:rsidR="003E3F9E">
        <w:rPr>
          <w:rFonts w:ascii="Times New Roman" w:hAnsi="Times New Roman" w:cs="Times New Roman"/>
          <w:sz w:val="24"/>
          <w:szCs w:val="36"/>
        </w:rPr>
        <w:t>stocks</w:t>
      </w:r>
      <w:r w:rsidR="00310094">
        <w:rPr>
          <w:rFonts w:ascii="Times New Roman" w:hAnsi="Times New Roman" w:cs="Times New Roman"/>
          <w:sz w:val="24"/>
          <w:szCs w:val="36"/>
        </w:rPr>
        <w:t xml:space="preserve"> </w:t>
      </w:r>
    </w:p>
    <w:p w:rsidR="008B084D" w:rsidRDefault="008B084D" w:rsidP="008B084D">
      <w:pPr>
        <w:spacing w:line="360" w:lineRule="auto"/>
        <w:ind w:left="720"/>
        <w:jc w:val="both"/>
        <w:rPr>
          <w:rFonts w:ascii="Times New Roman" w:hAnsi="Times New Roman" w:cs="Times New Roman"/>
          <w:sz w:val="24"/>
          <w:szCs w:val="36"/>
        </w:rPr>
      </w:pPr>
    </w:p>
    <w:p w:rsidR="008B084D" w:rsidRDefault="00FF788D" w:rsidP="008B084D">
      <w:pPr>
        <w:spacing w:line="360" w:lineRule="auto"/>
        <w:ind w:left="720"/>
        <w:jc w:val="both"/>
        <w:rPr>
          <w:rFonts w:ascii="Times New Roman" w:hAnsi="Times New Roman" w:cs="Times New Roman"/>
          <w:sz w:val="24"/>
          <w:szCs w:val="36"/>
        </w:rPr>
      </w:pPr>
      <w:r>
        <w:rPr>
          <w:rFonts w:ascii="Times New Roman" w:hAnsi="Times New Roman" w:cs="Times New Roman"/>
          <w:sz w:val="24"/>
          <w:szCs w:val="36"/>
        </w:rPr>
        <w:t>H</w:t>
      </w:r>
      <w:r>
        <w:rPr>
          <w:rFonts w:ascii="Times New Roman" w:hAnsi="Times New Roman" w:cs="Times New Roman"/>
          <w:sz w:val="24"/>
          <w:szCs w:val="36"/>
          <w:vertAlign w:val="subscript"/>
        </w:rPr>
        <w:t>4</w:t>
      </w:r>
      <w:r>
        <w:rPr>
          <w:rFonts w:ascii="Times New Roman" w:hAnsi="Times New Roman" w:cs="Times New Roman"/>
          <w:sz w:val="24"/>
          <w:szCs w:val="36"/>
        </w:rPr>
        <w:t>: A</w:t>
      </w:r>
      <w:r w:rsidR="00DD6810">
        <w:rPr>
          <w:rFonts w:ascii="Times New Roman" w:hAnsi="Times New Roman" w:cs="Times New Roman"/>
          <w:sz w:val="24"/>
          <w:szCs w:val="36"/>
        </w:rPr>
        <w:t xml:space="preserve"> portfolio consisting of the combination of </w:t>
      </w:r>
      <w:r w:rsidR="0088315C">
        <w:rPr>
          <w:rFonts w:ascii="Times New Roman" w:hAnsi="Times New Roman" w:cs="Times New Roman"/>
          <w:sz w:val="24"/>
          <w:szCs w:val="36"/>
        </w:rPr>
        <w:t>small</w:t>
      </w:r>
      <w:r w:rsidR="00DD6810">
        <w:rPr>
          <w:rFonts w:ascii="Times New Roman" w:hAnsi="Times New Roman" w:cs="Times New Roman"/>
          <w:sz w:val="24"/>
          <w:szCs w:val="36"/>
        </w:rPr>
        <w:t xml:space="preserve"> market </w:t>
      </w:r>
      <w:r w:rsidR="00610C8D">
        <w:rPr>
          <w:rFonts w:ascii="Times New Roman" w:hAnsi="Times New Roman" w:cs="Times New Roman"/>
          <w:sz w:val="24"/>
          <w:szCs w:val="36"/>
        </w:rPr>
        <w:t>capitalisation</w:t>
      </w:r>
      <w:r w:rsidR="00DD6810">
        <w:rPr>
          <w:rFonts w:ascii="Times New Roman" w:hAnsi="Times New Roman" w:cs="Times New Roman"/>
          <w:sz w:val="24"/>
          <w:szCs w:val="36"/>
        </w:rPr>
        <w:t xml:space="preserve"> stocks with high BTM stocks in a portfolio will outperform a portfolio consisting of the combination of </w:t>
      </w:r>
      <w:r w:rsidR="0088315C">
        <w:rPr>
          <w:rFonts w:ascii="Times New Roman" w:hAnsi="Times New Roman" w:cs="Times New Roman"/>
          <w:sz w:val="24"/>
          <w:szCs w:val="36"/>
        </w:rPr>
        <w:t>large</w:t>
      </w:r>
      <w:r w:rsidR="00DD6810">
        <w:rPr>
          <w:rFonts w:ascii="Times New Roman" w:hAnsi="Times New Roman" w:cs="Times New Roman"/>
          <w:sz w:val="24"/>
          <w:szCs w:val="36"/>
        </w:rPr>
        <w:t xml:space="preserve"> market </w:t>
      </w:r>
      <w:r w:rsidR="00610C8D">
        <w:rPr>
          <w:rFonts w:ascii="Times New Roman" w:hAnsi="Times New Roman" w:cs="Times New Roman"/>
          <w:sz w:val="24"/>
          <w:szCs w:val="36"/>
        </w:rPr>
        <w:t>capitalisation</w:t>
      </w:r>
      <w:r w:rsidR="00DD6810">
        <w:rPr>
          <w:rFonts w:ascii="Times New Roman" w:hAnsi="Times New Roman" w:cs="Times New Roman"/>
          <w:sz w:val="24"/>
          <w:szCs w:val="36"/>
        </w:rPr>
        <w:t xml:space="preserve"> stocks with low </w:t>
      </w:r>
      <w:r w:rsidR="00AB2C61">
        <w:rPr>
          <w:rFonts w:ascii="Times New Roman" w:hAnsi="Times New Roman" w:cs="Times New Roman"/>
          <w:sz w:val="24"/>
          <w:szCs w:val="36"/>
        </w:rPr>
        <w:t>BTM stocks</w:t>
      </w:r>
      <w:r w:rsidR="00DD6810">
        <w:rPr>
          <w:rFonts w:ascii="Times New Roman" w:hAnsi="Times New Roman" w:cs="Times New Roman"/>
          <w:sz w:val="24"/>
          <w:szCs w:val="36"/>
        </w:rPr>
        <w:t>.</w:t>
      </w:r>
      <w:r w:rsidR="003B4C5D">
        <w:rPr>
          <w:rFonts w:ascii="Times New Roman" w:hAnsi="Times New Roman" w:cs="Times New Roman"/>
          <w:sz w:val="24"/>
          <w:szCs w:val="36"/>
        </w:rPr>
        <w:t xml:space="preserve"> </w:t>
      </w:r>
    </w:p>
    <w:p w:rsidR="003B4C5D" w:rsidRDefault="003B4C5D" w:rsidP="00A02570">
      <w:pPr>
        <w:spacing w:line="360" w:lineRule="auto"/>
        <w:jc w:val="both"/>
        <w:rPr>
          <w:rFonts w:ascii="Times New Roman" w:hAnsi="Times New Roman" w:cs="Times New Roman"/>
          <w:sz w:val="24"/>
          <w:szCs w:val="36"/>
        </w:rPr>
      </w:pPr>
    </w:p>
    <w:p w:rsidR="003B4C5D" w:rsidRDefault="003B4C5D" w:rsidP="00A02570">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Portfolios consisting (separately) of the D/P, E/P, C/P, BTM,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variables are regressed on four dependent portfolios. These dependent portfolios are created by taking the intersection of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BTM stocks. This results in the four portfolios: large growth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low BTM stocks), small growth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low BTM stocks), large value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high BTM stocks) and small value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high BTM stocks).</w:t>
      </w:r>
      <w:r w:rsidR="0069183C">
        <w:rPr>
          <w:rFonts w:ascii="Times New Roman" w:hAnsi="Times New Roman" w:cs="Times New Roman"/>
          <w:sz w:val="24"/>
          <w:szCs w:val="36"/>
        </w:rPr>
        <w:t xml:space="preserve"> The dependent variables are the returns on these portfolios. The</w:t>
      </w:r>
      <w:r>
        <w:rPr>
          <w:rFonts w:ascii="Times New Roman" w:hAnsi="Times New Roman" w:cs="Times New Roman"/>
          <w:sz w:val="24"/>
          <w:szCs w:val="36"/>
        </w:rPr>
        <w:t xml:space="preserve"> independent portfolio</w:t>
      </w:r>
      <w:r w:rsidR="0069183C">
        <w:rPr>
          <w:rFonts w:ascii="Times New Roman" w:hAnsi="Times New Roman" w:cs="Times New Roman"/>
          <w:sz w:val="24"/>
          <w:szCs w:val="36"/>
        </w:rPr>
        <w:t xml:space="preserve"> returns</w:t>
      </w:r>
      <w:r>
        <w:rPr>
          <w:rFonts w:ascii="Times New Roman" w:hAnsi="Times New Roman" w:cs="Times New Roman"/>
          <w:sz w:val="24"/>
          <w:szCs w:val="36"/>
        </w:rPr>
        <w:t xml:space="preserve">, created by using, independently, the ratios D/P, E/P, C/P, BTM,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are regressed on each of the four dependent portfolios. This is to determine which portfolios can best explain stocks returns. In addition to this, two-dimensional portfolios are created and regressed against the same four dependent portfolios. This is to determine what, if any, combination of variables best explain stock returns. These two-dimensional portfolios are created by taking the intersection of BTM with E/P, BTM with C/P and BTM with D/P. </w:t>
      </w:r>
      <w:r w:rsidR="00DD6810">
        <w:rPr>
          <w:rFonts w:ascii="Times New Roman" w:hAnsi="Times New Roman" w:cs="Times New Roman"/>
          <w:sz w:val="24"/>
          <w:szCs w:val="36"/>
        </w:rPr>
        <w:t xml:space="preserve">  </w:t>
      </w:r>
    </w:p>
    <w:p w:rsidR="00A27F51" w:rsidRDefault="00A27F51" w:rsidP="00A02570">
      <w:pPr>
        <w:spacing w:line="360" w:lineRule="auto"/>
        <w:jc w:val="both"/>
        <w:rPr>
          <w:rFonts w:ascii="Times New Roman" w:hAnsi="Times New Roman" w:cs="Times New Roman"/>
          <w:sz w:val="24"/>
          <w:szCs w:val="36"/>
        </w:rPr>
      </w:pPr>
    </w:p>
    <w:p w:rsidR="00A27F51" w:rsidRDefault="00A27F51" w:rsidP="00A02570">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The three-factor model is tested in order to determine if there is a size effect or a value effect present in the stock returns under consideration. Essentially the idea of the contrarian strategy suggests that the value factor </w:t>
      </w:r>
      <w:r w:rsidR="009C4AF4">
        <w:rPr>
          <w:rFonts w:ascii="Times New Roman" w:hAnsi="Times New Roman" w:cs="Times New Roman"/>
          <w:sz w:val="24"/>
          <w:szCs w:val="36"/>
        </w:rPr>
        <w:t>should be positive and significant in the three factor regression. Coupled with this, because small sized stocks are defined as value stocks for the purposes of this study, there is the expectation of a size premium. While Fama and French (1993)</w:t>
      </w:r>
      <w:r w:rsidR="003D4902">
        <w:rPr>
          <w:rFonts w:ascii="Times New Roman" w:hAnsi="Times New Roman" w:cs="Times New Roman"/>
          <w:sz w:val="24"/>
          <w:szCs w:val="36"/>
        </w:rPr>
        <w:t xml:space="preserve"> used</w:t>
      </w:r>
      <w:r w:rsidR="009C4AF4">
        <w:rPr>
          <w:rFonts w:ascii="Times New Roman" w:hAnsi="Times New Roman" w:cs="Times New Roman"/>
          <w:sz w:val="24"/>
          <w:szCs w:val="36"/>
        </w:rPr>
        <w:t xml:space="preserve"> six </w:t>
      </w:r>
      <w:r w:rsidR="009C4AF4">
        <w:rPr>
          <w:rFonts w:ascii="Times New Roman" w:hAnsi="Times New Roman" w:cs="Times New Roman"/>
          <w:sz w:val="24"/>
          <w:szCs w:val="36"/>
        </w:rPr>
        <w:lastRenderedPageBreak/>
        <w:t xml:space="preserve">portfolios, this study focuses on the four portfolios, by taking the intersection of the 50-50 split of BTM stocks and the 50-50 split of market </w:t>
      </w:r>
      <w:r w:rsidR="00610C8D">
        <w:rPr>
          <w:rFonts w:ascii="Times New Roman" w:hAnsi="Times New Roman" w:cs="Times New Roman"/>
          <w:sz w:val="24"/>
          <w:szCs w:val="36"/>
        </w:rPr>
        <w:t>capitalisation</w:t>
      </w:r>
      <w:r w:rsidR="009C4AF4">
        <w:rPr>
          <w:rFonts w:ascii="Times New Roman" w:hAnsi="Times New Roman" w:cs="Times New Roman"/>
          <w:sz w:val="24"/>
          <w:szCs w:val="36"/>
        </w:rPr>
        <w:t xml:space="preserve"> stocks. This diffe</w:t>
      </w:r>
      <w:r w:rsidR="003D4902">
        <w:rPr>
          <w:rFonts w:ascii="Times New Roman" w:hAnsi="Times New Roman" w:cs="Times New Roman"/>
          <w:sz w:val="24"/>
          <w:szCs w:val="36"/>
        </w:rPr>
        <w:t xml:space="preserve">rence is due to the fact that a </w:t>
      </w:r>
      <w:r w:rsidR="009C4AF4">
        <w:rPr>
          <w:rFonts w:ascii="Times New Roman" w:hAnsi="Times New Roman" w:cs="Times New Roman"/>
          <w:sz w:val="24"/>
          <w:szCs w:val="36"/>
        </w:rPr>
        <w:t xml:space="preserve">very small number of stocks will be included in the top and bottom 30 percentiles, causing results to be insignificant. Fama and French (1993) value weight their portfolios, using monthly returns and rebalance them annually. This is consistent with this study. </w:t>
      </w:r>
    </w:p>
    <w:p w:rsidR="003B4C5D" w:rsidRDefault="003B4C5D" w:rsidP="00A02570">
      <w:pPr>
        <w:spacing w:line="360" w:lineRule="auto"/>
        <w:jc w:val="both"/>
        <w:rPr>
          <w:rFonts w:ascii="Times New Roman" w:hAnsi="Times New Roman" w:cs="Times New Roman"/>
          <w:sz w:val="24"/>
          <w:szCs w:val="36"/>
        </w:rPr>
      </w:pPr>
    </w:p>
    <w:p w:rsidR="00502948" w:rsidRDefault="00502948" w:rsidP="00A02570">
      <w:pPr>
        <w:spacing w:line="360" w:lineRule="auto"/>
        <w:jc w:val="both"/>
        <w:rPr>
          <w:rFonts w:ascii="Times New Roman" w:hAnsi="Times New Roman" w:cs="Times New Roman"/>
          <w:sz w:val="24"/>
          <w:szCs w:val="36"/>
        </w:rPr>
      </w:pPr>
      <w:r w:rsidRPr="00B3453A">
        <w:rPr>
          <w:rFonts w:ascii="Times New Roman" w:hAnsi="Times New Roman" w:cs="Times New Roman"/>
          <w:sz w:val="24"/>
          <w:szCs w:val="36"/>
        </w:rPr>
        <w:t>With the means of the independently sorted portfolios</w:t>
      </w:r>
      <w:r>
        <w:rPr>
          <w:rFonts w:ascii="Times New Roman" w:hAnsi="Times New Roman" w:cs="Times New Roman"/>
          <w:sz w:val="24"/>
          <w:szCs w:val="36"/>
        </w:rPr>
        <w:t xml:space="preserve"> in Table 2 very similar, the only remarkable value is the average return of the equally weighted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at 3.05%. All other equally weighted or value weighted portfolios have mean returns that range from 1% to 2%. The dividend yield growth portfolio (value weighted) has a mean return of 0.98%. The median statistics also seem to be the same throughout the variables. The largest median value is for the same portfolio as the largest mean value – the equally weighted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This portfolio has a median value of 2.56%. The equally weighted E/P growth portfolio also has a median value of 2.56%. Once again, all other median values range from 1% to 2%. The most remarkable portfolio in the standard deviation column is the equally weighted value dividend yield portfolio, which has the lowest standard deviation of 3.85%. This result indicates that the data points for this portfolio are clustered around the mean.</w:t>
      </w:r>
    </w:p>
    <w:p w:rsidR="00502948" w:rsidRDefault="00502948"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CE050C" w:rsidRDefault="00CE050C" w:rsidP="00A02570">
      <w:pPr>
        <w:spacing w:line="360" w:lineRule="auto"/>
        <w:jc w:val="both"/>
        <w:rPr>
          <w:rFonts w:ascii="Times New Roman" w:hAnsi="Times New Roman" w:cs="Times New Roman"/>
          <w:sz w:val="24"/>
          <w:szCs w:val="36"/>
        </w:rPr>
      </w:pPr>
    </w:p>
    <w:p w:rsidR="00502948" w:rsidRDefault="00502948" w:rsidP="00A02570">
      <w:pPr>
        <w:spacing w:line="360" w:lineRule="auto"/>
        <w:jc w:val="both"/>
        <w:rPr>
          <w:rFonts w:ascii="Times New Roman" w:hAnsi="Times New Roman" w:cs="Times New Roman"/>
          <w:sz w:val="24"/>
          <w:szCs w:val="36"/>
        </w:rPr>
      </w:pPr>
    </w:p>
    <w:p w:rsidR="00502948" w:rsidRDefault="00502948" w:rsidP="00A02570">
      <w:pPr>
        <w:spacing w:line="360" w:lineRule="auto"/>
        <w:jc w:val="both"/>
        <w:rPr>
          <w:rFonts w:ascii="Times New Roman" w:eastAsia="Times New Roman" w:hAnsi="Times New Roman" w:cs="Times New Roman"/>
          <w:sz w:val="24"/>
          <w:lang w:val="en-GB" w:eastAsia="en-GB"/>
        </w:rPr>
      </w:pPr>
    </w:p>
    <w:tbl>
      <w:tblPr>
        <w:tblStyle w:val="TableGrid"/>
        <w:tblW w:w="0" w:type="auto"/>
        <w:tblLook w:val="04A0"/>
      </w:tblPr>
      <w:tblGrid>
        <w:gridCol w:w="1951"/>
        <w:gridCol w:w="693"/>
        <w:gridCol w:w="1008"/>
        <w:gridCol w:w="1134"/>
        <w:gridCol w:w="1276"/>
        <w:gridCol w:w="1134"/>
        <w:gridCol w:w="1134"/>
        <w:gridCol w:w="912"/>
      </w:tblGrid>
      <w:tr w:rsidR="00206FE3" w:rsidRPr="009E38EF" w:rsidTr="00206FE3">
        <w:trPr>
          <w:trHeight w:val="285"/>
        </w:trPr>
        <w:tc>
          <w:tcPr>
            <w:tcW w:w="9242" w:type="dxa"/>
            <w:gridSpan w:val="8"/>
            <w:vAlign w:val="center"/>
          </w:tcPr>
          <w:p w:rsidR="00206FE3" w:rsidRPr="009E38EF" w:rsidRDefault="00206FE3" w:rsidP="00206FE3">
            <w:pPr>
              <w:jc w:val="center"/>
              <w:rPr>
                <w:rFonts w:ascii="Times New Roman" w:hAnsi="Times New Roman" w:cs="Times New Roman"/>
                <w:b/>
                <w:sz w:val="24"/>
              </w:rPr>
            </w:pPr>
            <w:r w:rsidRPr="009E38EF">
              <w:rPr>
                <w:rFonts w:ascii="Times New Roman" w:hAnsi="Times New Roman" w:cs="Times New Roman"/>
                <w:b/>
                <w:sz w:val="24"/>
              </w:rPr>
              <w:lastRenderedPageBreak/>
              <w:t>Table</w:t>
            </w:r>
            <w:r>
              <w:rPr>
                <w:rFonts w:ascii="Times New Roman" w:hAnsi="Times New Roman" w:cs="Times New Roman"/>
                <w:b/>
                <w:sz w:val="24"/>
              </w:rPr>
              <w:t xml:space="preserve"> 2</w:t>
            </w:r>
          </w:p>
        </w:tc>
      </w:tr>
      <w:tr w:rsidR="00206FE3" w:rsidRPr="009E38EF" w:rsidTr="00206FE3">
        <w:trPr>
          <w:trHeight w:val="285"/>
        </w:trPr>
        <w:tc>
          <w:tcPr>
            <w:tcW w:w="9242" w:type="dxa"/>
            <w:gridSpan w:val="8"/>
            <w:vAlign w:val="center"/>
          </w:tcPr>
          <w:p w:rsidR="00206FE3" w:rsidRPr="009E38EF" w:rsidRDefault="00206FE3" w:rsidP="00206FE3">
            <w:pPr>
              <w:jc w:val="center"/>
              <w:rPr>
                <w:rFonts w:ascii="Times New Roman" w:hAnsi="Times New Roman" w:cs="Times New Roman"/>
                <w:b/>
                <w:sz w:val="24"/>
              </w:rPr>
            </w:pPr>
            <w:r w:rsidRPr="009E38EF">
              <w:rPr>
                <w:rFonts w:ascii="Times New Roman" w:hAnsi="Times New Roman" w:cs="Times New Roman"/>
                <w:b/>
                <w:sz w:val="24"/>
              </w:rPr>
              <w:t>Simple Statistics of Independent, Single Sorted Variables</w:t>
            </w:r>
          </w:p>
        </w:tc>
      </w:tr>
      <w:tr w:rsidR="00206FE3" w:rsidRPr="00B85AA2" w:rsidTr="00206FE3">
        <w:trPr>
          <w:trHeight w:val="285"/>
        </w:trPr>
        <w:tc>
          <w:tcPr>
            <w:tcW w:w="9242" w:type="dxa"/>
            <w:gridSpan w:val="8"/>
            <w:vAlign w:val="center"/>
          </w:tcPr>
          <w:p w:rsidR="00206FE3" w:rsidRPr="001F0168" w:rsidRDefault="00206FE3" w:rsidP="00206FE3">
            <w:pPr>
              <w:jc w:val="center"/>
              <w:rPr>
                <w:rFonts w:ascii="Times New Roman" w:hAnsi="Times New Roman" w:cs="Times New Roman"/>
                <w:sz w:val="20"/>
              </w:rPr>
            </w:pPr>
            <w:r w:rsidRPr="001F0168">
              <w:rPr>
                <w:rFonts w:ascii="Times New Roman" w:hAnsi="Times New Roman" w:cs="Times New Roman"/>
                <w:sz w:val="20"/>
              </w:rPr>
              <w:t xml:space="preserve">The monthly mean, monthly standard deviation, monthly median and minimum and maximum values are presented below for the one way sorted independent variables. The N indicates the number of monthly data points used. DP Value (Eq) is the dividend-to-price value portfolio (high D/P stocks), equally weighted. EP growth (Eq) is the earnings-to-price growth portfolio (low E/P stocks), equally weighted. CP Value (Va) is the cash flow-to-price value portfolio (high C/P stocks), value weighted. BTM Growth (Va) is the book-to-market growth portfolio (low BTM stocks), value weighted. MCap Value (Eq) is the market </w:t>
            </w:r>
            <w:r w:rsidR="00610C8D">
              <w:rPr>
                <w:rFonts w:ascii="Times New Roman" w:hAnsi="Times New Roman" w:cs="Times New Roman"/>
                <w:sz w:val="20"/>
              </w:rPr>
              <w:t>capitalisation</w:t>
            </w:r>
            <w:r w:rsidRPr="001F0168">
              <w:rPr>
                <w:rFonts w:ascii="Times New Roman" w:hAnsi="Times New Roman" w:cs="Times New Roman"/>
                <w:sz w:val="20"/>
              </w:rPr>
              <w:t xml:space="preserve"> value portfolio (small </w:t>
            </w:r>
            <w:r w:rsidR="00610C8D">
              <w:rPr>
                <w:rFonts w:ascii="Times New Roman" w:hAnsi="Times New Roman" w:cs="Times New Roman"/>
                <w:sz w:val="20"/>
              </w:rPr>
              <w:t>capitalisation</w:t>
            </w:r>
            <w:r w:rsidRPr="001F0168">
              <w:rPr>
                <w:rFonts w:ascii="Times New Roman" w:hAnsi="Times New Roman" w:cs="Times New Roman"/>
                <w:sz w:val="20"/>
              </w:rPr>
              <w:t xml:space="preserve"> stocks), equally weighted. The (Eq) term in parentheses denotes equally weighted portfolios, while the (Va) term in parentheses denotes value weighted portfolios. </w:t>
            </w:r>
          </w:p>
        </w:tc>
      </w:tr>
      <w:tr w:rsidR="00206FE3" w:rsidTr="00206FE3">
        <w:tc>
          <w:tcPr>
            <w:tcW w:w="1951" w:type="dxa"/>
            <w:tcBorders>
              <w:bottom w:val="single" w:sz="4" w:space="0" w:color="auto"/>
              <w:right w:val="single" w:sz="4" w:space="0" w:color="auto"/>
            </w:tcBorders>
            <w:vAlign w:val="bottom"/>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Variable</w:t>
            </w:r>
          </w:p>
        </w:tc>
        <w:tc>
          <w:tcPr>
            <w:tcW w:w="693" w:type="dxa"/>
            <w:tcBorders>
              <w:top w:val="single" w:sz="4" w:space="0" w:color="auto"/>
              <w:left w:val="single" w:sz="4" w:space="0" w:color="auto"/>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N</w:t>
            </w:r>
          </w:p>
        </w:tc>
        <w:tc>
          <w:tcPr>
            <w:tcW w:w="1008" w:type="dxa"/>
            <w:tcBorders>
              <w:top w:val="single" w:sz="4" w:space="0" w:color="auto"/>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Mean</w:t>
            </w:r>
          </w:p>
        </w:tc>
        <w:tc>
          <w:tcPr>
            <w:tcW w:w="1134" w:type="dxa"/>
            <w:tcBorders>
              <w:top w:val="single" w:sz="4" w:space="0" w:color="auto"/>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Std Dev</w:t>
            </w:r>
          </w:p>
        </w:tc>
        <w:tc>
          <w:tcPr>
            <w:tcW w:w="1276" w:type="dxa"/>
            <w:tcBorders>
              <w:top w:val="single" w:sz="4" w:space="0" w:color="auto"/>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Median</w:t>
            </w:r>
          </w:p>
        </w:tc>
        <w:tc>
          <w:tcPr>
            <w:tcW w:w="1134" w:type="dxa"/>
            <w:tcBorders>
              <w:top w:val="single" w:sz="4" w:space="0" w:color="auto"/>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Minimum</w:t>
            </w:r>
          </w:p>
        </w:tc>
        <w:tc>
          <w:tcPr>
            <w:tcW w:w="1134" w:type="dxa"/>
            <w:tcBorders>
              <w:top w:val="single" w:sz="4" w:space="0" w:color="auto"/>
              <w:left w:val="nil"/>
              <w:bottom w:val="single" w:sz="4" w:space="0" w:color="auto"/>
              <w:right w:val="single" w:sz="4" w:space="0" w:color="auto"/>
            </w:tcBorders>
            <w:vAlign w:val="center"/>
          </w:tcPr>
          <w:p w:rsidR="00206FE3" w:rsidRPr="009E38EF" w:rsidRDefault="00206FE3" w:rsidP="00206FE3">
            <w:pPr>
              <w:jc w:val="cente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Maximum</w:t>
            </w:r>
          </w:p>
        </w:tc>
        <w:tc>
          <w:tcPr>
            <w:tcW w:w="912" w:type="dxa"/>
            <w:tcBorders>
              <w:top w:val="single" w:sz="4" w:space="0" w:color="auto"/>
              <w:left w:val="nil"/>
              <w:bottom w:val="single" w:sz="4" w:space="0" w:color="auto"/>
              <w:right w:val="single" w:sz="4" w:space="0" w:color="auto"/>
            </w:tcBorders>
            <w:vAlign w:val="center"/>
          </w:tcPr>
          <w:p w:rsidR="00206FE3" w:rsidRPr="009E38EF" w:rsidRDefault="00206FE3" w:rsidP="00206FE3">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 &gt; |t|</w:t>
            </w:r>
          </w:p>
        </w:tc>
      </w:tr>
      <w:tr w:rsidR="00206FE3" w:rsidTr="00206FE3">
        <w:tc>
          <w:tcPr>
            <w:tcW w:w="1951" w:type="dxa"/>
            <w:tcBorders>
              <w:top w:val="single" w:sz="4" w:space="0" w:color="auto"/>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D</w:t>
            </w:r>
            <w:r>
              <w:rPr>
                <w:rFonts w:ascii="Times New Roman" w:eastAsia="Times New Roman" w:hAnsi="Times New Roman" w:cs="Times New Roman"/>
                <w:b/>
                <w:bCs/>
                <w:sz w:val="20"/>
                <w:szCs w:val="20"/>
              </w:rPr>
              <w:t>iv Yield</w:t>
            </w:r>
            <w:r w:rsidRPr="009E38EF">
              <w:rPr>
                <w:rFonts w:ascii="Times New Roman" w:eastAsia="Times New Roman" w:hAnsi="Times New Roman" w:cs="Times New Roman"/>
                <w:b/>
                <w:bCs/>
                <w:sz w:val="20"/>
                <w:szCs w:val="20"/>
              </w:rPr>
              <w:t xml:space="preserve"> Value (Eq)</w:t>
            </w:r>
          </w:p>
        </w:tc>
        <w:tc>
          <w:tcPr>
            <w:tcW w:w="693" w:type="dxa"/>
            <w:tcBorders>
              <w:top w:val="single" w:sz="4" w:space="0" w:color="auto"/>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single" w:sz="4" w:space="0" w:color="auto"/>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0.01755</w:t>
            </w:r>
          </w:p>
        </w:tc>
        <w:tc>
          <w:tcPr>
            <w:tcW w:w="1134" w:type="dxa"/>
            <w:tcBorders>
              <w:top w:val="single" w:sz="4" w:space="0" w:color="auto"/>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0.03846</w:t>
            </w:r>
          </w:p>
        </w:tc>
        <w:tc>
          <w:tcPr>
            <w:tcW w:w="1276" w:type="dxa"/>
            <w:tcBorders>
              <w:top w:val="single" w:sz="4" w:space="0" w:color="auto"/>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0.02026</w:t>
            </w:r>
          </w:p>
        </w:tc>
        <w:tc>
          <w:tcPr>
            <w:tcW w:w="1134" w:type="dxa"/>
            <w:tcBorders>
              <w:top w:val="single" w:sz="4" w:space="0" w:color="auto"/>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-0.15568</w:t>
            </w:r>
          </w:p>
        </w:tc>
        <w:tc>
          <w:tcPr>
            <w:tcW w:w="1134" w:type="dxa"/>
            <w:tcBorders>
              <w:top w:val="single" w:sz="4" w:space="0" w:color="auto"/>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0.14323</w:t>
            </w:r>
          </w:p>
        </w:tc>
        <w:tc>
          <w:tcPr>
            <w:tcW w:w="912" w:type="dxa"/>
            <w:tcBorders>
              <w:top w:val="single" w:sz="4" w:space="0" w:color="auto"/>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D</w:t>
            </w:r>
            <w:r>
              <w:rPr>
                <w:rFonts w:ascii="Times New Roman" w:eastAsia="Times New Roman" w:hAnsi="Times New Roman" w:cs="Times New Roman"/>
                <w:b/>
                <w:bCs/>
                <w:sz w:val="20"/>
                <w:szCs w:val="20"/>
              </w:rPr>
              <w:t>iv Yield</w:t>
            </w:r>
            <w:r w:rsidRPr="009E38EF">
              <w:rPr>
                <w:rFonts w:ascii="Times New Roman" w:eastAsia="Times New Roman" w:hAnsi="Times New Roman" w:cs="Times New Roman"/>
                <w:b/>
                <w:bCs/>
                <w:sz w:val="20"/>
                <w:szCs w:val="20"/>
              </w:rPr>
              <w:t xml:space="preserve"> Growth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0.02197</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0.05045</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0.02258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-0.18753</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0.23436</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D</w:t>
            </w:r>
            <w:r>
              <w:rPr>
                <w:rFonts w:ascii="Times New Roman" w:eastAsia="Times New Roman" w:hAnsi="Times New Roman" w:cs="Times New Roman"/>
                <w:b/>
                <w:bCs/>
                <w:sz w:val="20"/>
                <w:szCs w:val="20"/>
              </w:rPr>
              <w:t>iv Yield</w:t>
            </w:r>
            <w:r w:rsidRPr="009E38EF">
              <w:rPr>
                <w:rFonts w:ascii="Times New Roman" w:eastAsia="Times New Roman" w:hAnsi="Times New Roman" w:cs="Times New Roman"/>
                <w:b/>
                <w:bCs/>
                <w:sz w:val="20"/>
                <w:szCs w:val="20"/>
              </w:rPr>
              <w:t xml:space="preserve"> Value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0.01545</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0.05876</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0.01221</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-0.19535</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0.17239</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D</w:t>
            </w:r>
            <w:r>
              <w:rPr>
                <w:rFonts w:ascii="Times New Roman" w:eastAsia="Times New Roman" w:hAnsi="Times New Roman" w:cs="Times New Roman"/>
                <w:b/>
                <w:bCs/>
                <w:sz w:val="20"/>
                <w:szCs w:val="20"/>
              </w:rPr>
              <w:t>iv Yield</w:t>
            </w:r>
            <w:r w:rsidRPr="009E38EF">
              <w:rPr>
                <w:rFonts w:ascii="Times New Roman" w:eastAsia="Times New Roman" w:hAnsi="Times New Roman" w:cs="Times New Roman"/>
                <w:b/>
                <w:bCs/>
                <w:sz w:val="20"/>
                <w:szCs w:val="20"/>
              </w:rPr>
              <w:t xml:space="preserve"> Growth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0.00983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0.06318</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0.01280</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-0.27853</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0.20433</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0.0199</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EP Value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0.01955</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0.04415</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0.01913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-0.21183</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0.18706</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EP Growth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0.02739</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0.06192</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0.02559</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-0.22049</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0.50553</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EP Value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0.01479</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0.06166</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0.01731</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-0.23632</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0.19187</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0.0004</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EP Growth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0.01284</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0.05879</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0.01108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-0.28687</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0.15444</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0.0012</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CP Value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0.02253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0.05805</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0.01918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-0.20505</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0.56230</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CP Growth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0.02439</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0.05233</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0.02468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-0.22677</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0.29907</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CP Value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0.01575</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0.06050</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0.01998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-0.22502</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0.17993</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CP Growth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0.01273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0.05892</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0.01268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-0.29662</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0.17040</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0.0013</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BTM Value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0.02684</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0.05979</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0.02245</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-0.21291</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0.56427</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BTM Growth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0.02012</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0.05112</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0.01840</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-0.21870</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0.29757</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BTM Value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0.01606</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0.06274</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0.01721</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-0.23819</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0.20361</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BTM Growth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0.01332</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0.05888</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0.01411</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-0.27730</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0.16894</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0.0008</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 xml:space="preserve">MCap </w:t>
            </w:r>
            <w:r>
              <w:rPr>
                <w:rFonts w:ascii="Times New Roman" w:eastAsia="Times New Roman" w:hAnsi="Times New Roman" w:cs="Times New Roman"/>
                <w:b/>
                <w:bCs/>
                <w:sz w:val="20"/>
                <w:szCs w:val="20"/>
              </w:rPr>
              <w:t>Value</w:t>
            </w:r>
            <w:r w:rsidRPr="009E38EF">
              <w:rPr>
                <w:rFonts w:ascii="Times New Roman" w:eastAsia="Times New Roman" w:hAnsi="Times New Roman" w:cs="Times New Roman"/>
                <w:b/>
                <w:bCs/>
                <w:sz w:val="20"/>
                <w:szCs w:val="20"/>
              </w:rPr>
              <w:t xml:space="preserve">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0.03053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0.05983</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0.02563</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-0.19188</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0.55529</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 xml:space="preserve">MCap </w:t>
            </w:r>
            <w:r>
              <w:rPr>
                <w:rFonts w:ascii="Times New Roman" w:eastAsia="Times New Roman" w:hAnsi="Times New Roman" w:cs="Times New Roman"/>
                <w:b/>
                <w:bCs/>
                <w:sz w:val="20"/>
                <w:szCs w:val="20"/>
              </w:rPr>
              <w:t>Growth</w:t>
            </w:r>
            <w:r w:rsidRPr="009E38EF">
              <w:rPr>
                <w:rFonts w:ascii="Times New Roman" w:eastAsia="Times New Roman" w:hAnsi="Times New Roman" w:cs="Times New Roman"/>
                <w:b/>
                <w:bCs/>
                <w:sz w:val="20"/>
                <w:szCs w:val="20"/>
              </w:rPr>
              <w:t xml:space="preserve"> (Eq)</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0.01374</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0.04751</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0.01708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-0.25597</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0.12973</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206FE3" w:rsidTr="00206FE3">
        <w:tc>
          <w:tcPr>
            <w:tcW w:w="1951" w:type="dxa"/>
            <w:tcBorders>
              <w:top w:val="nil"/>
              <w:left w:val="single" w:sz="4" w:space="0" w:color="auto"/>
              <w:bottom w:val="nil"/>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 xml:space="preserve">MCap </w:t>
            </w:r>
            <w:r>
              <w:rPr>
                <w:rFonts w:ascii="Times New Roman" w:eastAsia="Times New Roman" w:hAnsi="Times New Roman" w:cs="Times New Roman"/>
                <w:b/>
                <w:bCs/>
                <w:sz w:val="20"/>
                <w:szCs w:val="20"/>
              </w:rPr>
              <w:t>Value</w:t>
            </w:r>
            <w:r w:rsidRPr="009E38EF">
              <w:rPr>
                <w:rFonts w:ascii="Times New Roman" w:eastAsia="Times New Roman" w:hAnsi="Times New Roman" w:cs="Times New Roman"/>
                <w:b/>
                <w:bCs/>
                <w:sz w:val="20"/>
                <w:szCs w:val="20"/>
              </w:rPr>
              <w:t xml:space="preserve"> (Va)</w:t>
            </w:r>
          </w:p>
        </w:tc>
        <w:tc>
          <w:tcPr>
            <w:tcW w:w="693" w:type="dxa"/>
            <w:tcBorders>
              <w:top w:val="nil"/>
              <w:left w:val="single" w:sz="4" w:space="0" w:color="auto"/>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0.01934</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0.05069</w:t>
            </w:r>
          </w:p>
        </w:tc>
        <w:tc>
          <w:tcPr>
            <w:tcW w:w="1276"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0.01578</w:t>
            </w:r>
          </w:p>
        </w:tc>
        <w:tc>
          <w:tcPr>
            <w:tcW w:w="1134" w:type="dxa"/>
            <w:tcBorders>
              <w:top w:val="nil"/>
              <w:left w:val="nil"/>
              <w:bottom w:val="nil"/>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-0.20934</w:t>
            </w:r>
          </w:p>
        </w:tc>
        <w:tc>
          <w:tcPr>
            <w:tcW w:w="1134"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0.28356</w:t>
            </w:r>
          </w:p>
        </w:tc>
        <w:tc>
          <w:tcPr>
            <w:tcW w:w="912" w:type="dxa"/>
            <w:tcBorders>
              <w:top w:val="nil"/>
              <w:left w:val="nil"/>
              <w:bottom w:val="nil"/>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0.0006</w:t>
            </w:r>
          </w:p>
        </w:tc>
      </w:tr>
      <w:tr w:rsidR="00206FE3" w:rsidTr="00206FE3">
        <w:tc>
          <w:tcPr>
            <w:tcW w:w="1951" w:type="dxa"/>
            <w:tcBorders>
              <w:top w:val="nil"/>
              <w:left w:val="single" w:sz="4" w:space="0" w:color="auto"/>
              <w:bottom w:val="single" w:sz="4" w:space="0" w:color="auto"/>
              <w:right w:val="single" w:sz="4" w:space="0" w:color="auto"/>
            </w:tcBorders>
            <w:vAlign w:val="center"/>
          </w:tcPr>
          <w:p w:rsidR="00206FE3" w:rsidRPr="009E38EF" w:rsidRDefault="00206FE3" w:rsidP="00206FE3">
            <w:pPr>
              <w:rPr>
                <w:rFonts w:ascii="Times New Roman" w:eastAsia="Times New Roman" w:hAnsi="Times New Roman" w:cs="Times New Roman"/>
                <w:b/>
                <w:bCs/>
                <w:sz w:val="20"/>
                <w:szCs w:val="20"/>
              </w:rPr>
            </w:pPr>
            <w:r w:rsidRPr="009E38EF">
              <w:rPr>
                <w:rFonts w:ascii="Times New Roman" w:eastAsia="Times New Roman" w:hAnsi="Times New Roman" w:cs="Times New Roman"/>
                <w:b/>
                <w:bCs/>
                <w:sz w:val="20"/>
                <w:szCs w:val="20"/>
              </w:rPr>
              <w:t xml:space="preserve">MCap </w:t>
            </w:r>
            <w:r>
              <w:rPr>
                <w:rFonts w:ascii="Times New Roman" w:eastAsia="Times New Roman" w:hAnsi="Times New Roman" w:cs="Times New Roman"/>
                <w:b/>
                <w:bCs/>
                <w:sz w:val="20"/>
                <w:szCs w:val="20"/>
              </w:rPr>
              <w:t>Growth</w:t>
            </w:r>
            <w:r w:rsidRPr="009E38EF">
              <w:rPr>
                <w:rFonts w:ascii="Times New Roman" w:eastAsia="Times New Roman" w:hAnsi="Times New Roman" w:cs="Times New Roman"/>
                <w:b/>
                <w:bCs/>
                <w:sz w:val="20"/>
                <w:szCs w:val="20"/>
              </w:rPr>
              <w:t xml:space="preserve"> (Va)</w:t>
            </w:r>
          </w:p>
        </w:tc>
        <w:tc>
          <w:tcPr>
            <w:tcW w:w="693" w:type="dxa"/>
            <w:tcBorders>
              <w:top w:val="nil"/>
              <w:left w:val="single" w:sz="4" w:space="0" w:color="auto"/>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227</w:t>
            </w:r>
          </w:p>
        </w:tc>
        <w:tc>
          <w:tcPr>
            <w:tcW w:w="1008" w:type="dxa"/>
            <w:tcBorders>
              <w:top w:val="nil"/>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0.01335</w:t>
            </w:r>
          </w:p>
        </w:tc>
        <w:tc>
          <w:tcPr>
            <w:tcW w:w="1134" w:type="dxa"/>
            <w:tcBorders>
              <w:top w:val="nil"/>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0.05746</w:t>
            </w:r>
          </w:p>
        </w:tc>
        <w:tc>
          <w:tcPr>
            <w:tcW w:w="1276" w:type="dxa"/>
            <w:tcBorders>
              <w:top w:val="nil"/>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0.01513</w:t>
            </w:r>
          </w:p>
        </w:tc>
        <w:tc>
          <w:tcPr>
            <w:tcW w:w="1134" w:type="dxa"/>
            <w:tcBorders>
              <w:top w:val="nil"/>
              <w:left w:val="nil"/>
              <w:bottom w:val="single" w:sz="4" w:space="0" w:color="auto"/>
              <w:right w:val="nil"/>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-0.26821</w:t>
            </w:r>
          </w:p>
        </w:tc>
        <w:tc>
          <w:tcPr>
            <w:tcW w:w="1134" w:type="dxa"/>
            <w:tcBorders>
              <w:top w:val="nil"/>
              <w:left w:val="nil"/>
              <w:bottom w:val="single" w:sz="4" w:space="0" w:color="auto"/>
              <w:right w:val="single" w:sz="4" w:space="0" w:color="auto"/>
            </w:tcBorders>
            <w:vAlign w:val="center"/>
          </w:tcPr>
          <w:p w:rsidR="00206FE3" w:rsidRPr="009E38EF" w:rsidRDefault="00206FE3" w:rsidP="00206FE3">
            <w:pPr>
              <w:jc w:val="center"/>
              <w:rPr>
                <w:rFonts w:ascii="Times New Roman" w:eastAsia="Times New Roman" w:hAnsi="Times New Roman" w:cs="Times New Roman"/>
                <w:sz w:val="20"/>
                <w:szCs w:val="20"/>
              </w:rPr>
            </w:pPr>
            <w:r w:rsidRPr="009E38EF">
              <w:rPr>
                <w:rFonts w:ascii="Times New Roman" w:eastAsia="Times New Roman" w:hAnsi="Times New Roman" w:cs="Times New Roman"/>
                <w:sz w:val="20"/>
                <w:szCs w:val="20"/>
              </w:rPr>
              <w:t>0.15534</w:t>
            </w:r>
          </w:p>
        </w:tc>
        <w:tc>
          <w:tcPr>
            <w:tcW w:w="912" w:type="dxa"/>
            <w:tcBorders>
              <w:top w:val="nil"/>
              <w:left w:val="nil"/>
              <w:bottom w:val="single" w:sz="4" w:space="0" w:color="auto"/>
              <w:right w:val="single" w:sz="4" w:space="0" w:color="auto"/>
            </w:tcBorders>
            <w:vAlign w:val="center"/>
          </w:tcPr>
          <w:p w:rsidR="00206FE3" w:rsidRPr="009E38EF" w:rsidRDefault="00206FE3" w:rsidP="008F5D6A">
            <w:pPr>
              <w:keepNex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bl>
    <w:p w:rsidR="008F5D6A" w:rsidRPr="008F5D6A" w:rsidRDefault="008F5D6A">
      <w:pPr>
        <w:pStyle w:val="Caption"/>
        <w:rPr>
          <w:color w:val="FFFFFF" w:themeColor="background1"/>
        </w:rPr>
      </w:pPr>
      <w:bookmarkStart w:id="52" w:name="_Toc305166525"/>
      <w:r w:rsidRPr="008F5D6A">
        <w:rPr>
          <w:color w:val="FFFFFF" w:themeColor="background1"/>
        </w:rPr>
        <w:t xml:space="preserve">Table </w:t>
      </w:r>
      <w:r w:rsidR="000963F3" w:rsidRPr="008F5D6A">
        <w:rPr>
          <w:color w:val="FFFFFF" w:themeColor="background1"/>
        </w:rPr>
        <w:fldChar w:fldCharType="begin"/>
      </w:r>
      <w:r w:rsidRPr="008F5D6A">
        <w:rPr>
          <w:color w:val="FFFFFF" w:themeColor="background1"/>
        </w:rPr>
        <w:instrText xml:space="preserve"> SEQ Table \* ARABIC </w:instrText>
      </w:r>
      <w:r w:rsidR="000963F3" w:rsidRPr="008F5D6A">
        <w:rPr>
          <w:color w:val="FFFFFF" w:themeColor="background1"/>
        </w:rPr>
        <w:fldChar w:fldCharType="separate"/>
      </w:r>
      <w:r w:rsidR="00AB32F5">
        <w:rPr>
          <w:noProof/>
          <w:color w:val="FFFFFF" w:themeColor="background1"/>
        </w:rPr>
        <w:t>2</w:t>
      </w:r>
      <w:r w:rsidR="000963F3" w:rsidRPr="008F5D6A">
        <w:rPr>
          <w:color w:val="FFFFFF" w:themeColor="background1"/>
        </w:rPr>
        <w:fldChar w:fldCharType="end"/>
      </w:r>
      <w:r w:rsidRPr="008F5D6A">
        <w:rPr>
          <w:color w:val="FFFFFF" w:themeColor="background1"/>
        </w:rPr>
        <w:t xml:space="preserve"> - Simple Statistics of Independent, Single Sorted Variables</w:t>
      </w:r>
      <w:bookmarkEnd w:id="52"/>
    </w:p>
    <w:p w:rsidR="00206FE3" w:rsidRDefault="00206FE3" w:rsidP="00206FE3">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standard deviation for the equally weighted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is 5.98%, which is not that large in relation to the rest of the portfolios. The value weighted growth dividend yield portfolio has the largest monthly standard deviation of 6.32%. </w:t>
      </w:r>
      <w:r w:rsidR="00363B3A">
        <w:rPr>
          <w:rFonts w:ascii="Times New Roman" w:hAnsi="Times New Roman" w:cs="Times New Roman"/>
          <w:sz w:val="24"/>
          <w:szCs w:val="36"/>
        </w:rPr>
        <w:t xml:space="preserve">Its mean of 0.98% is in line with the relatively high standard deviation. </w:t>
      </w:r>
      <w:r w:rsidR="00AB2C61">
        <w:rPr>
          <w:rFonts w:ascii="Times New Roman" w:hAnsi="Times New Roman" w:cs="Times New Roman"/>
          <w:sz w:val="24"/>
          <w:szCs w:val="36"/>
        </w:rPr>
        <w:t xml:space="preserve">With the median of the value weighted growth D/P portfolio similar to that of the value weighted value D/P portfolio it appears that there may be outliers in the growth D/P portfolio. </w:t>
      </w:r>
      <w:r w:rsidR="00D7429D">
        <w:rPr>
          <w:rFonts w:ascii="Times New Roman" w:hAnsi="Times New Roman" w:cs="Times New Roman"/>
          <w:sz w:val="24"/>
          <w:szCs w:val="36"/>
        </w:rPr>
        <w:t xml:space="preserve">However, this monthly standard deviation of 6.32% is not exceptionally high in comparison to the other portfolios, thus the portfolio is left as is for the regressions. </w:t>
      </w:r>
      <w:r w:rsidR="00AB2C61">
        <w:rPr>
          <w:rFonts w:ascii="Times New Roman" w:hAnsi="Times New Roman" w:cs="Times New Roman"/>
          <w:sz w:val="24"/>
          <w:szCs w:val="36"/>
        </w:rPr>
        <w:t>In</w:t>
      </w:r>
      <w:r>
        <w:rPr>
          <w:rFonts w:ascii="Times New Roman" w:hAnsi="Times New Roman" w:cs="Times New Roman"/>
          <w:sz w:val="24"/>
          <w:szCs w:val="36"/>
        </w:rPr>
        <w:t xml:space="preserve"> addition to the value weighted growth dividend yield portfolio’s high standard deviation is the portfolio’s statistical significance at the 5% level. All other single sorted independent variables are significant at the 1% level.</w:t>
      </w:r>
    </w:p>
    <w:p w:rsidR="00F0157E" w:rsidRDefault="00F0157E" w:rsidP="00206FE3">
      <w:pPr>
        <w:pStyle w:val="ListParagraph"/>
        <w:spacing w:line="360" w:lineRule="auto"/>
        <w:ind w:left="0"/>
        <w:jc w:val="both"/>
        <w:rPr>
          <w:rFonts w:ascii="Times New Roman" w:hAnsi="Times New Roman" w:cs="Times New Roman"/>
          <w:sz w:val="24"/>
          <w:szCs w:val="36"/>
        </w:rPr>
      </w:pPr>
    </w:p>
    <w:p w:rsidR="00CE050C" w:rsidRDefault="00CE050C" w:rsidP="00206FE3">
      <w:pPr>
        <w:pStyle w:val="ListParagraph"/>
        <w:spacing w:line="360" w:lineRule="auto"/>
        <w:ind w:left="0"/>
        <w:jc w:val="both"/>
        <w:rPr>
          <w:rFonts w:ascii="Times New Roman" w:hAnsi="Times New Roman" w:cs="Times New Roman"/>
          <w:sz w:val="24"/>
          <w:szCs w:val="36"/>
        </w:rPr>
      </w:pPr>
    </w:p>
    <w:p w:rsidR="002F7B0D" w:rsidRDefault="002F7B0D" w:rsidP="00206FE3">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lastRenderedPageBreak/>
        <w:t xml:space="preserve">The regressions performed on the single sorted portfolios follow the regression equation, somewhat similar to that of Brouwer, van der Put, and Veld (1997), given below: </w:t>
      </w:r>
    </w:p>
    <w:p w:rsidR="0033125F" w:rsidRDefault="0033125F" w:rsidP="00206FE3">
      <w:pPr>
        <w:pStyle w:val="ListParagraph"/>
        <w:spacing w:line="360" w:lineRule="auto"/>
        <w:ind w:left="0"/>
        <w:jc w:val="both"/>
        <w:rPr>
          <w:rFonts w:ascii="Times New Roman" w:hAnsi="Times New Roman" w:cs="Times New Roman"/>
          <w:sz w:val="24"/>
          <w:szCs w:val="36"/>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9"/>
        <w:gridCol w:w="7667"/>
        <w:gridCol w:w="616"/>
      </w:tblGrid>
      <w:tr w:rsidR="0033125F" w:rsidTr="0033125F">
        <w:trPr>
          <w:jc w:val="center"/>
        </w:trPr>
        <w:tc>
          <w:tcPr>
            <w:tcW w:w="519" w:type="pct"/>
            <w:vAlign w:val="center"/>
          </w:tcPr>
          <w:p w:rsidR="0033125F" w:rsidRDefault="0033125F" w:rsidP="00206FE3">
            <w:pPr>
              <w:pStyle w:val="ListParagraph"/>
              <w:spacing w:line="360" w:lineRule="auto"/>
              <w:ind w:left="0"/>
              <w:jc w:val="both"/>
              <w:rPr>
                <w:rFonts w:ascii="Times New Roman" w:eastAsia="Times New Roman" w:hAnsi="Times New Roman" w:cs="Times New Roman"/>
                <w:sz w:val="24"/>
                <w:szCs w:val="36"/>
              </w:rPr>
            </w:pPr>
          </w:p>
        </w:tc>
        <w:tc>
          <w:tcPr>
            <w:tcW w:w="4148" w:type="pct"/>
          </w:tcPr>
          <w:p w:rsidR="0033125F" w:rsidRPr="0033125F" w:rsidRDefault="000963F3" w:rsidP="00C93624">
            <w:pPr>
              <w:pStyle w:val="ListParagraph"/>
              <w:spacing w:line="360" w:lineRule="auto"/>
              <w:ind w:left="0"/>
              <w:jc w:val="both"/>
              <w:rPr>
                <w:rFonts w:ascii="Times New Roman" w:hAnsi="Times New Roman" w:cs="Times New Roman"/>
                <w:sz w:val="24"/>
                <w:szCs w:val="36"/>
              </w:rPr>
            </w:pPr>
            <m:oMathPara>
              <m:oMath>
                <m:sSub>
                  <m:sSubPr>
                    <m:ctrlPr>
                      <w:rPr>
                        <w:rFonts w:ascii="Cambria Math" w:hAnsi="Cambria Math"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i,t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α</m:t>
                    </m:r>
                  </m:e>
                  <m:sub>
                    <m:r>
                      <w:rPr>
                        <w:rFonts w:ascii="Cambria Math" w:hAnsi="Cambria Math" w:cs="Times New Roman"/>
                        <w:sz w:val="24"/>
                        <w:szCs w:val="36"/>
                      </w:rPr>
                      <m:t>t</m:t>
                    </m:r>
                  </m:sub>
                </m:sSub>
                <m:r>
                  <w:rPr>
                    <w:rFonts w:ascii="Cambria Math" w:hAnsi="Cambria Math" w:cs="Times New Roman"/>
                    <w:sz w:val="24"/>
                    <w:szCs w:val="36"/>
                  </w:rPr>
                  <m:t xml:space="preserve">+ </m:t>
                </m:r>
                <m:sSub>
                  <m:sSubPr>
                    <m:ctrlPr>
                      <w:rPr>
                        <w:rFonts w:ascii="Cambria Math" w:hAnsi="Cambria Math" w:cs="Times New Roman"/>
                        <w:i/>
                        <w:sz w:val="24"/>
                        <w:szCs w:val="36"/>
                      </w:rPr>
                    </m:ctrlPr>
                  </m:sSubPr>
                  <m:e>
                    <m:r>
                      <w:rPr>
                        <w:rFonts w:ascii="Cambria Math" w:hAnsi="Cambria Math" w:cs="Times New Roman"/>
                        <w:sz w:val="24"/>
                        <w:szCs w:val="36"/>
                      </w:rPr>
                      <m:t>r</m:t>
                    </m:r>
                  </m:e>
                  <m:sub>
                    <m:r>
                      <w:rPr>
                        <w:rFonts w:ascii="Cambria Math" w:hAnsi="Cambria Math" w:cs="Times New Roman"/>
                        <w:sz w:val="24"/>
                        <w:szCs w:val="36"/>
                      </w:rPr>
                      <m:t>f</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1</m:t>
                    </m:r>
                  </m:sub>
                </m:sSub>
                <m:sSub>
                  <m:sSubPr>
                    <m:ctrlPr>
                      <w:rPr>
                        <w:rFonts w:ascii="Cambria Math" w:hAnsi="Cambria Math" w:cs="Times New Roman"/>
                        <w:i/>
                        <w:sz w:val="24"/>
                        <w:szCs w:val="36"/>
                      </w:rPr>
                    </m:ctrlPr>
                  </m:sSubPr>
                  <m:e>
                    <m:r>
                      <w:rPr>
                        <w:rFonts w:ascii="Cambria Math" w:hAnsi="Cambria Math" w:cs="Times New Roman"/>
                        <w:sz w:val="24"/>
                        <w:szCs w:val="36"/>
                      </w:rPr>
                      <m:t>D/P</m:t>
                    </m:r>
                  </m:e>
                  <m:sub>
                    <m:r>
                      <w:rPr>
                        <w:rFonts w:ascii="Cambria Math" w:hAnsi="Cambria Math" w:cs="Times New Roman"/>
                        <w:sz w:val="24"/>
                        <w:szCs w:val="36"/>
                      </w:rPr>
                      <m:t>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2</m:t>
                    </m:r>
                  </m:sub>
                </m:sSub>
                <m:sSub>
                  <m:sSubPr>
                    <m:ctrlPr>
                      <w:rPr>
                        <w:rFonts w:ascii="Cambria Math" w:hAnsi="Cambria Math" w:cs="Times New Roman"/>
                        <w:i/>
                        <w:sz w:val="24"/>
                        <w:szCs w:val="36"/>
                      </w:rPr>
                    </m:ctrlPr>
                  </m:sSubPr>
                  <m:e>
                    <m:r>
                      <w:rPr>
                        <w:rFonts w:ascii="Cambria Math" w:hAnsi="Cambria Math" w:cs="Times New Roman"/>
                        <w:sz w:val="24"/>
                        <w:szCs w:val="36"/>
                      </w:rPr>
                      <m:t>E/P</m:t>
                    </m:r>
                  </m:e>
                  <m:sub>
                    <m:r>
                      <w:rPr>
                        <w:rFonts w:ascii="Cambria Math" w:hAnsi="Cambria Math" w:cs="Times New Roman"/>
                        <w:sz w:val="24"/>
                        <w:szCs w:val="36"/>
                      </w:rPr>
                      <m:t>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3</m:t>
                    </m:r>
                  </m:sub>
                </m:sSub>
                <m:sSub>
                  <m:sSubPr>
                    <m:ctrlPr>
                      <w:rPr>
                        <w:rFonts w:ascii="Cambria Math" w:hAnsi="Cambria Math" w:cs="Times New Roman"/>
                        <w:i/>
                        <w:sz w:val="24"/>
                        <w:szCs w:val="36"/>
                      </w:rPr>
                    </m:ctrlPr>
                  </m:sSubPr>
                  <m:e>
                    <m:r>
                      <w:rPr>
                        <w:rFonts w:ascii="Cambria Math" w:hAnsi="Cambria Math" w:cs="Times New Roman"/>
                        <w:sz w:val="24"/>
                        <w:szCs w:val="36"/>
                      </w:rPr>
                      <m:t>C/P</m:t>
                    </m:r>
                  </m:e>
                  <m:sub>
                    <m:r>
                      <w:rPr>
                        <w:rFonts w:ascii="Cambria Math" w:hAnsi="Cambria Math" w:cs="Times New Roman"/>
                        <w:sz w:val="24"/>
                        <w:szCs w:val="36"/>
                      </w:rPr>
                      <m:t>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4</m:t>
                    </m:r>
                  </m:sub>
                </m:sSub>
                <m:sSub>
                  <m:sSubPr>
                    <m:ctrlPr>
                      <w:rPr>
                        <w:rFonts w:ascii="Cambria Math" w:hAnsi="Cambria Math" w:cs="Times New Roman"/>
                        <w:i/>
                        <w:sz w:val="24"/>
                        <w:szCs w:val="36"/>
                      </w:rPr>
                    </m:ctrlPr>
                  </m:sSubPr>
                  <m:e>
                    <m:r>
                      <w:rPr>
                        <w:rFonts w:ascii="Cambria Math" w:hAnsi="Cambria Math" w:cs="Times New Roman"/>
                        <w:sz w:val="24"/>
                        <w:szCs w:val="36"/>
                      </w:rPr>
                      <m:t>BTM</m:t>
                    </m:r>
                  </m:e>
                  <m:sub>
                    <m:r>
                      <w:rPr>
                        <w:rFonts w:ascii="Cambria Math" w:hAnsi="Cambria Math" w:cs="Times New Roman"/>
                        <w:sz w:val="24"/>
                        <w:szCs w:val="36"/>
                      </w:rPr>
                      <m:t>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a</m:t>
                    </m:r>
                  </m:e>
                  <m:sub>
                    <m:r>
                      <w:rPr>
                        <w:rFonts w:ascii="Cambria Math" w:hAnsi="Cambria Math" w:cs="Times New Roman"/>
                        <w:sz w:val="24"/>
                        <w:szCs w:val="36"/>
                      </w:rPr>
                      <m:t>5</m:t>
                    </m:r>
                  </m:sub>
                </m:sSub>
                <m:sSub>
                  <m:sSubPr>
                    <m:ctrlPr>
                      <w:rPr>
                        <w:rFonts w:ascii="Cambria Math" w:hAnsi="Cambria Math" w:cs="Times New Roman"/>
                        <w:i/>
                        <w:sz w:val="24"/>
                        <w:szCs w:val="36"/>
                      </w:rPr>
                    </m:ctrlPr>
                  </m:sSubPr>
                  <m:e>
                    <m:r>
                      <w:rPr>
                        <w:rFonts w:ascii="Cambria Math" w:hAnsi="Cambria Math" w:cs="Times New Roman"/>
                        <w:sz w:val="24"/>
                        <w:szCs w:val="36"/>
                      </w:rPr>
                      <m:t>MCap</m:t>
                    </m:r>
                  </m:e>
                  <m:sub>
                    <m:r>
                      <w:rPr>
                        <w:rFonts w:ascii="Cambria Math" w:hAnsi="Cambria Math" w:cs="Times New Roman"/>
                        <w:sz w:val="24"/>
                        <w:szCs w:val="36"/>
                      </w:rPr>
                      <m:t>t</m:t>
                    </m:r>
                  </m:sub>
                </m:sSub>
                <m:r>
                  <w:rPr>
                    <w:rFonts w:ascii="Cambria Math" w:hAnsi="Cambria Math" w:cs="Times New Roman"/>
                    <w:sz w:val="24"/>
                    <w:szCs w:val="36"/>
                  </w:rPr>
                  <m:t>+</m:t>
                </m:r>
                <m:sSub>
                  <m:sSubPr>
                    <m:ctrlPr>
                      <w:rPr>
                        <w:rFonts w:ascii="Cambria Math" w:hAnsi="Cambria Math" w:cs="Times New Roman"/>
                        <w:i/>
                        <w:sz w:val="24"/>
                        <w:szCs w:val="36"/>
                      </w:rPr>
                    </m:ctrlPr>
                  </m:sSubPr>
                  <m:e>
                    <m:r>
                      <w:rPr>
                        <w:rFonts w:ascii="Cambria Math" w:hAnsi="Cambria Math" w:cs="Times New Roman"/>
                        <w:sz w:val="24"/>
                        <w:szCs w:val="36"/>
                      </w:rPr>
                      <m:t>ε</m:t>
                    </m:r>
                  </m:e>
                  <m:sub>
                    <m:r>
                      <w:rPr>
                        <w:rFonts w:ascii="Cambria Math" w:hAnsi="Cambria Math" w:cs="Times New Roman"/>
                        <w:sz w:val="24"/>
                        <w:szCs w:val="36"/>
                      </w:rPr>
                      <m:t>t</m:t>
                    </m:r>
                  </m:sub>
                </m:sSub>
              </m:oMath>
            </m:oMathPara>
          </w:p>
        </w:tc>
        <w:tc>
          <w:tcPr>
            <w:tcW w:w="333" w:type="pct"/>
          </w:tcPr>
          <w:p w:rsidR="0033125F" w:rsidRDefault="0033125F" w:rsidP="00FE4B4D">
            <w:pPr>
              <w:pStyle w:val="ListParagraph"/>
              <w:spacing w:line="360" w:lineRule="auto"/>
              <w:ind w:left="0"/>
              <w:jc w:val="both"/>
              <w:rPr>
                <w:rFonts w:ascii="Times New Roman" w:eastAsia="Times New Roman" w:hAnsi="Times New Roman" w:cs="Times New Roman"/>
                <w:sz w:val="24"/>
                <w:szCs w:val="36"/>
              </w:rPr>
            </w:pPr>
            <w:r>
              <w:rPr>
                <w:rFonts w:ascii="Times New Roman" w:eastAsia="Times New Roman" w:hAnsi="Times New Roman" w:cs="Times New Roman"/>
                <w:sz w:val="24"/>
                <w:szCs w:val="36"/>
              </w:rPr>
              <w:t>(2</w:t>
            </w:r>
            <w:r w:rsidR="00FE4B4D">
              <w:rPr>
                <w:rFonts w:ascii="Times New Roman" w:eastAsia="Times New Roman" w:hAnsi="Times New Roman" w:cs="Times New Roman"/>
                <w:sz w:val="24"/>
                <w:szCs w:val="36"/>
              </w:rPr>
              <w:t>0</w:t>
            </w:r>
            <w:r>
              <w:rPr>
                <w:rFonts w:ascii="Times New Roman" w:eastAsia="Times New Roman" w:hAnsi="Times New Roman" w:cs="Times New Roman"/>
                <w:sz w:val="24"/>
                <w:szCs w:val="36"/>
              </w:rPr>
              <w:t>)</w:t>
            </w:r>
          </w:p>
        </w:tc>
      </w:tr>
    </w:tbl>
    <w:p w:rsidR="0033125F" w:rsidRDefault="0033125F" w:rsidP="00A02570">
      <w:pPr>
        <w:spacing w:line="360" w:lineRule="auto"/>
        <w:jc w:val="both"/>
        <w:rPr>
          <w:rFonts w:ascii="Times New Roman" w:hAnsi="Times New Roman" w:cs="Times New Roman"/>
          <w:sz w:val="24"/>
        </w:rPr>
      </w:pPr>
    </w:p>
    <w:p w:rsidR="0033125F" w:rsidRDefault="0033125F" w:rsidP="00A02570">
      <w:pPr>
        <w:spacing w:line="360" w:lineRule="auto"/>
        <w:jc w:val="both"/>
        <w:rPr>
          <w:rFonts w:ascii="Times New Roman" w:hAnsi="Times New Roman" w:cs="Times New Roman"/>
          <w:sz w:val="24"/>
        </w:rPr>
      </w:pPr>
      <w:r>
        <w:rPr>
          <w:rFonts w:ascii="Times New Roman" w:hAnsi="Times New Roman" w:cs="Times New Roman"/>
          <w:sz w:val="24"/>
        </w:rPr>
        <w:t>Where:</w:t>
      </w: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76"/>
        <w:gridCol w:w="7149"/>
      </w:tblGrid>
      <w:tr w:rsidR="0033125F" w:rsidTr="00150C55">
        <w:tc>
          <w:tcPr>
            <w:tcW w:w="1276" w:type="dxa"/>
          </w:tcPr>
          <w:p w:rsidR="0033125F" w:rsidRPr="0033125F" w:rsidRDefault="0033125F" w:rsidP="00A02570">
            <w:pPr>
              <w:spacing w:line="360" w:lineRule="auto"/>
              <w:jc w:val="both"/>
              <w:rPr>
                <w:rFonts w:ascii="Times New Roman" w:hAnsi="Times New Roman" w:cs="Times New Roman"/>
                <w:sz w:val="24"/>
              </w:rPr>
            </w:pPr>
            <w:r>
              <w:rPr>
                <w:rFonts w:ascii="Times New Roman" w:hAnsi="Times New Roman" w:cs="Times New Roman"/>
                <w:sz w:val="24"/>
              </w:rPr>
              <w:t>R</w:t>
            </w:r>
            <w:r>
              <w:rPr>
                <w:rFonts w:ascii="Times New Roman" w:hAnsi="Times New Roman" w:cs="Times New Roman"/>
                <w:sz w:val="24"/>
                <w:vertAlign w:val="subscript"/>
              </w:rPr>
              <w:t>i,t</w:t>
            </w:r>
          </w:p>
        </w:tc>
        <w:tc>
          <w:tcPr>
            <w:tcW w:w="7149" w:type="dxa"/>
          </w:tcPr>
          <w:p w:rsidR="0033125F" w:rsidRDefault="0033125F" w:rsidP="0033125F">
            <w:pPr>
              <w:spacing w:line="360" w:lineRule="auto"/>
              <w:jc w:val="both"/>
              <w:rPr>
                <w:rFonts w:ascii="Times New Roman" w:hAnsi="Times New Roman" w:cs="Times New Roman"/>
                <w:sz w:val="24"/>
              </w:rPr>
            </w:pPr>
            <w:r>
              <w:rPr>
                <w:rFonts w:ascii="Times New Roman" w:hAnsi="Times New Roman" w:cs="Times New Roman"/>
                <w:sz w:val="24"/>
              </w:rPr>
              <w:t>R</w:t>
            </w:r>
            <w:r w:rsidR="008B5BC6">
              <w:rPr>
                <w:rFonts w:ascii="Times New Roman" w:hAnsi="Times New Roman" w:cs="Times New Roman"/>
                <w:sz w:val="24"/>
              </w:rPr>
              <w:t>eturn on portfolio i, for month</w:t>
            </w:r>
            <w:r w:rsidRPr="008B5BC6">
              <w:rPr>
                <w:rFonts w:ascii="Times New Roman" w:hAnsi="Times New Roman" w:cs="Times New Roman"/>
                <w:sz w:val="24"/>
                <w:vertAlign w:val="subscript"/>
              </w:rPr>
              <w:t>t</w:t>
            </w:r>
          </w:p>
        </w:tc>
      </w:tr>
      <w:tr w:rsidR="0033125F" w:rsidTr="00150C55">
        <w:tc>
          <w:tcPr>
            <w:tcW w:w="1276" w:type="dxa"/>
          </w:tcPr>
          <w:p w:rsidR="0033125F" w:rsidRPr="0033125F" w:rsidRDefault="00C93624" w:rsidP="00A02570">
            <w:pPr>
              <w:spacing w:line="360" w:lineRule="auto"/>
              <w:jc w:val="both"/>
              <w:rPr>
                <w:rFonts w:ascii="Times New Roman" w:hAnsi="Times New Roman" w:cs="Times New Roman"/>
                <w:sz w:val="24"/>
              </w:rPr>
            </w:pPr>
            <w:r>
              <w:rPr>
                <w:rFonts w:ascii="Times New Roman" w:hAnsi="Times New Roman" w:cs="Times New Roman"/>
                <w:sz w:val="24"/>
              </w:rPr>
              <w:t>r</w:t>
            </w:r>
            <w:r w:rsidR="0033125F">
              <w:rPr>
                <w:rFonts w:ascii="Times New Roman" w:hAnsi="Times New Roman" w:cs="Times New Roman"/>
                <w:sz w:val="24"/>
                <w:vertAlign w:val="subscript"/>
              </w:rPr>
              <w:t>f</w:t>
            </w:r>
          </w:p>
        </w:tc>
        <w:tc>
          <w:tcPr>
            <w:tcW w:w="7149" w:type="dxa"/>
          </w:tcPr>
          <w:p w:rsidR="0033125F" w:rsidRDefault="0033125F" w:rsidP="00A02570">
            <w:pPr>
              <w:spacing w:line="360" w:lineRule="auto"/>
              <w:jc w:val="both"/>
              <w:rPr>
                <w:rFonts w:ascii="Times New Roman" w:hAnsi="Times New Roman" w:cs="Times New Roman"/>
                <w:sz w:val="24"/>
              </w:rPr>
            </w:pPr>
            <w:r>
              <w:rPr>
                <w:rFonts w:ascii="Times New Roman" w:hAnsi="Times New Roman" w:cs="Times New Roman"/>
                <w:sz w:val="24"/>
              </w:rPr>
              <w:t>Return on risk-free asset</w:t>
            </w:r>
          </w:p>
        </w:tc>
      </w:tr>
      <w:tr w:rsidR="0033125F" w:rsidTr="00150C55">
        <w:tc>
          <w:tcPr>
            <w:tcW w:w="1276" w:type="dxa"/>
          </w:tcPr>
          <w:p w:rsidR="0033125F" w:rsidRPr="0033125F" w:rsidRDefault="0033125F" w:rsidP="00A02570">
            <w:pPr>
              <w:spacing w:line="360" w:lineRule="auto"/>
              <w:jc w:val="both"/>
              <w:rPr>
                <w:rFonts w:ascii="Times New Roman" w:hAnsi="Times New Roman" w:cs="Times New Roman"/>
                <w:sz w:val="24"/>
              </w:rPr>
            </w:pPr>
            <w:r>
              <w:rPr>
                <w:rFonts w:ascii="Times New Roman" w:hAnsi="Times New Roman" w:cs="Times New Roman"/>
                <w:sz w:val="24"/>
              </w:rPr>
              <w:t>D/P</w:t>
            </w:r>
            <w:r>
              <w:rPr>
                <w:rFonts w:ascii="Times New Roman" w:hAnsi="Times New Roman" w:cs="Times New Roman"/>
                <w:sz w:val="24"/>
                <w:vertAlign w:val="subscript"/>
              </w:rPr>
              <w:t>t</w:t>
            </w:r>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 xml:space="preserve">Return on the portfolio sorted on the dividend yield in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33125F" w:rsidTr="00150C55">
        <w:tc>
          <w:tcPr>
            <w:tcW w:w="1276" w:type="dxa"/>
          </w:tcPr>
          <w:p w:rsidR="0033125F" w:rsidRPr="0033125F" w:rsidRDefault="0033125F" w:rsidP="00A02570">
            <w:pPr>
              <w:spacing w:line="360" w:lineRule="auto"/>
              <w:jc w:val="both"/>
              <w:rPr>
                <w:rFonts w:ascii="Times New Roman" w:hAnsi="Times New Roman" w:cs="Times New Roman"/>
                <w:sz w:val="24"/>
                <w:vertAlign w:val="subscript"/>
              </w:rPr>
            </w:pPr>
            <w:r>
              <w:rPr>
                <w:rFonts w:ascii="Times New Roman" w:hAnsi="Times New Roman" w:cs="Times New Roman"/>
                <w:sz w:val="24"/>
              </w:rPr>
              <w:t>E/P</w:t>
            </w:r>
            <w:r>
              <w:rPr>
                <w:rFonts w:ascii="Times New Roman" w:hAnsi="Times New Roman" w:cs="Times New Roman"/>
                <w:sz w:val="24"/>
                <w:vertAlign w:val="subscript"/>
              </w:rPr>
              <w:t>t</w:t>
            </w:r>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 xml:space="preserve">Return on the portfolio sorted on the earnings-to-price ratio in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33125F" w:rsidTr="00150C55">
        <w:tc>
          <w:tcPr>
            <w:tcW w:w="1276" w:type="dxa"/>
          </w:tcPr>
          <w:p w:rsidR="0033125F" w:rsidRPr="0033125F" w:rsidRDefault="0033125F" w:rsidP="00A02570">
            <w:pPr>
              <w:spacing w:line="360" w:lineRule="auto"/>
              <w:jc w:val="both"/>
              <w:rPr>
                <w:rFonts w:ascii="Times New Roman" w:hAnsi="Times New Roman" w:cs="Times New Roman"/>
                <w:sz w:val="24"/>
                <w:vertAlign w:val="subscript"/>
              </w:rPr>
            </w:pPr>
            <w:r>
              <w:rPr>
                <w:rFonts w:ascii="Times New Roman" w:hAnsi="Times New Roman" w:cs="Times New Roman"/>
                <w:sz w:val="24"/>
              </w:rPr>
              <w:t>C/P</w:t>
            </w:r>
            <w:r>
              <w:rPr>
                <w:rFonts w:ascii="Times New Roman" w:hAnsi="Times New Roman" w:cs="Times New Roman"/>
                <w:sz w:val="24"/>
                <w:vertAlign w:val="subscript"/>
              </w:rPr>
              <w:t>t</w:t>
            </w:r>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 xml:space="preserve">Return on the portfolio sorted on the cash flow-to-price ratio in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33125F" w:rsidTr="00150C55">
        <w:tc>
          <w:tcPr>
            <w:tcW w:w="1276" w:type="dxa"/>
          </w:tcPr>
          <w:p w:rsidR="0033125F" w:rsidRPr="00150C55" w:rsidRDefault="00150C55" w:rsidP="00A02570">
            <w:pPr>
              <w:spacing w:line="360" w:lineRule="auto"/>
              <w:jc w:val="both"/>
              <w:rPr>
                <w:rFonts w:ascii="Times New Roman" w:hAnsi="Times New Roman" w:cs="Times New Roman"/>
                <w:sz w:val="24"/>
                <w:vertAlign w:val="subscript"/>
              </w:rPr>
            </w:pPr>
            <w:r>
              <w:rPr>
                <w:rFonts w:ascii="Times New Roman" w:hAnsi="Times New Roman" w:cs="Times New Roman"/>
                <w:sz w:val="24"/>
              </w:rPr>
              <w:t>BTM</w:t>
            </w:r>
            <w:r>
              <w:rPr>
                <w:rFonts w:ascii="Times New Roman" w:hAnsi="Times New Roman" w:cs="Times New Roman"/>
                <w:sz w:val="24"/>
                <w:vertAlign w:val="subscript"/>
              </w:rPr>
              <w:t>t</w:t>
            </w:r>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 xml:space="preserve">Return on the portfolio sorted on the book-to-market ratio in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33125F" w:rsidTr="00150C55">
        <w:tc>
          <w:tcPr>
            <w:tcW w:w="1276" w:type="dxa"/>
          </w:tcPr>
          <w:p w:rsidR="0033125F" w:rsidRPr="00150C55" w:rsidRDefault="00150C55" w:rsidP="00A02570">
            <w:pPr>
              <w:spacing w:line="360" w:lineRule="auto"/>
              <w:jc w:val="both"/>
              <w:rPr>
                <w:rFonts w:ascii="Times New Roman" w:hAnsi="Times New Roman" w:cs="Times New Roman"/>
                <w:sz w:val="24"/>
                <w:vertAlign w:val="subscript"/>
              </w:rPr>
            </w:pPr>
            <w:r>
              <w:rPr>
                <w:rFonts w:ascii="Times New Roman" w:hAnsi="Times New Roman" w:cs="Times New Roman"/>
                <w:sz w:val="24"/>
              </w:rPr>
              <w:t>MCap</w:t>
            </w:r>
            <w:r>
              <w:rPr>
                <w:rFonts w:ascii="Times New Roman" w:hAnsi="Times New Roman" w:cs="Times New Roman"/>
                <w:sz w:val="24"/>
                <w:vertAlign w:val="subscript"/>
              </w:rPr>
              <w:t>t</w:t>
            </w:r>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 xml:space="preserve">Return on the portfolio sorted on market </w:t>
            </w:r>
            <w:r w:rsidR="00610C8D">
              <w:rPr>
                <w:rFonts w:ascii="Times New Roman" w:hAnsi="Times New Roman" w:cs="Times New Roman"/>
                <w:sz w:val="24"/>
              </w:rPr>
              <w:t>capitalisation</w:t>
            </w:r>
            <w:r>
              <w:rPr>
                <w:rFonts w:ascii="Times New Roman" w:hAnsi="Times New Roman" w:cs="Times New Roman"/>
                <w:sz w:val="24"/>
              </w:rPr>
              <w:t xml:space="preserve"> in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33125F" w:rsidTr="00150C55">
        <w:tc>
          <w:tcPr>
            <w:tcW w:w="1276" w:type="dxa"/>
          </w:tcPr>
          <w:p w:rsidR="0033125F" w:rsidRPr="00150C55" w:rsidRDefault="000963F3" w:rsidP="00A02570">
            <w:pPr>
              <w:spacing w:line="360" w:lineRule="auto"/>
              <w:jc w:val="both"/>
              <w:rPr>
                <w:rFonts w:ascii="Times New Roman" w:hAnsi="Times New Roman" w:cs="Times New Roman"/>
                <w:sz w:val="24"/>
              </w:rPr>
            </w:pPr>
            <m:oMathPara>
              <m:oMath>
                <m:sSub>
                  <m:sSubPr>
                    <m:ctrlPr>
                      <w:rPr>
                        <w:rFonts w:ascii="Cambria Math" w:hAnsi="Times New Roman" w:cs="Times New Roman"/>
                        <w:sz w:val="24"/>
                        <w:szCs w:val="36"/>
                      </w:rPr>
                    </m:ctrlPr>
                  </m:sSubPr>
                  <m:e>
                    <m:r>
                      <m:rPr>
                        <m:sty m:val="p"/>
                      </m:rPr>
                      <w:rPr>
                        <w:rFonts w:ascii="Cambria Math" w:hAnsi="Cambria Math" w:cs="Times New Roman"/>
                        <w:sz w:val="24"/>
                        <w:szCs w:val="36"/>
                      </w:rPr>
                      <m:t>ε</m:t>
                    </m:r>
                  </m:e>
                  <m:sub>
                    <m:r>
                      <m:rPr>
                        <m:sty m:val="p"/>
                      </m:rPr>
                      <w:rPr>
                        <w:rFonts w:ascii="Cambria Math" w:hAnsi="Cambria Math" w:cs="Times New Roman"/>
                        <w:sz w:val="24"/>
                        <w:szCs w:val="36"/>
                      </w:rPr>
                      <m:t>t</m:t>
                    </m:r>
                  </m:sub>
                </m:sSub>
              </m:oMath>
            </m:oMathPara>
          </w:p>
        </w:tc>
        <w:tc>
          <w:tcPr>
            <w:tcW w:w="7149" w:type="dxa"/>
          </w:tcPr>
          <w:p w:rsidR="0033125F" w:rsidRDefault="00150C55" w:rsidP="00A02570">
            <w:pPr>
              <w:spacing w:line="360" w:lineRule="auto"/>
              <w:jc w:val="both"/>
              <w:rPr>
                <w:rFonts w:ascii="Times New Roman" w:hAnsi="Times New Roman" w:cs="Times New Roman"/>
                <w:sz w:val="24"/>
              </w:rPr>
            </w:pPr>
            <w:r>
              <w:rPr>
                <w:rFonts w:ascii="Times New Roman" w:hAnsi="Times New Roman" w:cs="Times New Roman"/>
                <w:sz w:val="24"/>
              </w:rPr>
              <w:t>Error term</w:t>
            </w:r>
          </w:p>
        </w:tc>
      </w:tr>
    </w:tbl>
    <w:p w:rsidR="0033125F" w:rsidRDefault="0033125F" w:rsidP="00A02570">
      <w:pPr>
        <w:spacing w:line="360" w:lineRule="auto"/>
        <w:jc w:val="both"/>
        <w:rPr>
          <w:rFonts w:ascii="Times New Roman" w:hAnsi="Times New Roman" w:cs="Times New Roman"/>
          <w:sz w:val="24"/>
        </w:rPr>
      </w:pPr>
    </w:p>
    <w:p w:rsidR="0033125F" w:rsidRDefault="000F3B73" w:rsidP="00A02570">
      <w:pPr>
        <w:spacing w:line="360" w:lineRule="auto"/>
        <w:jc w:val="both"/>
        <w:rPr>
          <w:rFonts w:ascii="Times New Roman" w:hAnsi="Times New Roman" w:cs="Times New Roman"/>
          <w:sz w:val="24"/>
        </w:rPr>
      </w:pPr>
      <w:r>
        <w:rPr>
          <w:rFonts w:ascii="Times New Roman" w:hAnsi="Times New Roman" w:cs="Times New Roman"/>
          <w:sz w:val="24"/>
        </w:rPr>
        <w:t xml:space="preserve">The single sorted regressions are run independently on the equally weighted dependent variables, and on the value weighted dependent variables. </w:t>
      </w:r>
      <w:r w:rsidR="00C93624">
        <w:rPr>
          <w:rFonts w:ascii="Times New Roman" w:hAnsi="Times New Roman" w:cs="Times New Roman"/>
          <w:sz w:val="24"/>
        </w:rPr>
        <w:t>The regression equation for the regressions run with the two dimension portfolios as the dependent variables is given below:</w:t>
      </w:r>
    </w:p>
    <w:p w:rsidR="009176AC" w:rsidRDefault="009176AC" w:rsidP="00A02570">
      <w:pPr>
        <w:spacing w:line="360" w:lineRule="auto"/>
        <w:jc w:val="both"/>
        <w:rPr>
          <w:rFonts w:ascii="Times New Roman" w:hAnsi="Times New Roman" w:cs="Times New Roman"/>
          <w:sz w:val="24"/>
        </w:r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6"/>
        <w:gridCol w:w="6932"/>
        <w:gridCol w:w="924"/>
      </w:tblGrid>
      <w:tr w:rsidR="00C93624" w:rsidTr="009176AC">
        <w:trPr>
          <w:jc w:val="center"/>
        </w:trPr>
        <w:tc>
          <w:tcPr>
            <w:tcW w:w="750" w:type="pct"/>
          </w:tcPr>
          <w:p w:rsidR="00C93624" w:rsidRDefault="00C93624" w:rsidP="00A02570">
            <w:pPr>
              <w:spacing w:line="360" w:lineRule="auto"/>
              <w:jc w:val="both"/>
              <w:rPr>
                <w:rFonts w:ascii="Times New Roman" w:hAnsi="Times New Roman" w:cs="Times New Roman"/>
                <w:sz w:val="24"/>
              </w:rPr>
            </w:pPr>
          </w:p>
        </w:tc>
        <w:tc>
          <w:tcPr>
            <w:tcW w:w="3750" w:type="pct"/>
          </w:tcPr>
          <w:p w:rsidR="00C93624" w:rsidRDefault="000963F3" w:rsidP="00C93624">
            <w:pPr>
              <w:spacing w:line="360" w:lineRule="auto"/>
              <w:jc w:val="both"/>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i,t</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α</m:t>
                    </m:r>
                  </m:e>
                  <m:sub>
                    <m:r>
                      <w:rPr>
                        <w:rFonts w:ascii="Cambria Math" w:hAnsi="Cambria Math" w:cs="Times New Roman"/>
                        <w:sz w:val="24"/>
                      </w:rPr>
                      <m:t>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f</m:t>
                    </m:r>
                  </m:sub>
                </m:sSub>
                <m:r>
                  <w:rPr>
                    <w:rFonts w:ascii="Cambria Math" w:hAnsi="Cambria Math" w:cs="Times New Roman"/>
                    <w:sz w:val="24"/>
                  </w:rPr>
                  <m:t>+</m:t>
                </m:r>
                <m:sSub>
                  <m:sSubPr>
                    <m:ctrlPr>
                      <w:rPr>
                        <w:rFonts w:ascii="Cambria Math" w:hAnsi="Cambria Math" w:cs="Times New Roman"/>
                        <w:i/>
                        <w:sz w:val="24"/>
                      </w:rPr>
                    </m:ctrlPr>
                  </m:sSubPr>
                  <m:e>
                    <m:sSub>
                      <m:sSubPr>
                        <m:ctrlPr>
                          <w:rPr>
                            <w:rFonts w:ascii="Cambria Math" w:hAnsi="Cambria Math" w:cs="Times New Roman"/>
                            <w:i/>
                            <w:sz w:val="24"/>
                          </w:rPr>
                        </m:ctrlPr>
                      </m:sSubPr>
                      <m:e>
                        <m:r>
                          <w:rPr>
                            <w:rFonts w:ascii="Cambria Math" w:hAnsi="Cambria Math" w:cs="Times New Roman"/>
                            <w:sz w:val="24"/>
                          </w:rPr>
                          <m:t>a</m:t>
                        </m:r>
                      </m:e>
                      <m:sub>
                        <m:r>
                          <w:rPr>
                            <w:rFonts w:ascii="Cambria Math" w:hAnsi="Cambria Math" w:cs="Times New Roman"/>
                            <w:sz w:val="24"/>
                          </w:rPr>
                          <m:t>1</m:t>
                        </m:r>
                      </m:sub>
                    </m:sSub>
                    <m:r>
                      <w:rPr>
                        <w:rFonts w:ascii="Cambria Math" w:hAnsi="Cambria Math" w:cs="Times New Roman"/>
                        <w:sz w:val="24"/>
                      </w:rPr>
                      <m:t>BMCP</m:t>
                    </m:r>
                  </m:e>
                  <m:sub>
                    <m:r>
                      <w:rPr>
                        <w:rFonts w:ascii="Cambria Math" w:hAnsi="Cambria Math" w:cs="Times New Roman"/>
                        <w:sz w:val="24"/>
                      </w:rPr>
                      <m:t>j,t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a</m:t>
                    </m:r>
                  </m:e>
                  <m:sub>
                    <m:r>
                      <w:rPr>
                        <w:rFonts w:ascii="Cambria Math" w:hAnsi="Cambria Math" w:cs="Times New Roman"/>
                        <w:sz w:val="24"/>
                      </w:rPr>
                      <m:t>2</m:t>
                    </m:r>
                  </m:sub>
                </m:sSub>
                <m:sSub>
                  <m:sSubPr>
                    <m:ctrlPr>
                      <w:rPr>
                        <w:rFonts w:ascii="Cambria Math" w:hAnsi="Cambria Math" w:cs="Times New Roman"/>
                        <w:i/>
                        <w:sz w:val="24"/>
                      </w:rPr>
                    </m:ctrlPr>
                  </m:sSubPr>
                  <m:e>
                    <m:r>
                      <w:rPr>
                        <w:rFonts w:ascii="Cambria Math" w:hAnsi="Cambria Math" w:cs="Times New Roman"/>
                        <w:sz w:val="24"/>
                      </w:rPr>
                      <m:t>BMDP</m:t>
                    </m:r>
                  </m:e>
                  <m:sub>
                    <m:r>
                      <w:rPr>
                        <w:rFonts w:ascii="Cambria Math" w:hAnsi="Cambria Math" w:cs="Times New Roman"/>
                        <w:sz w:val="24"/>
                      </w:rPr>
                      <m:t>j,t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a</m:t>
                    </m:r>
                  </m:e>
                  <m:sub>
                    <m:r>
                      <w:rPr>
                        <w:rFonts w:ascii="Cambria Math" w:hAnsi="Cambria Math" w:cs="Times New Roman"/>
                        <w:sz w:val="24"/>
                      </w:rPr>
                      <m:t>3</m:t>
                    </m:r>
                  </m:sub>
                </m:sSub>
                <m:sSub>
                  <m:sSubPr>
                    <m:ctrlPr>
                      <w:rPr>
                        <w:rFonts w:ascii="Cambria Math" w:hAnsi="Cambria Math" w:cs="Times New Roman"/>
                        <w:i/>
                        <w:sz w:val="24"/>
                      </w:rPr>
                    </m:ctrlPr>
                  </m:sSubPr>
                  <m:e>
                    <m:r>
                      <w:rPr>
                        <w:rFonts w:ascii="Cambria Math" w:hAnsi="Cambria Math" w:cs="Times New Roman"/>
                        <w:sz w:val="24"/>
                      </w:rPr>
                      <m:t>BMEP</m:t>
                    </m:r>
                  </m:e>
                  <m:sub>
                    <m:r>
                      <w:rPr>
                        <w:rFonts w:ascii="Cambria Math" w:hAnsi="Cambria Math" w:cs="Times New Roman"/>
                        <w:sz w:val="24"/>
                      </w:rPr>
                      <m:t>j,t</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ϵ</m:t>
                    </m:r>
                  </m:e>
                  <m:sub>
                    <m:r>
                      <w:rPr>
                        <w:rFonts w:ascii="Cambria Math" w:hAnsi="Cambria Math" w:cs="Times New Roman"/>
                        <w:sz w:val="24"/>
                      </w:rPr>
                      <m:t>t</m:t>
                    </m:r>
                  </m:sub>
                </m:sSub>
              </m:oMath>
            </m:oMathPara>
          </w:p>
        </w:tc>
        <w:tc>
          <w:tcPr>
            <w:tcW w:w="750" w:type="pct"/>
            <w:vAlign w:val="center"/>
          </w:tcPr>
          <w:p w:rsidR="00C93624" w:rsidRDefault="00C93624" w:rsidP="00FE4B4D">
            <w:pPr>
              <w:spacing w:line="360" w:lineRule="auto"/>
              <w:jc w:val="right"/>
              <w:rPr>
                <w:rFonts w:ascii="Times New Roman" w:hAnsi="Times New Roman" w:cs="Times New Roman"/>
                <w:sz w:val="24"/>
              </w:rPr>
            </w:pPr>
            <w:r>
              <w:rPr>
                <w:rFonts w:ascii="Times New Roman" w:hAnsi="Times New Roman" w:cs="Times New Roman"/>
                <w:sz w:val="24"/>
              </w:rPr>
              <w:t>(2</w:t>
            </w:r>
            <w:r w:rsidR="00FE4B4D">
              <w:rPr>
                <w:rFonts w:ascii="Times New Roman" w:hAnsi="Times New Roman" w:cs="Times New Roman"/>
                <w:sz w:val="24"/>
              </w:rPr>
              <w:t>1</w:t>
            </w:r>
            <w:r>
              <w:rPr>
                <w:rFonts w:ascii="Times New Roman" w:hAnsi="Times New Roman" w:cs="Times New Roman"/>
                <w:sz w:val="24"/>
              </w:rPr>
              <w:t>)</w:t>
            </w:r>
          </w:p>
        </w:tc>
      </w:tr>
    </w:tbl>
    <w:p w:rsidR="00C93624" w:rsidRDefault="00C93624" w:rsidP="00A02570">
      <w:pPr>
        <w:spacing w:line="360" w:lineRule="auto"/>
        <w:jc w:val="both"/>
        <w:rPr>
          <w:rFonts w:ascii="Times New Roman" w:hAnsi="Times New Roman" w:cs="Times New Roman"/>
          <w:sz w:val="24"/>
        </w:rPr>
      </w:pPr>
    </w:p>
    <w:tbl>
      <w:tblPr>
        <w:tblStyle w:val="TableGrid"/>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76"/>
        <w:gridCol w:w="7149"/>
      </w:tblGrid>
      <w:tr w:rsidR="00C93624" w:rsidTr="00C93624">
        <w:tc>
          <w:tcPr>
            <w:tcW w:w="1276" w:type="dxa"/>
          </w:tcPr>
          <w:p w:rsidR="00C93624" w:rsidRPr="0033125F" w:rsidRDefault="00C93624" w:rsidP="00C93624">
            <w:pPr>
              <w:spacing w:line="360" w:lineRule="auto"/>
              <w:jc w:val="both"/>
              <w:rPr>
                <w:rFonts w:ascii="Times New Roman" w:hAnsi="Times New Roman" w:cs="Times New Roman"/>
                <w:sz w:val="24"/>
              </w:rPr>
            </w:pPr>
            <w:r>
              <w:rPr>
                <w:rFonts w:ascii="Times New Roman" w:hAnsi="Times New Roman" w:cs="Times New Roman"/>
                <w:sz w:val="24"/>
              </w:rPr>
              <w:t>R</w:t>
            </w:r>
            <w:r>
              <w:rPr>
                <w:rFonts w:ascii="Times New Roman" w:hAnsi="Times New Roman" w:cs="Times New Roman"/>
                <w:sz w:val="24"/>
                <w:vertAlign w:val="subscript"/>
              </w:rPr>
              <w:t>i,t</w:t>
            </w:r>
          </w:p>
        </w:tc>
        <w:tc>
          <w:tcPr>
            <w:tcW w:w="7149" w:type="dxa"/>
          </w:tcPr>
          <w:p w:rsidR="00C93624" w:rsidRDefault="00C93624" w:rsidP="00C93624">
            <w:pPr>
              <w:spacing w:line="360" w:lineRule="auto"/>
              <w:jc w:val="both"/>
              <w:rPr>
                <w:rFonts w:ascii="Times New Roman" w:hAnsi="Times New Roman" w:cs="Times New Roman"/>
                <w:sz w:val="24"/>
              </w:rPr>
            </w:pPr>
            <w:r>
              <w:rPr>
                <w:rFonts w:ascii="Times New Roman" w:hAnsi="Times New Roman" w:cs="Times New Roman"/>
                <w:sz w:val="24"/>
              </w:rPr>
              <w:t xml:space="preserve">Return on portfolio i, for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C93624" w:rsidTr="00C93624">
        <w:tc>
          <w:tcPr>
            <w:tcW w:w="1276" w:type="dxa"/>
          </w:tcPr>
          <w:p w:rsidR="00C93624" w:rsidRPr="0033125F" w:rsidRDefault="00C93624" w:rsidP="00C93624">
            <w:pPr>
              <w:spacing w:line="360" w:lineRule="auto"/>
              <w:jc w:val="both"/>
              <w:rPr>
                <w:rFonts w:ascii="Times New Roman" w:hAnsi="Times New Roman" w:cs="Times New Roman"/>
                <w:sz w:val="24"/>
              </w:rPr>
            </w:pPr>
            <w:r>
              <w:rPr>
                <w:rFonts w:ascii="Times New Roman" w:hAnsi="Times New Roman" w:cs="Times New Roman"/>
                <w:sz w:val="24"/>
              </w:rPr>
              <w:t>R</w:t>
            </w:r>
            <w:r>
              <w:rPr>
                <w:rFonts w:ascii="Times New Roman" w:hAnsi="Times New Roman" w:cs="Times New Roman"/>
                <w:sz w:val="24"/>
                <w:vertAlign w:val="subscript"/>
              </w:rPr>
              <w:t>f</w:t>
            </w:r>
          </w:p>
        </w:tc>
        <w:tc>
          <w:tcPr>
            <w:tcW w:w="7149" w:type="dxa"/>
          </w:tcPr>
          <w:p w:rsidR="00C93624" w:rsidRDefault="00C93624" w:rsidP="00C93624">
            <w:pPr>
              <w:spacing w:line="360" w:lineRule="auto"/>
              <w:jc w:val="both"/>
              <w:rPr>
                <w:rFonts w:ascii="Times New Roman" w:hAnsi="Times New Roman" w:cs="Times New Roman"/>
                <w:sz w:val="24"/>
              </w:rPr>
            </w:pPr>
            <w:r>
              <w:rPr>
                <w:rFonts w:ascii="Times New Roman" w:hAnsi="Times New Roman" w:cs="Times New Roman"/>
                <w:sz w:val="24"/>
              </w:rPr>
              <w:t>Return on risk-free asset</w:t>
            </w:r>
          </w:p>
        </w:tc>
      </w:tr>
      <w:tr w:rsidR="00C93624" w:rsidTr="00C93624">
        <w:tc>
          <w:tcPr>
            <w:tcW w:w="1276" w:type="dxa"/>
          </w:tcPr>
          <w:p w:rsidR="00C93624" w:rsidRPr="009176AC" w:rsidRDefault="009176AC" w:rsidP="00C93624">
            <w:pPr>
              <w:spacing w:line="360" w:lineRule="auto"/>
              <w:jc w:val="both"/>
              <w:rPr>
                <w:rFonts w:ascii="Times New Roman" w:hAnsi="Times New Roman" w:cs="Times New Roman"/>
                <w:sz w:val="24"/>
              </w:rPr>
            </w:pPr>
            <w:r>
              <w:rPr>
                <w:rFonts w:ascii="Times New Roman" w:hAnsi="Times New Roman" w:cs="Times New Roman"/>
                <w:sz w:val="24"/>
              </w:rPr>
              <w:t>BMCP</w:t>
            </w:r>
            <w:r>
              <w:rPr>
                <w:rFonts w:ascii="Times New Roman" w:hAnsi="Times New Roman" w:cs="Times New Roman"/>
                <w:sz w:val="24"/>
                <w:vertAlign w:val="subscript"/>
              </w:rPr>
              <w:t>j,t</w:t>
            </w:r>
          </w:p>
        </w:tc>
        <w:tc>
          <w:tcPr>
            <w:tcW w:w="7149" w:type="dxa"/>
          </w:tcPr>
          <w:p w:rsidR="00C93624" w:rsidRDefault="00C93624" w:rsidP="009176AC">
            <w:pPr>
              <w:spacing w:line="360" w:lineRule="auto"/>
              <w:jc w:val="both"/>
              <w:rPr>
                <w:rFonts w:ascii="Times New Roman" w:hAnsi="Times New Roman" w:cs="Times New Roman"/>
                <w:sz w:val="24"/>
              </w:rPr>
            </w:pPr>
            <w:r>
              <w:rPr>
                <w:rFonts w:ascii="Times New Roman" w:hAnsi="Times New Roman" w:cs="Times New Roman"/>
                <w:sz w:val="24"/>
              </w:rPr>
              <w:t xml:space="preserve">Return on the </w:t>
            </w:r>
            <w:r w:rsidR="009176AC">
              <w:rPr>
                <w:rFonts w:ascii="Times New Roman" w:hAnsi="Times New Roman" w:cs="Times New Roman"/>
                <w:sz w:val="24"/>
              </w:rPr>
              <w:t>j</w:t>
            </w:r>
            <w:r w:rsidR="009176AC" w:rsidRPr="009176AC">
              <w:rPr>
                <w:rFonts w:ascii="Times New Roman" w:hAnsi="Times New Roman" w:cs="Times New Roman"/>
                <w:sz w:val="24"/>
                <w:vertAlign w:val="superscript"/>
              </w:rPr>
              <w:t>th</w:t>
            </w:r>
            <w:r w:rsidR="009176AC">
              <w:rPr>
                <w:rFonts w:ascii="Times New Roman" w:hAnsi="Times New Roman" w:cs="Times New Roman"/>
                <w:sz w:val="24"/>
              </w:rPr>
              <w:t xml:space="preserve"> </w:t>
            </w:r>
            <w:r>
              <w:rPr>
                <w:rFonts w:ascii="Times New Roman" w:hAnsi="Times New Roman" w:cs="Times New Roman"/>
                <w:sz w:val="24"/>
              </w:rPr>
              <w:t xml:space="preserve">portfolio sorted on the </w:t>
            </w:r>
            <w:r w:rsidR="009176AC">
              <w:rPr>
                <w:rFonts w:ascii="Times New Roman" w:hAnsi="Times New Roman" w:cs="Times New Roman"/>
                <w:sz w:val="24"/>
              </w:rPr>
              <w:t xml:space="preserve">book-to-market ratio and the cash flow-to-price ratio for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r w:rsidR="009176AC">
              <w:rPr>
                <w:rFonts w:ascii="Times New Roman" w:hAnsi="Times New Roman" w:cs="Times New Roman"/>
                <w:sz w:val="24"/>
              </w:rPr>
              <w:t xml:space="preserve">, </w:t>
            </w:r>
          </w:p>
        </w:tc>
      </w:tr>
      <w:tr w:rsidR="00C93624" w:rsidTr="00C93624">
        <w:tc>
          <w:tcPr>
            <w:tcW w:w="1276" w:type="dxa"/>
          </w:tcPr>
          <w:p w:rsidR="00C93624" w:rsidRPr="009176AC" w:rsidRDefault="009176AC" w:rsidP="00C93624">
            <w:pPr>
              <w:spacing w:line="360" w:lineRule="auto"/>
              <w:jc w:val="both"/>
              <w:rPr>
                <w:rFonts w:ascii="Times New Roman" w:hAnsi="Times New Roman" w:cs="Times New Roman"/>
                <w:sz w:val="24"/>
                <w:vertAlign w:val="subscript"/>
              </w:rPr>
            </w:pPr>
            <w:r>
              <w:rPr>
                <w:rFonts w:ascii="Times New Roman" w:hAnsi="Times New Roman" w:cs="Times New Roman"/>
                <w:sz w:val="24"/>
              </w:rPr>
              <w:t>BMDP</w:t>
            </w:r>
            <w:r>
              <w:rPr>
                <w:rFonts w:ascii="Times New Roman" w:hAnsi="Times New Roman" w:cs="Times New Roman"/>
                <w:sz w:val="24"/>
                <w:vertAlign w:val="subscript"/>
              </w:rPr>
              <w:t>j,t</w:t>
            </w:r>
          </w:p>
        </w:tc>
        <w:tc>
          <w:tcPr>
            <w:tcW w:w="7149" w:type="dxa"/>
          </w:tcPr>
          <w:p w:rsidR="00C93624" w:rsidRDefault="00C93624" w:rsidP="009176AC">
            <w:pPr>
              <w:spacing w:line="360" w:lineRule="auto"/>
              <w:jc w:val="both"/>
              <w:rPr>
                <w:rFonts w:ascii="Times New Roman" w:hAnsi="Times New Roman" w:cs="Times New Roman"/>
                <w:sz w:val="24"/>
              </w:rPr>
            </w:pPr>
            <w:r>
              <w:rPr>
                <w:rFonts w:ascii="Times New Roman" w:hAnsi="Times New Roman" w:cs="Times New Roman"/>
                <w:sz w:val="24"/>
              </w:rPr>
              <w:t xml:space="preserve">Return on the </w:t>
            </w:r>
            <w:r w:rsidR="009176AC">
              <w:rPr>
                <w:rFonts w:ascii="Times New Roman" w:hAnsi="Times New Roman" w:cs="Times New Roman"/>
                <w:sz w:val="24"/>
              </w:rPr>
              <w:t>j</w:t>
            </w:r>
            <w:r w:rsidR="009176AC" w:rsidRPr="009176AC">
              <w:rPr>
                <w:rFonts w:ascii="Times New Roman" w:hAnsi="Times New Roman" w:cs="Times New Roman"/>
                <w:sz w:val="24"/>
                <w:vertAlign w:val="superscript"/>
              </w:rPr>
              <w:t>th</w:t>
            </w:r>
            <w:r w:rsidR="009176AC">
              <w:rPr>
                <w:rFonts w:ascii="Times New Roman" w:hAnsi="Times New Roman" w:cs="Times New Roman"/>
                <w:sz w:val="24"/>
              </w:rPr>
              <w:t xml:space="preserve"> </w:t>
            </w:r>
            <w:r>
              <w:rPr>
                <w:rFonts w:ascii="Times New Roman" w:hAnsi="Times New Roman" w:cs="Times New Roman"/>
                <w:sz w:val="24"/>
              </w:rPr>
              <w:t xml:space="preserve">portfolio sorted on the </w:t>
            </w:r>
            <w:r w:rsidR="009176AC">
              <w:rPr>
                <w:rFonts w:ascii="Times New Roman" w:hAnsi="Times New Roman" w:cs="Times New Roman"/>
                <w:sz w:val="24"/>
              </w:rPr>
              <w:t xml:space="preserve">book-to-market ratio and the dividend yield for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C93624" w:rsidTr="00C93624">
        <w:tc>
          <w:tcPr>
            <w:tcW w:w="1276" w:type="dxa"/>
          </w:tcPr>
          <w:p w:rsidR="00C93624" w:rsidRPr="009176AC" w:rsidRDefault="009176AC" w:rsidP="009176AC">
            <w:pPr>
              <w:spacing w:line="360" w:lineRule="auto"/>
              <w:jc w:val="both"/>
              <w:rPr>
                <w:rFonts w:ascii="Times New Roman" w:hAnsi="Times New Roman" w:cs="Times New Roman"/>
                <w:sz w:val="24"/>
              </w:rPr>
            </w:pPr>
            <w:r>
              <w:rPr>
                <w:rFonts w:ascii="Times New Roman" w:hAnsi="Times New Roman" w:cs="Times New Roman"/>
                <w:sz w:val="24"/>
              </w:rPr>
              <w:t>BMEP</w:t>
            </w:r>
            <w:r>
              <w:rPr>
                <w:rFonts w:ascii="Times New Roman" w:hAnsi="Times New Roman" w:cs="Times New Roman"/>
                <w:sz w:val="24"/>
                <w:vertAlign w:val="subscript"/>
              </w:rPr>
              <w:t>j,t</w:t>
            </w:r>
          </w:p>
        </w:tc>
        <w:tc>
          <w:tcPr>
            <w:tcW w:w="7149" w:type="dxa"/>
          </w:tcPr>
          <w:p w:rsidR="00C93624" w:rsidRDefault="00C93624" w:rsidP="009176AC">
            <w:pPr>
              <w:spacing w:line="360" w:lineRule="auto"/>
              <w:jc w:val="both"/>
              <w:rPr>
                <w:rFonts w:ascii="Times New Roman" w:hAnsi="Times New Roman" w:cs="Times New Roman"/>
                <w:sz w:val="24"/>
              </w:rPr>
            </w:pPr>
            <w:r>
              <w:rPr>
                <w:rFonts w:ascii="Times New Roman" w:hAnsi="Times New Roman" w:cs="Times New Roman"/>
                <w:sz w:val="24"/>
              </w:rPr>
              <w:t xml:space="preserve">Return on the </w:t>
            </w:r>
            <w:r w:rsidR="009176AC">
              <w:rPr>
                <w:rFonts w:ascii="Times New Roman" w:hAnsi="Times New Roman" w:cs="Times New Roman"/>
                <w:sz w:val="24"/>
              </w:rPr>
              <w:t>j</w:t>
            </w:r>
            <w:r w:rsidR="009176AC" w:rsidRPr="009176AC">
              <w:rPr>
                <w:rFonts w:ascii="Times New Roman" w:hAnsi="Times New Roman" w:cs="Times New Roman"/>
                <w:sz w:val="24"/>
                <w:vertAlign w:val="superscript"/>
              </w:rPr>
              <w:t>th</w:t>
            </w:r>
            <w:r w:rsidR="009176AC">
              <w:rPr>
                <w:rFonts w:ascii="Times New Roman" w:hAnsi="Times New Roman" w:cs="Times New Roman"/>
                <w:sz w:val="24"/>
              </w:rPr>
              <w:t xml:space="preserve"> </w:t>
            </w:r>
            <w:r>
              <w:rPr>
                <w:rFonts w:ascii="Times New Roman" w:hAnsi="Times New Roman" w:cs="Times New Roman"/>
                <w:sz w:val="24"/>
              </w:rPr>
              <w:t xml:space="preserve">portfolio sorted on the </w:t>
            </w:r>
            <w:r w:rsidR="009176AC">
              <w:rPr>
                <w:rFonts w:ascii="Times New Roman" w:hAnsi="Times New Roman" w:cs="Times New Roman"/>
                <w:sz w:val="24"/>
              </w:rPr>
              <w:t xml:space="preserve">book-to-market ratio and the earnings-to-price ratio for </w:t>
            </w:r>
            <w:r w:rsidR="008B5BC6">
              <w:rPr>
                <w:rFonts w:ascii="Times New Roman" w:hAnsi="Times New Roman" w:cs="Times New Roman"/>
                <w:sz w:val="24"/>
              </w:rPr>
              <w:t>month</w:t>
            </w:r>
            <w:r w:rsidR="008B5BC6" w:rsidRPr="008B5BC6">
              <w:rPr>
                <w:rFonts w:ascii="Times New Roman" w:hAnsi="Times New Roman" w:cs="Times New Roman"/>
                <w:sz w:val="24"/>
                <w:vertAlign w:val="subscript"/>
              </w:rPr>
              <w:t>t</w:t>
            </w:r>
          </w:p>
        </w:tc>
      </w:tr>
      <w:tr w:rsidR="00C93624" w:rsidTr="00C93624">
        <w:tc>
          <w:tcPr>
            <w:tcW w:w="1276" w:type="dxa"/>
          </w:tcPr>
          <w:p w:rsidR="00C93624" w:rsidRPr="00150C55" w:rsidRDefault="000963F3" w:rsidP="00C93624">
            <w:pPr>
              <w:spacing w:line="360" w:lineRule="auto"/>
              <w:jc w:val="both"/>
              <w:rPr>
                <w:rFonts w:ascii="Times New Roman" w:hAnsi="Times New Roman" w:cs="Times New Roman"/>
                <w:sz w:val="24"/>
              </w:rPr>
            </w:pPr>
            <m:oMathPara>
              <m:oMath>
                <m:sSub>
                  <m:sSubPr>
                    <m:ctrlPr>
                      <w:rPr>
                        <w:rFonts w:ascii="Cambria Math" w:hAnsi="Times New Roman" w:cs="Times New Roman"/>
                        <w:sz w:val="24"/>
                        <w:szCs w:val="36"/>
                      </w:rPr>
                    </m:ctrlPr>
                  </m:sSubPr>
                  <m:e>
                    <m:r>
                      <m:rPr>
                        <m:sty m:val="p"/>
                      </m:rPr>
                      <w:rPr>
                        <w:rFonts w:ascii="Cambria Math" w:hAnsi="Cambria Math" w:cs="Times New Roman"/>
                        <w:sz w:val="24"/>
                        <w:szCs w:val="36"/>
                      </w:rPr>
                      <m:t>ε</m:t>
                    </m:r>
                  </m:e>
                  <m:sub>
                    <m:r>
                      <m:rPr>
                        <m:sty m:val="p"/>
                      </m:rPr>
                      <w:rPr>
                        <w:rFonts w:ascii="Cambria Math" w:hAnsi="Cambria Math" w:cs="Times New Roman"/>
                        <w:sz w:val="24"/>
                        <w:szCs w:val="36"/>
                      </w:rPr>
                      <m:t>t</m:t>
                    </m:r>
                  </m:sub>
                </m:sSub>
              </m:oMath>
            </m:oMathPara>
          </w:p>
        </w:tc>
        <w:tc>
          <w:tcPr>
            <w:tcW w:w="7149" w:type="dxa"/>
          </w:tcPr>
          <w:p w:rsidR="00C93624" w:rsidRDefault="00C93624" w:rsidP="00C93624">
            <w:pPr>
              <w:spacing w:line="360" w:lineRule="auto"/>
              <w:jc w:val="both"/>
              <w:rPr>
                <w:rFonts w:ascii="Times New Roman" w:hAnsi="Times New Roman" w:cs="Times New Roman"/>
                <w:sz w:val="24"/>
              </w:rPr>
            </w:pPr>
            <w:r>
              <w:rPr>
                <w:rFonts w:ascii="Times New Roman" w:hAnsi="Times New Roman" w:cs="Times New Roman"/>
                <w:sz w:val="24"/>
              </w:rPr>
              <w:t>Error term</w:t>
            </w:r>
          </w:p>
        </w:tc>
      </w:tr>
    </w:tbl>
    <w:p w:rsidR="00C93624" w:rsidRDefault="00C93624" w:rsidP="00A02570">
      <w:pPr>
        <w:spacing w:line="360" w:lineRule="auto"/>
        <w:jc w:val="both"/>
        <w:rPr>
          <w:rFonts w:ascii="Times New Roman" w:hAnsi="Times New Roman" w:cs="Times New Roman"/>
          <w:sz w:val="24"/>
        </w:rPr>
      </w:pPr>
    </w:p>
    <w:p w:rsidR="00C93624" w:rsidRDefault="000F3B73" w:rsidP="00A02570">
      <w:pPr>
        <w:spacing w:line="360" w:lineRule="auto"/>
        <w:jc w:val="both"/>
        <w:rPr>
          <w:rFonts w:ascii="Times New Roman" w:hAnsi="Times New Roman" w:cs="Times New Roman"/>
          <w:sz w:val="24"/>
        </w:rPr>
      </w:pPr>
      <w:r>
        <w:rPr>
          <w:rFonts w:ascii="Times New Roman" w:hAnsi="Times New Roman" w:cs="Times New Roman"/>
          <w:sz w:val="24"/>
        </w:rPr>
        <w:lastRenderedPageBreak/>
        <w:t>For equation (2</w:t>
      </w:r>
      <w:r w:rsidR="00FE4B4D">
        <w:rPr>
          <w:rFonts w:ascii="Times New Roman" w:hAnsi="Times New Roman" w:cs="Times New Roman"/>
          <w:sz w:val="24"/>
        </w:rPr>
        <w:t>1</w:t>
      </w:r>
      <w:r>
        <w:rPr>
          <w:rFonts w:ascii="Times New Roman" w:hAnsi="Times New Roman" w:cs="Times New Roman"/>
          <w:sz w:val="24"/>
        </w:rPr>
        <w:t xml:space="preserve">), each of the three portfolios has 4 variants. The variants are denoted by 1, 2, 3, and 4, indicating whether the portfolio is extreme growth, extreme value, or a combination of growth and value. </w:t>
      </w:r>
      <w:r w:rsidR="0019105B">
        <w:rPr>
          <w:rFonts w:ascii="Times New Roman" w:hAnsi="Times New Roman" w:cs="Times New Roman"/>
          <w:sz w:val="24"/>
        </w:rPr>
        <w:t>The Durbin-Watson test statistics</w:t>
      </w:r>
      <w:r w:rsidR="008F5A6A">
        <w:rPr>
          <w:rFonts w:ascii="Times New Roman" w:hAnsi="Times New Roman" w:cs="Times New Roman"/>
          <w:sz w:val="24"/>
        </w:rPr>
        <w:t xml:space="preserve"> along with the 1</w:t>
      </w:r>
      <w:r w:rsidR="008B084D" w:rsidRPr="008B084D">
        <w:rPr>
          <w:rFonts w:ascii="Times New Roman" w:hAnsi="Times New Roman" w:cs="Times New Roman"/>
          <w:sz w:val="24"/>
          <w:vertAlign w:val="superscript"/>
        </w:rPr>
        <w:t>st</w:t>
      </w:r>
      <w:r w:rsidR="008F5A6A">
        <w:rPr>
          <w:rFonts w:ascii="Times New Roman" w:hAnsi="Times New Roman" w:cs="Times New Roman"/>
          <w:sz w:val="24"/>
        </w:rPr>
        <w:t xml:space="preserve"> order autocorrelations</w:t>
      </w:r>
      <w:r w:rsidR="0019105B">
        <w:rPr>
          <w:rFonts w:ascii="Times New Roman" w:hAnsi="Times New Roman" w:cs="Times New Roman"/>
          <w:sz w:val="24"/>
        </w:rPr>
        <w:t xml:space="preserve"> for the one dimensional regressions</w:t>
      </w:r>
      <w:r w:rsidR="008F5A6A">
        <w:rPr>
          <w:rFonts w:ascii="Times New Roman" w:hAnsi="Times New Roman" w:cs="Times New Roman"/>
          <w:sz w:val="24"/>
        </w:rPr>
        <w:t>, the dual sorted portfolio regressions</w:t>
      </w:r>
      <w:r w:rsidR="0019105B">
        <w:rPr>
          <w:rFonts w:ascii="Times New Roman" w:hAnsi="Times New Roman" w:cs="Times New Roman"/>
          <w:sz w:val="24"/>
        </w:rPr>
        <w:t>,</w:t>
      </w:r>
      <w:r w:rsidR="008F5A6A">
        <w:rPr>
          <w:rFonts w:ascii="Times New Roman" w:hAnsi="Times New Roman" w:cs="Times New Roman"/>
          <w:sz w:val="24"/>
        </w:rPr>
        <w:t xml:space="preserve"> and the three-factor model,</w:t>
      </w:r>
      <w:r w:rsidR="0019105B">
        <w:rPr>
          <w:rFonts w:ascii="Times New Roman" w:hAnsi="Times New Roman" w:cs="Times New Roman"/>
          <w:sz w:val="24"/>
        </w:rPr>
        <w:t xml:space="preserve"> indicate that there is no autocorrelation among the residuals of any of the regressions.</w:t>
      </w:r>
      <w:r w:rsidR="006F5D7F">
        <w:rPr>
          <w:rFonts w:ascii="Times New Roman" w:hAnsi="Times New Roman" w:cs="Times New Roman"/>
          <w:sz w:val="24"/>
        </w:rPr>
        <w:t xml:space="preserve"> </w:t>
      </w:r>
      <w:r w:rsidR="006F5D7F">
        <w:rPr>
          <w:rFonts w:ascii="Times New Roman" w:hAnsi="Times New Roman" w:cs="Times New Roman"/>
          <w:sz w:val="24"/>
          <w:szCs w:val="36"/>
        </w:rPr>
        <w:t xml:space="preserve">This test is run in similarity to </w:t>
      </w:r>
      <w:r w:rsidR="006F5D7F">
        <w:rPr>
          <w:rFonts w:ascii="Times New Roman" w:hAnsi="Times New Roman" w:cs="Times New Roman"/>
          <w:sz w:val="24"/>
        </w:rPr>
        <w:t>Drew, Naughton, and Veeraraghvan (2003) as the authors also check the autocorrelation of their variables by examining whether the Durbin-Watson statistic is around 2.</w:t>
      </w:r>
    </w:p>
    <w:p w:rsidR="00E22286" w:rsidRDefault="00E22286" w:rsidP="00A02570">
      <w:pPr>
        <w:spacing w:line="360" w:lineRule="auto"/>
        <w:jc w:val="both"/>
        <w:rPr>
          <w:rFonts w:ascii="Times New Roman" w:hAnsi="Times New Roman" w:cs="Times New Roman"/>
          <w:sz w:val="24"/>
        </w:rPr>
      </w:pPr>
    </w:p>
    <w:p w:rsidR="00923C6D" w:rsidRDefault="00923C6D" w:rsidP="00A02570">
      <w:pPr>
        <w:spacing w:line="360" w:lineRule="auto"/>
        <w:jc w:val="both"/>
        <w:rPr>
          <w:rFonts w:ascii="Times New Roman" w:hAnsi="Times New Roman" w:cs="Times New Roman"/>
          <w:sz w:val="24"/>
        </w:rPr>
      </w:pPr>
      <w:r>
        <w:rPr>
          <w:rFonts w:ascii="Times New Roman" w:hAnsi="Times New Roman" w:cs="Times New Roman"/>
          <w:sz w:val="24"/>
        </w:rPr>
        <w:t>The two-way independent variable sort is created by combining the BTM ratio with the E/P, C/P, and D/P ratios.</w:t>
      </w:r>
      <w:r w:rsidR="001E60F8">
        <w:rPr>
          <w:rFonts w:ascii="Times New Roman" w:hAnsi="Times New Roman" w:cs="Times New Roman"/>
          <w:sz w:val="24"/>
        </w:rPr>
        <w:t xml:space="preserve"> The portfolios are created using this method in order to be consistent </w:t>
      </w:r>
      <w:r w:rsidR="00BA117E" w:rsidRPr="00BA117E">
        <w:rPr>
          <w:rFonts w:ascii="Times New Roman" w:hAnsi="Times New Roman" w:cs="Times New Roman"/>
          <w:sz w:val="24"/>
        </w:rPr>
        <w:t>with</w:t>
      </w:r>
      <w:r w:rsidR="00BA117E">
        <w:rPr>
          <w:rFonts w:ascii="Times New Roman" w:hAnsi="Times New Roman" w:cs="Times New Roman"/>
          <w:sz w:val="24"/>
        </w:rPr>
        <w:t xml:space="preserve"> Lakonishok, Shleifer, and Vishny (1994) and Chin, Prevost and Gottesman (2002). To proxy for past growth the BTM combination sorts include a variable for past growth (the BTM ratio) and one for expected future growth (the C/P, D/P, or E/P variable). The BTM-E</w:t>
      </w:r>
      <w:r>
        <w:rPr>
          <w:rFonts w:ascii="Times New Roman" w:hAnsi="Times New Roman" w:cs="Times New Roman"/>
          <w:sz w:val="24"/>
        </w:rPr>
        <w:t>P portfolio is created by taking the top 50 % and bottom 50% of the BTM firms and finding the intersection with the top 50% and bottom 50% of the E/P firms.</w:t>
      </w:r>
      <w:r w:rsidR="001E60F8">
        <w:rPr>
          <w:rFonts w:ascii="Times New Roman" w:hAnsi="Times New Roman" w:cs="Times New Roman"/>
          <w:sz w:val="24"/>
        </w:rPr>
        <w:t xml:space="preserve"> The resultant is 4 dual sorted portfolios on each of the D/P, E/P and C/P ratios along with the BTM ratio. These four </w:t>
      </w:r>
      <w:r w:rsidR="008B5BC6">
        <w:rPr>
          <w:rFonts w:ascii="Times New Roman" w:hAnsi="Times New Roman" w:cs="Times New Roman"/>
          <w:sz w:val="24"/>
        </w:rPr>
        <w:t>portfolios are labelled</w:t>
      </w:r>
      <w:r w:rsidR="001E60F8">
        <w:rPr>
          <w:rFonts w:ascii="Times New Roman" w:hAnsi="Times New Roman" w:cs="Times New Roman"/>
          <w:sz w:val="24"/>
        </w:rPr>
        <w:t xml:space="preserve"> as follows: 1, high BTM stocks with high C/P (or D/P, or E/P), which is the extreme value portfolio. 2, low BTM stocks with high C/P (or D/P, or E/P), which is a mix of growth and value stocks. 3, high BTM stocks with low C/P (or D/P, or E/P), which is a mix of value and growth stocks. The final portfolio label is 4, which consists of low BTM stocks with low C/P (or D/P, or E/P), which is an extreme growth portfolio as both variables are growth. </w:t>
      </w:r>
      <w:r>
        <w:rPr>
          <w:rFonts w:ascii="Times New Roman" w:hAnsi="Times New Roman" w:cs="Times New Roman"/>
          <w:sz w:val="24"/>
        </w:rPr>
        <w:t>The BTM-C</w:t>
      </w:r>
      <w:r w:rsidR="00BA117E">
        <w:rPr>
          <w:rFonts w:ascii="Times New Roman" w:hAnsi="Times New Roman" w:cs="Times New Roman"/>
          <w:sz w:val="24"/>
        </w:rPr>
        <w:t>P and BTM-D</w:t>
      </w:r>
      <w:r>
        <w:rPr>
          <w:rFonts w:ascii="Times New Roman" w:hAnsi="Times New Roman" w:cs="Times New Roman"/>
          <w:sz w:val="24"/>
        </w:rPr>
        <w:t xml:space="preserve">P are both created in this manner. </w:t>
      </w:r>
      <w:r w:rsidR="005160B2">
        <w:rPr>
          <w:rFonts w:ascii="Times New Roman" w:hAnsi="Times New Roman" w:cs="Times New Roman"/>
          <w:sz w:val="24"/>
        </w:rPr>
        <w:t>The dual sorted extreme port</w:t>
      </w:r>
      <w:r w:rsidR="003953C9">
        <w:rPr>
          <w:rFonts w:ascii="Times New Roman" w:hAnsi="Times New Roman" w:cs="Times New Roman"/>
          <w:sz w:val="24"/>
        </w:rPr>
        <w:t>folios ensure that stocks that may have been</w:t>
      </w:r>
      <w:r w:rsidR="005160B2">
        <w:rPr>
          <w:rFonts w:ascii="Times New Roman" w:hAnsi="Times New Roman" w:cs="Times New Roman"/>
          <w:sz w:val="24"/>
        </w:rPr>
        <w:t xml:space="preserve"> placed into the wrong portfolio in a single sorting are not misplaced here</w:t>
      </w:r>
      <w:r w:rsidR="003953C9">
        <w:rPr>
          <w:rFonts w:ascii="Times New Roman" w:hAnsi="Times New Roman" w:cs="Times New Roman"/>
          <w:sz w:val="24"/>
        </w:rPr>
        <w:t xml:space="preserve"> (Lakon</w:t>
      </w:r>
      <w:r w:rsidR="00EF3BFD">
        <w:rPr>
          <w:rFonts w:ascii="Times New Roman" w:hAnsi="Times New Roman" w:cs="Times New Roman"/>
          <w:sz w:val="24"/>
        </w:rPr>
        <w:t>ishok, Shleifer, and Vishny, 1994</w:t>
      </w:r>
      <w:r w:rsidR="003953C9">
        <w:rPr>
          <w:rFonts w:ascii="Times New Roman" w:hAnsi="Times New Roman" w:cs="Times New Roman"/>
          <w:sz w:val="24"/>
        </w:rPr>
        <w:t>)</w:t>
      </w:r>
      <w:r w:rsidR="005160B2">
        <w:rPr>
          <w:rFonts w:ascii="Times New Roman" w:hAnsi="Times New Roman" w:cs="Times New Roman"/>
          <w:sz w:val="24"/>
        </w:rPr>
        <w:t>. For example, stocks with temporarily depressed earnings may be placed in the value portfolio, when in fact they are growth stocks. The dual sorting will ensure that these growth stocks sit in the growth portfolio</w:t>
      </w:r>
      <w:r w:rsidR="00206FE3">
        <w:rPr>
          <w:rFonts w:ascii="Times New Roman" w:hAnsi="Times New Roman" w:cs="Times New Roman"/>
          <w:sz w:val="24"/>
        </w:rPr>
        <w:t>. Table 3</w:t>
      </w:r>
      <w:r w:rsidR="00C55719">
        <w:rPr>
          <w:rFonts w:ascii="Times New Roman" w:hAnsi="Times New Roman" w:cs="Times New Roman"/>
          <w:sz w:val="24"/>
        </w:rPr>
        <w:t xml:space="preserve"> below provides the simple statistics of the dual sorted dependent variables. It is evident that there are no monthly data points missing. This is essential as the choice of start date to create the portfolios was to ensure there would be no missing values in the portfolios. Each portfolio consists of 227 data points, which coincide with the </w:t>
      </w:r>
      <w:r w:rsidR="008B5BC6">
        <w:rPr>
          <w:rFonts w:ascii="Times New Roman" w:hAnsi="Times New Roman" w:cs="Times New Roman"/>
          <w:sz w:val="24"/>
        </w:rPr>
        <w:t>monthly</w:t>
      </w:r>
      <w:r w:rsidR="00C55719">
        <w:rPr>
          <w:rFonts w:ascii="Times New Roman" w:hAnsi="Times New Roman" w:cs="Times New Roman"/>
          <w:sz w:val="24"/>
        </w:rPr>
        <w:t xml:space="preserve"> returns over the period August 1990 to June 2009. </w:t>
      </w:r>
      <w:r w:rsidR="00BA117E">
        <w:rPr>
          <w:rFonts w:ascii="Times New Roman" w:hAnsi="Times New Roman" w:cs="Times New Roman"/>
          <w:sz w:val="24"/>
        </w:rPr>
        <w:t xml:space="preserve">  </w:t>
      </w:r>
    </w:p>
    <w:p w:rsidR="00265FB5" w:rsidRDefault="00265FB5" w:rsidP="00A02570">
      <w:pPr>
        <w:spacing w:line="360" w:lineRule="auto"/>
        <w:jc w:val="both"/>
        <w:rPr>
          <w:rFonts w:ascii="Times New Roman" w:hAnsi="Times New Roman" w:cs="Times New Roman"/>
          <w:sz w:val="24"/>
        </w:rPr>
      </w:pPr>
    </w:p>
    <w:tbl>
      <w:tblPr>
        <w:tblStyle w:val="TableGrid"/>
        <w:tblW w:w="9247" w:type="dxa"/>
        <w:tblLayout w:type="fixed"/>
        <w:tblLook w:val="04A0"/>
      </w:tblPr>
      <w:tblGrid>
        <w:gridCol w:w="1242"/>
        <w:gridCol w:w="950"/>
        <w:gridCol w:w="1176"/>
        <w:gridCol w:w="1176"/>
        <w:gridCol w:w="1175"/>
        <w:gridCol w:w="1176"/>
        <w:gridCol w:w="1176"/>
        <w:gridCol w:w="1176"/>
      </w:tblGrid>
      <w:tr w:rsidR="00265FB5" w:rsidRPr="009E38EF" w:rsidTr="00265FB5">
        <w:trPr>
          <w:trHeight w:val="285"/>
        </w:trPr>
        <w:tc>
          <w:tcPr>
            <w:tcW w:w="9247" w:type="dxa"/>
            <w:gridSpan w:val="8"/>
          </w:tcPr>
          <w:p w:rsidR="00265FB5" w:rsidRPr="00B85AA2" w:rsidRDefault="00265FB5" w:rsidP="00265FB5">
            <w:pPr>
              <w:jc w:val="center"/>
              <w:rPr>
                <w:rFonts w:ascii="Times New Roman" w:hAnsi="Times New Roman" w:cs="Times New Roman"/>
                <w:b/>
                <w:sz w:val="24"/>
              </w:rPr>
            </w:pPr>
            <w:r w:rsidRPr="00B85AA2">
              <w:rPr>
                <w:rFonts w:ascii="Times New Roman" w:hAnsi="Times New Roman" w:cs="Times New Roman"/>
                <w:b/>
                <w:sz w:val="24"/>
              </w:rPr>
              <w:lastRenderedPageBreak/>
              <w:t>Table</w:t>
            </w:r>
            <w:r>
              <w:rPr>
                <w:rFonts w:ascii="Times New Roman" w:hAnsi="Times New Roman" w:cs="Times New Roman"/>
                <w:b/>
                <w:sz w:val="24"/>
              </w:rPr>
              <w:t xml:space="preserve"> 3</w:t>
            </w:r>
          </w:p>
        </w:tc>
      </w:tr>
      <w:tr w:rsidR="00265FB5" w:rsidRPr="009E38EF" w:rsidTr="00265FB5">
        <w:trPr>
          <w:trHeight w:val="285"/>
        </w:trPr>
        <w:tc>
          <w:tcPr>
            <w:tcW w:w="9247" w:type="dxa"/>
            <w:gridSpan w:val="8"/>
          </w:tcPr>
          <w:p w:rsidR="00265FB5" w:rsidRPr="00B85AA2" w:rsidRDefault="00265FB5" w:rsidP="00265FB5">
            <w:pPr>
              <w:jc w:val="center"/>
              <w:rPr>
                <w:rFonts w:ascii="Times New Roman" w:hAnsi="Times New Roman" w:cs="Times New Roman"/>
                <w:b/>
                <w:sz w:val="24"/>
              </w:rPr>
            </w:pPr>
            <w:r w:rsidRPr="00B85AA2">
              <w:rPr>
                <w:rFonts w:ascii="Times New Roman" w:hAnsi="Times New Roman" w:cs="Times New Roman"/>
                <w:b/>
                <w:sz w:val="24"/>
              </w:rPr>
              <w:t>Simple Statistics of Independent, Dual Sorted Variables</w:t>
            </w:r>
          </w:p>
        </w:tc>
      </w:tr>
      <w:tr w:rsidR="00265FB5" w:rsidRPr="009E38EF" w:rsidTr="00265FB5">
        <w:trPr>
          <w:trHeight w:val="285"/>
        </w:trPr>
        <w:tc>
          <w:tcPr>
            <w:tcW w:w="9247" w:type="dxa"/>
            <w:gridSpan w:val="8"/>
          </w:tcPr>
          <w:p w:rsidR="00265FB5" w:rsidRPr="00CA5181" w:rsidRDefault="00265FB5" w:rsidP="00265FB5">
            <w:pPr>
              <w:jc w:val="center"/>
              <w:rPr>
                <w:rFonts w:ascii="Times New Roman" w:hAnsi="Times New Roman" w:cs="Times New Roman"/>
                <w:sz w:val="20"/>
              </w:rPr>
            </w:pPr>
            <w:r w:rsidRPr="00CA5181">
              <w:rPr>
                <w:rFonts w:ascii="Times New Roman" w:hAnsi="Times New Roman" w:cs="Times New Roman"/>
                <w:sz w:val="20"/>
              </w:rPr>
              <w:t>The mean monthly returns, monthly standard deviation, monthly median and monthly minimum and maximum values for each of the two way sorted portfolios are presented below. BTM-CP1 is the portfolio sorted initially on the book-to-market ratio, and then on the cash flow-to-price ratio. The number 1 indicates that this is an extreme value portfolio as the BTM ratio is high and the C/P ratio is high. BTM-DP2 is the portfolio sorted initially on the book-to-market ratio and then on the dividend-to-price ratio. The number 2 indicates that the BTM ratio is low, while the C/P ratio is high. BTM-EP3 is the portfolio sorted initially on the book-to-market ratio and then on the earnings-to-price ratio. The number 3 indicates that the BTM ratio is high, while the C/P ratio is low. The number 4 indicates an extreme growth portfolio as the BTM ratio is low, as too is the C/P ratio.</w:t>
            </w:r>
          </w:p>
        </w:tc>
      </w:tr>
      <w:tr w:rsidR="00265FB5" w:rsidTr="00265FB5">
        <w:tc>
          <w:tcPr>
            <w:tcW w:w="1242" w:type="dxa"/>
            <w:tcBorders>
              <w:bottom w:val="single" w:sz="4" w:space="0" w:color="auto"/>
              <w:right w:val="single" w:sz="4" w:space="0" w:color="auto"/>
            </w:tcBorders>
            <w:vAlign w:val="bottom"/>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Variable</w:t>
            </w:r>
          </w:p>
        </w:tc>
        <w:tc>
          <w:tcPr>
            <w:tcW w:w="950" w:type="dxa"/>
            <w:tcBorders>
              <w:top w:val="single" w:sz="4" w:space="0" w:color="auto"/>
              <w:left w:val="single" w:sz="4" w:space="0" w:color="auto"/>
              <w:bottom w:val="single" w:sz="4" w:space="0" w:color="auto"/>
              <w:right w:val="nil"/>
            </w:tcBorders>
            <w:vAlign w:val="center"/>
          </w:tcPr>
          <w:p w:rsidR="00265FB5" w:rsidRPr="00B85AA2" w:rsidRDefault="00265FB5" w:rsidP="00265FB5">
            <w:pPr>
              <w:jc w:val="cente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N</w:t>
            </w:r>
          </w:p>
        </w:tc>
        <w:tc>
          <w:tcPr>
            <w:tcW w:w="1176" w:type="dxa"/>
            <w:tcBorders>
              <w:top w:val="single" w:sz="4" w:space="0" w:color="auto"/>
              <w:left w:val="nil"/>
              <w:bottom w:val="single" w:sz="4" w:space="0" w:color="auto"/>
              <w:right w:val="nil"/>
            </w:tcBorders>
            <w:vAlign w:val="center"/>
          </w:tcPr>
          <w:p w:rsidR="00265FB5" w:rsidRPr="00B85AA2" w:rsidRDefault="00265FB5" w:rsidP="00265FB5">
            <w:pPr>
              <w:jc w:val="cente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Mean</w:t>
            </w:r>
          </w:p>
        </w:tc>
        <w:tc>
          <w:tcPr>
            <w:tcW w:w="1176" w:type="dxa"/>
            <w:tcBorders>
              <w:top w:val="single" w:sz="4" w:space="0" w:color="auto"/>
              <w:left w:val="nil"/>
              <w:bottom w:val="single" w:sz="4" w:space="0" w:color="auto"/>
              <w:right w:val="nil"/>
            </w:tcBorders>
            <w:vAlign w:val="center"/>
          </w:tcPr>
          <w:p w:rsidR="00265FB5" w:rsidRPr="00B85AA2" w:rsidRDefault="00265FB5" w:rsidP="00265FB5">
            <w:pPr>
              <w:jc w:val="cente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Std Dev</w:t>
            </w:r>
          </w:p>
        </w:tc>
        <w:tc>
          <w:tcPr>
            <w:tcW w:w="1175" w:type="dxa"/>
            <w:tcBorders>
              <w:top w:val="single" w:sz="4" w:space="0" w:color="auto"/>
              <w:left w:val="nil"/>
              <w:bottom w:val="single" w:sz="4" w:space="0" w:color="auto"/>
              <w:right w:val="nil"/>
            </w:tcBorders>
            <w:vAlign w:val="center"/>
          </w:tcPr>
          <w:p w:rsidR="00265FB5" w:rsidRPr="00324E00" w:rsidRDefault="00265FB5" w:rsidP="00265FB5">
            <w:pPr>
              <w:jc w:val="center"/>
              <w:rPr>
                <w:rFonts w:ascii="Times New Roman" w:eastAsia="Times New Roman" w:hAnsi="Times New Roman" w:cs="Times New Roman"/>
                <w:b/>
                <w:bCs/>
                <w:sz w:val="20"/>
                <w:szCs w:val="20"/>
                <w:highlight w:val="green"/>
              </w:rPr>
            </w:pPr>
            <w:r w:rsidRPr="00324E00">
              <w:rPr>
                <w:rFonts w:ascii="Times New Roman" w:eastAsia="Times New Roman" w:hAnsi="Times New Roman" w:cs="Times New Roman"/>
                <w:b/>
                <w:bCs/>
                <w:sz w:val="20"/>
                <w:szCs w:val="20"/>
              </w:rPr>
              <w:t>Median</w:t>
            </w:r>
          </w:p>
        </w:tc>
        <w:tc>
          <w:tcPr>
            <w:tcW w:w="1176" w:type="dxa"/>
            <w:tcBorders>
              <w:top w:val="single" w:sz="4" w:space="0" w:color="auto"/>
              <w:left w:val="nil"/>
              <w:bottom w:val="single" w:sz="4" w:space="0" w:color="auto"/>
              <w:right w:val="nil"/>
            </w:tcBorders>
            <w:vAlign w:val="center"/>
          </w:tcPr>
          <w:p w:rsidR="00265FB5" w:rsidRPr="00B85AA2" w:rsidRDefault="00265FB5" w:rsidP="00265FB5">
            <w:pPr>
              <w:jc w:val="cente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Minimum</w:t>
            </w:r>
          </w:p>
        </w:tc>
        <w:tc>
          <w:tcPr>
            <w:tcW w:w="1176" w:type="dxa"/>
            <w:tcBorders>
              <w:top w:val="single" w:sz="4" w:space="0" w:color="auto"/>
              <w:left w:val="nil"/>
              <w:bottom w:val="single" w:sz="4" w:space="0" w:color="auto"/>
              <w:right w:val="single" w:sz="4" w:space="0" w:color="auto"/>
            </w:tcBorders>
            <w:vAlign w:val="center"/>
          </w:tcPr>
          <w:p w:rsidR="00265FB5" w:rsidRPr="00B85AA2" w:rsidRDefault="00265FB5" w:rsidP="00265FB5">
            <w:pPr>
              <w:jc w:val="cente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Maximum</w:t>
            </w:r>
          </w:p>
        </w:tc>
        <w:tc>
          <w:tcPr>
            <w:tcW w:w="1176" w:type="dxa"/>
            <w:tcBorders>
              <w:top w:val="single" w:sz="4" w:space="0" w:color="auto"/>
              <w:left w:val="nil"/>
              <w:bottom w:val="single" w:sz="4" w:space="0" w:color="auto"/>
              <w:right w:val="single" w:sz="4" w:space="0" w:color="auto"/>
            </w:tcBorders>
            <w:vAlign w:val="center"/>
          </w:tcPr>
          <w:p w:rsidR="00265FB5" w:rsidRPr="00B85AA2" w:rsidRDefault="00265FB5" w:rsidP="00265FB5">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 &gt; |t|</w:t>
            </w:r>
          </w:p>
        </w:tc>
      </w:tr>
      <w:tr w:rsidR="00265FB5" w:rsidTr="00265FB5">
        <w:tc>
          <w:tcPr>
            <w:tcW w:w="1242" w:type="dxa"/>
            <w:tcBorders>
              <w:top w:val="single" w:sz="4" w:space="0" w:color="auto"/>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bookmarkStart w:id="53" w:name="_Hlk285305903"/>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M-CP1</w:t>
            </w:r>
          </w:p>
        </w:tc>
        <w:tc>
          <w:tcPr>
            <w:tcW w:w="950" w:type="dxa"/>
            <w:tcBorders>
              <w:top w:val="single" w:sz="4" w:space="0" w:color="auto"/>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single" w:sz="4" w:space="0" w:color="auto"/>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0.0251</w:t>
            </w:r>
          </w:p>
        </w:tc>
        <w:tc>
          <w:tcPr>
            <w:tcW w:w="1176" w:type="dxa"/>
            <w:tcBorders>
              <w:top w:val="single" w:sz="4" w:space="0" w:color="auto"/>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0.0706</w:t>
            </w:r>
          </w:p>
        </w:tc>
        <w:tc>
          <w:tcPr>
            <w:tcW w:w="1175" w:type="dxa"/>
            <w:tcBorders>
              <w:top w:val="single" w:sz="4" w:space="0" w:color="auto"/>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0.0192</w:t>
            </w:r>
          </w:p>
        </w:tc>
        <w:tc>
          <w:tcPr>
            <w:tcW w:w="1176" w:type="dxa"/>
            <w:tcBorders>
              <w:top w:val="single" w:sz="4" w:space="0" w:color="auto"/>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-0.1913</w:t>
            </w:r>
          </w:p>
        </w:tc>
        <w:tc>
          <w:tcPr>
            <w:tcW w:w="1176" w:type="dxa"/>
            <w:tcBorders>
              <w:top w:val="single" w:sz="4" w:space="0" w:color="auto"/>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0.2048</w:t>
            </w:r>
          </w:p>
        </w:tc>
        <w:tc>
          <w:tcPr>
            <w:tcW w:w="1176" w:type="dxa"/>
            <w:tcBorders>
              <w:top w:val="single" w:sz="4" w:space="0" w:color="auto"/>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M-CP2</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0.0178</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0.0518</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0.0176</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-0.1484</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0.1850</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M-CP3</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0.0302</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0.0664</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0.0230</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-0.2090</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0.3953</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0.6661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M-CP4</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0.0211</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0.0588</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0.0151</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-0.2206</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0.3124</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0.6961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M-DP1</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0.0200</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0.0439</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0.0212</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-0.2144</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0.8154</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092BB9" w:rsidRDefault="00265FB5" w:rsidP="00265FB5">
            <w:pPr>
              <w:rPr>
                <w:rFonts w:ascii="Times New Roman" w:eastAsia="Times New Roman" w:hAnsi="Times New Roman" w:cs="Times New Roman"/>
                <w:b/>
                <w:bCs/>
                <w:sz w:val="20"/>
                <w:szCs w:val="20"/>
              </w:rPr>
            </w:pPr>
            <w:r w:rsidRPr="00092BB9">
              <w:rPr>
                <w:rFonts w:ascii="Times New Roman" w:eastAsia="Times New Roman" w:hAnsi="Times New Roman" w:cs="Times New Roman"/>
                <w:b/>
                <w:bCs/>
                <w:sz w:val="20"/>
                <w:szCs w:val="20"/>
              </w:rPr>
              <w:t>BTM-DP2</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0.0153</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0.0462</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0.0199</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-0.1815</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0.1950</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M-DP3</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0.0284</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0.0673</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-0.2092</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0.5211</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M-DP4</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0.0201</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0.0620</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0.0196</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-0.2339</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0.4744</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M-EP1</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0.0219</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0.0481</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0.0198</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-0.2226</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0.2273</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M-EP2</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0.0158</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0.0459</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0.0173</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-0.1846</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0.1655</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nil"/>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M-EP3</w:t>
            </w:r>
          </w:p>
        </w:tc>
        <w:tc>
          <w:tcPr>
            <w:tcW w:w="950" w:type="dxa"/>
            <w:tcBorders>
              <w:top w:val="nil"/>
              <w:left w:val="single" w:sz="4" w:space="0" w:color="auto"/>
              <w:bottom w:val="nil"/>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0.0354</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0.1074</w:t>
            </w:r>
          </w:p>
        </w:tc>
        <w:tc>
          <w:tcPr>
            <w:tcW w:w="1175"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0.0254</w:t>
            </w:r>
          </w:p>
        </w:tc>
        <w:tc>
          <w:tcPr>
            <w:tcW w:w="1176" w:type="dxa"/>
            <w:tcBorders>
              <w:top w:val="nil"/>
              <w:left w:val="nil"/>
              <w:bottom w:val="nil"/>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-0.1880</w:t>
            </w:r>
          </w:p>
        </w:tc>
        <w:tc>
          <w:tcPr>
            <w:tcW w:w="1176" w:type="dxa"/>
            <w:tcBorders>
              <w:top w:val="nil"/>
              <w:left w:val="nil"/>
              <w:bottom w:val="nil"/>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1.3343</w:t>
            </w:r>
          </w:p>
        </w:tc>
        <w:tc>
          <w:tcPr>
            <w:tcW w:w="1176" w:type="dxa"/>
            <w:tcBorders>
              <w:top w:val="nil"/>
              <w:left w:val="nil"/>
              <w:bottom w:val="nil"/>
              <w:right w:val="single" w:sz="4" w:space="0" w:color="auto"/>
            </w:tcBorders>
            <w:vAlign w:val="center"/>
          </w:tcPr>
          <w:p w:rsidR="00265FB5" w:rsidRPr="00324E00" w:rsidRDefault="00265FB5" w:rsidP="00265FB5">
            <w:pPr>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r w:rsidR="00265FB5" w:rsidTr="00265FB5">
        <w:tc>
          <w:tcPr>
            <w:tcW w:w="1242" w:type="dxa"/>
            <w:tcBorders>
              <w:top w:val="nil"/>
              <w:left w:val="single" w:sz="4" w:space="0" w:color="auto"/>
              <w:bottom w:val="single" w:sz="4" w:space="0" w:color="auto"/>
              <w:right w:val="single" w:sz="4" w:space="0" w:color="auto"/>
            </w:tcBorders>
          </w:tcPr>
          <w:p w:rsidR="00265FB5" w:rsidRPr="00B85AA2" w:rsidRDefault="00265FB5" w:rsidP="00265FB5">
            <w:pPr>
              <w:rPr>
                <w:rFonts w:ascii="Times New Roman" w:eastAsia="Times New Roman" w:hAnsi="Times New Roman" w:cs="Times New Roman"/>
                <w:b/>
                <w:bCs/>
                <w:sz w:val="20"/>
                <w:szCs w:val="20"/>
              </w:rPr>
            </w:pPr>
            <w:r w:rsidRPr="00B85AA2">
              <w:rPr>
                <w:rFonts w:ascii="Times New Roman" w:eastAsia="Times New Roman" w:hAnsi="Times New Roman" w:cs="Times New Roman"/>
                <w:b/>
                <w:bCs/>
                <w:sz w:val="20"/>
                <w:szCs w:val="20"/>
              </w:rPr>
              <w:t>B</w:t>
            </w:r>
            <w:r>
              <w:rPr>
                <w:rFonts w:ascii="Times New Roman" w:eastAsia="Times New Roman" w:hAnsi="Times New Roman" w:cs="Times New Roman"/>
                <w:b/>
                <w:bCs/>
                <w:sz w:val="20"/>
                <w:szCs w:val="20"/>
              </w:rPr>
              <w:t>T</w:t>
            </w:r>
            <w:r w:rsidRPr="00B85AA2">
              <w:rPr>
                <w:rFonts w:ascii="Times New Roman" w:eastAsia="Times New Roman" w:hAnsi="Times New Roman" w:cs="Times New Roman"/>
                <w:b/>
                <w:bCs/>
                <w:sz w:val="20"/>
                <w:szCs w:val="20"/>
              </w:rPr>
              <w:t>M-EP4</w:t>
            </w:r>
          </w:p>
        </w:tc>
        <w:tc>
          <w:tcPr>
            <w:tcW w:w="950" w:type="dxa"/>
            <w:tcBorders>
              <w:top w:val="nil"/>
              <w:left w:val="single" w:sz="4" w:space="0" w:color="auto"/>
              <w:bottom w:val="single" w:sz="4" w:space="0" w:color="auto"/>
              <w:right w:val="nil"/>
            </w:tcBorders>
            <w:vAlign w:val="center"/>
          </w:tcPr>
          <w:p w:rsidR="00265FB5" w:rsidRPr="00A97238" w:rsidRDefault="00265FB5" w:rsidP="00265FB5">
            <w:pPr>
              <w:jc w:val="center"/>
              <w:rPr>
                <w:rFonts w:ascii="Times New Roman" w:eastAsia="Times New Roman" w:hAnsi="Times New Roman" w:cs="Times New Roman"/>
                <w:sz w:val="20"/>
                <w:szCs w:val="20"/>
              </w:rPr>
            </w:pPr>
            <w:r w:rsidRPr="00A97238">
              <w:rPr>
                <w:rFonts w:ascii="Times New Roman" w:eastAsia="Times New Roman" w:hAnsi="Times New Roman" w:cs="Times New Roman"/>
                <w:sz w:val="20"/>
                <w:szCs w:val="20"/>
              </w:rPr>
              <w:t>227</w:t>
            </w:r>
          </w:p>
        </w:tc>
        <w:tc>
          <w:tcPr>
            <w:tcW w:w="1176" w:type="dxa"/>
            <w:tcBorders>
              <w:top w:val="nil"/>
              <w:left w:val="nil"/>
              <w:bottom w:val="single" w:sz="4" w:space="0" w:color="auto"/>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0.0226</w:t>
            </w:r>
          </w:p>
        </w:tc>
        <w:tc>
          <w:tcPr>
            <w:tcW w:w="1176" w:type="dxa"/>
            <w:tcBorders>
              <w:top w:val="nil"/>
              <w:left w:val="nil"/>
              <w:bottom w:val="single" w:sz="4" w:space="0" w:color="auto"/>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0.0620</w:t>
            </w:r>
          </w:p>
        </w:tc>
        <w:tc>
          <w:tcPr>
            <w:tcW w:w="1175" w:type="dxa"/>
            <w:tcBorders>
              <w:top w:val="nil"/>
              <w:left w:val="nil"/>
              <w:bottom w:val="single" w:sz="4" w:space="0" w:color="auto"/>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0.0208</w:t>
            </w:r>
          </w:p>
        </w:tc>
        <w:tc>
          <w:tcPr>
            <w:tcW w:w="1176" w:type="dxa"/>
            <w:tcBorders>
              <w:top w:val="nil"/>
              <w:left w:val="nil"/>
              <w:bottom w:val="single" w:sz="4" w:space="0" w:color="auto"/>
              <w:right w:val="nil"/>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-0.2337</w:t>
            </w:r>
          </w:p>
        </w:tc>
        <w:tc>
          <w:tcPr>
            <w:tcW w:w="1176" w:type="dxa"/>
            <w:tcBorders>
              <w:top w:val="nil"/>
              <w:left w:val="nil"/>
              <w:bottom w:val="single" w:sz="4" w:space="0" w:color="auto"/>
              <w:right w:val="single" w:sz="4" w:space="0" w:color="auto"/>
            </w:tcBorders>
            <w:vAlign w:val="bottom"/>
          </w:tcPr>
          <w:p w:rsidR="00265FB5" w:rsidRPr="00265FB5" w:rsidRDefault="00265FB5" w:rsidP="00265FB5">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0.4951</w:t>
            </w:r>
          </w:p>
        </w:tc>
        <w:tc>
          <w:tcPr>
            <w:tcW w:w="1176" w:type="dxa"/>
            <w:tcBorders>
              <w:top w:val="nil"/>
              <w:left w:val="nil"/>
              <w:bottom w:val="single" w:sz="4" w:space="0" w:color="auto"/>
              <w:right w:val="single" w:sz="4" w:space="0" w:color="auto"/>
            </w:tcBorders>
            <w:vAlign w:val="center"/>
          </w:tcPr>
          <w:p w:rsidR="00265FB5" w:rsidRPr="00324E00" w:rsidRDefault="00265FB5" w:rsidP="008F5D6A">
            <w:pPr>
              <w:keepNext/>
              <w:jc w:val="center"/>
              <w:rPr>
                <w:rFonts w:ascii="Times New Roman" w:eastAsia="Times New Roman" w:hAnsi="Times New Roman" w:cs="Times New Roman"/>
                <w:sz w:val="20"/>
                <w:szCs w:val="20"/>
              </w:rPr>
            </w:pPr>
            <w:r w:rsidRPr="00324E00">
              <w:rPr>
                <w:rFonts w:ascii="Times New Roman" w:eastAsia="Times New Roman" w:hAnsi="Times New Roman" w:cs="Times New Roman"/>
                <w:sz w:val="20"/>
                <w:szCs w:val="20"/>
              </w:rPr>
              <w:t>&lt;.0001</w:t>
            </w:r>
          </w:p>
        </w:tc>
      </w:tr>
    </w:tbl>
    <w:p w:rsidR="008F5D6A" w:rsidRPr="008F5D6A" w:rsidRDefault="008F5D6A" w:rsidP="008F5D6A">
      <w:pPr>
        <w:pStyle w:val="Caption"/>
        <w:rPr>
          <w:rFonts w:ascii="Times New Roman" w:hAnsi="Times New Roman" w:cs="Times New Roman"/>
          <w:color w:val="FFFFFF" w:themeColor="background1"/>
          <w:sz w:val="24"/>
        </w:rPr>
      </w:pPr>
      <w:bookmarkStart w:id="54" w:name="_Toc305166526"/>
      <w:bookmarkEnd w:id="53"/>
      <w:r w:rsidRPr="008F5D6A">
        <w:rPr>
          <w:color w:val="FFFFFF" w:themeColor="background1"/>
        </w:rPr>
        <w:t xml:space="preserve">Table </w:t>
      </w:r>
      <w:r w:rsidR="000963F3" w:rsidRPr="008F5D6A">
        <w:rPr>
          <w:color w:val="FFFFFF" w:themeColor="background1"/>
        </w:rPr>
        <w:fldChar w:fldCharType="begin"/>
      </w:r>
      <w:r w:rsidRPr="008F5D6A">
        <w:rPr>
          <w:color w:val="FFFFFF" w:themeColor="background1"/>
        </w:rPr>
        <w:instrText xml:space="preserve"> SEQ Table \* ARABIC </w:instrText>
      </w:r>
      <w:r w:rsidR="000963F3" w:rsidRPr="008F5D6A">
        <w:rPr>
          <w:color w:val="FFFFFF" w:themeColor="background1"/>
        </w:rPr>
        <w:fldChar w:fldCharType="separate"/>
      </w:r>
      <w:r w:rsidR="00AB32F5">
        <w:rPr>
          <w:noProof/>
          <w:color w:val="FFFFFF" w:themeColor="background1"/>
        </w:rPr>
        <w:t>3</w:t>
      </w:r>
      <w:r w:rsidR="000963F3" w:rsidRPr="008F5D6A">
        <w:rPr>
          <w:color w:val="FFFFFF" w:themeColor="background1"/>
        </w:rPr>
        <w:fldChar w:fldCharType="end"/>
      </w:r>
      <w:r w:rsidRPr="008F5D6A">
        <w:rPr>
          <w:color w:val="FFFFFF" w:themeColor="background1"/>
        </w:rPr>
        <w:t xml:space="preserve"> - Simple Statistics of Independent, Dual Sorted Variables</w:t>
      </w:r>
      <w:bookmarkEnd w:id="54"/>
    </w:p>
    <w:p w:rsidR="00265FB5" w:rsidRDefault="00265FB5" w:rsidP="00265FB5">
      <w:pPr>
        <w:spacing w:line="360" w:lineRule="auto"/>
        <w:jc w:val="both"/>
        <w:rPr>
          <w:rFonts w:ascii="Times New Roman" w:hAnsi="Times New Roman" w:cs="Times New Roman"/>
          <w:sz w:val="24"/>
        </w:rPr>
      </w:pPr>
      <w:r>
        <w:rPr>
          <w:rFonts w:ascii="Times New Roman" w:hAnsi="Times New Roman" w:cs="Times New Roman"/>
          <w:sz w:val="24"/>
        </w:rPr>
        <w:t>The BTM-DP2 portfolio sorted initially on the BTM ratio and then on the dividend-to-price ratio, which is also a combination of value and growth stocks making it a portfolio of low BTM and high dividend yield stocks, has the lowest mean of 1.53%. The BTM-EP3 portfolio, which is a combination of high BTM stocks (value) and low E/P stocks (growth), has the highest mean of 3.54%. The relatively higher standard deviations of the BTM-CP1, BTM-CP3, and BTM-EP3 portfolios indicate that the data points for these three portfolios tend to be less clustered around the mean. In other words, the remainder of the portfolios have data points that are close to the mean. While the mean is the lowest for the BTM-DP3 portfolio its median is not the lowest. The medians for each of the dual sorted independent variables are very similar in value, with BTM-CP4 producing the lowest median of 1.51%. This is the extreme growth portfolio.</w:t>
      </w:r>
      <w:r w:rsidRPr="00265FB5">
        <w:rPr>
          <w:rFonts w:ascii="Times New Roman" w:hAnsi="Times New Roman" w:cs="Times New Roman"/>
          <w:sz w:val="24"/>
        </w:rPr>
        <w:t xml:space="preserve"> </w:t>
      </w:r>
      <w:r>
        <w:rPr>
          <w:rFonts w:ascii="Times New Roman" w:hAnsi="Times New Roman" w:cs="Times New Roman"/>
          <w:sz w:val="24"/>
        </w:rPr>
        <w:t xml:space="preserve">The portfolio with the largest deviation from the mean is the BTM-EP3 portfolio, which consists of high BTM and low E/P stocks. It has a minimum value of -18.80% and a maximum value of 133.43%. While this portfolio does not have the lowest minimum value, the portfolio that does is the BTM-EP4 (extreme growth); it does have the largest maximum value. This higher return could account for the increased risk. The BTM-CP3 and BTM-CP4 portfolios are not statistically significant, while the remainder of the dual sorted independent variables are statistically significant at the 1% level. </w:t>
      </w:r>
    </w:p>
    <w:p w:rsidR="006B5527" w:rsidRDefault="006B5527" w:rsidP="00B90167"/>
    <w:p w:rsidR="005B611B" w:rsidRDefault="005B611B" w:rsidP="00B90167"/>
    <w:p w:rsidR="00456156" w:rsidRDefault="00456156" w:rsidP="00A02570">
      <w:pPr>
        <w:spacing w:line="360" w:lineRule="auto"/>
        <w:jc w:val="both"/>
        <w:rPr>
          <w:rFonts w:ascii="Times New Roman" w:hAnsi="Times New Roman" w:cs="Times New Roman"/>
          <w:b/>
          <w:sz w:val="32"/>
        </w:rPr>
      </w:pPr>
      <w:r>
        <w:rPr>
          <w:rFonts w:ascii="Times New Roman" w:hAnsi="Times New Roman" w:cs="Times New Roman"/>
          <w:b/>
          <w:sz w:val="32"/>
        </w:rPr>
        <w:lastRenderedPageBreak/>
        <w:t>Returns to be explained</w:t>
      </w:r>
    </w:p>
    <w:p w:rsidR="006B5527" w:rsidRDefault="006B5527" w:rsidP="00B90167"/>
    <w:p w:rsidR="00473CF6" w:rsidRDefault="00EF3BFD" w:rsidP="00A02570">
      <w:pPr>
        <w:spacing w:line="360" w:lineRule="auto"/>
        <w:jc w:val="both"/>
        <w:rPr>
          <w:rFonts w:ascii="Times New Roman" w:hAnsi="Times New Roman" w:cs="Times New Roman"/>
          <w:sz w:val="24"/>
        </w:rPr>
      </w:pPr>
      <w:r w:rsidRPr="00EF3BFD">
        <w:rPr>
          <w:rFonts w:ascii="Times New Roman" w:hAnsi="Times New Roman" w:cs="Times New Roman"/>
          <w:sz w:val="24"/>
        </w:rPr>
        <w:t xml:space="preserve">For </w:t>
      </w:r>
      <w:r>
        <w:rPr>
          <w:rFonts w:ascii="Times New Roman" w:hAnsi="Times New Roman" w:cs="Times New Roman"/>
          <w:sz w:val="24"/>
        </w:rPr>
        <w:t>the returns to be explained the returns on four stocks portfolios are calculated. Fama and F</w:t>
      </w:r>
      <w:r w:rsidR="008B5BC6">
        <w:rPr>
          <w:rFonts w:ascii="Times New Roman" w:hAnsi="Times New Roman" w:cs="Times New Roman"/>
          <w:sz w:val="24"/>
        </w:rPr>
        <w:t>rench (1993) use excess returns. This dissertation uses excess returns in the regressions</w:t>
      </w:r>
      <w:r>
        <w:rPr>
          <w:rFonts w:ascii="Times New Roman" w:hAnsi="Times New Roman" w:cs="Times New Roman"/>
          <w:sz w:val="24"/>
        </w:rPr>
        <w:t xml:space="preserve">. The four portfolios are created by initially sorting the data sample into two groups based on market </w:t>
      </w:r>
      <w:r w:rsidR="00610C8D">
        <w:rPr>
          <w:rFonts w:ascii="Times New Roman" w:hAnsi="Times New Roman" w:cs="Times New Roman"/>
          <w:sz w:val="24"/>
        </w:rPr>
        <w:t>capitalisation</w:t>
      </w:r>
      <w:r>
        <w:rPr>
          <w:rFonts w:ascii="Times New Roman" w:hAnsi="Times New Roman" w:cs="Times New Roman"/>
          <w:sz w:val="24"/>
        </w:rPr>
        <w:t xml:space="preserve">. The 50% median split of stocks is found. This method is different to Fama and French (1993) and Lakonishok, Shleifer, and Vishny (1994) who take much larger splits. Fama and French (1993) create 25 dependent stock portfolios, while Lakonishok, Shleifer, and Vishny (1994) use decile splits. </w:t>
      </w:r>
      <w:r w:rsidR="00456156">
        <w:rPr>
          <w:rFonts w:ascii="Times New Roman" w:hAnsi="Times New Roman" w:cs="Times New Roman"/>
          <w:sz w:val="24"/>
        </w:rPr>
        <w:t>The motivation for the 50% median split in this dissertation is that any other split will result in some portfolios containing vary few stocks. If a the top 30%, middle 40%, and bottom 30% of the stocks are taken there would be very few stocks in the bottom 30%, while the top 30% would unevenly consist of much larger stocks.</w:t>
      </w:r>
      <w:r w:rsidR="00BA19B8">
        <w:rPr>
          <w:rFonts w:ascii="Times New Roman" w:hAnsi="Times New Roman" w:cs="Times New Roman"/>
          <w:sz w:val="24"/>
        </w:rPr>
        <w:t xml:space="preserve"> It is, however, noted that a 50-50 split may indeed include more stocks in each portfolio, but it also includes stocks that may not necessarily be ‘true’ value or growth stocks as defined earlier. With a 25</w:t>
      </w:r>
      <w:r w:rsidR="008B084D" w:rsidRPr="008B084D">
        <w:rPr>
          <w:rFonts w:ascii="Times New Roman" w:hAnsi="Times New Roman" w:cs="Times New Roman"/>
          <w:sz w:val="24"/>
          <w:vertAlign w:val="superscript"/>
        </w:rPr>
        <w:t>th</w:t>
      </w:r>
      <w:r w:rsidR="00BA19B8">
        <w:rPr>
          <w:rFonts w:ascii="Times New Roman" w:hAnsi="Times New Roman" w:cs="Times New Roman"/>
          <w:sz w:val="24"/>
        </w:rPr>
        <w:t xml:space="preserve"> and 75</w:t>
      </w:r>
      <w:r w:rsidR="008B084D" w:rsidRPr="008B084D">
        <w:rPr>
          <w:rFonts w:ascii="Times New Roman" w:hAnsi="Times New Roman" w:cs="Times New Roman"/>
          <w:sz w:val="24"/>
          <w:vertAlign w:val="superscript"/>
        </w:rPr>
        <w:t>th</w:t>
      </w:r>
      <w:r w:rsidR="00BA19B8">
        <w:rPr>
          <w:rFonts w:ascii="Times New Roman" w:hAnsi="Times New Roman" w:cs="Times New Roman"/>
          <w:sz w:val="24"/>
        </w:rPr>
        <w:t xml:space="preserve"> percentile split the concentration of value and growth stocks is much higher, while a 50-50 split dilutes this concentration.</w:t>
      </w:r>
      <w:r w:rsidR="00456156">
        <w:rPr>
          <w:rFonts w:ascii="Times New Roman" w:hAnsi="Times New Roman" w:cs="Times New Roman"/>
          <w:sz w:val="24"/>
        </w:rPr>
        <w:t xml:space="preserve"> </w:t>
      </w:r>
    </w:p>
    <w:p w:rsidR="00473CF6" w:rsidRDefault="00473CF6" w:rsidP="00A02570">
      <w:pPr>
        <w:spacing w:line="360" w:lineRule="auto"/>
        <w:jc w:val="both"/>
        <w:rPr>
          <w:rFonts w:ascii="Times New Roman" w:hAnsi="Times New Roman" w:cs="Times New Roman"/>
          <w:sz w:val="24"/>
        </w:rPr>
      </w:pPr>
    </w:p>
    <w:p w:rsidR="00905FD2" w:rsidRDefault="00456156" w:rsidP="00A02570">
      <w:pPr>
        <w:spacing w:line="360" w:lineRule="auto"/>
        <w:jc w:val="both"/>
        <w:rPr>
          <w:rFonts w:ascii="Times New Roman" w:hAnsi="Times New Roman" w:cs="Times New Roman"/>
          <w:sz w:val="24"/>
        </w:rPr>
      </w:pPr>
      <w:r>
        <w:rPr>
          <w:rFonts w:ascii="Times New Roman" w:hAnsi="Times New Roman" w:cs="Times New Roman"/>
          <w:sz w:val="24"/>
        </w:rPr>
        <w:t xml:space="preserve">Once the median of market </w:t>
      </w:r>
      <w:r w:rsidR="00610C8D">
        <w:rPr>
          <w:rFonts w:ascii="Times New Roman" w:hAnsi="Times New Roman" w:cs="Times New Roman"/>
          <w:sz w:val="24"/>
        </w:rPr>
        <w:t>capitalisation</w:t>
      </w:r>
      <w:r>
        <w:rPr>
          <w:rFonts w:ascii="Times New Roman" w:hAnsi="Times New Roman" w:cs="Times New Roman"/>
          <w:sz w:val="24"/>
        </w:rPr>
        <w:t xml:space="preserve"> is found the stocks with market </w:t>
      </w:r>
      <w:r w:rsidR="00610C8D">
        <w:rPr>
          <w:rFonts w:ascii="Times New Roman" w:hAnsi="Times New Roman" w:cs="Times New Roman"/>
          <w:sz w:val="24"/>
        </w:rPr>
        <w:t>capitalisation</w:t>
      </w:r>
      <w:r>
        <w:rPr>
          <w:rFonts w:ascii="Times New Roman" w:hAnsi="Times New Roman" w:cs="Times New Roman"/>
          <w:sz w:val="24"/>
        </w:rPr>
        <w:t xml:space="preserve">s greater than the median are placed in the large stock portfolio, while the stocks with market </w:t>
      </w:r>
      <w:r w:rsidR="00610C8D">
        <w:rPr>
          <w:rFonts w:ascii="Times New Roman" w:hAnsi="Times New Roman" w:cs="Times New Roman"/>
          <w:sz w:val="24"/>
        </w:rPr>
        <w:t>capitalisation</w:t>
      </w:r>
      <w:r>
        <w:rPr>
          <w:rFonts w:ascii="Times New Roman" w:hAnsi="Times New Roman" w:cs="Times New Roman"/>
          <w:sz w:val="24"/>
        </w:rPr>
        <w:t xml:space="preserve">s lower than the median are placed in the small stock portfolio. The second sorting is carried out on the BTM ratio. Again the median split is taken, sorting low BTM stocks into the growth portfolio and high BTM stocks into the value portfolio. The intersection is taken of the market </w:t>
      </w:r>
      <w:r w:rsidR="00610C8D">
        <w:rPr>
          <w:rFonts w:ascii="Times New Roman" w:hAnsi="Times New Roman" w:cs="Times New Roman"/>
          <w:sz w:val="24"/>
        </w:rPr>
        <w:t>capitalisation</w:t>
      </w:r>
      <w:r>
        <w:rPr>
          <w:rFonts w:ascii="Times New Roman" w:hAnsi="Times New Roman" w:cs="Times New Roman"/>
          <w:sz w:val="24"/>
        </w:rPr>
        <w:t xml:space="preserve"> and BTM portfolios, resulting in four portfolios. These dependent portfolios are large growth, which holds large market </w:t>
      </w:r>
      <w:r w:rsidR="00610C8D">
        <w:rPr>
          <w:rFonts w:ascii="Times New Roman" w:hAnsi="Times New Roman" w:cs="Times New Roman"/>
          <w:sz w:val="24"/>
        </w:rPr>
        <w:t>capitalisation</w:t>
      </w:r>
      <w:r>
        <w:rPr>
          <w:rFonts w:ascii="Times New Roman" w:hAnsi="Times New Roman" w:cs="Times New Roman"/>
          <w:sz w:val="24"/>
        </w:rPr>
        <w:t xml:space="preserve"> and low BTM stocks; large value, which is made up of </w:t>
      </w:r>
      <w:r w:rsidR="0097137E">
        <w:rPr>
          <w:rFonts w:ascii="Times New Roman" w:hAnsi="Times New Roman" w:cs="Times New Roman"/>
          <w:sz w:val="24"/>
        </w:rPr>
        <w:t xml:space="preserve">large market </w:t>
      </w:r>
      <w:r w:rsidR="00610C8D">
        <w:rPr>
          <w:rFonts w:ascii="Times New Roman" w:hAnsi="Times New Roman" w:cs="Times New Roman"/>
          <w:sz w:val="24"/>
        </w:rPr>
        <w:t>capitalisation</w:t>
      </w:r>
      <w:r w:rsidR="0097137E">
        <w:rPr>
          <w:rFonts w:ascii="Times New Roman" w:hAnsi="Times New Roman" w:cs="Times New Roman"/>
          <w:sz w:val="24"/>
        </w:rPr>
        <w:t xml:space="preserve"> and high BTM stocks; small growth, which contains small market </w:t>
      </w:r>
      <w:r w:rsidR="00610C8D">
        <w:rPr>
          <w:rFonts w:ascii="Times New Roman" w:hAnsi="Times New Roman" w:cs="Times New Roman"/>
          <w:sz w:val="24"/>
        </w:rPr>
        <w:t>capitalisation</w:t>
      </w:r>
      <w:r w:rsidR="0097137E">
        <w:rPr>
          <w:rFonts w:ascii="Times New Roman" w:hAnsi="Times New Roman" w:cs="Times New Roman"/>
          <w:sz w:val="24"/>
        </w:rPr>
        <w:t xml:space="preserve"> and low BTM stocks; and small value, which is made up of small market </w:t>
      </w:r>
      <w:r w:rsidR="00610C8D">
        <w:rPr>
          <w:rFonts w:ascii="Times New Roman" w:hAnsi="Times New Roman" w:cs="Times New Roman"/>
          <w:sz w:val="24"/>
        </w:rPr>
        <w:t>capitalisation</w:t>
      </w:r>
      <w:r w:rsidR="0097137E">
        <w:rPr>
          <w:rFonts w:ascii="Times New Roman" w:hAnsi="Times New Roman" w:cs="Times New Roman"/>
          <w:sz w:val="24"/>
        </w:rPr>
        <w:t xml:space="preserve"> and high BTM stocks. The large growth and small value portfolios are called extreme portfolios as they are made up of only growth or value stocks respectively. The descriptive statistics for these four dependent portfolio</w:t>
      </w:r>
      <w:r w:rsidR="00206FE3">
        <w:rPr>
          <w:rFonts w:ascii="Times New Roman" w:hAnsi="Times New Roman" w:cs="Times New Roman"/>
          <w:sz w:val="24"/>
        </w:rPr>
        <w:t>s are presented below in Table 4</w:t>
      </w:r>
      <w:r w:rsidR="0097137E">
        <w:rPr>
          <w:rFonts w:ascii="Times New Roman" w:hAnsi="Times New Roman" w:cs="Times New Roman"/>
          <w:sz w:val="24"/>
        </w:rPr>
        <w:t>.</w:t>
      </w:r>
    </w:p>
    <w:p w:rsidR="00905FD2" w:rsidRDefault="00905FD2" w:rsidP="00A02570">
      <w:pPr>
        <w:spacing w:line="360" w:lineRule="auto"/>
        <w:jc w:val="both"/>
        <w:rPr>
          <w:rFonts w:ascii="Times New Roman" w:hAnsi="Times New Roman" w:cs="Times New Roman"/>
          <w:sz w:val="24"/>
        </w:rPr>
      </w:pPr>
    </w:p>
    <w:p w:rsidR="00E906ED" w:rsidRDefault="00E906ED" w:rsidP="00A02570">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In Panel A of Table 4, the summary statistics for each of the dependent portfolios are presented. The small value portfolio has the largest monthly mean of 3.23%, or an annual mean excess return of 31.23%. The small growth portfolio exhibits a monthly mean return of 2.95%, with an annual mean excess return of 27%. The large growth portfolio does not exhibit such returns. Its mean return is 1.4% per month, and its annual mean excess return is rather dismal at only 5.66%. The standard deviation per month for the two large market </w:t>
      </w:r>
      <w:r w:rsidR="00610C8D">
        <w:rPr>
          <w:rFonts w:ascii="Times New Roman" w:hAnsi="Times New Roman" w:cs="Times New Roman"/>
          <w:sz w:val="24"/>
        </w:rPr>
        <w:t>capitalisation</w:t>
      </w:r>
      <w:r>
        <w:rPr>
          <w:rFonts w:ascii="Times New Roman" w:hAnsi="Times New Roman" w:cs="Times New Roman"/>
          <w:sz w:val="24"/>
        </w:rPr>
        <w:t xml:space="preserve"> portfolios is lower than that of the two small market </w:t>
      </w:r>
      <w:r w:rsidR="00610C8D">
        <w:rPr>
          <w:rFonts w:ascii="Times New Roman" w:hAnsi="Times New Roman" w:cs="Times New Roman"/>
          <w:sz w:val="24"/>
        </w:rPr>
        <w:t>capitalisation</w:t>
      </w:r>
      <w:r>
        <w:rPr>
          <w:rFonts w:ascii="Times New Roman" w:hAnsi="Times New Roman" w:cs="Times New Roman"/>
          <w:sz w:val="24"/>
        </w:rPr>
        <w:t xml:space="preserve"> portfolios. However, while the large value portfolio has a monthly standard deviation of 0.05, small value has a monthly standard deviation of 0.08. In monthly terms this difference appears to be fairly small, but when annualized, the differences are clear.</w:t>
      </w:r>
      <w:r w:rsidRPr="00E906ED">
        <w:rPr>
          <w:rFonts w:ascii="Times New Roman" w:hAnsi="Times New Roman" w:cs="Times New Roman"/>
          <w:sz w:val="24"/>
        </w:rPr>
        <w:t xml:space="preserve"> </w:t>
      </w:r>
      <w:r>
        <w:rPr>
          <w:rFonts w:ascii="Times New Roman" w:hAnsi="Times New Roman" w:cs="Times New Roman"/>
          <w:sz w:val="24"/>
        </w:rPr>
        <w:t xml:space="preserve">The two large market </w:t>
      </w:r>
      <w:r w:rsidR="00610C8D">
        <w:rPr>
          <w:rFonts w:ascii="Times New Roman" w:hAnsi="Times New Roman" w:cs="Times New Roman"/>
          <w:sz w:val="24"/>
        </w:rPr>
        <w:t>capitalisation</w:t>
      </w:r>
      <w:r>
        <w:rPr>
          <w:rFonts w:ascii="Times New Roman" w:hAnsi="Times New Roman" w:cs="Times New Roman"/>
          <w:sz w:val="24"/>
        </w:rPr>
        <w:t xml:space="preserve"> portfolios have annual standard deviations around 0.18, whereas the small value portfolio has an annual standard deviation of 0.27 and the small growth portfolio has an annual standard deviation of 0.25. </w:t>
      </w:r>
    </w:p>
    <w:p w:rsidR="00502948" w:rsidRDefault="00502948" w:rsidP="00A02570">
      <w:pPr>
        <w:spacing w:line="360" w:lineRule="auto"/>
        <w:jc w:val="both"/>
        <w:rPr>
          <w:rFonts w:ascii="Times New Roman" w:hAnsi="Times New Roman" w:cs="Times New Roman"/>
          <w:sz w:val="24"/>
        </w:rPr>
      </w:pPr>
    </w:p>
    <w:p w:rsidR="00502948" w:rsidRDefault="00502948" w:rsidP="00502948">
      <w:pPr>
        <w:spacing w:line="360" w:lineRule="auto"/>
        <w:jc w:val="both"/>
        <w:rPr>
          <w:rFonts w:ascii="Times New Roman" w:hAnsi="Times New Roman" w:cs="Times New Roman"/>
          <w:sz w:val="24"/>
        </w:rPr>
      </w:pPr>
      <w:r>
        <w:rPr>
          <w:rFonts w:ascii="Times New Roman" w:hAnsi="Times New Roman" w:cs="Times New Roman"/>
          <w:sz w:val="24"/>
        </w:rPr>
        <w:t>The betas for each of the four dependent variables in Table 4 are positive, but less than 1.</w:t>
      </w:r>
      <w:r w:rsidR="00D539E8">
        <w:rPr>
          <w:rFonts w:ascii="Times New Roman" w:hAnsi="Times New Roman" w:cs="Times New Roman"/>
          <w:sz w:val="24"/>
        </w:rPr>
        <w:t xml:space="preserve"> They are calculated by taking the slope of the regression line, with the monthly portfolio returns as the dependent variable and the monthly returns on the ALSI as the independent variable. </w:t>
      </w:r>
      <w:r>
        <w:rPr>
          <w:rFonts w:ascii="Times New Roman" w:hAnsi="Times New Roman" w:cs="Times New Roman"/>
          <w:sz w:val="24"/>
        </w:rPr>
        <w:t xml:space="preserve"> The large value beta is 0.7011, the large growth beta is 0.707, while the small value beta is lower at 0.292 and the small growth beta is lower at 0.2836. These positive betas demonstrate a positive relation with the market. The Sharpe measure, which tells the investor whether the high returns on a portfolio are due to risk or simply to the investment choices, is positive for each of the four dependent variables. The risk-adjusted performance according to Sharpe’s ratio of the small value portfolio (0.2926) and the small growth portfolio (0.2836) is better than that of the large value (0.1796) and large growth (0.0908) portfolios.  </w:t>
      </w:r>
    </w:p>
    <w:p w:rsidR="00502948" w:rsidRDefault="00502948" w:rsidP="00A02570">
      <w:pPr>
        <w:spacing w:line="360" w:lineRule="auto"/>
        <w:jc w:val="both"/>
        <w:rPr>
          <w:rFonts w:ascii="Times New Roman" w:hAnsi="Times New Roman" w:cs="Times New Roman"/>
          <w:sz w:val="24"/>
        </w:rPr>
      </w:pPr>
    </w:p>
    <w:p w:rsidR="00502948" w:rsidRDefault="00502948" w:rsidP="00A02570">
      <w:pPr>
        <w:spacing w:line="360" w:lineRule="auto"/>
        <w:jc w:val="both"/>
        <w:rPr>
          <w:rFonts w:ascii="Times New Roman" w:hAnsi="Times New Roman" w:cs="Times New Roman"/>
          <w:sz w:val="24"/>
        </w:rPr>
      </w:pPr>
    </w:p>
    <w:p w:rsidR="005B611B" w:rsidRDefault="005B611B" w:rsidP="00A02570">
      <w:pPr>
        <w:spacing w:line="360" w:lineRule="auto"/>
        <w:jc w:val="both"/>
        <w:rPr>
          <w:rFonts w:ascii="Times New Roman" w:hAnsi="Times New Roman" w:cs="Times New Roman"/>
          <w:sz w:val="24"/>
        </w:rPr>
      </w:pPr>
    </w:p>
    <w:p w:rsidR="005B611B" w:rsidRDefault="005B611B" w:rsidP="00A02570">
      <w:pPr>
        <w:spacing w:line="360" w:lineRule="auto"/>
        <w:jc w:val="both"/>
        <w:rPr>
          <w:rFonts w:ascii="Times New Roman" w:hAnsi="Times New Roman" w:cs="Times New Roman"/>
          <w:sz w:val="24"/>
        </w:rPr>
      </w:pPr>
    </w:p>
    <w:p w:rsidR="005B611B" w:rsidRDefault="005B611B" w:rsidP="00A02570">
      <w:pPr>
        <w:spacing w:line="360" w:lineRule="auto"/>
        <w:jc w:val="both"/>
        <w:rPr>
          <w:rFonts w:ascii="Times New Roman" w:hAnsi="Times New Roman" w:cs="Times New Roman"/>
          <w:sz w:val="24"/>
        </w:rPr>
      </w:pPr>
    </w:p>
    <w:p w:rsidR="00502948" w:rsidRDefault="00502948" w:rsidP="00A02570">
      <w:pPr>
        <w:spacing w:line="360" w:lineRule="auto"/>
        <w:jc w:val="both"/>
        <w:rPr>
          <w:rFonts w:ascii="Times New Roman" w:hAnsi="Times New Roman" w:cs="Times New Roman"/>
          <w:sz w:val="24"/>
        </w:rPr>
      </w:pPr>
    </w:p>
    <w:tbl>
      <w:tblPr>
        <w:tblStyle w:val="TableGrid"/>
        <w:tblW w:w="0" w:type="auto"/>
        <w:tblLook w:val="04A0"/>
      </w:tblPr>
      <w:tblGrid>
        <w:gridCol w:w="1847"/>
        <w:gridCol w:w="955"/>
        <w:gridCol w:w="893"/>
        <w:gridCol w:w="808"/>
        <w:gridCol w:w="1041"/>
        <w:gridCol w:w="660"/>
        <w:gridCol w:w="1189"/>
        <w:gridCol w:w="228"/>
        <w:gridCol w:w="1621"/>
      </w:tblGrid>
      <w:tr w:rsidR="005A38D4" w:rsidRPr="005A38D4" w:rsidTr="00CB35E9">
        <w:tc>
          <w:tcPr>
            <w:tcW w:w="9242" w:type="dxa"/>
            <w:gridSpan w:val="9"/>
            <w:tcBorders>
              <w:bottom w:val="single" w:sz="4" w:space="0" w:color="auto"/>
            </w:tcBorders>
          </w:tcPr>
          <w:p w:rsidR="005A38D4" w:rsidRPr="007A14BB" w:rsidRDefault="00206FE3" w:rsidP="005A38D4">
            <w:pPr>
              <w:spacing w:line="360" w:lineRule="auto"/>
              <w:jc w:val="center"/>
              <w:rPr>
                <w:rFonts w:ascii="Times New Roman" w:hAnsi="Times New Roman" w:cs="Times New Roman"/>
                <w:b/>
                <w:sz w:val="24"/>
                <w:szCs w:val="20"/>
              </w:rPr>
            </w:pPr>
            <w:r>
              <w:rPr>
                <w:rFonts w:ascii="Times New Roman" w:hAnsi="Times New Roman" w:cs="Times New Roman"/>
                <w:b/>
                <w:sz w:val="24"/>
                <w:szCs w:val="20"/>
              </w:rPr>
              <w:lastRenderedPageBreak/>
              <w:t>Table 4</w:t>
            </w:r>
          </w:p>
        </w:tc>
      </w:tr>
      <w:tr w:rsidR="00CB35E9" w:rsidRPr="005A38D4" w:rsidTr="00905FD2">
        <w:trPr>
          <w:trHeight w:val="280"/>
        </w:trPr>
        <w:tc>
          <w:tcPr>
            <w:tcW w:w="9242" w:type="dxa"/>
            <w:gridSpan w:val="9"/>
            <w:tcBorders>
              <w:top w:val="single" w:sz="4" w:space="0" w:color="auto"/>
              <w:left w:val="single" w:sz="4" w:space="0" w:color="auto"/>
              <w:bottom w:val="nil"/>
              <w:right w:val="single" w:sz="4" w:space="0" w:color="auto"/>
            </w:tcBorders>
          </w:tcPr>
          <w:p w:rsidR="00CB35E9" w:rsidRPr="00905FD2" w:rsidRDefault="00CB35E9" w:rsidP="00A94B31">
            <w:pPr>
              <w:spacing w:line="360" w:lineRule="auto"/>
              <w:jc w:val="center"/>
              <w:rPr>
                <w:rFonts w:ascii="Times New Roman" w:hAnsi="Times New Roman" w:cs="Times New Roman"/>
                <w:b/>
                <w:sz w:val="24"/>
                <w:szCs w:val="20"/>
              </w:rPr>
            </w:pPr>
            <w:r w:rsidRPr="00905FD2">
              <w:rPr>
                <w:rFonts w:ascii="Times New Roman" w:hAnsi="Times New Roman" w:cs="Times New Roman"/>
                <w:b/>
                <w:sz w:val="24"/>
                <w:szCs w:val="20"/>
              </w:rPr>
              <w:t xml:space="preserve">Descriptive Statistics for </w:t>
            </w:r>
            <w:r w:rsidR="00A94B31" w:rsidRPr="00905FD2">
              <w:rPr>
                <w:rFonts w:ascii="Times New Roman" w:hAnsi="Times New Roman" w:cs="Times New Roman"/>
                <w:b/>
                <w:sz w:val="24"/>
                <w:szCs w:val="20"/>
              </w:rPr>
              <w:t>Dependent Variables</w:t>
            </w:r>
          </w:p>
        </w:tc>
      </w:tr>
      <w:tr w:rsidR="005A38D4" w:rsidRPr="005A38D4" w:rsidTr="00CB35E9">
        <w:tc>
          <w:tcPr>
            <w:tcW w:w="9242" w:type="dxa"/>
            <w:gridSpan w:val="9"/>
            <w:tcBorders>
              <w:top w:val="nil"/>
              <w:left w:val="single" w:sz="4" w:space="0" w:color="auto"/>
              <w:bottom w:val="single" w:sz="4" w:space="0" w:color="auto"/>
              <w:right w:val="single" w:sz="4" w:space="0" w:color="auto"/>
            </w:tcBorders>
          </w:tcPr>
          <w:p w:rsidR="005A38D4" w:rsidRPr="007A14BB" w:rsidRDefault="00905FD2" w:rsidP="00905FD2">
            <w:pPr>
              <w:spacing w:line="360" w:lineRule="auto"/>
              <w:jc w:val="center"/>
              <w:rPr>
                <w:rFonts w:ascii="Times New Roman" w:hAnsi="Times New Roman" w:cs="Times New Roman"/>
                <w:sz w:val="20"/>
                <w:szCs w:val="20"/>
              </w:rPr>
            </w:pPr>
            <w:r>
              <w:rPr>
                <w:rFonts w:ascii="Times New Roman" w:hAnsi="Times New Roman" w:cs="Times New Roman"/>
                <w:sz w:val="20"/>
                <w:szCs w:val="20"/>
              </w:rPr>
              <w:t>The</w:t>
            </w:r>
            <w:r w:rsidR="00A94B31" w:rsidRPr="007A14BB">
              <w:rPr>
                <w:rFonts w:ascii="Times New Roman" w:hAnsi="Times New Roman" w:cs="Times New Roman"/>
                <w:sz w:val="20"/>
                <w:szCs w:val="20"/>
              </w:rPr>
              <w:t xml:space="preserve"> four dependent variables are the large value, large growth, small value, and small growth portfolios. The large value portfolio consists of large market </w:t>
            </w:r>
            <w:r w:rsidR="00610C8D">
              <w:rPr>
                <w:rFonts w:ascii="Times New Roman" w:hAnsi="Times New Roman" w:cs="Times New Roman"/>
                <w:sz w:val="20"/>
                <w:szCs w:val="20"/>
              </w:rPr>
              <w:t>capitalisation</w:t>
            </w:r>
            <w:r w:rsidR="00A94B31" w:rsidRPr="007A14BB">
              <w:rPr>
                <w:rFonts w:ascii="Times New Roman" w:hAnsi="Times New Roman" w:cs="Times New Roman"/>
                <w:sz w:val="20"/>
                <w:szCs w:val="20"/>
              </w:rPr>
              <w:t xml:space="preserve"> and high BTM stocks. </w:t>
            </w:r>
            <w:r w:rsidR="00A94B31" w:rsidRPr="007A14BB">
              <w:rPr>
                <w:rFonts w:ascii="Times New Roman" w:hAnsi="Times New Roman" w:cs="Times New Roman"/>
                <w:color w:val="000000"/>
                <w:sz w:val="20"/>
              </w:rPr>
              <w:t xml:space="preserve">The portfolio of stocks is sorted initially on the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taking the top 50% median split, then on the book-to-market ratio, taking the top 50% median split. The large growth portfolio consists of large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and low BTM stocks. The portfolio of stocks is sorted initially on the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taking the top 50% median split, then on the book-to-market ratio, taking the bottom 50% median split. The small value portfolio is made up of small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and high BTM stocks. The portfolio of stocks is sorted initially on the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taking the bottom 50% median split, then on the book-to-market ratio, taking the top 50% median split. The small growth portfolio consists of small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xml:space="preserve"> and low BTM stocks. This portfolio is sorted initially on the market </w:t>
            </w:r>
            <w:r w:rsidR="00610C8D">
              <w:rPr>
                <w:rFonts w:ascii="Times New Roman" w:hAnsi="Times New Roman" w:cs="Times New Roman"/>
                <w:color w:val="000000"/>
                <w:sz w:val="20"/>
              </w:rPr>
              <w:t>capitalisation</w:t>
            </w:r>
            <w:r w:rsidR="00A94B31" w:rsidRPr="007A14BB">
              <w:rPr>
                <w:rFonts w:ascii="Times New Roman" w:hAnsi="Times New Roman" w:cs="Times New Roman"/>
                <w:color w:val="000000"/>
                <w:sz w:val="20"/>
              </w:rPr>
              <w:t>, taking the bottom 50% median split, then on the book-to-market ratio, taking the bottom 50% median split.</w:t>
            </w:r>
          </w:p>
        </w:tc>
      </w:tr>
      <w:tr w:rsidR="005A38D4" w:rsidRPr="005A38D4" w:rsidTr="001140FD">
        <w:tc>
          <w:tcPr>
            <w:tcW w:w="9242" w:type="dxa"/>
            <w:gridSpan w:val="9"/>
            <w:tcBorders>
              <w:top w:val="single" w:sz="4" w:space="0" w:color="auto"/>
            </w:tcBorders>
            <w:vAlign w:val="center"/>
          </w:tcPr>
          <w:p w:rsidR="005A38D4" w:rsidRPr="007A14BB" w:rsidRDefault="005A38D4" w:rsidP="001140FD">
            <w:pPr>
              <w:jc w:val="center"/>
              <w:rPr>
                <w:rFonts w:ascii="Times New Roman" w:hAnsi="Times New Roman" w:cs="Times New Roman"/>
                <w:b/>
                <w:color w:val="000000"/>
                <w:szCs w:val="20"/>
              </w:rPr>
            </w:pPr>
            <w:r w:rsidRPr="007A14BB">
              <w:rPr>
                <w:rFonts w:ascii="Times New Roman" w:hAnsi="Times New Roman" w:cs="Times New Roman"/>
                <w:b/>
                <w:color w:val="000000"/>
                <w:szCs w:val="20"/>
              </w:rPr>
              <w:t>Panel A: Summary Statistics</w:t>
            </w:r>
          </w:p>
        </w:tc>
      </w:tr>
      <w:tr w:rsidR="005A38D4" w:rsidRPr="005A38D4" w:rsidTr="00905FD2">
        <w:tc>
          <w:tcPr>
            <w:tcW w:w="2802" w:type="dxa"/>
            <w:gridSpan w:val="2"/>
            <w:tcBorders>
              <w:top w:val="single" w:sz="4" w:space="0" w:color="auto"/>
              <w:bottom w:val="single" w:sz="4" w:space="0" w:color="auto"/>
              <w:right w:val="single" w:sz="4" w:space="0" w:color="auto"/>
            </w:tcBorders>
            <w:vAlign w:val="bottom"/>
          </w:tcPr>
          <w:p w:rsidR="005A38D4" w:rsidRPr="007A14BB" w:rsidRDefault="005A38D4">
            <w:pPr>
              <w:rPr>
                <w:rFonts w:ascii="Times New Roman" w:hAnsi="Times New Roman" w:cs="Times New Roman"/>
                <w:b/>
                <w:color w:val="000000"/>
                <w:szCs w:val="20"/>
              </w:rPr>
            </w:pPr>
          </w:p>
        </w:tc>
        <w:tc>
          <w:tcPr>
            <w:tcW w:w="1701" w:type="dxa"/>
            <w:gridSpan w:val="2"/>
            <w:tcBorders>
              <w:top w:val="single" w:sz="4" w:space="0" w:color="auto"/>
              <w:left w:val="single" w:sz="4" w:space="0" w:color="auto"/>
              <w:bottom w:val="single" w:sz="4" w:space="0" w:color="auto"/>
              <w:right w:val="nil"/>
            </w:tcBorders>
            <w:vAlign w:val="center"/>
          </w:tcPr>
          <w:p w:rsidR="005A38D4" w:rsidRPr="00905FD2" w:rsidRDefault="005A38D4" w:rsidP="005A38D4">
            <w:pPr>
              <w:jc w:val="center"/>
              <w:rPr>
                <w:rFonts w:ascii="Times New Roman" w:hAnsi="Times New Roman" w:cs="Times New Roman"/>
                <w:b/>
                <w:color w:val="000000"/>
                <w:sz w:val="20"/>
                <w:szCs w:val="20"/>
              </w:rPr>
            </w:pPr>
            <w:r w:rsidRPr="00905FD2">
              <w:rPr>
                <w:rFonts w:ascii="Times New Roman" w:hAnsi="Times New Roman" w:cs="Times New Roman"/>
                <w:b/>
                <w:color w:val="000000"/>
                <w:sz w:val="20"/>
                <w:szCs w:val="20"/>
              </w:rPr>
              <w:t>Large Value</w:t>
            </w:r>
          </w:p>
        </w:tc>
        <w:tc>
          <w:tcPr>
            <w:tcW w:w="1701" w:type="dxa"/>
            <w:gridSpan w:val="2"/>
            <w:tcBorders>
              <w:top w:val="single" w:sz="4" w:space="0" w:color="auto"/>
              <w:left w:val="nil"/>
              <w:bottom w:val="single" w:sz="4" w:space="0" w:color="auto"/>
              <w:right w:val="nil"/>
            </w:tcBorders>
            <w:vAlign w:val="center"/>
          </w:tcPr>
          <w:p w:rsidR="005A38D4" w:rsidRPr="00905FD2" w:rsidRDefault="005A38D4" w:rsidP="005A38D4">
            <w:pPr>
              <w:jc w:val="center"/>
              <w:rPr>
                <w:rFonts w:ascii="Times New Roman" w:hAnsi="Times New Roman" w:cs="Times New Roman"/>
                <w:b/>
                <w:color w:val="000000"/>
                <w:sz w:val="20"/>
                <w:szCs w:val="20"/>
              </w:rPr>
            </w:pPr>
            <w:r w:rsidRPr="00905FD2">
              <w:rPr>
                <w:rFonts w:ascii="Times New Roman" w:hAnsi="Times New Roman" w:cs="Times New Roman"/>
                <w:b/>
                <w:color w:val="000000"/>
                <w:sz w:val="20"/>
                <w:szCs w:val="20"/>
              </w:rPr>
              <w:t>Large Growth</w:t>
            </w:r>
          </w:p>
        </w:tc>
        <w:tc>
          <w:tcPr>
            <w:tcW w:w="1417" w:type="dxa"/>
            <w:gridSpan w:val="2"/>
            <w:tcBorders>
              <w:top w:val="single" w:sz="4" w:space="0" w:color="auto"/>
              <w:left w:val="nil"/>
              <w:bottom w:val="single" w:sz="4" w:space="0" w:color="auto"/>
              <w:right w:val="nil"/>
            </w:tcBorders>
            <w:vAlign w:val="center"/>
          </w:tcPr>
          <w:p w:rsidR="005A38D4" w:rsidRPr="00905FD2" w:rsidRDefault="005A38D4" w:rsidP="005A38D4">
            <w:pPr>
              <w:jc w:val="center"/>
              <w:rPr>
                <w:rFonts w:ascii="Times New Roman" w:hAnsi="Times New Roman" w:cs="Times New Roman"/>
                <w:b/>
                <w:color w:val="000000"/>
                <w:sz w:val="20"/>
                <w:szCs w:val="20"/>
              </w:rPr>
            </w:pPr>
            <w:r w:rsidRPr="00905FD2">
              <w:rPr>
                <w:rFonts w:ascii="Times New Roman" w:hAnsi="Times New Roman" w:cs="Times New Roman"/>
                <w:b/>
                <w:color w:val="000000"/>
                <w:sz w:val="20"/>
                <w:szCs w:val="20"/>
              </w:rPr>
              <w:t>Small Value</w:t>
            </w:r>
          </w:p>
        </w:tc>
        <w:tc>
          <w:tcPr>
            <w:tcW w:w="1621" w:type="dxa"/>
            <w:tcBorders>
              <w:top w:val="single" w:sz="4" w:space="0" w:color="auto"/>
              <w:left w:val="nil"/>
              <w:bottom w:val="single" w:sz="4" w:space="0" w:color="auto"/>
              <w:right w:val="single" w:sz="4" w:space="0" w:color="auto"/>
            </w:tcBorders>
            <w:vAlign w:val="center"/>
          </w:tcPr>
          <w:p w:rsidR="005A38D4" w:rsidRPr="00905FD2" w:rsidRDefault="005A38D4" w:rsidP="005A38D4">
            <w:pPr>
              <w:jc w:val="center"/>
              <w:rPr>
                <w:rFonts w:ascii="Times New Roman" w:hAnsi="Times New Roman" w:cs="Times New Roman"/>
                <w:b/>
                <w:color w:val="000000"/>
                <w:sz w:val="20"/>
                <w:szCs w:val="20"/>
              </w:rPr>
            </w:pPr>
            <w:r w:rsidRPr="00905FD2">
              <w:rPr>
                <w:rFonts w:ascii="Times New Roman" w:hAnsi="Times New Roman" w:cs="Times New Roman"/>
                <w:b/>
                <w:color w:val="000000"/>
                <w:sz w:val="20"/>
                <w:szCs w:val="20"/>
              </w:rPr>
              <w:t>Small Growth</w:t>
            </w:r>
          </w:p>
        </w:tc>
      </w:tr>
      <w:tr w:rsidR="00265FB5" w:rsidRPr="005A38D4" w:rsidTr="00905FD2">
        <w:tc>
          <w:tcPr>
            <w:tcW w:w="2802" w:type="dxa"/>
            <w:gridSpan w:val="2"/>
            <w:tcBorders>
              <w:top w:val="single" w:sz="4" w:space="0" w:color="auto"/>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Monthly Mean</w:t>
            </w:r>
          </w:p>
        </w:tc>
        <w:tc>
          <w:tcPr>
            <w:tcW w:w="1701" w:type="dxa"/>
            <w:gridSpan w:val="2"/>
            <w:tcBorders>
              <w:top w:val="single" w:sz="4" w:space="0" w:color="auto"/>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0.0191</w:t>
            </w:r>
          </w:p>
        </w:tc>
        <w:tc>
          <w:tcPr>
            <w:tcW w:w="1701" w:type="dxa"/>
            <w:gridSpan w:val="2"/>
            <w:tcBorders>
              <w:top w:val="single" w:sz="4" w:space="0" w:color="auto"/>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0.0140</w:t>
            </w:r>
          </w:p>
        </w:tc>
        <w:tc>
          <w:tcPr>
            <w:tcW w:w="1417" w:type="dxa"/>
            <w:gridSpan w:val="2"/>
            <w:tcBorders>
              <w:top w:val="single" w:sz="4" w:space="0" w:color="auto"/>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0.0323</w:t>
            </w:r>
          </w:p>
        </w:tc>
        <w:tc>
          <w:tcPr>
            <w:tcW w:w="1621" w:type="dxa"/>
            <w:tcBorders>
              <w:top w:val="single" w:sz="4" w:space="0" w:color="auto"/>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0.0295</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Monthly Median</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0.0183</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0.0164</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0.0242</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0.0232</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Monthly Mean Excess Returns</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0.0097</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0.0046</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0.0229</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0.0201</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Annual Mean Excess Returns</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0.1233</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0.0566</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0.3123</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0.2700</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Monthly Std Dev</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0.0542</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0.0506</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0.0783</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0.0709</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Annual Std Dev</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0.1878</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0.1752</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0.2712</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0.2457</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Skewness</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-0.1066</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-0.5395</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6.3182</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3.1319</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Kurtosis</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2.6539</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2.9944</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68.6713</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25.4566</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Beta</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0.7011</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0.7076</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0.4310</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0.5214</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Sharpe</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0.1796</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0.0909</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0.2926</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0.2836</w:t>
            </w:r>
          </w:p>
        </w:tc>
      </w:tr>
      <w:tr w:rsidR="00265FB5" w:rsidRPr="005A38D4" w:rsidTr="00905FD2">
        <w:tc>
          <w:tcPr>
            <w:tcW w:w="2802" w:type="dxa"/>
            <w:gridSpan w:val="2"/>
            <w:tcBorders>
              <w:top w:val="nil"/>
              <w:left w:val="single" w:sz="4" w:space="0" w:color="auto"/>
              <w:bottom w:val="nil"/>
              <w:right w:val="single" w:sz="4" w:space="0" w:color="auto"/>
            </w:tcBorders>
            <w:vAlign w:val="bottom"/>
          </w:tcPr>
          <w:p w:rsidR="00265FB5" w:rsidRPr="00905FD2" w:rsidRDefault="00265FB5">
            <w:pPr>
              <w:rPr>
                <w:rFonts w:ascii="Times New Roman" w:hAnsi="Times New Roman" w:cs="Times New Roman"/>
                <w:color w:val="000000"/>
                <w:sz w:val="20"/>
                <w:szCs w:val="20"/>
              </w:rPr>
            </w:pPr>
            <w:r w:rsidRPr="00905FD2">
              <w:rPr>
                <w:rFonts w:ascii="Times New Roman" w:hAnsi="Times New Roman" w:cs="Times New Roman"/>
                <w:color w:val="000000"/>
                <w:sz w:val="20"/>
                <w:szCs w:val="20"/>
              </w:rPr>
              <w:t>Treynor</w:t>
            </w:r>
          </w:p>
        </w:tc>
        <w:tc>
          <w:tcPr>
            <w:tcW w:w="1701" w:type="dxa"/>
            <w:gridSpan w:val="2"/>
            <w:tcBorders>
              <w:top w:val="nil"/>
              <w:left w:val="single" w:sz="4" w:space="0" w:color="auto"/>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0.0139</w:t>
            </w:r>
          </w:p>
        </w:tc>
        <w:tc>
          <w:tcPr>
            <w:tcW w:w="1701"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0.0065</w:t>
            </w:r>
          </w:p>
        </w:tc>
        <w:tc>
          <w:tcPr>
            <w:tcW w:w="1417" w:type="dxa"/>
            <w:gridSpan w:val="2"/>
            <w:tcBorders>
              <w:top w:val="nil"/>
              <w:left w:val="nil"/>
              <w:bottom w:val="nil"/>
              <w:right w:val="nil"/>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0.0532</w:t>
            </w:r>
          </w:p>
        </w:tc>
        <w:tc>
          <w:tcPr>
            <w:tcW w:w="1621" w:type="dxa"/>
            <w:tcBorders>
              <w:top w:val="nil"/>
              <w:left w:val="nil"/>
              <w:bottom w:val="nil"/>
              <w:right w:val="single" w:sz="4" w:space="0" w:color="auto"/>
            </w:tcBorders>
            <w:vAlign w:val="center"/>
          </w:tcPr>
          <w:p w:rsidR="00265FB5" w:rsidRPr="00265FB5" w:rsidRDefault="00265FB5" w:rsidP="00905FD2">
            <w:pPr>
              <w:jc w:val="center"/>
              <w:rPr>
                <w:rFonts w:ascii="Times New Roman" w:hAnsi="Times New Roman" w:cs="Times New Roman"/>
                <w:color w:val="000000"/>
                <w:sz w:val="20"/>
                <w:szCs w:val="20"/>
              </w:rPr>
            </w:pPr>
            <w:r w:rsidRPr="00265FB5">
              <w:rPr>
                <w:rFonts w:ascii="Times New Roman" w:hAnsi="Times New Roman" w:cs="Times New Roman"/>
                <w:color w:val="000000"/>
                <w:sz w:val="20"/>
                <w:szCs w:val="20"/>
              </w:rPr>
              <w:t>0.0386</w:t>
            </w:r>
          </w:p>
        </w:tc>
      </w:tr>
      <w:tr w:rsidR="00CB35E9" w:rsidRPr="005A38D4" w:rsidTr="001140FD">
        <w:tc>
          <w:tcPr>
            <w:tcW w:w="9242" w:type="dxa"/>
            <w:gridSpan w:val="9"/>
            <w:tcBorders>
              <w:top w:val="single" w:sz="4" w:space="0" w:color="auto"/>
              <w:left w:val="single" w:sz="4" w:space="0" w:color="auto"/>
              <w:bottom w:val="single" w:sz="4" w:space="0" w:color="auto"/>
              <w:right w:val="single" w:sz="4" w:space="0" w:color="auto"/>
            </w:tcBorders>
            <w:vAlign w:val="center"/>
          </w:tcPr>
          <w:p w:rsidR="00CB35E9" w:rsidRPr="007A14BB" w:rsidRDefault="00CB35E9" w:rsidP="001140FD">
            <w:pPr>
              <w:jc w:val="center"/>
              <w:rPr>
                <w:rFonts w:ascii="Times New Roman" w:hAnsi="Times New Roman" w:cs="Times New Roman"/>
                <w:b/>
                <w:color w:val="000000"/>
                <w:szCs w:val="20"/>
              </w:rPr>
            </w:pPr>
            <w:r w:rsidRPr="007A14BB">
              <w:rPr>
                <w:rFonts w:ascii="Times New Roman" w:hAnsi="Times New Roman" w:cs="Times New Roman"/>
                <w:b/>
                <w:color w:val="000000"/>
                <w:szCs w:val="20"/>
              </w:rPr>
              <w:t>Panel B: Number of Stocks in Portfolio</w:t>
            </w:r>
          </w:p>
        </w:tc>
      </w:tr>
      <w:tr w:rsidR="00CB35E9" w:rsidRPr="005A38D4" w:rsidTr="00CB35E9">
        <w:tc>
          <w:tcPr>
            <w:tcW w:w="1847" w:type="dxa"/>
            <w:tcBorders>
              <w:top w:val="single" w:sz="4" w:space="0" w:color="auto"/>
              <w:left w:val="single" w:sz="4" w:space="0" w:color="auto"/>
              <w:bottom w:val="single" w:sz="4" w:space="0" w:color="auto"/>
              <w:right w:val="single" w:sz="4" w:space="0" w:color="auto"/>
            </w:tcBorders>
            <w:vAlign w:val="bottom"/>
          </w:tcPr>
          <w:p w:rsidR="00CB35E9" w:rsidRPr="00905FD2" w:rsidRDefault="00CB35E9" w:rsidP="00905FD2">
            <w:pPr>
              <w:jc w:val="center"/>
              <w:rPr>
                <w:rFonts w:ascii="Times New Roman" w:hAnsi="Times New Roman" w:cs="Times New Roman"/>
                <w:b/>
                <w:color w:val="000000"/>
                <w:sz w:val="20"/>
              </w:rPr>
            </w:pPr>
            <w:r w:rsidRPr="00905FD2">
              <w:rPr>
                <w:rFonts w:ascii="Times New Roman" w:hAnsi="Times New Roman" w:cs="Times New Roman"/>
                <w:b/>
                <w:color w:val="000000"/>
                <w:sz w:val="20"/>
              </w:rPr>
              <w:t>Date</w:t>
            </w:r>
          </w:p>
        </w:tc>
        <w:tc>
          <w:tcPr>
            <w:tcW w:w="1848" w:type="dxa"/>
            <w:gridSpan w:val="2"/>
            <w:tcBorders>
              <w:top w:val="single" w:sz="4" w:space="0" w:color="auto"/>
              <w:left w:val="single" w:sz="4" w:space="0" w:color="auto"/>
              <w:bottom w:val="single" w:sz="4" w:space="0" w:color="auto"/>
              <w:right w:val="nil"/>
            </w:tcBorders>
            <w:vAlign w:val="center"/>
          </w:tcPr>
          <w:p w:rsidR="00CB35E9" w:rsidRPr="00905FD2" w:rsidRDefault="00CB35E9" w:rsidP="00905FD2">
            <w:pPr>
              <w:jc w:val="center"/>
              <w:rPr>
                <w:rFonts w:ascii="Times New Roman" w:hAnsi="Times New Roman" w:cs="Times New Roman"/>
                <w:b/>
                <w:color w:val="000000"/>
                <w:sz w:val="20"/>
              </w:rPr>
            </w:pPr>
            <w:r w:rsidRPr="00905FD2">
              <w:rPr>
                <w:rFonts w:ascii="Times New Roman" w:hAnsi="Times New Roman" w:cs="Times New Roman"/>
                <w:b/>
                <w:color w:val="000000"/>
                <w:sz w:val="20"/>
              </w:rPr>
              <w:t>Large Growth</w:t>
            </w:r>
          </w:p>
        </w:tc>
        <w:tc>
          <w:tcPr>
            <w:tcW w:w="1849" w:type="dxa"/>
            <w:gridSpan w:val="2"/>
            <w:tcBorders>
              <w:top w:val="single" w:sz="4" w:space="0" w:color="auto"/>
              <w:left w:val="nil"/>
              <w:bottom w:val="single" w:sz="4" w:space="0" w:color="auto"/>
              <w:right w:val="nil"/>
            </w:tcBorders>
            <w:vAlign w:val="center"/>
          </w:tcPr>
          <w:p w:rsidR="00CB35E9" w:rsidRPr="00905FD2" w:rsidRDefault="00CB35E9" w:rsidP="00905FD2">
            <w:pPr>
              <w:jc w:val="center"/>
              <w:rPr>
                <w:rFonts w:ascii="Times New Roman" w:hAnsi="Times New Roman" w:cs="Times New Roman"/>
                <w:b/>
                <w:color w:val="000000"/>
                <w:sz w:val="20"/>
              </w:rPr>
            </w:pPr>
            <w:r w:rsidRPr="00905FD2">
              <w:rPr>
                <w:rFonts w:ascii="Times New Roman" w:hAnsi="Times New Roman" w:cs="Times New Roman"/>
                <w:b/>
                <w:color w:val="000000"/>
                <w:sz w:val="20"/>
              </w:rPr>
              <w:t>Large Value</w:t>
            </w:r>
          </w:p>
        </w:tc>
        <w:tc>
          <w:tcPr>
            <w:tcW w:w="1849" w:type="dxa"/>
            <w:gridSpan w:val="2"/>
            <w:tcBorders>
              <w:top w:val="single" w:sz="4" w:space="0" w:color="auto"/>
              <w:left w:val="nil"/>
              <w:bottom w:val="single" w:sz="4" w:space="0" w:color="auto"/>
              <w:right w:val="nil"/>
            </w:tcBorders>
            <w:vAlign w:val="center"/>
          </w:tcPr>
          <w:p w:rsidR="00CB35E9" w:rsidRPr="00905FD2" w:rsidRDefault="00CB35E9" w:rsidP="00905FD2">
            <w:pPr>
              <w:jc w:val="center"/>
              <w:rPr>
                <w:rFonts w:ascii="Times New Roman" w:hAnsi="Times New Roman" w:cs="Times New Roman"/>
                <w:b/>
                <w:color w:val="000000"/>
                <w:sz w:val="20"/>
              </w:rPr>
            </w:pPr>
            <w:r w:rsidRPr="00905FD2">
              <w:rPr>
                <w:rFonts w:ascii="Times New Roman" w:hAnsi="Times New Roman" w:cs="Times New Roman"/>
                <w:b/>
                <w:color w:val="000000"/>
                <w:sz w:val="20"/>
              </w:rPr>
              <w:t>Small Growth</w:t>
            </w:r>
          </w:p>
        </w:tc>
        <w:tc>
          <w:tcPr>
            <w:tcW w:w="1849" w:type="dxa"/>
            <w:gridSpan w:val="2"/>
            <w:tcBorders>
              <w:top w:val="single" w:sz="4" w:space="0" w:color="auto"/>
              <w:left w:val="nil"/>
              <w:bottom w:val="single" w:sz="4" w:space="0" w:color="auto"/>
              <w:right w:val="single" w:sz="4" w:space="0" w:color="auto"/>
            </w:tcBorders>
            <w:vAlign w:val="center"/>
          </w:tcPr>
          <w:p w:rsidR="00CB35E9" w:rsidRPr="00905FD2" w:rsidRDefault="00CB35E9" w:rsidP="00905FD2">
            <w:pPr>
              <w:jc w:val="center"/>
              <w:rPr>
                <w:rFonts w:ascii="Times New Roman" w:hAnsi="Times New Roman" w:cs="Times New Roman"/>
                <w:b/>
                <w:color w:val="000000"/>
                <w:sz w:val="20"/>
              </w:rPr>
            </w:pPr>
            <w:r w:rsidRPr="00905FD2">
              <w:rPr>
                <w:rFonts w:ascii="Times New Roman" w:hAnsi="Times New Roman" w:cs="Times New Roman"/>
                <w:b/>
                <w:color w:val="000000"/>
                <w:sz w:val="20"/>
              </w:rPr>
              <w:t>Small Value</w:t>
            </w:r>
          </w:p>
        </w:tc>
      </w:tr>
      <w:tr w:rsidR="00CB35E9" w:rsidRPr="005A38D4" w:rsidTr="00CB35E9">
        <w:tc>
          <w:tcPr>
            <w:tcW w:w="1847" w:type="dxa"/>
            <w:tcBorders>
              <w:top w:val="single" w:sz="4" w:space="0" w:color="auto"/>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1990</w:t>
            </w:r>
          </w:p>
        </w:tc>
        <w:tc>
          <w:tcPr>
            <w:tcW w:w="1848" w:type="dxa"/>
            <w:gridSpan w:val="2"/>
            <w:tcBorders>
              <w:top w:val="single" w:sz="4" w:space="0" w:color="auto"/>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4</w:t>
            </w:r>
          </w:p>
        </w:tc>
        <w:tc>
          <w:tcPr>
            <w:tcW w:w="1849" w:type="dxa"/>
            <w:gridSpan w:val="2"/>
            <w:tcBorders>
              <w:top w:val="single" w:sz="4" w:space="0" w:color="auto"/>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22</w:t>
            </w:r>
          </w:p>
        </w:tc>
        <w:tc>
          <w:tcPr>
            <w:tcW w:w="1849" w:type="dxa"/>
            <w:gridSpan w:val="2"/>
            <w:tcBorders>
              <w:top w:val="single" w:sz="4" w:space="0" w:color="auto"/>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38</w:t>
            </w:r>
          </w:p>
        </w:tc>
        <w:tc>
          <w:tcPr>
            <w:tcW w:w="1849" w:type="dxa"/>
            <w:gridSpan w:val="2"/>
            <w:tcBorders>
              <w:top w:val="single" w:sz="4" w:space="0" w:color="auto"/>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1991</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83</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202</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195</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75</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1992</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200</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204</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77</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1993</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66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207</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210</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71</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1994</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82</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189</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187</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79</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1995</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92</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172</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88</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1996</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98</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177</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166</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87</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1997</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90</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179</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168</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78</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1998</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88</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163</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158</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83</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1999</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196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176</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59</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2000</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93</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201</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198</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91</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2001</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98</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170</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101</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2002</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145</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147</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88</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2003</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83</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121</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122</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85</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2004</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72</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117</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118</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74</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2005</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76</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99</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98</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76</w:t>
            </w:r>
          </w:p>
        </w:tc>
      </w:tr>
      <w:tr w:rsidR="00CB35E9" w:rsidRPr="005A38D4" w:rsidTr="007A14BB">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2006</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84</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92</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91</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82</w:t>
            </w:r>
          </w:p>
        </w:tc>
      </w:tr>
      <w:tr w:rsidR="00CB35E9" w:rsidRPr="005A38D4" w:rsidTr="00CB35E9">
        <w:tc>
          <w:tcPr>
            <w:tcW w:w="1847" w:type="dxa"/>
            <w:tcBorders>
              <w:top w:val="nil"/>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2007</w:t>
            </w:r>
          </w:p>
        </w:tc>
        <w:tc>
          <w:tcPr>
            <w:tcW w:w="1848" w:type="dxa"/>
            <w:gridSpan w:val="2"/>
            <w:tcBorders>
              <w:top w:val="nil"/>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97</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87</w:t>
            </w:r>
          </w:p>
        </w:tc>
        <w:tc>
          <w:tcPr>
            <w:tcW w:w="1849" w:type="dxa"/>
            <w:gridSpan w:val="2"/>
            <w:tcBorders>
              <w:top w:val="nil"/>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75</w:t>
            </w:r>
          </w:p>
        </w:tc>
        <w:tc>
          <w:tcPr>
            <w:tcW w:w="1849" w:type="dxa"/>
            <w:gridSpan w:val="2"/>
            <w:tcBorders>
              <w:top w:val="nil"/>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84</w:t>
            </w:r>
          </w:p>
        </w:tc>
      </w:tr>
      <w:tr w:rsidR="00CB35E9" w:rsidRPr="005A38D4" w:rsidTr="00CB35E9">
        <w:tc>
          <w:tcPr>
            <w:tcW w:w="1847" w:type="dxa"/>
            <w:tcBorders>
              <w:top w:val="nil"/>
              <w:left w:val="single" w:sz="4" w:space="0" w:color="auto"/>
              <w:bottom w:val="single" w:sz="4" w:space="0" w:color="auto"/>
              <w:right w:val="single" w:sz="4" w:space="0" w:color="auto"/>
            </w:tcBorders>
            <w:vAlign w:val="bottom"/>
          </w:tcPr>
          <w:p w:rsidR="00CB35E9" w:rsidRPr="00905FD2" w:rsidRDefault="00CB35E9" w:rsidP="00905FD2">
            <w:pPr>
              <w:jc w:val="center"/>
              <w:rPr>
                <w:rFonts w:ascii="Times New Roman" w:hAnsi="Times New Roman" w:cs="Times New Roman"/>
                <w:color w:val="000000"/>
                <w:sz w:val="20"/>
                <w:szCs w:val="20"/>
              </w:rPr>
            </w:pPr>
            <w:r w:rsidRPr="00905FD2">
              <w:rPr>
                <w:rFonts w:ascii="Times New Roman" w:hAnsi="Times New Roman" w:cs="Times New Roman"/>
                <w:color w:val="000000"/>
                <w:sz w:val="20"/>
                <w:szCs w:val="20"/>
              </w:rPr>
              <w:t>2008</w:t>
            </w:r>
          </w:p>
        </w:tc>
        <w:tc>
          <w:tcPr>
            <w:tcW w:w="1848" w:type="dxa"/>
            <w:gridSpan w:val="2"/>
            <w:tcBorders>
              <w:top w:val="nil"/>
              <w:left w:val="single" w:sz="4" w:space="0" w:color="auto"/>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92</w:t>
            </w:r>
          </w:p>
        </w:tc>
        <w:tc>
          <w:tcPr>
            <w:tcW w:w="1849" w:type="dxa"/>
            <w:gridSpan w:val="2"/>
            <w:tcBorders>
              <w:top w:val="nil"/>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100</w:t>
            </w:r>
          </w:p>
        </w:tc>
        <w:tc>
          <w:tcPr>
            <w:tcW w:w="1849" w:type="dxa"/>
            <w:gridSpan w:val="2"/>
            <w:tcBorders>
              <w:top w:val="nil"/>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97</w:t>
            </w:r>
          </w:p>
        </w:tc>
        <w:tc>
          <w:tcPr>
            <w:tcW w:w="1849" w:type="dxa"/>
            <w:gridSpan w:val="2"/>
            <w:tcBorders>
              <w:top w:val="nil"/>
              <w:left w:val="nil"/>
              <w:bottom w:val="single" w:sz="4" w:space="0" w:color="auto"/>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87</w:t>
            </w:r>
          </w:p>
        </w:tc>
      </w:tr>
      <w:tr w:rsidR="00CB35E9" w:rsidRPr="005A38D4" w:rsidTr="00CB35E9">
        <w:tc>
          <w:tcPr>
            <w:tcW w:w="1847" w:type="dxa"/>
            <w:tcBorders>
              <w:top w:val="single" w:sz="4" w:space="0" w:color="auto"/>
              <w:left w:val="single" w:sz="4" w:space="0" w:color="auto"/>
              <w:bottom w:val="single" w:sz="4" w:space="0" w:color="auto"/>
              <w:right w:val="single" w:sz="4" w:space="0" w:color="auto"/>
            </w:tcBorders>
            <w:vAlign w:val="bottom"/>
          </w:tcPr>
          <w:p w:rsidR="00CB35E9" w:rsidRPr="00905FD2" w:rsidRDefault="00CB35E9" w:rsidP="00905FD2">
            <w:pPr>
              <w:jc w:val="center"/>
              <w:rPr>
                <w:rFonts w:ascii="Times New Roman" w:hAnsi="Times New Roman" w:cs="Times New Roman"/>
                <w:color w:val="000000"/>
                <w:sz w:val="20"/>
              </w:rPr>
            </w:pPr>
            <w:r w:rsidRPr="00905FD2">
              <w:rPr>
                <w:rFonts w:ascii="Times New Roman" w:hAnsi="Times New Roman" w:cs="Times New Roman"/>
                <w:color w:val="000000"/>
                <w:sz w:val="20"/>
              </w:rPr>
              <w:t>Total</w:t>
            </w:r>
          </w:p>
        </w:tc>
        <w:tc>
          <w:tcPr>
            <w:tcW w:w="1848" w:type="dxa"/>
            <w:gridSpan w:val="2"/>
            <w:tcBorders>
              <w:top w:val="single" w:sz="4" w:space="0" w:color="auto"/>
              <w:left w:val="single" w:sz="4" w:space="0" w:color="auto"/>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1536</w:t>
            </w:r>
          </w:p>
        </w:tc>
        <w:tc>
          <w:tcPr>
            <w:tcW w:w="1849" w:type="dxa"/>
            <w:gridSpan w:val="2"/>
            <w:tcBorders>
              <w:top w:val="single" w:sz="4" w:space="0" w:color="auto"/>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2839</w:t>
            </w:r>
          </w:p>
        </w:tc>
        <w:tc>
          <w:tcPr>
            <w:tcW w:w="1849" w:type="dxa"/>
            <w:gridSpan w:val="2"/>
            <w:tcBorders>
              <w:top w:val="single" w:sz="4" w:space="0" w:color="auto"/>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2790</w:t>
            </w:r>
          </w:p>
        </w:tc>
        <w:tc>
          <w:tcPr>
            <w:tcW w:w="1849" w:type="dxa"/>
            <w:gridSpan w:val="2"/>
            <w:tcBorders>
              <w:top w:val="single" w:sz="4" w:space="0" w:color="auto"/>
              <w:left w:val="nil"/>
              <w:bottom w:val="single" w:sz="4" w:space="0" w:color="auto"/>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1485</w:t>
            </w:r>
          </w:p>
        </w:tc>
      </w:tr>
      <w:tr w:rsidR="00CB35E9" w:rsidRPr="005A38D4" w:rsidTr="00CB35E9">
        <w:tc>
          <w:tcPr>
            <w:tcW w:w="1847" w:type="dxa"/>
            <w:tcBorders>
              <w:top w:val="single" w:sz="4" w:space="0" w:color="auto"/>
              <w:left w:val="single" w:sz="4" w:space="0" w:color="auto"/>
              <w:bottom w:val="nil"/>
              <w:right w:val="single" w:sz="4" w:space="0" w:color="auto"/>
            </w:tcBorders>
            <w:vAlign w:val="bottom"/>
          </w:tcPr>
          <w:p w:rsidR="00CB35E9" w:rsidRPr="00905FD2" w:rsidRDefault="00CB35E9" w:rsidP="00905FD2">
            <w:pPr>
              <w:jc w:val="center"/>
              <w:rPr>
                <w:rFonts w:ascii="Times New Roman" w:hAnsi="Times New Roman" w:cs="Times New Roman"/>
                <w:color w:val="000000"/>
                <w:sz w:val="20"/>
              </w:rPr>
            </w:pPr>
            <w:r w:rsidRPr="00905FD2">
              <w:rPr>
                <w:rFonts w:ascii="Times New Roman" w:hAnsi="Times New Roman" w:cs="Times New Roman"/>
                <w:color w:val="000000"/>
                <w:sz w:val="20"/>
              </w:rPr>
              <w:t>Average</w:t>
            </w:r>
          </w:p>
        </w:tc>
        <w:tc>
          <w:tcPr>
            <w:tcW w:w="1848" w:type="dxa"/>
            <w:gridSpan w:val="2"/>
            <w:tcBorders>
              <w:top w:val="single" w:sz="4" w:space="0" w:color="auto"/>
              <w:left w:val="single" w:sz="4" w:space="0" w:color="auto"/>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81</w:t>
            </w:r>
          </w:p>
        </w:tc>
        <w:tc>
          <w:tcPr>
            <w:tcW w:w="1849" w:type="dxa"/>
            <w:gridSpan w:val="2"/>
            <w:tcBorders>
              <w:top w:val="single" w:sz="4" w:space="0" w:color="auto"/>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149</w:t>
            </w:r>
          </w:p>
        </w:tc>
        <w:tc>
          <w:tcPr>
            <w:tcW w:w="1849" w:type="dxa"/>
            <w:gridSpan w:val="2"/>
            <w:tcBorders>
              <w:top w:val="single" w:sz="4" w:space="0" w:color="auto"/>
              <w:left w:val="nil"/>
              <w:bottom w:val="nil"/>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147</w:t>
            </w:r>
          </w:p>
        </w:tc>
        <w:tc>
          <w:tcPr>
            <w:tcW w:w="1849" w:type="dxa"/>
            <w:gridSpan w:val="2"/>
            <w:tcBorders>
              <w:top w:val="single" w:sz="4" w:space="0" w:color="auto"/>
              <w:left w:val="nil"/>
              <w:bottom w:val="nil"/>
              <w:right w:val="single" w:sz="4" w:space="0" w:color="auto"/>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78</w:t>
            </w:r>
          </w:p>
        </w:tc>
      </w:tr>
      <w:tr w:rsidR="00CB35E9" w:rsidRPr="005A38D4" w:rsidTr="007A14BB">
        <w:tc>
          <w:tcPr>
            <w:tcW w:w="1847" w:type="dxa"/>
            <w:tcBorders>
              <w:top w:val="nil"/>
              <w:left w:val="single" w:sz="4" w:space="0" w:color="auto"/>
              <w:bottom w:val="single" w:sz="4" w:space="0" w:color="auto"/>
              <w:right w:val="single" w:sz="4" w:space="0" w:color="auto"/>
            </w:tcBorders>
            <w:vAlign w:val="bottom"/>
          </w:tcPr>
          <w:p w:rsidR="00CB35E9" w:rsidRPr="00905FD2" w:rsidRDefault="00CB35E9" w:rsidP="00905FD2">
            <w:pPr>
              <w:jc w:val="center"/>
              <w:rPr>
                <w:rFonts w:ascii="Times New Roman" w:hAnsi="Times New Roman" w:cs="Times New Roman"/>
                <w:color w:val="000000"/>
                <w:sz w:val="20"/>
              </w:rPr>
            </w:pPr>
            <w:r w:rsidRPr="00905FD2">
              <w:rPr>
                <w:rFonts w:ascii="Times New Roman" w:hAnsi="Times New Roman" w:cs="Times New Roman"/>
                <w:color w:val="000000"/>
                <w:sz w:val="20"/>
              </w:rPr>
              <w:t>Median</w:t>
            </w:r>
          </w:p>
        </w:tc>
        <w:tc>
          <w:tcPr>
            <w:tcW w:w="1848" w:type="dxa"/>
            <w:gridSpan w:val="2"/>
            <w:tcBorders>
              <w:top w:val="nil"/>
              <w:left w:val="single" w:sz="4" w:space="0" w:color="auto"/>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84</w:t>
            </w:r>
          </w:p>
        </w:tc>
        <w:tc>
          <w:tcPr>
            <w:tcW w:w="1849" w:type="dxa"/>
            <w:gridSpan w:val="2"/>
            <w:tcBorders>
              <w:top w:val="nil"/>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166</w:t>
            </w:r>
          </w:p>
        </w:tc>
        <w:tc>
          <w:tcPr>
            <w:tcW w:w="1849" w:type="dxa"/>
            <w:gridSpan w:val="2"/>
            <w:tcBorders>
              <w:top w:val="nil"/>
              <w:left w:val="nil"/>
              <w:bottom w:val="single" w:sz="4" w:space="0" w:color="auto"/>
              <w:right w:val="nil"/>
            </w:tcBorders>
            <w:vAlign w:val="bottom"/>
          </w:tcPr>
          <w:p w:rsidR="00CB35E9" w:rsidRPr="007A14BB" w:rsidRDefault="00CB35E9" w:rsidP="00905FD2">
            <w:pPr>
              <w:jc w:val="center"/>
              <w:rPr>
                <w:rFonts w:ascii="Times New Roman" w:hAnsi="Times New Roman" w:cs="Times New Roman"/>
                <w:color w:val="000000"/>
                <w:szCs w:val="20"/>
              </w:rPr>
            </w:pPr>
            <w:r w:rsidRPr="007A14BB">
              <w:rPr>
                <w:rFonts w:ascii="Times New Roman" w:hAnsi="Times New Roman" w:cs="Times New Roman"/>
                <w:color w:val="000000"/>
                <w:szCs w:val="20"/>
              </w:rPr>
              <w:t>166</w:t>
            </w:r>
          </w:p>
        </w:tc>
        <w:tc>
          <w:tcPr>
            <w:tcW w:w="1849" w:type="dxa"/>
            <w:gridSpan w:val="2"/>
            <w:tcBorders>
              <w:top w:val="nil"/>
              <w:left w:val="nil"/>
              <w:bottom w:val="single" w:sz="4" w:space="0" w:color="auto"/>
              <w:right w:val="single" w:sz="4" w:space="0" w:color="auto"/>
            </w:tcBorders>
            <w:vAlign w:val="bottom"/>
          </w:tcPr>
          <w:p w:rsidR="00CB35E9" w:rsidRPr="007A14BB" w:rsidRDefault="00CB35E9" w:rsidP="008F5D6A">
            <w:pPr>
              <w:keepNext/>
              <w:jc w:val="center"/>
              <w:rPr>
                <w:rFonts w:ascii="Times New Roman" w:hAnsi="Times New Roman" w:cs="Times New Roman"/>
                <w:color w:val="000000"/>
                <w:szCs w:val="20"/>
              </w:rPr>
            </w:pPr>
            <w:r w:rsidRPr="007A14BB">
              <w:rPr>
                <w:rFonts w:ascii="Times New Roman" w:hAnsi="Times New Roman" w:cs="Times New Roman"/>
                <w:color w:val="000000"/>
                <w:szCs w:val="20"/>
              </w:rPr>
              <w:t>82</w:t>
            </w:r>
          </w:p>
        </w:tc>
      </w:tr>
    </w:tbl>
    <w:p w:rsidR="00DD3523" w:rsidRPr="008F5D6A" w:rsidRDefault="008F5D6A" w:rsidP="008F5D6A">
      <w:pPr>
        <w:pStyle w:val="Caption"/>
        <w:rPr>
          <w:rFonts w:ascii="Times New Roman" w:hAnsi="Times New Roman" w:cs="Times New Roman"/>
          <w:color w:val="FFFFFF" w:themeColor="background1"/>
          <w:sz w:val="24"/>
        </w:rPr>
      </w:pPr>
      <w:bookmarkStart w:id="55" w:name="_Toc305166527"/>
      <w:r w:rsidRPr="008F5D6A">
        <w:rPr>
          <w:color w:val="FFFFFF" w:themeColor="background1"/>
        </w:rPr>
        <w:t xml:space="preserve">Table </w:t>
      </w:r>
      <w:r w:rsidR="000963F3" w:rsidRPr="008F5D6A">
        <w:rPr>
          <w:color w:val="FFFFFF" w:themeColor="background1"/>
        </w:rPr>
        <w:fldChar w:fldCharType="begin"/>
      </w:r>
      <w:r w:rsidRPr="008F5D6A">
        <w:rPr>
          <w:color w:val="FFFFFF" w:themeColor="background1"/>
        </w:rPr>
        <w:instrText xml:space="preserve"> SEQ Table \* ARABIC </w:instrText>
      </w:r>
      <w:r w:rsidR="000963F3" w:rsidRPr="008F5D6A">
        <w:rPr>
          <w:color w:val="FFFFFF" w:themeColor="background1"/>
        </w:rPr>
        <w:fldChar w:fldCharType="separate"/>
      </w:r>
      <w:r w:rsidR="00AB32F5">
        <w:rPr>
          <w:noProof/>
          <w:color w:val="FFFFFF" w:themeColor="background1"/>
        </w:rPr>
        <w:t>4</w:t>
      </w:r>
      <w:r w:rsidR="000963F3" w:rsidRPr="008F5D6A">
        <w:rPr>
          <w:color w:val="FFFFFF" w:themeColor="background1"/>
        </w:rPr>
        <w:fldChar w:fldCharType="end"/>
      </w:r>
      <w:r w:rsidRPr="008F5D6A">
        <w:rPr>
          <w:color w:val="FFFFFF" w:themeColor="background1"/>
        </w:rPr>
        <w:t xml:space="preserve"> - Descriptive Statistics for Dependent Variables</w:t>
      </w:r>
      <w:bookmarkEnd w:id="55"/>
    </w:p>
    <w:p w:rsidR="00502948" w:rsidRDefault="00502948" w:rsidP="00502948">
      <w:pPr>
        <w:spacing w:line="360" w:lineRule="auto"/>
        <w:jc w:val="both"/>
        <w:rPr>
          <w:rFonts w:ascii="Times New Roman" w:hAnsi="Times New Roman" w:cs="Times New Roman"/>
          <w:sz w:val="24"/>
        </w:rPr>
      </w:pPr>
      <w:r>
        <w:rPr>
          <w:rFonts w:ascii="Times New Roman" w:hAnsi="Times New Roman" w:cs="Times New Roman"/>
          <w:sz w:val="24"/>
        </w:rPr>
        <w:lastRenderedPageBreak/>
        <w:t>Similar to the Sharpe ratio, the Treynor measure provides a risk-adjusted measure of return, but it is based on systematic risk (i.e., beta). The large value portfolio has Treynor measure of 0.0139, while the large growth portfolio has a Treynor measure of 0.0065. The small value and small growth portfolios’ Treynor measures are 0.0531 and 0.03858 respectively. In conclusion, the small value portfolio has larger Sharpe</w:t>
      </w:r>
      <w:r w:rsidR="00F9408C">
        <w:rPr>
          <w:rFonts w:ascii="Times New Roman" w:hAnsi="Times New Roman" w:cs="Times New Roman"/>
          <w:sz w:val="24"/>
        </w:rPr>
        <w:t xml:space="preserve"> and</w:t>
      </w:r>
      <w:r>
        <w:rPr>
          <w:rFonts w:ascii="Times New Roman" w:hAnsi="Times New Roman" w:cs="Times New Roman"/>
          <w:sz w:val="24"/>
        </w:rPr>
        <w:t xml:space="preserve"> Treynor measures, with the small growth portfolio coming in second. The large value portfolio has larger risk-adjusted measures when compared to its large growth counterpart. </w:t>
      </w:r>
      <w:r w:rsidR="00D54489">
        <w:rPr>
          <w:rFonts w:ascii="Times New Roman" w:hAnsi="Times New Roman" w:cs="Times New Roman"/>
          <w:sz w:val="24"/>
        </w:rPr>
        <w:t xml:space="preserve">One can make the following deductions from the results above. On a risk-adjusted basis, the small value and small growth portfolios have superior Treynor and Sharpe measures. For the Treynor measure, this result can be explained by the lower beta. The risk-adjusted returns for the small value and small growth portfolios are still higher than that of the growth portfolios. For the Sharpe measure, the standard deviations of both the small portfolios are higher than the standard deviation of the growth portfolios, which suggests that these two small market </w:t>
      </w:r>
      <w:r w:rsidR="00610C8D">
        <w:rPr>
          <w:rFonts w:ascii="Times New Roman" w:hAnsi="Times New Roman" w:cs="Times New Roman"/>
          <w:sz w:val="24"/>
        </w:rPr>
        <w:t>capitalisation</w:t>
      </w:r>
      <w:r w:rsidR="00D54489">
        <w:rPr>
          <w:rFonts w:ascii="Times New Roman" w:hAnsi="Times New Roman" w:cs="Times New Roman"/>
          <w:sz w:val="24"/>
        </w:rPr>
        <w:t xml:space="preserve"> portfolios have higher risk-adjusted returns because of both the higher standard deviation and the higher excess return. </w:t>
      </w:r>
      <w:r w:rsidR="00700A7C">
        <w:rPr>
          <w:rFonts w:ascii="Times New Roman" w:hAnsi="Times New Roman" w:cs="Times New Roman"/>
          <w:sz w:val="24"/>
        </w:rPr>
        <w:t xml:space="preserve">This result confirms hypothesis </w:t>
      </w:r>
      <w:r w:rsidR="0088315C">
        <w:rPr>
          <w:rFonts w:ascii="Times New Roman" w:hAnsi="Times New Roman" w:cs="Times New Roman"/>
          <w:sz w:val="24"/>
        </w:rPr>
        <w:t>four</w:t>
      </w:r>
      <w:r w:rsidR="00700A7C">
        <w:rPr>
          <w:rFonts w:ascii="Times New Roman" w:hAnsi="Times New Roman" w:cs="Times New Roman"/>
          <w:sz w:val="24"/>
        </w:rPr>
        <w:t>: the portfolio consisting of a combination of small market capitalisation stocks and high BTM</w:t>
      </w:r>
      <w:r w:rsidR="0088315C">
        <w:rPr>
          <w:rFonts w:ascii="Times New Roman" w:hAnsi="Times New Roman" w:cs="Times New Roman"/>
          <w:sz w:val="24"/>
        </w:rPr>
        <w:t xml:space="preserve"> stocks outperforms a portfolio consisting of the combination of large market capitalisation stocks and low BTM stocks. </w:t>
      </w:r>
      <w:r w:rsidR="00D54489">
        <w:rPr>
          <w:rFonts w:ascii="Times New Roman" w:hAnsi="Times New Roman" w:cs="Times New Roman"/>
          <w:sz w:val="24"/>
        </w:rPr>
        <w:t xml:space="preserve"> </w:t>
      </w:r>
    </w:p>
    <w:p w:rsidR="004A1DA2" w:rsidRDefault="004A1DA2" w:rsidP="00A02570">
      <w:pPr>
        <w:spacing w:line="360" w:lineRule="auto"/>
        <w:jc w:val="both"/>
        <w:rPr>
          <w:rFonts w:ascii="Times New Roman" w:hAnsi="Times New Roman" w:cs="Times New Roman"/>
          <w:sz w:val="24"/>
        </w:rPr>
      </w:pPr>
    </w:p>
    <w:p w:rsidR="00262C4E" w:rsidRDefault="007A14BB" w:rsidP="00A02570">
      <w:pPr>
        <w:spacing w:line="360" w:lineRule="auto"/>
        <w:jc w:val="both"/>
        <w:rPr>
          <w:rFonts w:ascii="Times New Roman" w:hAnsi="Times New Roman" w:cs="Times New Roman"/>
          <w:sz w:val="24"/>
        </w:rPr>
      </w:pPr>
      <w:r w:rsidRPr="007A14BB">
        <w:rPr>
          <w:rFonts w:ascii="Times New Roman" w:hAnsi="Times New Roman" w:cs="Times New Roman"/>
          <w:sz w:val="24"/>
        </w:rPr>
        <w:t xml:space="preserve">Considering Panel B, the most glaring observation is the number of stocks in the large growth portfolio for the very first year under consideration. 4 stocks in a portfolio are not ideal, but considering the independent variables sorted on one dimensions and two dimensions, it is a risk to take. For the same 1990 </w:t>
      </w:r>
      <w:r w:rsidR="00A561C1" w:rsidRPr="007A14BB">
        <w:rPr>
          <w:rFonts w:ascii="Times New Roman" w:hAnsi="Times New Roman" w:cs="Times New Roman"/>
          <w:sz w:val="24"/>
        </w:rPr>
        <w:t>year,</w:t>
      </w:r>
      <w:r w:rsidR="00A561C1">
        <w:rPr>
          <w:rFonts w:ascii="Times New Roman" w:hAnsi="Times New Roman" w:cs="Times New Roman"/>
          <w:sz w:val="24"/>
        </w:rPr>
        <w:t xml:space="preserve"> the </w:t>
      </w:r>
      <w:r w:rsidR="00A561C1" w:rsidRPr="007A14BB">
        <w:rPr>
          <w:rFonts w:ascii="Times New Roman" w:hAnsi="Times New Roman" w:cs="Times New Roman"/>
          <w:sz w:val="24"/>
        </w:rPr>
        <w:t xml:space="preserve">small value portfolio </w:t>
      </w:r>
      <w:r w:rsidR="00A561C1">
        <w:rPr>
          <w:rFonts w:ascii="Times New Roman" w:hAnsi="Times New Roman" w:cs="Times New Roman"/>
          <w:sz w:val="24"/>
        </w:rPr>
        <w:t>is made up of 20</w:t>
      </w:r>
      <w:r w:rsidRPr="007A14BB">
        <w:rPr>
          <w:rFonts w:ascii="Times New Roman" w:hAnsi="Times New Roman" w:cs="Times New Roman"/>
          <w:sz w:val="24"/>
        </w:rPr>
        <w:t xml:space="preserve"> stocks, while</w:t>
      </w:r>
      <w:r w:rsidR="00A561C1">
        <w:rPr>
          <w:rFonts w:ascii="Times New Roman" w:hAnsi="Times New Roman" w:cs="Times New Roman"/>
          <w:sz w:val="24"/>
        </w:rPr>
        <w:t xml:space="preserve"> </w:t>
      </w:r>
      <w:r w:rsidR="00A561C1" w:rsidRPr="007A14BB">
        <w:rPr>
          <w:rFonts w:ascii="Times New Roman" w:hAnsi="Times New Roman" w:cs="Times New Roman"/>
          <w:sz w:val="24"/>
        </w:rPr>
        <w:t xml:space="preserve">the large value portfolio </w:t>
      </w:r>
      <w:r w:rsidR="00A561C1">
        <w:rPr>
          <w:rFonts w:ascii="Times New Roman" w:hAnsi="Times New Roman" w:cs="Times New Roman"/>
          <w:sz w:val="24"/>
        </w:rPr>
        <w:t>is not much better at 22</w:t>
      </w:r>
      <w:r w:rsidRPr="007A14BB">
        <w:rPr>
          <w:rFonts w:ascii="Times New Roman" w:hAnsi="Times New Roman" w:cs="Times New Roman"/>
          <w:sz w:val="24"/>
        </w:rPr>
        <w:t xml:space="preserve"> stocks.</w:t>
      </w:r>
      <w:r w:rsidR="00A561C1">
        <w:rPr>
          <w:rFonts w:ascii="Times New Roman" w:hAnsi="Times New Roman" w:cs="Times New Roman"/>
          <w:sz w:val="24"/>
        </w:rPr>
        <w:t xml:space="preserve"> There is an immediate jump from a low number of stocks in each portfolio to 83 in large growth, 202 in large value, 195 in small growth, and (a not so large jump to) 75 stocks in small value. However, as one moves into the later years it is apparent that there are a larger number of stocks. In about 2004 the number of stocks seems to decline in all portfolios, but then increase up until the last year of 2008. The mean </w:t>
      </w:r>
      <w:r w:rsidR="00D54489">
        <w:rPr>
          <w:rFonts w:ascii="Times New Roman" w:hAnsi="Times New Roman" w:cs="Times New Roman"/>
          <w:sz w:val="24"/>
        </w:rPr>
        <w:t xml:space="preserve">number of stocks </w:t>
      </w:r>
      <w:r w:rsidR="00A561C1">
        <w:rPr>
          <w:rFonts w:ascii="Times New Roman" w:hAnsi="Times New Roman" w:cs="Times New Roman"/>
          <w:sz w:val="24"/>
        </w:rPr>
        <w:t>is brought down by the small number of stocks in the 1990 year.</w:t>
      </w:r>
      <w:r w:rsidR="004A1DA2">
        <w:rPr>
          <w:rFonts w:ascii="Times New Roman" w:hAnsi="Times New Roman" w:cs="Times New Roman"/>
          <w:sz w:val="24"/>
        </w:rPr>
        <w:t xml:space="preserve"> </w:t>
      </w:r>
    </w:p>
    <w:p w:rsidR="003D6D1A" w:rsidRDefault="003D6D1A" w:rsidP="00A02570">
      <w:pPr>
        <w:spacing w:line="360" w:lineRule="auto"/>
        <w:jc w:val="both"/>
        <w:rPr>
          <w:rFonts w:ascii="Times New Roman" w:hAnsi="Times New Roman" w:cs="Times New Roman"/>
          <w:sz w:val="24"/>
          <w:szCs w:val="36"/>
        </w:rPr>
      </w:pPr>
    </w:p>
    <w:p w:rsidR="005B611B" w:rsidRDefault="005B611B" w:rsidP="00A02570">
      <w:pPr>
        <w:spacing w:line="360" w:lineRule="auto"/>
        <w:jc w:val="both"/>
        <w:rPr>
          <w:rFonts w:ascii="Times New Roman" w:hAnsi="Times New Roman" w:cs="Times New Roman"/>
          <w:sz w:val="24"/>
          <w:szCs w:val="36"/>
        </w:rPr>
      </w:pPr>
    </w:p>
    <w:p w:rsidR="005B611B" w:rsidRPr="00566BF3" w:rsidRDefault="005B611B" w:rsidP="00A02570">
      <w:pPr>
        <w:spacing w:line="360" w:lineRule="auto"/>
        <w:jc w:val="both"/>
        <w:rPr>
          <w:rFonts w:ascii="Times New Roman" w:hAnsi="Times New Roman" w:cs="Times New Roman"/>
          <w:sz w:val="24"/>
          <w:szCs w:val="36"/>
        </w:rPr>
      </w:pPr>
    </w:p>
    <w:p w:rsidR="009653E9" w:rsidRPr="00566BF3" w:rsidRDefault="007751C9" w:rsidP="00FF500C">
      <w:pPr>
        <w:pStyle w:val="ListParagraph"/>
        <w:numPr>
          <w:ilvl w:val="0"/>
          <w:numId w:val="18"/>
        </w:numPr>
        <w:spacing w:line="360" w:lineRule="auto"/>
        <w:jc w:val="both"/>
        <w:outlineLvl w:val="0"/>
        <w:rPr>
          <w:rFonts w:ascii="Times New Roman" w:hAnsi="Times New Roman" w:cs="Times New Roman"/>
          <w:b/>
          <w:sz w:val="36"/>
          <w:szCs w:val="36"/>
        </w:rPr>
      </w:pPr>
      <w:bookmarkStart w:id="56" w:name="_Toc305166518"/>
      <w:r w:rsidRPr="00566BF3">
        <w:rPr>
          <w:rFonts w:ascii="Times New Roman" w:hAnsi="Times New Roman" w:cs="Times New Roman"/>
          <w:b/>
          <w:sz w:val="36"/>
          <w:szCs w:val="36"/>
        </w:rPr>
        <w:lastRenderedPageBreak/>
        <w:t>Empirical Analysis and Results</w:t>
      </w:r>
      <w:bookmarkEnd w:id="56"/>
    </w:p>
    <w:p w:rsidR="009653E9" w:rsidRDefault="003D6D1A" w:rsidP="00A02570">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b/>
          <w:sz w:val="36"/>
          <w:szCs w:val="36"/>
        </w:rPr>
        <w:t xml:space="preserve"> </w:t>
      </w:r>
    </w:p>
    <w:p w:rsidR="00DA0490" w:rsidRDefault="00DA0490"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Using the Augmented Dickey-Fuller (ADF) test, the stationarity of the data is considered. All variables considered in the dataset are stationary, as the ADF test statistic for each variable is greater than the critical values at the 1%, 5%, and 10% levels. To illustrate </w:t>
      </w:r>
      <w:r w:rsidRPr="000A2137">
        <w:rPr>
          <w:rFonts w:ascii="Times New Roman" w:hAnsi="Times New Roman" w:cs="Times New Roman"/>
          <w:sz w:val="24"/>
          <w:szCs w:val="36"/>
        </w:rPr>
        <w:t xml:space="preserve">this Table </w:t>
      </w:r>
      <w:r w:rsidR="00206FE3" w:rsidRPr="000A2137">
        <w:rPr>
          <w:rFonts w:ascii="Times New Roman" w:hAnsi="Times New Roman" w:cs="Times New Roman"/>
          <w:sz w:val="24"/>
          <w:szCs w:val="36"/>
        </w:rPr>
        <w:t>5</w:t>
      </w:r>
      <w:r w:rsidR="007D5273" w:rsidRPr="000A2137">
        <w:rPr>
          <w:rFonts w:ascii="Times New Roman" w:hAnsi="Times New Roman" w:cs="Times New Roman"/>
          <w:sz w:val="24"/>
          <w:szCs w:val="36"/>
        </w:rPr>
        <w:t xml:space="preserve"> </w:t>
      </w:r>
      <w:r>
        <w:rPr>
          <w:rFonts w:ascii="Times New Roman" w:hAnsi="Times New Roman" w:cs="Times New Roman"/>
          <w:sz w:val="24"/>
          <w:szCs w:val="36"/>
        </w:rPr>
        <w:t xml:space="preserve">shows the equally weighted BTM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(growth) and E/P (value) portfolios. Also shown in the table is the ADF of the three factors in the Fama and French (1993) three factor model. Looking at the ADF t-statistic of the high BTM portfolio, its value is -12.15158. Testing at the 10% level, the t-statistic is -2.57, which is greater than the ADF test statistic. Even at the 5% and 1% critical values the variable remains stationary, with t-statistics greater than the ADF. This is the case with all the variables in the table as well as the dataset. </w:t>
      </w:r>
    </w:p>
    <w:p w:rsidR="005B611B" w:rsidRDefault="005B611B" w:rsidP="00A02570">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Other summary statistics relevant in this dissertation include the number of data points each variable has. The sample period ranges from 31 August 1990 to 30 June 2009. The monthly observations sum to 227 for each variable. Each of the single sorted independent variables is put into two portfolios, one that is equally weighted and one that is value weighted. In this way, all arguments from authors quoted (for example, Strong and Xu, 1997 and Antoniou, Galariotis, and Spyrou, 2006) who use one or other method (or both) can be considered. When a stock is value weighted it entails weighting it by its market capitalisation. The larger the firm’s market capitalisation, the heavier the weighting in the portfolio. Equal weighting, on the other hand, assigns an equal weight to each stock. This results in large and small stocks having the same impact in the portfolio. </w:t>
      </w: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5B611B" w:rsidRDefault="005B611B" w:rsidP="005B611B">
      <w:pPr>
        <w:pStyle w:val="ListParagraph"/>
        <w:spacing w:line="360" w:lineRule="auto"/>
        <w:ind w:left="0"/>
        <w:jc w:val="both"/>
        <w:rPr>
          <w:rFonts w:ascii="Times New Roman" w:hAnsi="Times New Roman" w:cs="Times New Roman"/>
          <w:sz w:val="24"/>
          <w:szCs w:val="36"/>
        </w:rPr>
      </w:pPr>
    </w:p>
    <w:p w:rsidR="00E906ED" w:rsidRDefault="00E906ED" w:rsidP="00A02570">
      <w:pPr>
        <w:pStyle w:val="ListParagraph"/>
        <w:spacing w:line="360" w:lineRule="auto"/>
        <w:ind w:left="0"/>
        <w:jc w:val="both"/>
        <w:rPr>
          <w:rFonts w:ascii="Times New Roman" w:hAnsi="Times New Roman" w:cs="Times New Roman"/>
          <w:sz w:val="24"/>
          <w:szCs w:val="36"/>
        </w:rPr>
      </w:pPr>
    </w:p>
    <w:tbl>
      <w:tblPr>
        <w:tblStyle w:val="TableGrid"/>
        <w:tblW w:w="6345" w:type="dxa"/>
        <w:tblInd w:w="1355" w:type="dxa"/>
        <w:tblLook w:val="04A0"/>
      </w:tblPr>
      <w:tblGrid>
        <w:gridCol w:w="3998"/>
        <w:gridCol w:w="2347"/>
      </w:tblGrid>
      <w:tr w:rsidR="008B5BC6" w:rsidRPr="004A7197" w:rsidTr="00EE561B">
        <w:trPr>
          <w:trHeight w:val="274"/>
        </w:trPr>
        <w:tc>
          <w:tcPr>
            <w:tcW w:w="6345" w:type="dxa"/>
            <w:gridSpan w:val="2"/>
          </w:tcPr>
          <w:p w:rsidR="008B5BC6" w:rsidRPr="00904DA8" w:rsidRDefault="008B5BC6" w:rsidP="00EE561B">
            <w:pPr>
              <w:jc w:val="center"/>
              <w:rPr>
                <w:rFonts w:ascii="Times New Roman" w:hAnsi="Times New Roman" w:cs="Times New Roman"/>
                <w:b/>
                <w:sz w:val="24"/>
                <w:szCs w:val="20"/>
              </w:rPr>
            </w:pPr>
            <w:r w:rsidRPr="00904DA8">
              <w:rPr>
                <w:rFonts w:ascii="Times New Roman" w:hAnsi="Times New Roman" w:cs="Times New Roman"/>
                <w:b/>
                <w:sz w:val="24"/>
                <w:szCs w:val="20"/>
              </w:rPr>
              <w:lastRenderedPageBreak/>
              <w:t>Table 5</w:t>
            </w:r>
          </w:p>
        </w:tc>
      </w:tr>
      <w:tr w:rsidR="008B5BC6" w:rsidRPr="004A7197" w:rsidTr="00EE561B">
        <w:trPr>
          <w:trHeight w:val="983"/>
        </w:trPr>
        <w:tc>
          <w:tcPr>
            <w:tcW w:w="6345" w:type="dxa"/>
            <w:gridSpan w:val="2"/>
          </w:tcPr>
          <w:p w:rsidR="00904DA8" w:rsidRDefault="008B5BC6" w:rsidP="00904DA8">
            <w:pPr>
              <w:jc w:val="center"/>
              <w:rPr>
                <w:rFonts w:ascii="Times New Roman" w:hAnsi="Times New Roman" w:cs="Times New Roman"/>
                <w:b/>
                <w:sz w:val="24"/>
                <w:szCs w:val="20"/>
              </w:rPr>
            </w:pPr>
            <w:r w:rsidRPr="00904DA8">
              <w:rPr>
                <w:rFonts w:ascii="Times New Roman" w:hAnsi="Times New Roman" w:cs="Times New Roman"/>
                <w:b/>
                <w:sz w:val="24"/>
                <w:szCs w:val="20"/>
              </w:rPr>
              <w:t xml:space="preserve">Augmented Dickey-Fuller Tests </w:t>
            </w:r>
          </w:p>
          <w:p w:rsidR="008B5BC6" w:rsidRPr="004A7197" w:rsidRDefault="008B5BC6" w:rsidP="00904DA8">
            <w:pPr>
              <w:jc w:val="center"/>
              <w:rPr>
                <w:rFonts w:ascii="Times New Roman" w:hAnsi="Times New Roman" w:cs="Times New Roman"/>
                <w:szCs w:val="20"/>
              </w:rPr>
            </w:pPr>
            <w:r w:rsidRPr="00904DA8">
              <w:rPr>
                <w:rFonts w:ascii="Times New Roman" w:hAnsi="Times New Roman" w:cs="Times New Roman"/>
                <w:b/>
                <w:sz w:val="20"/>
                <w:szCs w:val="20"/>
              </w:rPr>
              <w:t>Testing for stationarity of BTM (value portfolio), MCap (growth portfolio), E/P (value portfolio), SMB, HML, and the market factor.</w:t>
            </w:r>
            <w:r w:rsidRPr="00904DA8">
              <w:rPr>
                <w:rFonts w:ascii="Times New Roman" w:hAnsi="Times New Roman" w:cs="Times New Roman"/>
                <w:sz w:val="20"/>
                <w:szCs w:val="20"/>
              </w:rPr>
              <w:t xml:space="preserve"> </w:t>
            </w:r>
          </w:p>
        </w:tc>
      </w:tr>
      <w:tr w:rsidR="008B5BC6" w:rsidRPr="004E14DC" w:rsidTr="00EE561B">
        <w:trPr>
          <w:trHeight w:val="1282"/>
        </w:trPr>
        <w:tc>
          <w:tcPr>
            <w:tcW w:w="6345" w:type="dxa"/>
            <w:gridSpan w:val="2"/>
            <w:tcBorders>
              <w:bottom w:val="single" w:sz="4" w:space="0" w:color="auto"/>
            </w:tcBorders>
          </w:tcPr>
          <w:p w:rsidR="008B5BC6" w:rsidRPr="004A7197" w:rsidRDefault="008B5BC6" w:rsidP="00EE561B">
            <w:pPr>
              <w:rPr>
                <w:rFonts w:ascii="Times New Roman" w:hAnsi="Times New Roman" w:cs="Times New Roman"/>
                <w:sz w:val="20"/>
                <w:szCs w:val="20"/>
              </w:rPr>
            </w:pPr>
            <w:r w:rsidRPr="004A7197">
              <w:rPr>
                <w:rFonts w:ascii="Times New Roman" w:hAnsi="Times New Roman" w:cs="Times New Roman"/>
                <w:sz w:val="20"/>
                <w:szCs w:val="20"/>
              </w:rPr>
              <w:t xml:space="preserve">BTM is the book equity-to-market equity portfolio. MCap is the market </w:t>
            </w:r>
            <w:r w:rsidR="00610C8D">
              <w:rPr>
                <w:rFonts w:ascii="Times New Roman" w:hAnsi="Times New Roman" w:cs="Times New Roman"/>
                <w:sz w:val="20"/>
                <w:szCs w:val="20"/>
              </w:rPr>
              <w:t>capitalisation</w:t>
            </w:r>
            <w:r w:rsidRPr="004A7197">
              <w:rPr>
                <w:rFonts w:ascii="Times New Roman" w:hAnsi="Times New Roman" w:cs="Times New Roman"/>
                <w:sz w:val="20"/>
                <w:szCs w:val="20"/>
              </w:rPr>
              <w:t xml:space="preserve"> portfolio. SMB is the small </w:t>
            </w:r>
            <w:r w:rsidR="00610C8D">
              <w:rPr>
                <w:rFonts w:ascii="Times New Roman" w:hAnsi="Times New Roman" w:cs="Times New Roman"/>
                <w:sz w:val="20"/>
                <w:szCs w:val="20"/>
              </w:rPr>
              <w:t>capitalisation</w:t>
            </w:r>
            <w:r w:rsidRPr="004A7197">
              <w:rPr>
                <w:rFonts w:ascii="Times New Roman" w:hAnsi="Times New Roman" w:cs="Times New Roman"/>
                <w:sz w:val="20"/>
                <w:szCs w:val="20"/>
              </w:rPr>
              <w:t xml:space="preserve"> stocks less the big </w:t>
            </w:r>
            <w:r w:rsidR="00610C8D">
              <w:rPr>
                <w:rFonts w:ascii="Times New Roman" w:hAnsi="Times New Roman" w:cs="Times New Roman"/>
                <w:sz w:val="20"/>
                <w:szCs w:val="20"/>
              </w:rPr>
              <w:t>capitalisation</w:t>
            </w:r>
            <w:r w:rsidRPr="004A7197">
              <w:rPr>
                <w:rFonts w:ascii="Times New Roman" w:hAnsi="Times New Roman" w:cs="Times New Roman"/>
                <w:sz w:val="20"/>
                <w:szCs w:val="20"/>
              </w:rPr>
              <w:t xml:space="preserve"> stocks portfolio. HML is the high BTM stocks less the low BTM stocks portfolio. The market factor is the return on the market (ALSI 40) less the return on the risk free rate (the 90-day banker’s acceptance rate).</w:t>
            </w:r>
          </w:p>
        </w:tc>
      </w:tr>
      <w:tr w:rsidR="008B5BC6" w:rsidRPr="004E14DC" w:rsidTr="00E906ED">
        <w:trPr>
          <w:trHeight w:val="272"/>
        </w:trPr>
        <w:tc>
          <w:tcPr>
            <w:tcW w:w="3998" w:type="dxa"/>
            <w:tcBorders>
              <w:top w:val="nil"/>
              <w:bottom w:val="nil"/>
              <w:right w:val="nil"/>
            </w:tcBorders>
          </w:tcPr>
          <w:p w:rsidR="008B5BC6" w:rsidRPr="004A7197" w:rsidRDefault="00E906ED" w:rsidP="00EE561B">
            <w:pPr>
              <w:rPr>
                <w:rFonts w:ascii="Times New Roman" w:hAnsi="Times New Roman" w:cs="Times New Roman"/>
                <w:sz w:val="20"/>
                <w:szCs w:val="20"/>
              </w:rPr>
            </w:pPr>
            <w:r w:rsidRPr="00E906ED">
              <w:rPr>
                <w:rFonts w:ascii="Times New Roman" w:hAnsi="Times New Roman" w:cs="Times New Roman"/>
                <w:b/>
                <w:szCs w:val="20"/>
              </w:rPr>
              <w:t>Equally weighted high BTM portfolio</w:t>
            </w:r>
          </w:p>
        </w:tc>
        <w:tc>
          <w:tcPr>
            <w:tcW w:w="2347" w:type="dxa"/>
            <w:tcBorders>
              <w:top w:val="nil"/>
              <w:left w:val="nil"/>
              <w:bottom w:val="nil"/>
            </w:tcBorders>
          </w:tcPr>
          <w:p w:rsidR="008B5BC6" w:rsidRPr="004A7197" w:rsidRDefault="008B5BC6" w:rsidP="00EE561B">
            <w:pPr>
              <w:jc w:val="center"/>
              <w:rPr>
                <w:rFonts w:ascii="Times New Roman" w:hAnsi="Times New Roman" w:cs="Times New Roman"/>
                <w:sz w:val="20"/>
                <w:szCs w:val="20"/>
              </w:rPr>
            </w:pPr>
            <w:r w:rsidRPr="004A7197">
              <w:rPr>
                <w:rFonts w:ascii="Times New Roman" w:hAnsi="Times New Roman" w:cs="Times New Roman"/>
                <w:color w:val="000000"/>
                <w:sz w:val="20"/>
                <w:szCs w:val="20"/>
              </w:rPr>
              <w:t>t-Statistic</w:t>
            </w:r>
          </w:p>
        </w:tc>
      </w:tr>
      <w:tr w:rsidR="00E906ED" w:rsidRPr="004E14DC" w:rsidTr="00E906ED">
        <w:trPr>
          <w:trHeight w:val="335"/>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-12.15</w:t>
            </w:r>
          </w:p>
        </w:tc>
      </w:tr>
      <w:tr w:rsidR="00E906ED" w:rsidRPr="00D07E8D" w:rsidTr="00E906ED">
        <w:trPr>
          <w:trHeight w:val="287"/>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center"/>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           </w:t>
            </w:r>
            <w:r w:rsidRPr="004A7197">
              <w:rPr>
                <w:rFonts w:ascii="Times New Roman" w:hAnsi="Times New Roman" w:cs="Times New Roman"/>
                <w:color w:val="000000"/>
                <w:sz w:val="20"/>
                <w:szCs w:val="20"/>
              </w:rPr>
              <w:t xml:space="preserve"> 10%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r w:rsidR="00E906ED" w:rsidRPr="00D07E8D" w:rsidTr="00E906ED">
        <w:trPr>
          <w:trHeight w:val="28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E906ED">
              <w:rPr>
                <w:rFonts w:ascii="Times New Roman" w:hAnsi="Times New Roman" w:cs="Times New Roman"/>
                <w:b/>
                <w:color w:val="000000"/>
                <w:szCs w:val="20"/>
              </w:rPr>
              <w:t>Equally weighted high MCap portfolio</w:t>
            </w:r>
          </w:p>
        </w:tc>
        <w:tc>
          <w:tcPr>
            <w:tcW w:w="2347" w:type="dxa"/>
            <w:tcBorders>
              <w:top w:val="nil"/>
              <w:left w:val="nil"/>
              <w:bottom w:val="nil"/>
            </w:tcBorders>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t-Statistic</w:t>
            </w:r>
          </w:p>
        </w:tc>
      </w:tr>
      <w:tr w:rsidR="00E906ED" w:rsidRPr="00D07E8D" w:rsidTr="00E906ED">
        <w:trPr>
          <w:trHeight w:val="31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-11.54</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87"/>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10%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r w:rsidR="00E906ED" w:rsidRPr="004E14DC" w:rsidTr="00E906ED">
        <w:trPr>
          <w:trHeight w:val="272"/>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E906ED">
              <w:rPr>
                <w:rFonts w:ascii="Times New Roman" w:hAnsi="Times New Roman" w:cs="Times New Roman"/>
                <w:b/>
                <w:szCs w:val="20"/>
              </w:rPr>
              <w:t>Equally weighted high E/P portfolio</w:t>
            </w:r>
          </w:p>
        </w:tc>
        <w:tc>
          <w:tcPr>
            <w:tcW w:w="2347" w:type="dxa"/>
            <w:tcBorders>
              <w:top w:val="nil"/>
              <w:left w:val="nil"/>
              <w:bottom w:val="nil"/>
            </w:tcBorders>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t-Statistic</w:t>
            </w:r>
          </w:p>
        </w:tc>
      </w:tr>
      <w:tr w:rsidR="00E906ED" w:rsidRPr="004E14DC" w:rsidTr="00E906ED">
        <w:trPr>
          <w:trHeight w:val="335"/>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-10.23</w:t>
            </w:r>
          </w:p>
        </w:tc>
      </w:tr>
      <w:tr w:rsidR="00E906ED" w:rsidRPr="00D07E8D" w:rsidTr="00E906ED">
        <w:trPr>
          <w:trHeight w:val="287"/>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4A7197">
              <w:rPr>
                <w:rFonts w:ascii="Times New Roman" w:hAnsi="Times New Roman" w:cs="Times New Roman"/>
                <w:color w:val="000000"/>
                <w:sz w:val="20"/>
                <w:szCs w:val="20"/>
              </w:rPr>
              <w:t xml:space="preserve">     10%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r w:rsidR="00E906ED" w:rsidRPr="00D07E8D" w:rsidTr="00E906ED">
        <w:trPr>
          <w:trHeight w:val="28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E906ED">
              <w:rPr>
                <w:rFonts w:ascii="Times New Roman" w:hAnsi="Times New Roman" w:cs="Times New Roman"/>
                <w:b/>
                <w:color w:val="000000"/>
                <w:szCs w:val="20"/>
              </w:rPr>
              <w:t>SMB portfolio</w:t>
            </w:r>
          </w:p>
        </w:tc>
        <w:tc>
          <w:tcPr>
            <w:tcW w:w="2347" w:type="dxa"/>
            <w:tcBorders>
              <w:top w:val="nil"/>
              <w:left w:val="nil"/>
              <w:bottom w:val="nil"/>
            </w:tcBorders>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t-Statistic</w:t>
            </w:r>
          </w:p>
        </w:tc>
      </w:tr>
      <w:tr w:rsidR="00E906ED" w:rsidRPr="00D07E8D" w:rsidTr="00E906ED">
        <w:trPr>
          <w:trHeight w:val="31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-14.39</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87"/>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10%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r w:rsidR="00E906ED" w:rsidRPr="00D07E8D" w:rsidTr="00E906ED">
        <w:trPr>
          <w:trHeight w:val="28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E906ED">
              <w:rPr>
                <w:rFonts w:ascii="Times New Roman" w:hAnsi="Times New Roman" w:cs="Times New Roman"/>
                <w:b/>
                <w:color w:val="000000"/>
                <w:szCs w:val="20"/>
              </w:rPr>
              <w:t>HML portfolio</w:t>
            </w:r>
          </w:p>
        </w:tc>
        <w:tc>
          <w:tcPr>
            <w:tcW w:w="2347" w:type="dxa"/>
            <w:tcBorders>
              <w:top w:val="nil"/>
              <w:left w:val="nil"/>
              <w:bottom w:val="nil"/>
            </w:tcBorders>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t-Statistic</w:t>
            </w:r>
          </w:p>
        </w:tc>
      </w:tr>
      <w:tr w:rsidR="00E906ED" w:rsidRPr="00D07E8D" w:rsidTr="00E906ED">
        <w:trPr>
          <w:trHeight w:val="31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-8.39</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87"/>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10%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r w:rsidR="00E906ED" w:rsidRPr="00D07E8D" w:rsidTr="00E906ED">
        <w:trPr>
          <w:trHeight w:val="28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E906ED">
              <w:rPr>
                <w:rFonts w:ascii="Times New Roman" w:hAnsi="Times New Roman" w:cs="Times New Roman"/>
                <w:b/>
                <w:color w:val="000000"/>
                <w:szCs w:val="20"/>
              </w:rPr>
              <w:t>Market Factor portfolio</w:t>
            </w:r>
          </w:p>
        </w:tc>
        <w:tc>
          <w:tcPr>
            <w:tcW w:w="2347" w:type="dxa"/>
            <w:tcBorders>
              <w:top w:val="nil"/>
              <w:left w:val="nil"/>
              <w:bottom w:val="nil"/>
            </w:tcBorders>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t-Statistic</w:t>
            </w:r>
          </w:p>
        </w:tc>
      </w:tr>
      <w:tr w:rsidR="00E906ED" w:rsidRPr="00D07E8D" w:rsidTr="00E906ED">
        <w:trPr>
          <w:trHeight w:val="317"/>
        </w:trPr>
        <w:tc>
          <w:tcPr>
            <w:tcW w:w="3998" w:type="dxa"/>
            <w:tcBorders>
              <w:top w:val="nil"/>
              <w:bottom w:val="nil"/>
              <w:right w:val="nil"/>
            </w:tcBorders>
          </w:tcPr>
          <w:p w:rsidR="00E906ED" w:rsidRPr="004A7197" w:rsidRDefault="00E906ED" w:rsidP="00EE561B">
            <w:pPr>
              <w:rPr>
                <w:rFonts w:ascii="Times New Roman" w:hAnsi="Times New Roman" w:cs="Times New Roman"/>
                <w:sz w:val="20"/>
                <w:szCs w:val="20"/>
              </w:rPr>
            </w:pPr>
            <w:r w:rsidRPr="004A7197">
              <w:rPr>
                <w:rFonts w:ascii="Times New Roman" w:hAnsi="Times New Roman" w:cs="Times New Roman"/>
                <w:sz w:val="20"/>
                <w:szCs w:val="20"/>
              </w:rPr>
              <w:t>Augmented Dickey-Fuller test statistic</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-14.57</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Test critical values:    1%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-3.46</w:t>
            </w:r>
          </w:p>
        </w:tc>
      </w:tr>
      <w:tr w:rsidR="00E906ED" w:rsidRPr="00D07E8D" w:rsidTr="00E906ED">
        <w:trPr>
          <w:trHeight w:val="272"/>
        </w:trPr>
        <w:tc>
          <w:tcPr>
            <w:tcW w:w="3998" w:type="dxa"/>
            <w:tcBorders>
              <w:top w:val="nil"/>
              <w:bottom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5% level</w:t>
            </w:r>
          </w:p>
        </w:tc>
        <w:tc>
          <w:tcPr>
            <w:tcW w:w="2347" w:type="dxa"/>
            <w:tcBorders>
              <w:top w:val="nil"/>
              <w:left w:val="nil"/>
              <w:bottom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-2.87</w:t>
            </w:r>
          </w:p>
        </w:tc>
      </w:tr>
      <w:tr w:rsidR="00E906ED" w:rsidRPr="00D07E8D" w:rsidTr="00E906ED">
        <w:trPr>
          <w:trHeight w:val="287"/>
        </w:trPr>
        <w:tc>
          <w:tcPr>
            <w:tcW w:w="3998" w:type="dxa"/>
            <w:tcBorders>
              <w:top w:val="nil"/>
              <w:right w:val="nil"/>
            </w:tcBorders>
            <w:vAlign w:val="bottom"/>
          </w:tcPr>
          <w:p w:rsidR="00E906ED" w:rsidRPr="004A7197" w:rsidRDefault="00E906ED" w:rsidP="00EE561B">
            <w:pPr>
              <w:autoSpaceDE w:val="0"/>
              <w:autoSpaceDN w:val="0"/>
              <w:adjustRightInd w:val="0"/>
              <w:jc w:val="both"/>
              <w:rPr>
                <w:rFonts w:ascii="Times New Roman" w:hAnsi="Times New Roman" w:cs="Times New Roman"/>
                <w:color w:val="000000"/>
                <w:sz w:val="20"/>
                <w:szCs w:val="20"/>
              </w:rPr>
            </w:pPr>
            <w:r w:rsidRPr="004A7197">
              <w:rPr>
                <w:rFonts w:ascii="Times New Roman" w:hAnsi="Times New Roman" w:cs="Times New Roman"/>
                <w:color w:val="000000"/>
                <w:sz w:val="20"/>
                <w:szCs w:val="20"/>
              </w:rPr>
              <w:t xml:space="preserve">                                 10% level</w:t>
            </w:r>
          </w:p>
        </w:tc>
        <w:tc>
          <w:tcPr>
            <w:tcW w:w="2347" w:type="dxa"/>
            <w:tcBorders>
              <w:top w:val="nil"/>
              <w:left w:val="nil"/>
            </w:tcBorders>
            <w:vAlign w:val="bottom"/>
          </w:tcPr>
          <w:p w:rsidR="00E906ED" w:rsidRPr="00E906ED" w:rsidRDefault="00E906ED" w:rsidP="008F5D6A">
            <w:pPr>
              <w:keepNext/>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-2.57</w:t>
            </w:r>
          </w:p>
        </w:tc>
      </w:tr>
    </w:tbl>
    <w:p w:rsidR="008B5BC6" w:rsidRPr="00904DA8" w:rsidRDefault="008F5D6A" w:rsidP="008F5D6A">
      <w:pPr>
        <w:pStyle w:val="Caption"/>
        <w:rPr>
          <w:rFonts w:ascii="Times New Roman" w:hAnsi="Times New Roman" w:cs="Times New Roman"/>
          <w:color w:val="FFFFFF" w:themeColor="background1"/>
          <w:sz w:val="24"/>
          <w:szCs w:val="36"/>
        </w:rPr>
      </w:pPr>
      <w:bookmarkStart w:id="57" w:name="_Toc305166528"/>
      <w:r w:rsidRPr="00904DA8">
        <w:rPr>
          <w:color w:val="FFFFFF" w:themeColor="background1"/>
        </w:rPr>
        <w:t xml:space="preserve">Table </w:t>
      </w:r>
      <w:r w:rsidR="000963F3" w:rsidRPr="00904DA8">
        <w:rPr>
          <w:color w:val="FFFFFF" w:themeColor="background1"/>
        </w:rPr>
        <w:fldChar w:fldCharType="begin"/>
      </w:r>
      <w:r w:rsidRPr="00904DA8">
        <w:rPr>
          <w:color w:val="FFFFFF" w:themeColor="background1"/>
        </w:rPr>
        <w:instrText xml:space="preserve"> SEQ Table \* ARABIC </w:instrText>
      </w:r>
      <w:r w:rsidR="000963F3" w:rsidRPr="00904DA8">
        <w:rPr>
          <w:color w:val="FFFFFF" w:themeColor="background1"/>
        </w:rPr>
        <w:fldChar w:fldCharType="separate"/>
      </w:r>
      <w:r w:rsidR="00AB32F5">
        <w:rPr>
          <w:noProof/>
          <w:color w:val="FFFFFF" w:themeColor="background1"/>
        </w:rPr>
        <w:t>5</w:t>
      </w:r>
      <w:r w:rsidR="000963F3" w:rsidRPr="00904DA8">
        <w:rPr>
          <w:color w:val="FFFFFF" w:themeColor="background1"/>
        </w:rPr>
        <w:fldChar w:fldCharType="end"/>
      </w:r>
      <w:r w:rsidRPr="00904DA8">
        <w:rPr>
          <w:color w:val="FFFFFF" w:themeColor="background1"/>
        </w:rPr>
        <w:t xml:space="preserve"> - Augmented Dickey-Fuller Tests</w:t>
      </w:r>
      <w:bookmarkEnd w:id="57"/>
    </w:p>
    <w:p w:rsidR="00E906ED" w:rsidRDefault="00E906ED" w:rsidP="00A02570">
      <w:pPr>
        <w:pStyle w:val="ListParagraph"/>
        <w:spacing w:line="360" w:lineRule="auto"/>
        <w:ind w:left="0"/>
        <w:jc w:val="both"/>
        <w:rPr>
          <w:rFonts w:ascii="Times New Roman" w:hAnsi="Times New Roman" w:cs="Times New Roman"/>
          <w:sz w:val="24"/>
          <w:szCs w:val="36"/>
        </w:rPr>
      </w:pPr>
    </w:p>
    <w:p w:rsidR="005B611B" w:rsidRDefault="005B611B" w:rsidP="00A02570">
      <w:pPr>
        <w:pStyle w:val="ListParagraph"/>
        <w:spacing w:line="360" w:lineRule="auto"/>
        <w:ind w:left="0"/>
        <w:jc w:val="both"/>
        <w:rPr>
          <w:rFonts w:ascii="Times New Roman" w:hAnsi="Times New Roman" w:cs="Times New Roman"/>
          <w:sz w:val="24"/>
          <w:szCs w:val="36"/>
        </w:rPr>
      </w:pPr>
    </w:p>
    <w:p w:rsidR="005B611B" w:rsidRDefault="005B611B" w:rsidP="00A02570">
      <w:pPr>
        <w:pStyle w:val="ListParagraph"/>
        <w:spacing w:line="360" w:lineRule="auto"/>
        <w:ind w:left="0"/>
        <w:jc w:val="both"/>
        <w:rPr>
          <w:rFonts w:ascii="Times New Roman" w:hAnsi="Times New Roman" w:cs="Times New Roman"/>
          <w:sz w:val="24"/>
          <w:szCs w:val="36"/>
        </w:rPr>
      </w:pPr>
    </w:p>
    <w:p w:rsidR="005B611B" w:rsidRDefault="005B611B" w:rsidP="00A02570">
      <w:pPr>
        <w:pStyle w:val="ListParagraph"/>
        <w:spacing w:line="360" w:lineRule="auto"/>
        <w:ind w:left="0"/>
        <w:jc w:val="both"/>
        <w:rPr>
          <w:rFonts w:ascii="Times New Roman" w:hAnsi="Times New Roman" w:cs="Times New Roman"/>
          <w:sz w:val="24"/>
          <w:szCs w:val="36"/>
        </w:rPr>
      </w:pPr>
    </w:p>
    <w:p w:rsidR="005B611B" w:rsidRDefault="005B611B" w:rsidP="00A02570">
      <w:pPr>
        <w:pStyle w:val="ListParagraph"/>
        <w:spacing w:line="360" w:lineRule="auto"/>
        <w:ind w:left="0"/>
        <w:jc w:val="both"/>
        <w:rPr>
          <w:rFonts w:ascii="Times New Roman" w:hAnsi="Times New Roman" w:cs="Times New Roman"/>
          <w:sz w:val="24"/>
          <w:szCs w:val="36"/>
        </w:rPr>
      </w:pPr>
    </w:p>
    <w:p w:rsidR="00BB617D" w:rsidRDefault="00BB617D" w:rsidP="00A02570">
      <w:pPr>
        <w:pStyle w:val="ListParagraph"/>
        <w:spacing w:line="360" w:lineRule="auto"/>
        <w:ind w:left="0"/>
        <w:jc w:val="both"/>
        <w:rPr>
          <w:rFonts w:ascii="Times New Roman" w:hAnsi="Times New Roman" w:cs="Times New Roman"/>
          <w:sz w:val="24"/>
          <w:szCs w:val="36"/>
        </w:rPr>
      </w:pPr>
    </w:p>
    <w:p w:rsidR="00F65795" w:rsidRPr="00EF7DC3" w:rsidRDefault="00F65795" w:rsidP="00FF500C">
      <w:pPr>
        <w:pStyle w:val="ListParagraph"/>
        <w:numPr>
          <w:ilvl w:val="1"/>
          <w:numId w:val="18"/>
        </w:numPr>
        <w:spacing w:line="360" w:lineRule="auto"/>
        <w:jc w:val="both"/>
        <w:outlineLvl w:val="1"/>
        <w:rPr>
          <w:rFonts w:ascii="Times New Roman" w:hAnsi="Times New Roman" w:cs="Times New Roman"/>
          <w:b/>
          <w:sz w:val="32"/>
          <w:szCs w:val="36"/>
        </w:rPr>
      </w:pPr>
      <w:bookmarkStart w:id="58" w:name="_Toc305166519"/>
      <w:r w:rsidRPr="00EF7DC3">
        <w:rPr>
          <w:rFonts w:ascii="Times New Roman" w:hAnsi="Times New Roman" w:cs="Times New Roman"/>
          <w:b/>
          <w:sz w:val="32"/>
          <w:szCs w:val="36"/>
        </w:rPr>
        <w:lastRenderedPageBreak/>
        <w:t>One Dimensional Results</w:t>
      </w:r>
      <w:bookmarkEnd w:id="58"/>
    </w:p>
    <w:p w:rsidR="002F7B0D" w:rsidRDefault="002F7B0D" w:rsidP="00A02570">
      <w:pPr>
        <w:pStyle w:val="ListParagraph"/>
        <w:spacing w:line="360" w:lineRule="auto"/>
        <w:ind w:left="0"/>
        <w:jc w:val="both"/>
        <w:rPr>
          <w:rFonts w:ascii="Times New Roman" w:hAnsi="Times New Roman" w:cs="Times New Roman"/>
          <w:sz w:val="24"/>
          <w:szCs w:val="36"/>
        </w:rPr>
      </w:pPr>
    </w:p>
    <w:p w:rsidR="00DC682F" w:rsidRPr="006B5527" w:rsidRDefault="00DC682F" w:rsidP="00DC682F">
      <w:pPr>
        <w:spacing w:line="360" w:lineRule="auto"/>
        <w:jc w:val="both"/>
        <w:rPr>
          <w:rFonts w:ascii="Times New Roman" w:hAnsi="Times New Roman" w:cs="Times New Roman"/>
          <w:sz w:val="24"/>
        </w:rPr>
      </w:pPr>
      <w:r>
        <w:rPr>
          <w:rFonts w:ascii="Times New Roman" w:hAnsi="Times New Roman" w:cs="Times New Roman"/>
          <w:sz w:val="24"/>
        </w:rPr>
        <w:t>Before the discussion on Table 6 is presented, it is probably necessary to look back at what Fama and French (1996) say with regards to the E/P and C/P ratios. The authors use these two ratios as proxies for relative distress risk and so expect firms that are doing poorly to have high E/P and C/P ratios, but also to have higher returns than their low ratio counterparts. Tab</w:t>
      </w:r>
      <w:r w:rsidRPr="00795654">
        <w:rPr>
          <w:rFonts w:ascii="Times New Roman" w:hAnsi="Times New Roman" w:cs="Times New Roman"/>
          <w:sz w:val="24"/>
        </w:rPr>
        <w:t>le</w:t>
      </w:r>
      <w:r>
        <w:rPr>
          <w:rFonts w:ascii="Times New Roman" w:hAnsi="Times New Roman" w:cs="Times New Roman"/>
          <w:sz w:val="24"/>
        </w:rPr>
        <w:t xml:space="preserve"> 6 provides descriptive statistics for the single sorted independent variables. The table also provides insight into whether value outperforms growth. </w:t>
      </w:r>
      <w:r w:rsidRPr="006B5527">
        <w:rPr>
          <w:rFonts w:ascii="Times New Roman" w:hAnsi="Times New Roman" w:cs="Times New Roman"/>
          <w:sz w:val="24"/>
        </w:rPr>
        <w:t>The mean monthly excess returns on the value and growth portfolios so</w:t>
      </w:r>
      <w:r>
        <w:rPr>
          <w:rFonts w:ascii="Times New Roman" w:hAnsi="Times New Roman" w:cs="Times New Roman"/>
          <w:sz w:val="24"/>
        </w:rPr>
        <w:t>rted on the dividend yield (</w:t>
      </w:r>
      <w:r w:rsidRPr="006B5527">
        <w:rPr>
          <w:rFonts w:ascii="Times New Roman" w:hAnsi="Times New Roman" w:cs="Times New Roman"/>
          <w:sz w:val="24"/>
        </w:rPr>
        <w:t>equally we</w:t>
      </w:r>
      <w:r>
        <w:rPr>
          <w:rFonts w:ascii="Times New Roman" w:hAnsi="Times New Roman" w:cs="Times New Roman"/>
          <w:sz w:val="24"/>
        </w:rPr>
        <w:t>ighted</w:t>
      </w:r>
      <w:r w:rsidRPr="006B5527">
        <w:rPr>
          <w:rFonts w:ascii="Times New Roman" w:hAnsi="Times New Roman" w:cs="Times New Roman"/>
          <w:sz w:val="24"/>
        </w:rPr>
        <w:t xml:space="preserve">) translate into high annual mean excess returns of 23.21% on the equally weighted value portfolio, 29.8% on the equally weighted growth portfolio. The value weighted portfolios sorted on the dividend yield have smaller annual mean excess returns of 20.2% for the value portfolio and 12.45% for the growth portfolio. However, even though the excess returns are larger for the equally weighted portfolios, the annual standard deviation is larger for the value weighted portfolios. The value weighted growth portfolio exhibits an annual standard deviation of </w:t>
      </w:r>
      <w:r>
        <w:rPr>
          <w:rFonts w:ascii="Times New Roman" w:hAnsi="Times New Roman" w:cs="Times New Roman"/>
          <w:sz w:val="24"/>
        </w:rPr>
        <w:t>0.21</w:t>
      </w:r>
      <w:r w:rsidRPr="006B5527">
        <w:rPr>
          <w:rFonts w:ascii="Times New Roman" w:hAnsi="Times New Roman" w:cs="Times New Roman"/>
          <w:sz w:val="24"/>
        </w:rPr>
        <w:t>88, while the value portfolio exhibits a 0.2</w:t>
      </w:r>
      <w:r w:rsidR="003D4902">
        <w:rPr>
          <w:rFonts w:ascii="Times New Roman" w:hAnsi="Times New Roman" w:cs="Times New Roman"/>
          <w:sz w:val="24"/>
        </w:rPr>
        <w:t>0</w:t>
      </w:r>
      <w:r w:rsidRPr="006B5527">
        <w:rPr>
          <w:rFonts w:ascii="Times New Roman" w:hAnsi="Times New Roman" w:cs="Times New Roman"/>
          <w:sz w:val="24"/>
        </w:rPr>
        <w:t xml:space="preserve">4 standard deviation. The equally weighted value and growth portfolios have standard deviations of 0.1332 and 0.1747 respectively. This suggests the higher mean excess returns on the equally weighted portfolios are not due to the increased risk. The skewness values for both value and equally weighted portfolios are well within the range of -2 and +2. In saying this, the equally weighted growth portfolio sorted on the dividend yield is the only portfolio to display a positive skewness of 0.305. The remaining dividend yield sorted portfolio display negative skewness, which </w:t>
      </w:r>
      <w:r w:rsidR="00AD66F9">
        <w:rPr>
          <w:rFonts w:ascii="Times New Roman" w:hAnsi="Times New Roman" w:cs="Times New Roman"/>
          <w:sz w:val="24"/>
        </w:rPr>
        <w:t>suggests</w:t>
      </w:r>
      <w:r w:rsidR="00AD66F9" w:rsidRPr="006B5527">
        <w:rPr>
          <w:rFonts w:ascii="Times New Roman" w:hAnsi="Times New Roman" w:cs="Times New Roman"/>
          <w:sz w:val="24"/>
        </w:rPr>
        <w:t xml:space="preserve"> </w:t>
      </w:r>
      <w:r w:rsidRPr="006B5527">
        <w:rPr>
          <w:rFonts w:ascii="Times New Roman" w:hAnsi="Times New Roman" w:cs="Times New Roman"/>
          <w:sz w:val="24"/>
        </w:rPr>
        <w:t xml:space="preserve">that most cases lie to the right. This negative skewness is less common than that of positive. </w:t>
      </w:r>
    </w:p>
    <w:p w:rsidR="00DC682F" w:rsidRDefault="00DC682F" w:rsidP="00A02570">
      <w:pPr>
        <w:pStyle w:val="ListParagraph"/>
        <w:spacing w:line="360" w:lineRule="auto"/>
        <w:ind w:left="0"/>
        <w:jc w:val="both"/>
        <w:rPr>
          <w:rFonts w:ascii="Times New Roman" w:hAnsi="Times New Roman" w:cs="Times New Roman"/>
          <w:sz w:val="24"/>
          <w:szCs w:val="36"/>
        </w:rPr>
      </w:pPr>
    </w:p>
    <w:p w:rsidR="00D54489" w:rsidRDefault="00DC682F" w:rsidP="00F750E1">
      <w:pPr>
        <w:pStyle w:val="ListParagraph"/>
        <w:spacing w:line="360" w:lineRule="auto"/>
        <w:ind w:left="0"/>
        <w:jc w:val="both"/>
        <w:rPr>
          <w:rFonts w:ascii="Times New Roman" w:hAnsi="Times New Roman" w:cs="Times New Roman"/>
          <w:sz w:val="24"/>
        </w:rPr>
      </w:pPr>
      <w:r w:rsidRPr="006B5527">
        <w:rPr>
          <w:rFonts w:ascii="Times New Roman" w:hAnsi="Times New Roman" w:cs="Times New Roman"/>
          <w:sz w:val="24"/>
        </w:rPr>
        <w:t xml:space="preserve">The monthly beta on all four dividend portfolios is positive, with the value weighted value and growth portfolios exhibiting larger betas of 0.8637 and 0.9472 respectively. The implication of this is that these two portfolios’ returns should move in line with the market. The Sharpe ratio, which divides the portfolio excess return by the portfolio’s standard deviation, indicates to what extent the returns are derived from risk. </w:t>
      </w:r>
      <w:r w:rsidR="00F750E1" w:rsidRPr="006B5527">
        <w:rPr>
          <w:rFonts w:ascii="Times New Roman" w:hAnsi="Times New Roman" w:cs="Times New Roman"/>
          <w:sz w:val="24"/>
        </w:rPr>
        <w:t xml:space="preserve">The equally weighted portfolios sorted on the dividend yield exhibit Sharpe ratios of 0.2302 for the value portfolio and 0.2908 for the growth portfolio. </w:t>
      </w:r>
      <w:r w:rsidR="00D54489">
        <w:rPr>
          <w:rFonts w:ascii="Times New Roman" w:hAnsi="Times New Roman" w:cs="Times New Roman"/>
          <w:sz w:val="24"/>
        </w:rPr>
        <w:t xml:space="preserve">This result stems from the low mean monthly excess returns and the </w:t>
      </w:r>
      <w:r w:rsidR="00AB2C61">
        <w:rPr>
          <w:rFonts w:ascii="Times New Roman" w:hAnsi="Times New Roman" w:cs="Times New Roman"/>
          <w:sz w:val="24"/>
        </w:rPr>
        <w:t>relatively</w:t>
      </w:r>
      <w:r w:rsidR="00D54489">
        <w:rPr>
          <w:rFonts w:ascii="Times New Roman" w:hAnsi="Times New Roman" w:cs="Times New Roman"/>
          <w:sz w:val="24"/>
        </w:rPr>
        <w:t xml:space="preserve"> low standard deviations of the equally weighted portfolios. </w:t>
      </w:r>
      <w:r w:rsidR="00F750E1" w:rsidRPr="006B5527">
        <w:rPr>
          <w:rFonts w:ascii="Times New Roman" w:hAnsi="Times New Roman" w:cs="Times New Roman"/>
          <w:sz w:val="24"/>
        </w:rPr>
        <w:t xml:space="preserve"> The </w:t>
      </w:r>
      <w:r w:rsidR="00F07F1E">
        <w:rPr>
          <w:rFonts w:ascii="Times New Roman" w:hAnsi="Times New Roman" w:cs="Times New Roman"/>
          <w:sz w:val="24"/>
        </w:rPr>
        <w:lastRenderedPageBreak/>
        <w:t>value and growth</w:t>
      </w:r>
      <w:r w:rsidR="00F07F1E" w:rsidRPr="006B5527">
        <w:rPr>
          <w:rFonts w:ascii="Times New Roman" w:hAnsi="Times New Roman" w:cs="Times New Roman"/>
          <w:sz w:val="24"/>
        </w:rPr>
        <w:t xml:space="preserve"> </w:t>
      </w:r>
      <w:r w:rsidR="00F750E1" w:rsidRPr="006B5527">
        <w:rPr>
          <w:rFonts w:ascii="Times New Roman" w:hAnsi="Times New Roman" w:cs="Times New Roman"/>
          <w:sz w:val="24"/>
        </w:rPr>
        <w:t>portfolios have Sharpe ratios of 0.</w:t>
      </w:r>
      <w:r w:rsidR="00F07F1E" w:rsidRPr="006B5527" w:rsidDel="00F07F1E">
        <w:rPr>
          <w:rFonts w:ascii="Times New Roman" w:hAnsi="Times New Roman" w:cs="Times New Roman"/>
          <w:sz w:val="24"/>
        </w:rPr>
        <w:t xml:space="preserve"> </w:t>
      </w:r>
      <w:r w:rsidR="00F07F1E">
        <w:rPr>
          <w:rFonts w:ascii="Times New Roman" w:hAnsi="Times New Roman" w:cs="Times New Roman"/>
          <w:sz w:val="24"/>
        </w:rPr>
        <w:t>103</w:t>
      </w:r>
      <w:r w:rsidR="00F750E1" w:rsidRPr="006B5527">
        <w:rPr>
          <w:rFonts w:ascii="Times New Roman" w:hAnsi="Times New Roman" w:cs="Times New Roman"/>
          <w:sz w:val="24"/>
        </w:rPr>
        <w:t xml:space="preserve"> and 0.</w:t>
      </w:r>
      <w:r w:rsidR="00F07F1E" w:rsidRPr="006B5527">
        <w:rPr>
          <w:rFonts w:ascii="Times New Roman" w:hAnsi="Times New Roman" w:cs="Times New Roman"/>
          <w:sz w:val="24"/>
        </w:rPr>
        <w:t>0</w:t>
      </w:r>
      <w:r w:rsidR="003D4902">
        <w:rPr>
          <w:rFonts w:ascii="Times New Roman" w:hAnsi="Times New Roman" w:cs="Times New Roman"/>
          <w:sz w:val="24"/>
        </w:rPr>
        <w:t>0</w:t>
      </w:r>
      <w:r w:rsidR="00F07F1E">
        <w:rPr>
          <w:rFonts w:ascii="Times New Roman" w:hAnsi="Times New Roman" w:cs="Times New Roman"/>
          <w:sz w:val="24"/>
        </w:rPr>
        <w:t>7</w:t>
      </w:r>
      <w:r w:rsidR="00F750E1" w:rsidRPr="006B5527">
        <w:rPr>
          <w:rFonts w:ascii="Times New Roman" w:hAnsi="Times New Roman" w:cs="Times New Roman"/>
          <w:sz w:val="24"/>
        </w:rPr>
        <w:t xml:space="preserve">, which are much lower than the equally weighted ratios. </w:t>
      </w:r>
      <w:r w:rsidR="00F07F1E">
        <w:rPr>
          <w:rFonts w:ascii="Times New Roman" w:hAnsi="Times New Roman" w:cs="Times New Roman"/>
          <w:sz w:val="24"/>
        </w:rPr>
        <w:t xml:space="preserve">With very </w:t>
      </w:r>
      <w:r w:rsidR="0088315C">
        <w:rPr>
          <w:rFonts w:ascii="Times New Roman" w:hAnsi="Times New Roman" w:cs="Times New Roman"/>
          <w:sz w:val="24"/>
        </w:rPr>
        <w:t>low</w:t>
      </w:r>
      <w:r w:rsidR="00F07F1E">
        <w:rPr>
          <w:rFonts w:ascii="Times New Roman" w:hAnsi="Times New Roman" w:cs="Times New Roman"/>
          <w:sz w:val="24"/>
        </w:rPr>
        <w:t xml:space="preserve"> mean monthly excess returns and higher betas than the value weighted counterparts, this result is to be expected. </w:t>
      </w:r>
    </w:p>
    <w:p w:rsidR="00D54489" w:rsidRDefault="00D54489" w:rsidP="00F750E1">
      <w:pPr>
        <w:pStyle w:val="ListParagraph"/>
        <w:spacing w:line="360" w:lineRule="auto"/>
        <w:ind w:left="0"/>
        <w:jc w:val="both"/>
        <w:rPr>
          <w:rFonts w:ascii="Times New Roman" w:hAnsi="Times New Roman" w:cs="Times New Roman"/>
          <w:sz w:val="24"/>
        </w:rPr>
      </w:pPr>
    </w:p>
    <w:p w:rsidR="00703A0D" w:rsidRDefault="00F750E1" w:rsidP="00F750E1">
      <w:pPr>
        <w:pStyle w:val="ListParagraph"/>
        <w:spacing w:line="360" w:lineRule="auto"/>
        <w:ind w:left="0"/>
        <w:jc w:val="both"/>
        <w:rPr>
          <w:rFonts w:ascii="Times New Roman" w:hAnsi="Times New Roman" w:cs="Times New Roman"/>
          <w:sz w:val="24"/>
        </w:rPr>
      </w:pPr>
      <w:r w:rsidRPr="006B5527">
        <w:rPr>
          <w:rFonts w:ascii="Times New Roman" w:hAnsi="Times New Roman" w:cs="Times New Roman"/>
          <w:sz w:val="24"/>
        </w:rPr>
        <w:t xml:space="preserve">The Treynor measures have a similar pattern for the equally weighted and value weighted portfolios sorted on the D/P ratio. The Treynor risk-adjusted measure accounts for systematic risk. The equally weighted value and growth portfolios have Treynor measures of 0.019 and 0.0289 respectively. The value weighted value and growth portfolios have Treynor measures of 0.0056 and 0.0036. Interpreting these results, the return-to-volatility is very low for the value weighted portfolios, while the equally weighted portfolios do not have </w:t>
      </w:r>
      <w:r>
        <w:rPr>
          <w:rFonts w:ascii="Times New Roman" w:hAnsi="Times New Roman" w:cs="Times New Roman"/>
          <w:sz w:val="24"/>
        </w:rPr>
        <w:t>a large enough</w:t>
      </w:r>
      <w:r w:rsidRPr="006B5527">
        <w:rPr>
          <w:rFonts w:ascii="Times New Roman" w:hAnsi="Times New Roman" w:cs="Times New Roman"/>
          <w:sz w:val="24"/>
        </w:rPr>
        <w:t xml:space="preserve"> reward for the level of risk assumed by the portfolios. Both the Sharpe and Treynor measures are in monthly terms, and this should be taken into consideration when interpreting them. </w:t>
      </w:r>
    </w:p>
    <w:p w:rsidR="00703A0D" w:rsidRDefault="00703A0D" w:rsidP="00F750E1">
      <w:pPr>
        <w:pStyle w:val="ListParagraph"/>
        <w:spacing w:line="360" w:lineRule="auto"/>
        <w:ind w:left="0"/>
        <w:jc w:val="both"/>
        <w:rPr>
          <w:rFonts w:ascii="Times New Roman" w:hAnsi="Times New Roman" w:cs="Times New Roman"/>
          <w:sz w:val="24"/>
        </w:rPr>
      </w:pPr>
    </w:p>
    <w:p w:rsidR="00F750E1" w:rsidRDefault="00F750E1" w:rsidP="00F750E1">
      <w:pPr>
        <w:pStyle w:val="ListParagraph"/>
        <w:spacing w:line="360" w:lineRule="auto"/>
        <w:ind w:left="0"/>
        <w:jc w:val="both"/>
        <w:rPr>
          <w:rFonts w:ascii="Times New Roman" w:hAnsi="Times New Roman" w:cs="Times New Roman"/>
          <w:sz w:val="24"/>
        </w:rPr>
      </w:pPr>
      <w:r w:rsidRPr="006B5527">
        <w:rPr>
          <w:rFonts w:ascii="Times New Roman" w:hAnsi="Times New Roman" w:cs="Times New Roman"/>
          <w:sz w:val="24"/>
        </w:rPr>
        <w:t xml:space="preserve">Testing the hypothesis that value portfolios sorted on dividend yield outperform growth portfolios sorted on the same measure, growth seems to outperform value on a risk-adjusted basis when looking at Panel A, but value appears to outperform growth when looking at Panel B. The risk-adjusted measures of Sharpe and Treynor for the equally weighted growth portfolio are greater than that of the value portfolio. The risk-adjusted measures for the value weighted value portfolio outperform that of the growth portfolio. </w:t>
      </w:r>
      <w:r w:rsidR="00703A0D">
        <w:rPr>
          <w:rFonts w:ascii="Times New Roman" w:hAnsi="Times New Roman" w:cs="Times New Roman"/>
          <w:sz w:val="24"/>
        </w:rPr>
        <w:t>For the equally weighted growth portfolio, both the standard deviation and beta are greater than the equally weighted value portfolio. The high return for this growth portfolio is therefore due to its higher risk. The Sharpe and Treynor measure are also greater for the growth portfolio so it can be concluded that the growth portfolio</w:t>
      </w:r>
      <w:r w:rsidR="003D4902">
        <w:rPr>
          <w:rFonts w:ascii="Times New Roman" w:hAnsi="Times New Roman" w:cs="Times New Roman"/>
          <w:sz w:val="24"/>
        </w:rPr>
        <w:t xml:space="preserve"> risk is greater relative to its return</w:t>
      </w:r>
      <w:r w:rsidR="00703A0D">
        <w:rPr>
          <w:rFonts w:ascii="Times New Roman" w:hAnsi="Times New Roman" w:cs="Times New Roman"/>
          <w:sz w:val="24"/>
        </w:rPr>
        <w:t xml:space="preserve">. The market rewards an investor for this risk with a higher return. For the value weighted value portfolio, its standard deviation and beta are both lower than the value weighted growth portfolio. This implies that the value portfolio’s superior </w:t>
      </w:r>
      <w:r w:rsidR="00AB2C61">
        <w:rPr>
          <w:rFonts w:ascii="Times New Roman" w:hAnsi="Times New Roman" w:cs="Times New Roman"/>
          <w:sz w:val="24"/>
        </w:rPr>
        <w:t>mean</w:t>
      </w:r>
      <w:r w:rsidR="00703A0D">
        <w:rPr>
          <w:rFonts w:ascii="Times New Roman" w:hAnsi="Times New Roman" w:cs="Times New Roman"/>
          <w:sz w:val="24"/>
        </w:rPr>
        <w:t xml:space="preserve"> monthly excess returns are not due to its increased risk, as its risk is not as large as the growth portfolio’s. The reward per unit of risk is much larger for the value portfolio, as indicated by its Sharpe measure. </w:t>
      </w:r>
    </w:p>
    <w:p w:rsidR="00DC682F" w:rsidRDefault="00DC682F" w:rsidP="00A02570">
      <w:pPr>
        <w:pStyle w:val="ListParagraph"/>
        <w:spacing w:line="360" w:lineRule="auto"/>
        <w:ind w:left="0"/>
        <w:jc w:val="both"/>
        <w:rPr>
          <w:rFonts w:ascii="Times New Roman" w:hAnsi="Times New Roman" w:cs="Times New Roman"/>
          <w:sz w:val="24"/>
        </w:rPr>
      </w:pPr>
    </w:p>
    <w:p w:rsidR="00F750E1" w:rsidRDefault="00F750E1" w:rsidP="00A02570">
      <w:pPr>
        <w:pStyle w:val="ListParagraph"/>
        <w:spacing w:line="360" w:lineRule="auto"/>
        <w:ind w:left="0"/>
        <w:jc w:val="both"/>
        <w:rPr>
          <w:rFonts w:ascii="Times New Roman" w:hAnsi="Times New Roman" w:cs="Times New Roman"/>
          <w:sz w:val="24"/>
        </w:rPr>
      </w:pPr>
    </w:p>
    <w:p w:rsidR="008B787A" w:rsidRDefault="008B787A" w:rsidP="00A02570">
      <w:pPr>
        <w:pStyle w:val="ListParagraph"/>
        <w:spacing w:line="360" w:lineRule="auto"/>
        <w:ind w:left="0"/>
        <w:jc w:val="both"/>
        <w:rPr>
          <w:rFonts w:ascii="Times New Roman" w:hAnsi="Times New Roman" w:cs="Times New Roman"/>
          <w:sz w:val="24"/>
        </w:rPr>
      </w:pPr>
    </w:p>
    <w:p w:rsidR="005B611B" w:rsidRDefault="005B611B" w:rsidP="00A02570">
      <w:pPr>
        <w:pStyle w:val="ListParagraph"/>
        <w:spacing w:line="360" w:lineRule="auto"/>
        <w:ind w:left="0"/>
        <w:jc w:val="both"/>
        <w:rPr>
          <w:rFonts w:ascii="Times New Roman" w:hAnsi="Times New Roman" w:cs="Times New Roman"/>
          <w:sz w:val="24"/>
        </w:rPr>
      </w:pPr>
    </w:p>
    <w:p w:rsidR="005B611B" w:rsidRDefault="005B611B" w:rsidP="00A02570">
      <w:pPr>
        <w:pStyle w:val="ListParagraph"/>
        <w:spacing w:line="360" w:lineRule="auto"/>
        <w:ind w:left="0"/>
        <w:jc w:val="both"/>
        <w:rPr>
          <w:rFonts w:ascii="Times New Roman" w:hAnsi="Times New Roman" w:cs="Times New Roman"/>
          <w:sz w:val="24"/>
        </w:rPr>
      </w:pPr>
    </w:p>
    <w:p w:rsidR="00DC682F" w:rsidRDefault="00DC682F" w:rsidP="00A02570">
      <w:pPr>
        <w:pStyle w:val="ListParagraph"/>
        <w:spacing w:line="360" w:lineRule="auto"/>
        <w:ind w:left="0"/>
        <w:jc w:val="both"/>
        <w:rPr>
          <w:rFonts w:ascii="Times New Roman" w:hAnsi="Times New Roman" w:cs="Times New Roman"/>
          <w:sz w:val="24"/>
          <w:szCs w:val="36"/>
        </w:rPr>
      </w:pPr>
    </w:p>
    <w:tbl>
      <w:tblPr>
        <w:tblStyle w:val="TableGrid"/>
        <w:tblW w:w="0" w:type="auto"/>
        <w:tblLook w:val="04A0"/>
      </w:tblPr>
      <w:tblGrid>
        <w:gridCol w:w="3085"/>
        <w:gridCol w:w="1701"/>
        <w:gridCol w:w="1701"/>
        <w:gridCol w:w="142"/>
        <w:gridCol w:w="1417"/>
        <w:gridCol w:w="1196"/>
      </w:tblGrid>
      <w:tr w:rsidR="00795654" w:rsidRPr="00694D99" w:rsidTr="007A30EA">
        <w:tc>
          <w:tcPr>
            <w:tcW w:w="9242" w:type="dxa"/>
            <w:gridSpan w:val="6"/>
            <w:vAlign w:val="center"/>
          </w:tcPr>
          <w:p w:rsidR="00795654" w:rsidRPr="00694D99" w:rsidRDefault="00795654" w:rsidP="007A30EA">
            <w:pPr>
              <w:jc w:val="center"/>
              <w:rPr>
                <w:rFonts w:ascii="Times New Roman" w:hAnsi="Times New Roman" w:cs="Times New Roman"/>
                <w:b/>
              </w:rPr>
            </w:pPr>
            <w:r w:rsidRPr="00303472">
              <w:rPr>
                <w:rFonts w:ascii="Times New Roman" w:hAnsi="Times New Roman" w:cs="Times New Roman"/>
                <w:b/>
                <w:sz w:val="24"/>
              </w:rPr>
              <w:lastRenderedPageBreak/>
              <w:t xml:space="preserve">Table </w:t>
            </w:r>
            <w:r>
              <w:rPr>
                <w:rFonts w:ascii="Times New Roman" w:hAnsi="Times New Roman" w:cs="Times New Roman"/>
                <w:b/>
                <w:sz w:val="24"/>
              </w:rPr>
              <w:t>6</w:t>
            </w:r>
          </w:p>
        </w:tc>
      </w:tr>
      <w:tr w:rsidR="00795654" w:rsidRPr="00694D99" w:rsidTr="007A30EA">
        <w:tc>
          <w:tcPr>
            <w:tcW w:w="9242" w:type="dxa"/>
            <w:gridSpan w:val="6"/>
            <w:tcBorders>
              <w:bottom w:val="nil"/>
            </w:tcBorders>
          </w:tcPr>
          <w:p w:rsidR="00795654" w:rsidRPr="00303472" w:rsidRDefault="00795654" w:rsidP="007A30EA">
            <w:pPr>
              <w:jc w:val="center"/>
              <w:rPr>
                <w:rFonts w:ascii="Times New Roman" w:hAnsi="Times New Roman" w:cs="Times New Roman"/>
                <w:b/>
                <w:sz w:val="24"/>
              </w:rPr>
            </w:pPr>
            <w:r w:rsidRPr="00303472">
              <w:rPr>
                <w:rFonts w:ascii="Times New Roman" w:hAnsi="Times New Roman" w:cs="Times New Roman"/>
                <w:b/>
                <w:sz w:val="24"/>
              </w:rPr>
              <w:t>Descriptive Statistics of Independent, Single Sorted Portfolios</w:t>
            </w:r>
          </w:p>
        </w:tc>
      </w:tr>
      <w:tr w:rsidR="00795654" w:rsidRPr="00694D99" w:rsidTr="005B611B">
        <w:tc>
          <w:tcPr>
            <w:tcW w:w="9242" w:type="dxa"/>
            <w:gridSpan w:val="6"/>
            <w:tcBorders>
              <w:top w:val="nil"/>
              <w:left w:val="single" w:sz="4" w:space="0" w:color="000000" w:themeColor="text1"/>
              <w:bottom w:val="nil"/>
              <w:right w:val="single" w:sz="4" w:space="0" w:color="000000" w:themeColor="text1"/>
            </w:tcBorders>
          </w:tcPr>
          <w:p w:rsidR="008B084D" w:rsidRDefault="00795654" w:rsidP="008B084D">
            <w:pPr>
              <w:jc w:val="center"/>
              <w:rPr>
                <w:rFonts w:ascii="Times New Roman" w:hAnsi="Times New Roman" w:cs="Times New Roman"/>
                <w:bCs/>
                <w:color w:val="000000"/>
                <w:sz w:val="20"/>
              </w:rPr>
            </w:pPr>
            <w:r>
              <w:rPr>
                <w:rFonts w:ascii="Times New Roman" w:hAnsi="Times New Roman" w:cs="Times New Roman"/>
                <w:bCs/>
                <w:color w:val="000000"/>
                <w:sz w:val="20"/>
              </w:rPr>
              <w:t>The return data along with standard deviation, beta, Sharpe</w:t>
            </w:r>
            <w:r w:rsidR="00F9408C">
              <w:rPr>
                <w:rFonts w:ascii="Times New Roman" w:hAnsi="Times New Roman" w:cs="Times New Roman"/>
                <w:bCs/>
                <w:color w:val="000000"/>
                <w:sz w:val="20"/>
              </w:rPr>
              <w:t xml:space="preserve"> and</w:t>
            </w:r>
            <w:r>
              <w:rPr>
                <w:rFonts w:ascii="Times New Roman" w:hAnsi="Times New Roman" w:cs="Times New Roman"/>
                <w:bCs/>
                <w:color w:val="000000"/>
                <w:sz w:val="20"/>
              </w:rPr>
              <w:t xml:space="preserve"> </w:t>
            </w:r>
            <w:r w:rsidR="00AB2C61">
              <w:rPr>
                <w:rFonts w:ascii="Times New Roman" w:hAnsi="Times New Roman" w:cs="Times New Roman"/>
                <w:bCs/>
                <w:color w:val="000000"/>
                <w:sz w:val="20"/>
              </w:rPr>
              <w:t>Treynor measures</w:t>
            </w:r>
            <w:r>
              <w:rPr>
                <w:rFonts w:ascii="Times New Roman" w:hAnsi="Times New Roman" w:cs="Times New Roman"/>
                <w:bCs/>
                <w:color w:val="000000"/>
                <w:sz w:val="20"/>
              </w:rPr>
              <w:t xml:space="preserve"> are presented below for the equally weighted and value weighted portfolios. These portfolios are sorted independently on one of the following: dividend yield (Div Yield), earnings-to-price ratio (EP), cash flow-to-price ratio (CP), book-to-market ratio (BTM), and market </w:t>
            </w:r>
            <w:r w:rsidR="00610C8D">
              <w:rPr>
                <w:rFonts w:ascii="Times New Roman" w:hAnsi="Times New Roman" w:cs="Times New Roman"/>
                <w:bCs/>
                <w:color w:val="000000"/>
                <w:sz w:val="20"/>
              </w:rPr>
              <w:t>capitalisation</w:t>
            </w:r>
            <w:r>
              <w:rPr>
                <w:rFonts w:ascii="Times New Roman" w:hAnsi="Times New Roman" w:cs="Times New Roman"/>
                <w:bCs/>
                <w:color w:val="000000"/>
                <w:sz w:val="20"/>
              </w:rPr>
              <w:t xml:space="preserve"> (MCap).</w:t>
            </w:r>
          </w:p>
        </w:tc>
      </w:tr>
      <w:tr w:rsidR="00795654" w:rsidRPr="00694D99" w:rsidTr="005B611B">
        <w:tc>
          <w:tcPr>
            <w:tcW w:w="3085" w:type="dxa"/>
            <w:tcBorders>
              <w:top w:val="nil"/>
              <w:left w:val="single" w:sz="4" w:space="0" w:color="000000" w:themeColor="text1"/>
              <w:bottom w:val="nil"/>
              <w:right w:val="single" w:sz="4" w:space="0" w:color="FFFFFF" w:themeColor="background1"/>
            </w:tcBorders>
          </w:tcPr>
          <w:p w:rsidR="00795654" w:rsidRPr="00694D99" w:rsidRDefault="00795654" w:rsidP="007A30EA">
            <w:pPr>
              <w:rPr>
                <w:rFonts w:ascii="Times New Roman" w:hAnsi="Times New Roman" w:cs="Times New Roman"/>
                <w:b/>
              </w:rPr>
            </w:pPr>
          </w:p>
        </w:tc>
        <w:tc>
          <w:tcPr>
            <w:tcW w:w="3402" w:type="dxa"/>
            <w:gridSpan w:val="2"/>
            <w:tcBorders>
              <w:top w:val="nil"/>
              <w:left w:val="single" w:sz="4" w:space="0" w:color="FFFFFF" w:themeColor="background1"/>
              <w:bottom w:val="single" w:sz="4" w:space="0" w:color="auto"/>
              <w:right w:val="nil"/>
            </w:tcBorders>
            <w:vAlign w:val="center"/>
          </w:tcPr>
          <w:p w:rsidR="00795654" w:rsidRDefault="00795654" w:rsidP="007A30EA">
            <w:pPr>
              <w:jc w:val="center"/>
              <w:rPr>
                <w:rFonts w:ascii="Times New Roman" w:hAnsi="Times New Roman" w:cs="Times New Roman"/>
                <w:b/>
                <w:bCs/>
                <w:color w:val="000000"/>
              </w:rPr>
            </w:pPr>
            <w:r w:rsidRPr="005E71E0">
              <w:rPr>
                <w:rFonts w:ascii="Times New Roman" w:hAnsi="Times New Roman" w:cs="Times New Roman"/>
                <w:b/>
                <w:bCs/>
                <w:color w:val="000000"/>
              </w:rPr>
              <w:t>Panel A:</w:t>
            </w:r>
          </w:p>
          <w:p w:rsidR="00795654" w:rsidRPr="005E71E0" w:rsidRDefault="00795654" w:rsidP="007A30EA">
            <w:pPr>
              <w:jc w:val="center"/>
              <w:rPr>
                <w:rFonts w:ascii="Times New Roman" w:hAnsi="Times New Roman" w:cs="Times New Roman"/>
                <w:b/>
                <w:bCs/>
                <w:color w:val="000000"/>
                <w:sz w:val="24"/>
                <w:szCs w:val="24"/>
              </w:rPr>
            </w:pPr>
            <w:r w:rsidRPr="005E71E0">
              <w:rPr>
                <w:rFonts w:ascii="Times New Roman" w:hAnsi="Times New Roman" w:cs="Times New Roman"/>
                <w:b/>
                <w:bCs/>
                <w:color w:val="000000"/>
              </w:rPr>
              <w:t>Equally Weighted Statistics</w:t>
            </w:r>
          </w:p>
        </w:tc>
        <w:tc>
          <w:tcPr>
            <w:tcW w:w="2755" w:type="dxa"/>
            <w:gridSpan w:val="3"/>
            <w:tcBorders>
              <w:top w:val="nil"/>
              <w:left w:val="nil"/>
              <w:bottom w:val="single" w:sz="4" w:space="0" w:color="auto"/>
              <w:right w:val="single" w:sz="4" w:space="0" w:color="000000" w:themeColor="text1"/>
            </w:tcBorders>
            <w:vAlign w:val="center"/>
          </w:tcPr>
          <w:p w:rsidR="00795654" w:rsidRDefault="00795654" w:rsidP="007A30EA">
            <w:pPr>
              <w:jc w:val="center"/>
              <w:rPr>
                <w:rFonts w:ascii="Times New Roman" w:hAnsi="Times New Roman" w:cs="Times New Roman"/>
                <w:b/>
                <w:bCs/>
                <w:color w:val="000000"/>
              </w:rPr>
            </w:pPr>
            <w:r w:rsidRPr="005E71E0">
              <w:rPr>
                <w:rFonts w:ascii="Times New Roman" w:hAnsi="Times New Roman" w:cs="Times New Roman"/>
                <w:b/>
                <w:bCs/>
                <w:color w:val="000000"/>
              </w:rPr>
              <w:t>Panel B:</w:t>
            </w:r>
          </w:p>
          <w:p w:rsidR="00795654" w:rsidRPr="005E71E0" w:rsidRDefault="00795654" w:rsidP="007A30EA">
            <w:pPr>
              <w:jc w:val="center"/>
              <w:rPr>
                <w:rFonts w:ascii="Times New Roman" w:hAnsi="Times New Roman" w:cs="Times New Roman"/>
                <w:b/>
                <w:bCs/>
                <w:color w:val="000000"/>
                <w:sz w:val="24"/>
                <w:szCs w:val="24"/>
              </w:rPr>
            </w:pPr>
            <w:r w:rsidRPr="005E71E0">
              <w:rPr>
                <w:rFonts w:ascii="Times New Roman" w:hAnsi="Times New Roman" w:cs="Times New Roman"/>
                <w:b/>
                <w:bCs/>
                <w:color w:val="000000"/>
              </w:rPr>
              <w:t>Value Weighted Statistics</w:t>
            </w:r>
          </w:p>
        </w:tc>
      </w:tr>
      <w:tr w:rsidR="00795654" w:rsidTr="005B611B">
        <w:tc>
          <w:tcPr>
            <w:tcW w:w="3085" w:type="dxa"/>
            <w:tcBorders>
              <w:top w:val="nil"/>
              <w:left w:val="single" w:sz="4" w:space="0" w:color="000000" w:themeColor="text1"/>
              <w:bottom w:val="single" w:sz="4" w:space="0" w:color="auto"/>
              <w:right w:val="single" w:sz="4" w:space="0" w:color="auto"/>
            </w:tcBorders>
            <w:vAlign w:val="bottom"/>
          </w:tcPr>
          <w:p w:rsidR="00795654" w:rsidRPr="00694D99" w:rsidRDefault="00795654" w:rsidP="007A30EA">
            <w:pPr>
              <w:jc w:val="center"/>
              <w:rPr>
                <w:rFonts w:ascii="Times New Roman" w:hAnsi="Times New Roman" w:cs="Times New Roman"/>
                <w:color w:val="000000"/>
              </w:rPr>
            </w:pPr>
          </w:p>
        </w:tc>
        <w:tc>
          <w:tcPr>
            <w:tcW w:w="6157" w:type="dxa"/>
            <w:gridSpan w:val="5"/>
            <w:tcBorders>
              <w:top w:val="single" w:sz="4" w:space="0" w:color="auto"/>
              <w:left w:val="single" w:sz="4" w:space="0" w:color="auto"/>
              <w:bottom w:val="single" w:sz="4" w:space="0" w:color="auto"/>
              <w:right w:val="single" w:sz="4" w:space="0" w:color="000000" w:themeColor="text1"/>
            </w:tcBorders>
            <w:vAlign w:val="center"/>
          </w:tcPr>
          <w:p w:rsidR="00795654" w:rsidRPr="00694D99" w:rsidRDefault="00837215" w:rsidP="007A30EA">
            <w:pPr>
              <w:jc w:val="center"/>
              <w:rPr>
                <w:rFonts w:ascii="Times New Roman" w:hAnsi="Times New Roman" w:cs="Times New Roman"/>
                <w:b/>
                <w:bCs/>
                <w:color w:val="000000"/>
                <w:szCs w:val="20"/>
              </w:rPr>
            </w:pPr>
            <w:r>
              <w:rPr>
                <w:rFonts w:ascii="Times New Roman" w:hAnsi="Times New Roman" w:cs="Times New Roman"/>
                <w:b/>
                <w:bCs/>
                <w:color w:val="000000"/>
                <w:szCs w:val="20"/>
              </w:rPr>
              <w:t>DP</w:t>
            </w:r>
          </w:p>
        </w:tc>
      </w:tr>
      <w:tr w:rsidR="00795654" w:rsidTr="005B611B">
        <w:tc>
          <w:tcPr>
            <w:tcW w:w="3085" w:type="dxa"/>
            <w:tcBorders>
              <w:top w:val="single" w:sz="4" w:space="0" w:color="auto"/>
              <w:left w:val="single" w:sz="4" w:space="0" w:color="000000" w:themeColor="text1"/>
              <w:bottom w:val="nil"/>
              <w:right w:val="single" w:sz="4" w:space="0" w:color="auto"/>
            </w:tcBorders>
            <w:vAlign w:val="bottom"/>
          </w:tcPr>
          <w:p w:rsidR="00795654" w:rsidRPr="00694D99" w:rsidRDefault="00795654" w:rsidP="007A30EA">
            <w:pPr>
              <w:jc w:val="center"/>
              <w:rPr>
                <w:rFonts w:ascii="Times New Roman" w:hAnsi="Times New Roman" w:cs="Times New Roman"/>
                <w:color w:val="000000"/>
              </w:rPr>
            </w:pPr>
          </w:p>
        </w:tc>
        <w:tc>
          <w:tcPr>
            <w:tcW w:w="1701" w:type="dxa"/>
            <w:tcBorders>
              <w:top w:val="single" w:sz="4" w:space="0" w:color="auto"/>
              <w:left w:val="single" w:sz="4" w:space="0" w:color="auto"/>
              <w:bottom w:val="nil"/>
              <w:right w:val="nil"/>
            </w:tcBorders>
            <w:vAlign w:val="bottom"/>
          </w:tcPr>
          <w:p w:rsidR="00795654" w:rsidRPr="00694D99" w:rsidRDefault="00795654" w:rsidP="007A30EA">
            <w:pPr>
              <w:jc w:val="center"/>
              <w:rPr>
                <w:rFonts w:ascii="Times New Roman" w:hAnsi="Times New Roman" w:cs="Times New Roman"/>
                <w:b/>
                <w:bCs/>
                <w:color w:val="000000"/>
                <w:sz w:val="20"/>
                <w:szCs w:val="20"/>
              </w:rPr>
            </w:pPr>
            <w:r w:rsidRPr="00694D99">
              <w:rPr>
                <w:rFonts w:ascii="Times New Roman" w:hAnsi="Times New Roman" w:cs="Times New Roman"/>
                <w:b/>
                <w:bCs/>
                <w:color w:val="000000"/>
                <w:sz w:val="20"/>
                <w:szCs w:val="20"/>
              </w:rPr>
              <w:t>Value</w:t>
            </w:r>
          </w:p>
        </w:tc>
        <w:tc>
          <w:tcPr>
            <w:tcW w:w="1843" w:type="dxa"/>
            <w:gridSpan w:val="2"/>
            <w:tcBorders>
              <w:top w:val="single" w:sz="4" w:space="0" w:color="auto"/>
              <w:left w:val="nil"/>
              <w:bottom w:val="nil"/>
              <w:right w:val="single" w:sz="4" w:space="0" w:color="FFFFFF" w:themeColor="background1"/>
            </w:tcBorders>
            <w:vAlign w:val="bottom"/>
          </w:tcPr>
          <w:p w:rsidR="00795654" w:rsidRPr="00694D99" w:rsidRDefault="00795654" w:rsidP="007A30EA">
            <w:pPr>
              <w:jc w:val="center"/>
              <w:rPr>
                <w:rFonts w:ascii="Times New Roman" w:hAnsi="Times New Roman" w:cs="Times New Roman"/>
                <w:b/>
                <w:bCs/>
                <w:color w:val="000000"/>
                <w:sz w:val="20"/>
                <w:szCs w:val="20"/>
              </w:rPr>
            </w:pPr>
            <w:r w:rsidRPr="00694D99">
              <w:rPr>
                <w:rFonts w:ascii="Times New Roman" w:hAnsi="Times New Roman" w:cs="Times New Roman"/>
                <w:b/>
                <w:bCs/>
                <w:color w:val="000000"/>
                <w:sz w:val="20"/>
                <w:szCs w:val="20"/>
              </w:rPr>
              <w:t>Growth</w:t>
            </w:r>
          </w:p>
        </w:tc>
        <w:tc>
          <w:tcPr>
            <w:tcW w:w="1417" w:type="dxa"/>
            <w:tcBorders>
              <w:top w:val="single" w:sz="4" w:space="0" w:color="auto"/>
              <w:left w:val="single" w:sz="4" w:space="0" w:color="FFFFFF" w:themeColor="background1"/>
              <w:bottom w:val="nil"/>
              <w:right w:val="nil"/>
            </w:tcBorders>
            <w:vAlign w:val="bottom"/>
          </w:tcPr>
          <w:p w:rsidR="00795654" w:rsidRPr="00694D99" w:rsidRDefault="00795654" w:rsidP="007A30EA">
            <w:pPr>
              <w:jc w:val="center"/>
              <w:rPr>
                <w:rFonts w:ascii="Times New Roman" w:hAnsi="Times New Roman" w:cs="Times New Roman"/>
                <w:b/>
                <w:bCs/>
                <w:color w:val="000000"/>
                <w:sz w:val="20"/>
                <w:szCs w:val="20"/>
              </w:rPr>
            </w:pPr>
            <w:r w:rsidRPr="00694D99">
              <w:rPr>
                <w:rFonts w:ascii="Times New Roman" w:hAnsi="Times New Roman" w:cs="Times New Roman"/>
                <w:b/>
                <w:bCs/>
                <w:color w:val="000000"/>
                <w:sz w:val="20"/>
                <w:szCs w:val="20"/>
              </w:rPr>
              <w:t>Value</w:t>
            </w:r>
          </w:p>
        </w:tc>
        <w:tc>
          <w:tcPr>
            <w:tcW w:w="1196" w:type="dxa"/>
            <w:tcBorders>
              <w:top w:val="single" w:sz="4" w:space="0" w:color="auto"/>
              <w:left w:val="nil"/>
              <w:bottom w:val="nil"/>
              <w:right w:val="single" w:sz="4" w:space="0" w:color="000000" w:themeColor="text1"/>
            </w:tcBorders>
            <w:vAlign w:val="bottom"/>
          </w:tcPr>
          <w:p w:rsidR="00795654" w:rsidRPr="00694D99" w:rsidRDefault="00795654" w:rsidP="007A30EA">
            <w:pPr>
              <w:jc w:val="center"/>
              <w:rPr>
                <w:rFonts w:ascii="Times New Roman" w:hAnsi="Times New Roman" w:cs="Times New Roman"/>
                <w:b/>
                <w:bCs/>
                <w:color w:val="000000"/>
                <w:sz w:val="20"/>
                <w:szCs w:val="20"/>
              </w:rPr>
            </w:pPr>
            <w:r w:rsidRPr="00694D99">
              <w:rPr>
                <w:rFonts w:ascii="Times New Roman" w:hAnsi="Times New Roman" w:cs="Times New Roman"/>
                <w:b/>
                <w:bCs/>
                <w:color w:val="000000"/>
                <w:sz w:val="20"/>
                <w:szCs w:val="20"/>
              </w:rPr>
              <w:t>Growth</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0.008</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0.013</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0.000</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0.232</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0.298</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0.202</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0.125</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0.038</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0.050</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0.059</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0.063</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0.133</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0.175</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0.204</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Skewness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-0.322</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0.305</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-0.239</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-0.618</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Beta</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0.472</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0.566</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0.864</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0.947</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Sharpe</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0.212</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0.250</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0.103</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0.007</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Treynor</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0.017</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0.022</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0.007</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0.000</w:t>
            </w:r>
          </w:p>
        </w:tc>
      </w:tr>
      <w:tr w:rsidR="00795654" w:rsidTr="005B611B">
        <w:tc>
          <w:tcPr>
            <w:tcW w:w="3085" w:type="dxa"/>
            <w:tcBorders>
              <w:top w:val="nil"/>
              <w:left w:val="single" w:sz="4" w:space="0" w:color="000000" w:themeColor="text1"/>
              <w:bottom w:val="nil"/>
              <w:right w:val="single" w:sz="4" w:space="0" w:color="auto"/>
            </w:tcBorders>
          </w:tcPr>
          <w:p w:rsidR="00795654" w:rsidRPr="00CD5EB8" w:rsidRDefault="00795654" w:rsidP="007A30EA">
            <w:pPr>
              <w:rPr>
                <w:rFonts w:ascii="Times New Roman" w:hAnsi="Times New Roman" w:cs="Times New Roman"/>
                <w:b/>
                <w:sz w:val="20"/>
              </w:rPr>
            </w:pPr>
          </w:p>
        </w:tc>
        <w:tc>
          <w:tcPr>
            <w:tcW w:w="6157" w:type="dxa"/>
            <w:gridSpan w:val="5"/>
            <w:tcBorders>
              <w:top w:val="single" w:sz="4" w:space="0" w:color="auto"/>
              <w:left w:val="single" w:sz="4" w:space="0" w:color="auto"/>
              <w:bottom w:val="nil"/>
            </w:tcBorders>
            <w:vAlign w:val="center"/>
          </w:tcPr>
          <w:p w:rsidR="00795654" w:rsidRPr="00694D99" w:rsidRDefault="00795654" w:rsidP="007A30EA">
            <w:pPr>
              <w:jc w:val="center"/>
              <w:rPr>
                <w:rFonts w:ascii="Times New Roman" w:hAnsi="Times New Roman" w:cs="Times New Roman"/>
                <w:b/>
              </w:rPr>
            </w:pPr>
            <w:r>
              <w:rPr>
                <w:rFonts w:ascii="Times New Roman" w:hAnsi="Times New Roman" w:cs="Times New Roman"/>
                <w:b/>
              </w:rPr>
              <w:t>EP</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Mean Excess Returns</w:t>
            </w:r>
          </w:p>
        </w:tc>
        <w:tc>
          <w:tcPr>
            <w:tcW w:w="1701" w:type="dxa"/>
            <w:tcBorders>
              <w:top w:val="single" w:sz="4" w:space="0" w:color="auto"/>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0.010</w:t>
            </w:r>
          </w:p>
        </w:tc>
        <w:tc>
          <w:tcPr>
            <w:tcW w:w="1843" w:type="dxa"/>
            <w:gridSpan w:val="2"/>
            <w:tcBorders>
              <w:top w:val="single" w:sz="4" w:space="0" w:color="auto"/>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0.018</w:t>
            </w:r>
          </w:p>
        </w:tc>
        <w:tc>
          <w:tcPr>
            <w:tcW w:w="1417" w:type="dxa"/>
            <w:tcBorders>
              <w:top w:val="single" w:sz="4" w:space="0" w:color="auto"/>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0.005</w:t>
            </w:r>
          </w:p>
        </w:tc>
        <w:tc>
          <w:tcPr>
            <w:tcW w:w="1196" w:type="dxa"/>
            <w:tcBorders>
              <w:top w:val="single" w:sz="4" w:space="0" w:color="auto"/>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0.003</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0.261</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0.383</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0.193</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0.165</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0.044</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0.062</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0.062</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0.153</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0.214</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0.214</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Skewness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-0.400</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2.203</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-0.396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-0.529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Beta</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0.525</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0.623</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0.950</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0.935</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Sharpe</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0.230</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0.291</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0.088</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Treynor</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0.019</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0.029</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0.004</w:t>
            </w:r>
          </w:p>
        </w:tc>
      </w:tr>
      <w:tr w:rsidR="00795654" w:rsidTr="005B611B">
        <w:tc>
          <w:tcPr>
            <w:tcW w:w="3085" w:type="dxa"/>
            <w:tcBorders>
              <w:top w:val="nil"/>
              <w:bottom w:val="nil"/>
            </w:tcBorders>
          </w:tcPr>
          <w:p w:rsidR="00795654" w:rsidRPr="00CD5EB8" w:rsidRDefault="00795654" w:rsidP="007A30EA">
            <w:pPr>
              <w:rPr>
                <w:rFonts w:ascii="Times New Roman" w:hAnsi="Times New Roman" w:cs="Times New Roman"/>
                <w:b/>
                <w:sz w:val="20"/>
              </w:rPr>
            </w:pPr>
          </w:p>
        </w:tc>
        <w:tc>
          <w:tcPr>
            <w:tcW w:w="6157" w:type="dxa"/>
            <w:gridSpan w:val="5"/>
            <w:tcBorders>
              <w:top w:val="single" w:sz="4" w:space="0" w:color="auto"/>
              <w:bottom w:val="single" w:sz="4" w:space="0" w:color="auto"/>
              <w:right w:val="single" w:sz="4" w:space="0" w:color="000000" w:themeColor="text1"/>
            </w:tcBorders>
            <w:vAlign w:val="center"/>
          </w:tcPr>
          <w:p w:rsidR="00795654" w:rsidRPr="00694D99" w:rsidRDefault="00795654" w:rsidP="007A30EA">
            <w:pPr>
              <w:jc w:val="center"/>
              <w:rPr>
                <w:rFonts w:ascii="Times New Roman" w:hAnsi="Times New Roman" w:cs="Times New Roman"/>
                <w:b/>
              </w:rPr>
            </w:pPr>
            <w:r w:rsidRPr="00694D99">
              <w:rPr>
                <w:rFonts w:ascii="Times New Roman" w:hAnsi="Times New Roman" w:cs="Times New Roman"/>
                <w:b/>
              </w:rPr>
              <w:t>CP</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Mean Excess Returns</w:t>
            </w:r>
          </w:p>
        </w:tc>
        <w:tc>
          <w:tcPr>
            <w:tcW w:w="1701" w:type="dxa"/>
            <w:tcBorders>
              <w:top w:val="single" w:sz="4" w:space="0" w:color="auto"/>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0.013</w:t>
            </w:r>
          </w:p>
        </w:tc>
        <w:tc>
          <w:tcPr>
            <w:tcW w:w="1843" w:type="dxa"/>
            <w:gridSpan w:val="2"/>
            <w:tcBorders>
              <w:top w:val="single" w:sz="4" w:space="0" w:color="auto"/>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0.015</w:t>
            </w:r>
          </w:p>
        </w:tc>
        <w:tc>
          <w:tcPr>
            <w:tcW w:w="1417" w:type="dxa"/>
            <w:tcBorders>
              <w:top w:val="single" w:sz="4" w:space="0" w:color="auto"/>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0.006</w:t>
            </w:r>
          </w:p>
        </w:tc>
        <w:tc>
          <w:tcPr>
            <w:tcW w:w="1196" w:type="dxa"/>
            <w:tcBorders>
              <w:top w:val="single" w:sz="4" w:space="0" w:color="auto"/>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0.003</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0.306</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0.335</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0.164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0.058</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0.052</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0.060</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0.201</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0.181</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0.210</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Skewness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3.405</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0.355</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-0.366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-0.559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Beta</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0.524</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0.623</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0.941</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0.936</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Sharpe</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0.226</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0.287</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0.105</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0.057</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Treynor</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0.025</w:t>
            </w:r>
          </w:p>
        </w:tc>
        <w:tc>
          <w:tcPr>
            <w:tcW w:w="1843" w:type="dxa"/>
            <w:gridSpan w:val="2"/>
            <w:tcBorders>
              <w:top w:val="nil"/>
              <w:left w:val="nil"/>
              <w:bottom w:val="nil"/>
              <w:right w:val="single" w:sz="4" w:space="0" w:color="FFFFFF" w:themeColor="background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0.024</w:t>
            </w:r>
          </w:p>
        </w:tc>
        <w:tc>
          <w:tcPr>
            <w:tcW w:w="1417" w:type="dxa"/>
            <w:tcBorders>
              <w:top w:val="nil"/>
              <w:left w:val="single" w:sz="4" w:space="0" w:color="FFFFFF" w:themeColor="background1"/>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0.007</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0.004</w:t>
            </w:r>
          </w:p>
        </w:tc>
      </w:tr>
      <w:tr w:rsidR="00795654" w:rsidTr="00DC682F">
        <w:tc>
          <w:tcPr>
            <w:tcW w:w="3085" w:type="dxa"/>
            <w:tcBorders>
              <w:top w:val="nil"/>
              <w:bottom w:val="nil"/>
              <w:right w:val="single" w:sz="4" w:space="0" w:color="auto"/>
            </w:tcBorders>
          </w:tcPr>
          <w:p w:rsidR="00795654" w:rsidRPr="00CD5EB8" w:rsidRDefault="00795654" w:rsidP="007A30EA">
            <w:pPr>
              <w:rPr>
                <w:rFonts w:ascii="Times New Roman" w:hAnsi="Times New Roman" w:cs="Times New Roman"/>
                <w:b/>
                <w:sz w:val="20"/>
              </w:rPr>
            </w:pPr>
          </w:p>
        </w:tc>
        <w:tc>
          <w:tcPr>
            <w:tcW w:w="6157" w:type="dxa"/>
            <w:gridSpan w:val="5"/>
            <w:tcBorders>
              <w:top w:val="single" w:sz="4" w:space="0" w:color="auto"/>
              <w:left w:val="single" w:sz="4" w:space="0" w:color="auto"/>
              <w:bottom w:val="single" w:sz="4" w:space="0" w:color="auto"/>
            </w:tcBorders>
            <w:vAlign w:val="center"/>
          </w:tcPr>
          <w:p w:rsidR="00795654" w:rsidRPr="00694D99" w:rsidRDefault="00795654" w:rsidP="007A30EA">
            <w:pPr>
              <w:jc w:val="center"/>
              <w:rPr>
                <w:rFonts w:ascii="Times New Roman" w:hAnsi="Times New Roman" w:cs="Times New Roman"/>
                <w:b/>
              </w:rPr>
            </w:pPr>
            <w:r w:rsidRPr="00694D99">
              <w:rPr>
                <w:rFonts w:ascii="Times New Roman" w:hAnsi="Times New Roman" w:cs="Times New Roman"/>
                <w:b/>
              </w:rPr>
              <w:t>BTM</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Mean Excess Returns</w:t>
            </w:r>
          </w:p>
        </w:tc>
        <w:tc>
          <w:tcPr>
            <w:tcW w:w="1701" w:type="dxa"/>
            <w:tcBorders>
              <w:top w:val="single" w:sz="4" w:space="0" w:color="auto"/>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0.017</w:t>
            </w:r>
          </w:p>
        </w:tc>
        <w:tc>
          <w:tcPr>
            <w:tcW w:w="1843" w:type="dxa"/>
            <w:gridSpan w:val="2"/>
            <w:tcBorders>
              <w:top w:val="single" w:sz="4" w:space="0" w:color="auto"/>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0.011</w:t>
            </w:r>
          </w:p>
        </w:tc>
        <w:tc>
          <w:tcPr>
            <w:tcW w:w="1417" w:type="dxa"/>
            <w:tcBorders>
              <w:top w:val="single" w:sz="4" w:space="0" w:color="auto"/>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0.005</w:t>
            </w:r>
          </w:p>
        </w:tc>
        <w:tc>
          <w:tcPr>
            <w:tcW w:w="1196" w:type="dxa"/>
            <w:tcBorders>
              <w:top w:val="single" w:sz="4" w:space="0" w:color="auto"/>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0.002</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0.374</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0.270</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0.211</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0.172</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0.060</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0.051</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0.063</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0.207</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0.177</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0.217</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Skewness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3.132</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0.315</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-0.259</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-0.558</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Beta</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0.510</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0.637</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0.908</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0.954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Sharpe</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0.292</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0.210</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0.074</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0.032</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Treynor</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0.034</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0.017</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0.005</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0.002</w:t>
            </w:r>
          </w:p>
        </w:tc>
      </w:tr>
      <w:tr w:rsidR="00795654" w:rsidTr="00DC682F">
        <w:tc>
          <w:tcPr>
            <w:tcW w:w="3085" w:type="dxa"/>
            <w:tcBorders>
              <w:top w:val="nil"/>
              <w:bottom w:val="nil"/>
            </w:tcBorders>
            <w:vAlign w:val="bottom"/>
          </w:tcPr>
          <w:p w:rsidR="00795654" w:rsidRPr="00CD5EB8" w:rsidRDefault="00795654" w:rsidP="007A30EA">
            <w:pPr>
              <w:rPr>
                <w:rFonts w:ascii="Times New Roman" w:hAnsi="Times New Roman" w:cs="Times New Roman"/>
                <w:b/>
                <w:color w:val="000000"/>
                <w:sz w:val="20"/>
              </w:rPr>
            </w:pPr>
          </w:p>
        </w:tc>
        <w:tc>
          <w:tcPr>
            <w:tcW w:w="6157" w:type="dxa"/>
            <w:gridSpan w:val="5"/>
            <w:tcBorders>
              <w:top w:val="single" w:sz="4" w:space="0" w:color="auto"/>
              <w:bottom w:val="single" w:sz="4" w:space="0" w:color="auto"/>
            </w:tcBorders>
            <w:vAlign w:val="bottom"/>
          </w:tcPr>
          <w:p w:rsidR="00795654" w:rsidRPr="00694D99" w:rsidRDefault="00795654" w:rsidP="007A30EA">
            <w:pPr>
              <w:jc w:val="center"/>
              <w:rPr>
                <w:rFonts w:ascii="Times New Roman" w:hAnsi="Times New Roman" w:cs="Times New Roman"/>
                <w:b/>
                <w:color w:val="000000"/>
                <w:szCs w:val="20"/>
              </w:rPr>
            </w:pPr>
            <w:r w:rsidRPr="00694D99">
              <w:rPr>
                <w:rFonts w:ascii="Times New Roman" w:hAnsi="Times New Roman" w:cs="Times New Roman"/>
                <w:b/>
                <w:color w:val="000000"/>
                <w:szCs w:val="20"/>
              </w:rPr>
              <w:t>MCap</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Mean Excess Returns</w:t>
            </w:r>
          </w:p>
        </w:tc>
        <w:tc>
          <w:tcPr>
            <w:tcW w:w="1701" w:type="dxa"/>
            <w:tcBorders>
              <w:top w:val="single" w:sz="4" w:space="0" w:color="auto"/>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0.021</w:t>
            </w:r>
          </w:p>
        </w:tc>
        <w:tc>
          <w:tcPr>
            <w:tcW w:w="1843" w:type="dxa"/>
            <w:gridSpan w:val="2"/>
            <w:tcBorders>
              <w:top w:val="single" w:sz="4" w:space="0" w:color="auto"/>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0.004</w:t>
            </w:r>
          </w:p>
        </w:tc>
        <w:tc>
          <w:tcPr>
            <w:tcW w:w="1417" w:type="dxa"/>
            <w:tcBorders>
              <w:top w:val="single" w:sz="4" w:space="0" w:color="auto"/>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0.010</w:t>
            </w:r>
          </w:p>
        </w:tc>
        <w:tc>
          <w:tcPr>
            <w:tcW w:w="1196" w:type="dxa"/>
            <w:tcBorders>
              <w:top w:val="single" w:sz="4" w:space="0" w:color="auto"/>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0.004</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Mean Excess Returns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0.435</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0.178</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0.258</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0.173</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0.060</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0.048</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0.051</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0.057</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Annual Std Dev</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0.207</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0.165</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0.176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0.199</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Skewness</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3.220</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-0.864</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0.621</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-0.565</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Beta</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0.434</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0.681</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0.542</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0.953</w:t>
            </w:r>
          </w:p>
        </w:tc>
      </w:tr>
      <w:tr w:rsidR="00E906ED" w:rsidTr="005B611B">
        <w:tc>
          <w:tcPr>
            <w:tcW w:w="3085" w:type="dxa"/>
            <w:tcBorders>
              <w:top w:val="nil"/>
              <w:left w:val="single" w:sz="4" w:space="0" w:color="000000" w:themeColor="text1"/>
              <w:bottom w:val="nil"/>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Sharpe</w:t>
            </w:r>
          </w:p>
        </w:tc>
        <w:tc>
          <w:tcPr>
            <w:tcW w:w="1701" w:type="dxa"/>
            <w:tcBorders>
              <w:top w:val="nil"/>
              <w:left w:val="single" w:sz="4" w:space="0" w:color="auto"/>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0.353</w:t>
            </w:r>
          </w:p>
        </w:tc>
        <w:tc>
          <w:tcPr>
            <w:tcW w:w="1843" w:type="dxa"/>
            <w:gridSpan w:val="2"/>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0.092</w:t>
            </w:r>
          </w:p>
        </w:tc>
        <w:tc>
          <w:tcPr>
            <w:tcW w:w="1417" w:type="dxa"/>
            <w:tcBorders>
              <w:top w:val="nil"/>
              <w:left w:val="nil"/>
              <w:bottom w:val="nil"/>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0.196</w:t>
            </w:r>
          </w:p>
        </w:tc>
        <w:tc>
          <w:tcPr>
            <w:tcW w:w="1196" w:type="dxa"/>
            <w:tcBorders>
              <w:top w:val="nil"/>
              <w:left w:val="nil"/>
              <w:bottom w:val="nil"/>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0.069</w:t>
            </w:r>
          </w:p>
        </w:tc>
      </w:tr>
      <w:tr w:rsidR="00E906ED" w:rsidTr="005B611B">
        <w:tc>
          <w:tcPr>
            <w:tcW w:w="3085" w:type="dxa"/>
            <w:tcBorders>
              <w:top w:val="nil"/>
              <w:left w:val="single" w:sz="4" w:space="0" w:color="000000" w:themeColor="text1"/>
              <w:bottom w:val="single" w:sz="4" w:space="0" w:color="000000" w:themeColor="text1"/>
              <w:right w:val="single" w:sz="4" w:space="0" w:color="auto"/>
            </w:tcBorders>
            <w:vAlign w:val="bottom"/>
          </w:tcPr>
          <w:p w:rsidR="00E906ED" w:rsidRPr="00CD5EB8" w:rsidRDefault="00E906ED" w:rsidP="007A30EA">
            <w:pPr>
              <w:rPr>
                <w:rFonts w:ascii="Times New Roman" w:hAnsi="Times New Roman" w:cs="Times New Roman"/>
                <w:b/>
                <w:color w:val="000000"/>
                <w:sz w:val="20"/>
              </w:rPr>
            </w:pPr>
            <w:r w:rsidRPr="00CD5EB8">
              <w:rPr>
                <w:rFonts w:ascii="Times New Roman" w:hAnsi="Times New Roman" w:cs="Times New Roman"/>
                <w:b/>
                <w:color w:val="000000"/>
                <w:sz w:val="20"/>
              </w:rPr>
              <w:t>Monthly Treynor</w:t>
            </w:r>
          </w:p>
        </w:tc>
        <w:tc>
          <w:tcPr>
            <w:tcW w:w="1701" w:type="dxa"/>
            <w:tcBorders>
              <w:top w:val="nil"/>
              <w:left w:val="single" w:sz="4" w:space="0" w:color="auto"/>
              <w:bottom w:val="single" w:sz="4" w:space="0" w:color="000000" w:themeColor="text1"/>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0.049</w:t>
            </w:r>
          </w:p>
        </w:tc>
        <w:tc>
          <w:tcPr>
            <w:tcW w:w="1843" w:type="dxa"/>
            <w:gridSpan w:val="2"/>
            <w:tcBorders>
              <w:top w:val="nil"/>
              <w:left w:val="nil"/>
              <w:bottom w:val="single" w:sz="4" w:space="0" w:color="000000" w:themeColor="text1"/>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0.006</w:t>
            </w:r>
          </w:p>
        </w:tc>
        <w:tc>
          <w:tcPr>
            <w:tcW w:w="1417" w:type="dxa"/>
            <w:tcBorders>
              <w:top w:val="nil"/>
              <w:left w:val="nil"/>
              <w:bottom w:val="single" w:sz="4" w:space="0" w:color="000000" w:themeColor="text1"/>
              <w:right w:val="nil"/>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0.018</w:t>
            </w:r>
          </w:p>
        </w:tc>
        <w:tc>
          <w:tcPr>
            <w:tcW w:w="1196" w:type="dxa"/>
            <w:tcBorders>
              <w:top w:val="nil"/>
              <w:left w:val="nil"/>
              <w:bottom w:val="single" w:sz="4" w:space="0" w:color="000000" w:themeColor="text1"/>
              <w:right w:val="single" w:sz="4" w:space="0" w:color="000000" w:themeColor="text1"/>
            </w:tcBorders>
            <w:vAlign w:val="bottom"/>
          </w:tcPr>
          <w:p w:rsidR="00E906ED" w:rsidRPr="00E906ED" w:rsidRDefault="00E906ED">
            <w:pPr>
              <w:jc w:val="center"/>
              <w:rPr>
                <w:rFonts w:ascii="Times New Roman" w:hAnsi="Times New Roman" w:cs="Times New Roman"/>
                <w:color w:val="000000"/>
                <w:sz w:val="20"/>
                <w:szCs w:val="20"/>
              </w:rPr>
            </w:pPr>
            <w:r w:rsidRPr="00E906ED">
              <w:rPr>
                <w:rFonts w:ascii="Times New Roman" w:hAnsi="Times New Roman" w:cs="Times New Roman"/>
                <w:color w:val="000000"/>
                <w:sz w:val="20"/>
                <w:szCs w:val="20"/>
              </w:rPr>
              <w:t>0.004</w:t>
            </w:r>
          </w:p>
        </w:tc>
      </w:tr>
    </w:tbl>
    <w:p w:rsidR="00795654" w:rsidRPr="00904DA8" w:rsidRDefault="00904DA8" w:rsidP="00904DA8">
      <w:pPr>
        <w:pStyle w:val="Caption"/>
        <w:rPr>
          <w:rFonts w:ascii="Times New Roman" w:hAnsi="Times New Roman" w:cs="Times New Roman"/>
          <w:color w:val="FFFFFF" w:themeColor="background1"/>
          <w:sz w:val="24"/>
          <w:szCs w:val="36"/>
        </w:rPr>
      </w:pPr>
      <w:bookmarkStart w:id="59" w:name="_Toc305166529"/>
      <w:r w:rsidRPr="00904DA8">
        <w:rPr>
          <w:color w:val="FFFFFF" w:themeColor="background1"/>
        </w:rPr>
        <w:t xml:space="preserve">Table </w:t>
      </w:r>
      <w:r w:rsidR="000963F3" w:rsidRPr="00904DA8">
        <w:rPr>
          <w:color w:val="FFFFFF" w:themeColor="background1"/>
        </w:rPr>
        <w:fldChar w:fldCharType="begin"/>
      </w:r>
      <w:r w:rsidRPr="00904DA8">
        <w:rPr>
          <w:color w:val="FFFFFF" w:themeColor="background1"/>
        </w:rPr>
        <w:instrText xml:space="preserve"> SEQ Table \* ARABIC </w:instrText>
      </w:r>
      <w:r w:rsidR="000963F3" w:rsidRPr="00904DA8">
        <w:rPr>
          <w:color w:val="FFFFFF" w:themeColor="background1"/>
        </w:rPr>
        <w:fldChar w:fldCharType="separate"/>
      </w:r>
      <w:r w:rsidR="00AB32F5">
        <w:rPr>
          <w:noProof/>
          <w:color w:val="FFFFFF" w:themeColor="background1"/>
        </w:rPr>
        <w:t>6</w:t>
      </w:r>
      <w:r w:rsidR="000963F3" w:rsidRPr="00904DA8">
        <w:rPr>
          <w:color w:val="FFFFFF" w:themeColor="background1"/>
        </w:rPr>
        <w:fldChar w:fldCharType="end"/>
      </w:r>
      <w:r w:rsidRPr="00904DA8">
        <w:rPr>
          <w:color w:val="FFFFFF" w:themeColor="background1"/>
        </w:rPr>
        <w:t xml:space="preserve"> - Descriptive Statistics of Independent, Single Sorted Portfolios</w:t>
      </w:r>
      <w:bookmarkEnd w:id="59"/>
    </w:p>
    <w:p w:rsidR="005B611B" w:rsidRDefault="005B611B" w:rsidP="00E73A8A">
      <w:pPr>
        <w:spacing w:line="360" w:lineRule="auto"/>
        <w:jc w:val="both"/>
        <w:rPr>
          <w:rFonts w:ascii="Times New Roman" w:hAnsi="Times New Roman" w:cs="Times New Roman"/>
          <w:sz w:val="24"/>
        </w:rPr>
      </w:pPr>
    </w:p>
    <w:p w:rsidR="005B611B" w:rsidRDefault="005B611B" w:rsidP="00E73A8A">
      <w:pPr>
        <w:spacing w:line="360" w:lineRule="auto"/>
        <w:jc w:val="both"/>
        <w:rPr>
          <w:rFonts w:ascii="Times New Roman" w:hAnsi="Times New Roman" w:cs="Times New Roman"/>
          <w:sz w:val="24"/>
        </w:rPr>
      </w:pPr>
    </w:p>
    <w:p w:rsidR="005B2A21" w:rsidRDefault="00795654" w:rsidP="00E73A8A">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portfolios sorted on the E/P ratio have larger mean monthly excess returns for the equally weighted value and growth, than the value weighted portfolios. The </w:t>
      </w:r>
      <w:r w:rsidR="008C0B5A">
        <w:rPr>
          <w:rFonts w:ascii="Times New Roman" w:hAnsi="Times New Roman" w:cs="Times New Roman"/>
          <w:sz w:val="24"/>
        </w:rPr>
        <w:t xml:space="preserve">equally weighted </w:t>
      </w:r>
      <w:r>
        <w:rPr>
          <w:rFonts w:ascii="Times New Roman" w:hAnsi="Times New Roman" w:cs="Times New Roman"/>
          <w:sz w:val="24"/>
        </w:rPr>
        <w:t xml:space="preserve">value portfolio has an annual mean excess return of 26.15%, while the value portfolio that is value weighted has a 19.27% annual mean excess return. </w:t>
      </w:r>
      <w:r w:rsidR="00CE6A29">
        <w:rPr>
          <w:rFonts w:ascii="Times New Roman" w:hAnsi="Times New Roman" w:cs="Times New Roman"/>
          <w:sz w:val="24"/>
        </w:rPr>
        <w:t xml:space="preserve">The value weighted value portfolio’s beta (0.95) is comparable with Basu (1977) value portfolio’s beta (0.96). However, Basu (1977) portfolio only has an annual excess return of 9.85%. </w:t>
      </w:r>
      <w:r>
        <w:rPr>
          <w:rFonts w:ascii="Times New Roman" w:hAnsi="Times New Roman" w:cs="Times New Roman"/>
          <w:sz w:val="24"/>
        </w:rPr>
        <w:t>The standard deviations of all four portfolios sorted on the E/P ratio appear to be quite similar, although the equally weighted value portfolio has the lowest standard deviation of 0.1529. The equally weighted growth portfolio, with an annual mean excess return of 38.3% has a standard deviation of 0.2144, in comparison to the value weighted value portfolio, which has an annual mean excess return of 19.27% but a standard deviation of 0.2136. The risk-adjusted measures of Sharpe and Treynor provide evidence in favour of the growth effect for the equally weighted portfolios, and a slight value effect for the value weighted portfolios. With a Sharpe ratio of 0.29085 the equally weighted growth portfolio has much larger risk-adjusted return.</w:t>
      </w:r>
      <w:r w:rsidR="00E73A8A">
        <w:rPr>
          <w:rFonts w:ascii="Times New Roman" w:hAnsi="Times New Roman" w:cs="Times New Roman"/>
          <w:sz w:val="24"/>
        </w:rPr>
        <w:t xml:space="preserve"> This is even larger than the ratio produced by the value portfolio i</w:t>
      </w:r>
      <w:r w:rsidR="00703A0D">
        <w:rPr>
          <w:rFonts w:ascii="Times New Roman" w:hAnsi="Times New Roman" w:cs="Times New Roman"/>
          <w:sz w:val="24"/>
        </w:rPr>
        <w:t>n</w:t>
      </w:r>
      <w:r w:rsidR="00E73A8A">
        <w:rPr>
          <w:rFonts w:ascii="Times New Roman" w:hAnsi="Times New Roman" w:cs="Times New Roman"/>
          <w:sz w:val="24"/>
        </w:rPr>
        <w:t xml:space="preserve"> Basu (1977). He found the value portfolio to have a </w:t>
      </w:r>
      <w:r w:rsidR="00CE6A29">
        <w:rPr>
          <w:rFonts w:ascii="Times New Roman" w:hAnsi="Times New Roman" w:cs="Times New Roman"/>
          <w:sz w:val="24"/>
        </w:rPr>
        <w:t xml:space="preserve">Sharpe </w:t>
      </w:r>
      <w:r w:rsidR="00E73A8A">
        <w:rPr>
          <w:rFonts w:ascii="Times New Roman" w:hAnsi="Times New Roman" w:cs="Times New Roman"/>
          <w:sz w:val="24"/>
        </w:rPr>
        <w:t>ratio of 0.2264.</w:t>
      </w:r>
      <w:r w:rsidR="00CE6A29">
        <w:rPr>
          <w:rFonts w:ascii="Times New Roman" w:hAnsi="Times New Roman" w:cs="Times New Roman"/>
          <w:sz w:val="24"/>
        </w:rPr>
        <w:t xml:space="preserve"> This implies that the value portfolio in Basu (1977) earns 2.26% more than what its risk level implies. On the other hand, in this study, the equally weighted value portfolio in the current study earns 29.08% more than what its risk level implies.  </w:t>
      </w:r>
      <w:r>
        <w:rPr>
          <w:rFonts w:ascii="Times New Roman" w:hAnsi="Times New Roman" w:cs="Times New Roman"/>
          <w:sz w:val="24"/>
        </w:rPr>
        <w:t xml:space="preserve"> </w:t>
      </w:r>
    </w:p>
    <w:p w:rsidR="005B2A21" w:rsidRDefault="005B2A21" w:rsidP="00E73A8A">
      <w:pPr>
        <w:spacing w:line="360" w:lineRule="auto"/>
        <w:jc w:val="both"/>
        <w:rPr>
          <w:rFonts w:ascii="Times New Roman" w:hAnsi="Times New Roman" w:cs="Times New Roman"/>
          <w:sz w:val="24"/>
        </w:rPr>
      </w:pPr>
    </w:p>
    <w:p w:rsidR="00E73A8A" w:rsidRDefault="00795654" w:rsidP="00E73A8A">
      <w:pPr>
        <w:spacing w:line="360" w:lineRule="auto"/>
        <w:jc w:val="both"/>
        <w:rPr>
          <w:rFonts w:ascii="Times New Roman" w:hAnsi="Times New Roman" w:cs="Times New Roman"/>
          <w:sz w:val="24"/>
        </w:rPr>
      </w:pPr>
      <w:r>
        <w:rPr>
          <w:rFonts w:ascii="Times New Roman" w:hAnsi="Times New Roman" w:cs="Times New Roman"/>
          <w:sz w:val="24"/>
        </w:rPr>
        <w:t xml:space="preserve">Considering the value weighted portfolios, the value portfolio has a Sharpe ratio of 0.0877, with the growth portfolio only exhibiting a ratio of 0.0587. Once again, the important thing to remember is that these ratios are monthly and when annualized their differences are more pronounced. </w:t>
      </w:r>
      <w:r w:rsidR="00E73A8A">
        <w:rPr>
          <w:rFonts w:ascii="Times New Roman" w:hAnsi="Times New Roman" w:cs="Times New Roman"/>
          <w:sz w:val="24"/>
        </w:rPr>
        <w:t>Basu (1977) considers E/P sorted portfolios, especially taking note of the risk-adjusted measures.</w:t>
      </w:r>
      <w:r w:rsidR="00E73A8A" w:rsidRPr="00566BF3">
        <w:rPr>
          <w:rFonts w:ascii="Times New Roman" w:hAnsi="Times New Roman" w:cs="Times New Roman"/>
          <w:sz w:val="24"/>
        </w:rPr>
        <w:t xml:space="preserve"> He notices the </w:t>
      </w:r>
      <w:r w:rsidR="00E73A8A">
        <w:rPr>
          <w:rFonts w:ascii="Times New Roman" w:hAnsi="Times New Roman" w:cs="Times New Roman"/>
          <w:sz w:val="24"/>
        </w:rPr>
        <w:t>value</w:t>
      </w:r>
      <w:r w:rsidR="00E73A8A" w:rsidRPr="00566BF3">
        <w:rPr>
          <w:rFonts w:ascii="Times New Roman" w:hAnsi="Times New Roman" w:cs="Times New Roman"/>
          <w:sz w:val="24"/>
        </w:rPr>
        <w:t xml:space="preserve"> portfolios still earn a small percentage more than what their systematic risk implies. </w:t>
      </w:r>
      <w:r w:rsidR="00E73A8A">
        <w:rPr>
          <w:rFonts w:ascii="Times New Roman" w:hAnsi="Times New Roman" w:cs="Times New Roman"/>
          <w:sz w:val="24"/>
        </w:rPr>
        <w:t xml:space="preserve">Basu (1977) makes the point that lowest </w:t>
      </w:r>
      <w:r w:rsidR="00E73A8A" w:rsidRPr="00566BF3">
        <w:rPr>
          <w:rFonts w:ascii="Times New Roman" w:hAnsi="Times New Roman" w:cs="Times New Roman"/>
          <w:sz w:val="24"/>
        </w:rPr>
        <w:t>E</w:t>
      </w:r>
      <w:r w:rsidR="00E73A8A">
        <w:rPr>
          <w:rFonts w:ascii="Times New Roman" w:hAnsi="Times New Roman" w:cs="Times New Roman"/>
          <w:sz w:val="24"/>
        </w:rPr>
        <w:t>/P</w:t>
      </w:r>
      <w:r w:rsidR="00E73A8A" w:rsidRPr="00566BF3">
        <w:rPr>
          <w:rFonts w:ascii="Times New Roman" w:hAnsi="Times New Roman" w:cs="Times New Roman"/>
          <w:sz w:val="24"/>
        </w:rPr>
        <w:t xml:space="preserve"> portfolios produce returns lower than what their risk implies.</w:t>
      </w:r>
      <w:r w:rsidR="00E73A8A">
        <w:rPr>
          <w:rFonts w:ascii="Times New Roman" w:hAnsi="Times New Roman" w:cs="Times New Roman"/>
          <w:sz w:val="24"/>
        </w:rPr>
        <w:t xml:space="preserve"> </w:t>
      </w:r>
      <w:r w:rsidR="00F9408C">
        <w:rPr>
          <w:rFonts w:ascii="Times New Roman" w:hAnsi="Times New Roman" w:cs="Times New Roman"/>
          <w:sz w:val="24"/>
        </w:rPr>
        <w:t>T</w:t>
      </w:r>
      <w:r w:rsidR="00E73A8A">
        <w:rPr>
          <w:rFonts w:ascii="Times New Roman" w:hAnsi="Times New Roman" w:cs="Times New Roman"/>
          <w:sz w:val="24"/>
        </w:rPr>
        <w:t xml:space="preserve">he Treynor measure for Basu (1977) value portfolio sorted on the E/P ratio is 0.1237, while only 0.0508 for the growth portfolio. </w:t>
      </w:r>
      <w:r w:rsidR="00CE6A29">
        <w:rPr>
          <w:rFonts w:ascii="Times New Roman" w:hAnsi="Times New Roman" w:cs="Times New Roman"/>
          <w:sz w:val="24"/>
        </w:rPr>
        <w:t xml:space="preserve">Similar to Basu (1977) </w:t>
      </w:r>
      <w:r w:rsidR="00837215">
        <w:rPr>
          <w:rFonts w:ascii="Times New Roman" w:hAnsi="Times New Roman" w:cs="Times New Roman"/>
          <w:sz w:val="24"/>
        </w:rPr>
        <w:t>the equally weighted value portfolio</w:t>
      </w:r>
      <w:r w:rsidR="00CE6A29">
        <w:rPr>
          <w:rFonts w:ascii="Times New Roman" w:hAnsi="Times New Roman" w:cs="Times New Roman"/>
          <w:sz w:val="24"/>
        </w:rPr>
        <w:t xml:space="preserve"> h</w:t>
      </w:r>
      <w:r w:rsidR="00837215">
        <w:rPr>
          <w:rFonts w:ascii="Times New Roman" w:hAnsi="Times New Roman" w:cs="Times New Roman"/>
          <w:sz w:val="24"/>
        </w:rPr>
        <w:t xml:space="preserve">as </w:t>
      </w:r>
      <w:r w:rsidR="00CE6A29">
        <w:rPr>
          <w:rFonts w:ascii="Times New Roman" w:hAnsi="Times New Roman" w:cs="Times New Roman"/>
          <w:sz w:val="24"/>
        </w:rPr>
        <w:t>l</w:t>
      </w:r>
      <w:r w:rsidR="00837215">
        <w:rPr>
          <w:rFonts w:ascii="Times New Roman" w:hAnsi="Times New Roman" w:cs="Times New Roman"/>
          <w:sz w:val="24"/>
        </w:rPr>
        <w:t xml:space="preserve">ower systematic risk than the </w:t>
      </w:r>
      <w:r w:rsidR="00CE6A29">
        <w:rPr>
          <w:rFonts w:ascii="Times New Roman" w:hAnsi="Times New Roman" w:cs="Times New Roman"/>
          <w:sz w:val="24"/>
        </w:rPr>
        <w:t xml:space="preserve">growth portfolio. </w:t>
      </w:r>
    </w:p>
    <w:p w:rsidR="00CE6A29" w:rsidRDefault="00CE6A29" w:rsidP="00E73A8A">
      <w:pPr>
        <w:spacing w:line="360" w:lineRule="auto"/>
        <w:jc w:val="both"/>
        <w:rPr>
          <w:rFonts w:ascii="Times New Roman" w:hAnsi="Times New Roman" w:cs="Times New Roman"/>
          <w:sz w:val="24"/>
        </w:rPr>
      </w:pPr>
    </w:p>
    <w:p w:rsidR="00CE6A29" w:rsidRPr="005B2A21" w:rsidRDefault="00CE6A29" w:rsidP="00E73A8A">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main difference between Basu (1977) and the results of this study is that Basu (1977) creates five portfolios based on their P/E ratios. As in this study, the portfolios are rebalanced annually. With a higher concentration of value and growth stocks in their respective portfolios in Basu (1977), this may lead to the result of value outperforming growth, even on a risk adjusted basis. </w:t>
      </w:r>
    </w:p>
    <w:p w:rsidR="00795654" w:rsidRPr="006B5527" w:rsidRDefault="00795654" w:rsidP="00795654">
      <w:pPr>
        <w:spacing w:line="360" w:lineRule="auto"/>
        <w:jc w:val="both"/>
        <w:rPr>
          <w:rFonts w:ascii="Times New Roman" w:hAnsi="Times New Roman" w:cs="Times New Roman"/>
          <w:sz w:val="24"/>
        </w:rPr>
      </w:pPr>
    </w:p>
    <w:p w:rsidR="00795654" w:rsidRDefault="00795654" w:rsidP="00795654">
      <w:pPr>
        <w:spacing w:line="360" w:lineRule="auto"/>
        <w:jc w:val="both"/>
        <w:rPr>
          <w:rFonts w:ascii="Times New Roman" w:hAnsi="Times New Roman" w:cs="Times New Roman"/>
          <w:sz w:val="24"/>
        </w:rPr>
      </w:pPr>
      <w:r>
        <w:rPr>
          <w:rFonts w:ascii="Times New Roman" w:hAnsi="Times New Roman" w:cs="Times New Roman"/>
          <w:sz w:val="24"/>
        </w:rPr>
        <w:t xml:space="preserve">The portfolios sorted on the C/P ratio have returns that favour the contrarian strategy more so for the value weighted portfolios than for the equally weighted portfolios.  The annual mean excess return on the equally weighted value portfolio is 30.64%, while the return on the growth portfolio is only slightly higher at 33.53%. Comparing the standard deviations of these two portfolios, the value portfolio exhibits a higher standard deviation by about 200 basis points. The value weighted value portfolio displays an annual mean excess return of 20.62% in comparison to the return of 16.39% on the growth portfolio. </w:t>
      </w:r>
      <w:r w:rsidR="00FC7565">
        <w:rPr>
          <w:rFonts w:ascii="Times New Roman" w:hAnsi="Times New Roman" w:cs="Times New Roman"/>
          <w:sz w:val="24"/>
        </w:rPr>
        <w:t xml:space="preserve">Lakonishok, Shleifer, and Vishny (1994) find the extreme value portfolios sorted on the C/P ratio has an annual average return of 20.1%, while the extreme growth portfolio sorted on the same ratio has an annual average return of 9.1%. </w:t>
      </w:r>
      <w:r>
        <w:rPr>
          <w:rFonts w:ascii="Times New Roman" w:hAnsi="Times New Roman" w:cs="Times New Roman"/>
          <w:sz w:val="24"/>
        </w:rPr>
        <w:t xml:space="preserve">The standard deviations for these two portfolios are much the same, thus the value portfolio produces superior results to that of the growth when weighted using market </w:t>
      </w:r>
      <w:r w:rsidR="00610C8D">
        <w:rPr>
          <w:rFonts w:ascii="Times New Roman" w:hAnsi="Times New Roman" w:cs="Times New Roman"/>
          <w:sz w:val="24"/>
        </w:rPr>
        <w:t>capitalisation</w:t>
      </w:r>
      <w:r>
        <w:rPr>
          <w:rFonts w:ascii="Times New Roman" w:hAnsi="Times New Roman" w:cs="Times New Roman"/>
          <w:sz w:val="24"/>
        </w:rPr>
        <w:t xml:space="preserve">. Once again, the betas for the value and growth portfolios that are value weighted are close to 1, whereas the betas on the equally weighted portfolios are slightly higher than 0.5. </w:t>
      </w:r>
      <w:r w:rsidR="00E22286">
        <w:rPr>
          <w:rFonts w:ascii="Times New Roman" w:hAnsi="Times New Roman" w:cs="Times New Roman"/>
          <w:sz w:val="24"/>
        </w:rPr>
        <w:t>The</w:t>
      </w:r>
      <w:r>
        <w:rPr>
          <w:rFonts w:ascii="Times New Roman" w:hAnsi="Times New Roman" w:cs="Times New Roman"/>
          <w:sz w:val="24"/>
        </w:rPr>
        <w:t xml:space="preserve"> results for the risk-adjusted measures are mixed. If an investor equally weights his portfolio he will earn a superior return on the growth portfolio, with a Sharpe ratio of 0.2867,</w:t>
      </w:r>
      <w:r w:rsidR="00984B1C">
        <w:rPr>
          <w:rFonts w:ascii="Times New Roman" w:hAnsi="Times New Roman" w:cs="Times New Roman"/>
          <w:sz w:val="24"/>
        </w:rPr>
        <w:t xml:space="preserve"> and</w:t>
      </w:r>
      <w:r>
        <w:rPr>
          <w:rFonts w:ascii="Times New Roman" w:hAnsi="Times New Roman" w:cs="Times New Roman"/>
          <w:sz w:val="24"/>
        </w:rPr>
        <w:t xml:space="preserve"> a Treynor measure of 0.024 (which is smaller than the Treynor measure of the value portfolio). The </w:t>
      </w:r>
      <w:r w:rsidR="008C0B5A">
        <w:rPr>
          <w:rFonts w:ascii="Times New Roman" w:hAnsi="Times New Roman" w:cs="Times New Roman"/>
          <w:sz w:val="24"/>
        </w:rPr>
        <w:t>value</w:t>
      </w:r>
      <w:r>
        <w:rPr>
          <w:rFonts w:ascii="Times New Roman" w:hAnsi="Times New Roman" w:cs="Times New Roman"/>
          <w:sz w:val="24"/>
        </w:rPr>
        <w:t xml:space="preserve"> weighted portfolios, on the other hand, show that a contrarian investor will profit as the value portfolio has a Sharpe ratio of 0.10517 while the growth portfolio only has a ratio of 0.05679. The Treynor measure for the value portfolio exceed</w:t>
      </w:r>
      <w:r w:rsidR="00984B1C">
        <w:rPr>
          <w:rFonts w:ascii="Times New Roman" w:hAnsi="Times New Roman" w:cs="Times New Roman"/>
          <w:sz w:val="24"/>
        </w:rPr>
        <w:t>s</w:t>
      </w:r>
      <w:r>
        <w:rPr>
          <w:rFonts w:ascii="Times New Roman" w:hAnsi="Times New Roman" w:cs="Times New Roman"/>
          <w:sz w:val="24"/>
        </w:rPr>
        <w:t xml:space="preserve"> that of the growth portfolio</w:t>
      </w:r>
      <w:r w:rsidR="00AB2C61">
        <w:rPr>
          <w:rFonts w:ascii="Times New Roman" w:hAnsi="Times New Roman" w:cs="Times New Roman"/>
          <w:sz w:val="24"/>
        </w:rPr>
        <w:t>.</w:t>
      </w:r>
    </w:p>
    <w:p w:rsidR="00795654" w:rsidRDefault="00795654" w:rsidP="00795654">
      <w:pPr>
        <w:spacing w:line="360" w:lineRule="auto"/>
        <w:jc w:val="both"/>
        <w:rPr>
          <w:rFonts w:ascii="Times New Roman" w:hAnsi="Times New Roman" w:cs="Times New Roman"/>
          <w:sz w:val="24"/>
        </w:rPr>
      </w:pPr>
    </w:p>
    <w:p w:rsidR="00CA03C5" w:rsidRDefault="00814442" w:rsidP="00795654">
      <w:pPr>
        <w:spacing w:line="360" w:lineRule="auto"/>
        <w:jc w:val="both"/>
        <w:rPr>
          <w:rFonts w:ascii="Times New Roman" w:hAnsi="Times New Roman" w:cs="Times New Roman"/>
          <w:sz w:val="24"/>
        </w:rPr>
      </w:pPr>
      <w:r>
        <w:rPr>
          <w:rFonts w:ascii="Times New Roman" w:hAnsi="Times New Roman" w:cs="Times New Roman"/>
          <w:sz w:val="24"/>
        </w:rPr>
        <w:t xml:space="preserve">Up until now the trend in the results seems to be that equally weighted growth portfolios outperform equally weighted value portfolios. This result, although not anticipated, would make sense if the returns were due to risk and growth is riskier than value. The three equally weighted growth portfolios (sorted on </w:t>
      </w:r>
      <w:r w:rsidR="00837215">
        <w:rPr>
          <w:rFonts w:ascii="Times New Roman" w:hAnsi="Times New Roman" w:cs="Times New Roman"/>
          <w:sz w:val="24"/>
        </w:rPr>
        <w:t>D/P</w:t>
      </w:r>
      <w:r>
        <w:rPr>
          <w:rFonts w:ascii="Times New Roman" w:hAnsi="Times New Roman" w:cs="Times New Roman"/>
          <w:sz w:val="24"/>
        </w:rPr>
        <w:t xml:space="preserve">, E/P, and C/P) </w:t>
      </w:r>
      <w:r w:rsidR="00CA03C5">
        <w:rPr>
          <w:rFonts w:ascii="Times New Roman" w:hAnsi="Times New Roman" w:cs="Times New Roman"/>
          <w:sz w:val="24"/>
        </w:rPr>
        <w:t xml:space="preserve">all have higher monthly betas than their equally weighted value counterparts. The problem arises with the D/P sorted value </w:t>
      </w:r>
      <w:r w:rsidR="00CA03C5">
        <w:rPr>
          <w:rFonts w:ascii="Times New Roman" w:hAnsi="Times New Roman" w:cs="Times New Roman"/>
          <w:sz w:val="24"/>
        </w:rPr>
        <w:lastRenderedPageBreak/>
        <w:t>weighted portfolio. Here, value outperforms growth, but the growth portfolio has higher systematic risk than the value portfolio. The Sharpe ratio for the value weighted value portfolio is 10.</w:t>
      </w:r>
      <w:r w:rsidR="00837215">
        <w:rPr>
          <w:rFonts w:ascii="Times New Roman" w:hAnsi="Times New Roman" w:cs="Times New Roman"/>
          <w:sz w:val="24"/>
        </w:rPr>
        <w:t>5</w:t>
      </w:r>
      <w:r w:rsidR="00CA03C5">
        <w:rPr>
          <w:rFonts w:ascii="Times New Roman" w:hAnsi="Times New Roman" w:cs="Times New Roman"/>
          <w:sz w:val="24"/>
        </w:rPr>
        <w:t>%</w:t>
      </w:r>
      <w:r w:rsidR="0094370E">
        <w:rPr>
          <w:rFonts w:ascii="Times New Roman" w:hAnsi="Times New Roman" w:cs="Times New Roman"/>
          <w:sz w:val="24"/>
        </w:rPr>
        <w:t xml:space="preserve">, which indicates its risk-adjusted performance is better than the risk-adjusted performance of the value weighted growth portfolio (0.7%). What can be concluded from this is that, </w:t>
      </w:r>
      <w:r w:rsidR="00EB0C96">
        <w:rPr>
          <w:rFonts w:ascii="Times New Roman" w:hAnsi="Times New Roman" w:cs="Times New Roman"/>
          <w:sz w:val="24"/>
        </w:rPr>
        <w:t xml:space="preserve">with portfolios sorted on D/P, while both equally weighted and value weighted growth portfolios are riskier than the value portfolios, the value weighted value portfolio performs better on a risk-adjusted basis. </w:t>
      </w:r>
    </w:p>
    <w:p w:rsidR="002F696E" w:rsidRDefault="002F696E" w:rsidP="00795654">
      <w:pPr>
        <w:spacing w:line="360" w:lineRule="auto"/>
        <w:jc w:val="both"/>
        <w:rPr>
          <w:rFonts w:ascii="Times New Roman" w:hAnsi="Times New Roman" w:cs="Times New Roman"/>
          <w:sz w:val="24"/>
        </w:rPr>
      </w:pPr>
    </w:p>
    <w:p w:rsidR="002F696E" w:rsidRDefault="002F696E" w:rsidP="00795654">
      <w:pPr>
        <w:spacing w:line="360" w:lineRule="auto"/>
        <w:jc w:val="both"/>
        <w:rPr>
          <w:rFonts w:ascii="Times New Roman" w:hAnsi="Times New Roman" w:cs="Times New Roman"/>
          <w:sz w:val="24"/>
        </w:rPr>
      </w:pPr>
      <w:r>
        <w:rPr>
          <w:rFonts w:ascii="Times New Roman" w:hAnsi="Times New Roman" w:cs="Times New Roman"/>
          <w:sz w:val="24"/>
        </w:rPr>
        <w:t xml:space="preserve">The equally weighted portfolios sorted on E/P and C/P both exhibit return premiums on the growth portfolios. The growth portfolios are riskier, and on a risk-adjusted basis, these growth portfolios performances are better than the value portfolios. This suggests that the reason for the greater mean excess returns are due to both the higher return of the growth portfolios and the higher risk. </w:t>
      </w:r>
    </w:p>
    <w:p w:rsidR="00814442" w:rsidRDefault="00814442" w:rsidP="00795654">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795654" w:rsidRDefault="00795654" w:rsidP="00795654">
      <w:pPr>
        <w:spacing w:line="360" w:lineRule="auto"/>
        <w:jc w:val="both"/>
        <w:rPr>
          <w:rFonts w:ascii="Times New Roman" w:hAnsi="Times New Roman" w:cs="Times New Roman"/>
          <w:sz w:val="24"/>
        </w:rPr>
      </w:pPr>
      <w:r>
        <w:rPr>
          <w:rFonts w:ascii="Times New Roman" w:hAnsi="Times New Roman" w:cs="Times New Roman"/>
          <w:sz w:val="24"/>
        </w:rPr>
        <w:t>Portfolios sorted on the BTM ratio will benefit the contrarian investor, regardless of the weighting of the portfolio. The annual mean excess returns of the equally weighted value portfolio exceed that of the growth portfolio by 10.4%. Similarly, the annual mean excess returns on the value weighted value portfolio exceed the growth portfolio’s returns by 3.87%. The standard deviations for both value portfolios are higher than their growth counterparts, but not by much. Once again the betas for the value weighted portfolios are a lot higher than the equally weighted portfolios, sitting at the 0.9 mark. The Sharpe ratio is 0.2919 for the equally weighed value portfolio, while only 0.2101 for the growth portfolio. For the value weighted portfolios the Sharpe ratio is a lot smaller, albeit still in favour of the contrarian strategy. The value portfolio’s ratio is 0.0740, while the growth portfolio’s ratio is 0.0323. The Treynor measures for both value portfolios exceed the corresponding growth portfolios’</w:t>
      </w:r>
      <w:r w:rsidR="008C0B5A">
        <w:rPr>
          <w:rFonts w:ascii="Times New Roman" w:hAnsi="Times New Roman" w:cs="Times New Roman"/>
          <w:sz w:val="24"/>
        </w:rPr>
        <w:t xml:space="preserve"> measures</w:t>
      </w:r>
      <w:r>
        <w:rPr>
          <w:rFonts w:ascii="Times New Roman" w:hAnsi="Times New Roman" w:cs="Times New Roman"/>
          <w:sz w:val="24"/>
        </w:rPr>
        <w:t xml:space="preserve">. This is clear evidence in favour of the contrarian strategy, indicating that portfolios sorted on high BTM ratios will exhibit higher risk-adjusted returns than portfolios sorted on low BTM ratios. </w:t>
      </w:r>
    </w:p>
    <w:p w:rsidR="00795654" w:rsidRDefault="00795654" w:rsidP="00795654">
      <w:pPr>
        <w:spacing w:line="360" w:lineRule="auto"/>
        <w:jc w:val="both"/>
        <w:rPr>
          <w:rFonts w:ascii="Times New Roman" w:hAnsi="Times New Roman" w:cs="Times New Roman"/>
          <w:sz w:val="24"/>
        </w:rPr>
      </w:pPr>
    </w:p>
    <w:p w:rsidR="00795654" w:rsidRDefault="00795654" w:rsidP="00795654">
      <w:pPr>
        <w:spacing w:line="360" w:lineRule="auto"/>
        <w:jc w:val="both"/>
        <w:rPr>
          <w:rFonts w:ascii="Times New Roman" w:hAnsi="Times New Roman" w:cs="Times New Roman"/>
          <w:sz w:val="24"/>
        </w:rPr>
      </w:pPr>
      <w:r>
        <w:rPr>
          <w:rFonts w:ascii="Times New Roman" w:hAnsi="Times New Roman" w:cs="Times New Roman"/>
          <w:sz w:val="24"/>
        </w:rPr>
        <w:t xml:space="preserve">The last set of portfolios, sorted this time on market </w:t>
      </w:r>
      <w:r w:rsidR="00610C8D">
        <w:rPr>
          <w:rFonts w:ascii="Times New Roman" w:hAnsi="Times New Roman" w:cs="Times New Roman"/>
          <w:sz w:val="24"/>
        </w:rPr>
        <w:t>capitalisation</w:t>
      </w:r>
      <w:r>
        <w:rPr>
          <w:rFonts w:ascii="Times New Roman" w:hAnsi="Times New Roman" w:cs="Times New Roman"/>
          <w:sz w:val="24"/>
        </w:rPr>
        <w:t xml:space="preserve"> produce results similar to the portfolios sorted on the BTM. </w:t>
      </w:r>
      <w:r w:rsidR="005B2A21">
        <w:rPr>
          <w:rFonts w:ascii="Times New Roman" w:hAnsi="Times New Roman" w:cs="Times New Roman"/>
          <w:sz w:val="24"/>
        </w:rPr>
        <w:t xml:space="preserve">They also confirm the second hypothesis that the return of </w:t>
      </w:r>
      <w:r w:rsidR="005B2A21">
        <w:rPr>
          <w:rFonts w:ascii="Times New Roman" w:hAnsi="Times New Roman" w:cs="Times New Roman"/>
          <w:sz w:val="24"/>
        </w:rPr>
        <w:lastRenderedPageBreak/>
        <w:t xml:space="preserve">a portfolios consisting of small market capitalisation shares will outperform a portfolio consisting of high market capitalisation shares. </w:t>
      </w:r>
      <w:r>
        <w:rPr>
          <w:rFonts w:ascii="Times New Roman" w:hAnsi="Times New Roman" w:cs="Times New Roman"/>
          <w:sz w:val="24"/>
        </w:rPr>
        <w:t xml:space="preserve">The annual mean excess returns for the equally weighted value portfolio is 43.45%, whereas the corresponding return on the growth portfolio is considerably lower at 17.80%. A savvy contrarian investor who creates an equally weighted portfolio on small sized stocks would make a superior return in this case. The value weighted value portfolio produces an annual mean excess return of 28.85%, while the corresponding return for the growth portfolio is 860 basis points lower at 17.25%. The most surprising result for this specific portfolio sorting is that the standard deviation for the value weighted value portfolio is 0.1755, while for the growth portfolio it is higher at 0.1991. The portfolio beta for the value weighted value portfolio conforms to those betas of the equally weighted portfolios, while the beta of the value weighted growth portfolio is 0.9527. Looking at the risk-adjusted measures, it is clear that the contrarian investor would profit in this situation. The Sharpe ratio for the equally weighted value portfolio is 0.3553 while only 0.0917 for the growth portfolio. For the value weighted portfolios, the ratio is 0.1964 for the value portfolio, but only 0.0691 for the growth portfolio.  The Treynor measure for the equally weighted value portfolio is 0.0487, but only 0.0063 for the growth portfolio. </w:t>
      </w:r>
      <w:r w:rsidR="00506249">
        <w:rPr>
          <w:rFonts w:ascii="Times New Roman" w:hAnsi="Times New Roman" w:cs="Times New Roman"/>
          <w:sz w:val="24"/>
        </w:rPr>
        <w:t>Similar to Barber and Lyon (1997) this dissertation finds size and BTM premiums.</w:t>
      </w:r>
      <w:r w:rsidR="00EB0444">
        <w:rPr>
          <w:rFonts w:ascii="Times New Roman" w:hAnsi="Times New Roman" w:cs="Times New Roman"/>
          <w:sz w:val="24"/>
        </w:rPr>
        <w:t xml:space="preserve"> To conclude, this one-dimensional sort on market </w:t>
      </w:r>
      <w:r w:rsidR="00610C8D">
        <w:rPr>
          <w:rFonts w:ascii="Times New Roman" w:hAnsi="Times New Roman" w:cs="Times New Roman"/>
          <w:sz w:val="24"/>
        </w:rPr>
        <w:t>capitalisation</w:t>
      </w:r>
      <w:r w:rsidR="00EB0444">
        <w:rPr>
          <w:rFonts w:ascii="Times New Roman" w:hAnsi="Times New Roman" w:cs="Times New Roman"/>
          <w:sz w:val="24"/>
        </w:rPr>
        <w:t xml:space="preserve"> results in superior profits for the value portfolios. Since this study has defined a value portfolio as one that consists of small market </w:t>
      </w:r>
      <w:r w:rsidR="00610C8D">
        <w:rPr>
          <w:rFonts w:ascii="Times New Roman" w:hAnsi="Times New Roman" w:cs="Times New Roman"/>
          <w:sz w:val="24"/>
        </w:rPr>
        <w:t>capitalisation</w:t>
      </w:r>
      <w:r w:rsidR="00EB0444">
        <w:rPr>
          <w:rFonts w:ascii="Times New Roman" w:hAnsi="Times New Roman" w:cs="Times New Roman"/>
          <w:sz w:val="24"/>
        </w:rPr>
        <w:t xml:space="preserve"> stocks, it is clear that this result is evidence of the small firm effect.</w:t>
      </w:r>
      <w:r w:rsidR="005B2A21" w:rsidRPr="005B2A21">
        <w:rPr>
          <w:rFonts w:ascii="Times New Roman" w:hAnsi="Times New Roman" w:cs="Times New Roman"/>
          <w:sz w:val="24"/>
        </w:rPr>
        <w:t xml:space="preserve"> </w:t>
      </w:r>
      <w:r w:rsidR="005B2A21">
        <w:rPr>
          <w:rFonts w:ascii="Times New Roman" w:hAnsi="Times New Roman" w:cs="Times New Roman"/>
          <w:sz w:val="24"/>
        </w:rPr>
        <w:t>Table 6 presents results in favour of H</w:t>
      </w:r>
      <w:r w:rsidR="005B2A21">
        <w:rPr>
          <w:rFonts w:ascii="Times New Roman" w:hAnsi="Times New Roman" w:cs="Times New Roman"/>
          <w:sz w:val="24"/>
          <w:vertAlign w:val="subscript"/>
        </w:rPr>
        <w:t>1</w:t>
      </w:r>
      <w:r w:rsidR="005B2A21">
        <w:rPr>
          <w:rFonts w:ascii="Times New Roman" w:hAnsi="Times New Roman" w:cs="Times New Roman"/>
          <w:sz w:val="24"/>
        </w:rPr>
        <w:t>. The portfolios that</w:t>
      </w:r>
      <w:r w:rsidR="00837215">
        <w:rPr>
          <w:rFonts w:ascii="Times New Roman" w:hAnsi="Times New Roman" w:cs="Times New Roman"/>
          <w:sz w:val="24"/>
        </w:rPr>
        <w:t xml:space="preserve"> do not confirm the hypothesis are</w:t>
      </w:r>
      <w:r w:rsidR="005B2A21">
        <w:rPr>
          <w:rFonts w:ascii="Times New Roman" w:hAnsi="Times New Roman" w:cs="Times New Roman"/>
          <w:sz w:val="24"/>
        </w:rPr>
        <w:t xml:space="preserve"> the equally weighted D/P</w:t>
      </w:r>
      <w:r w:rsidR="00837215">
        <w:rPr>
          <w:rFonts w:ascii="Times New Roman" w:hAnsi="Times New Roman" w:cs="Times New Roman"/>
          <w:sz w:val="24"/>
        </w:rPr>
        <w:t>, E/P</w:t>
      </w:r>
      <w:r w:rsidR="005B2A21">
        <w:rPr>
          <w:rFonts w:ascii="Times New Roman" w:hAnsi="Times New Roman" w:cs="Times New Roman"/>
          <w:sz w:val="24"/>
        </w:rPr>
        <w:t xml:space="preserve"> and C/P portfolios</w:t>
      </w:r>
    </w:p>
    <w:p w:rsidR="00795654" w:rsidRDefault="00795654" w:rsidP="00BB617D">
      <w:pPr>
        <w:pStyle w:val="ListParagraph"/>
        <w:spacing w:line="360" w:lineRule="auto"/>
        <w:ind w:left="0"/>
        <w:jc w:val="both"/>
        <w:rPr>
          <w:rFonts w:ascii="Times New Roman" w:hAnsi="Times New Roman" w:cs="Times New Roman"/>
          <w:sz w:val="24"/>
          <w:szCs w:val="36"/>
        </w:rPr>
      </w:pPr>
    </w:p>
    <w:p w:rsidR="00A434F6" w:rsidRDefault="00BB617D" w:rsidP="00BB617D">
      <w:pPr>
        <w:pStyle w:val="ListParagraph"/>
        <w:spacing w:line="360" w:lineRule="auto"/>
        <w:ind w:left="0"/>
        <w:jc w:val="both"/>
        <w:rPr>
          <w:rFonts w:ascii="Times New Roman" w:hAnsi="Times New Roman" w:cs="Times New Roman"/>
          <w:sz w:val="24"/>
          <w:szCs w:val="36"/>
        </w:rPr>
      </w:pPr>
      <w:r w:rsidRPr="00566BF3">
        <w:rPr>
          <w:rFonts w:ascii="Times New Roman" w:hAnsi="Times New Roman" w:cs="Times New Roman"/>
          <w:sz w:val="24"/>
          <w:szCs w:val="36"/>
        </w:rPr>
        <w:t xml:space="preserve">Correlations between the variables need to be considered. If the correlations are not too large then the variables can be used in a multiple regression. Seeing that most of the variables used in the study have a scaled version of price in them, there is the real possibility that there will be high correlations between some of these variables. </w:t>
      </w:r>
      <w:r w:rsidR="00206FE3">
        <w:rPr>
          <w:rFonts w:ascii="Times New Roman" w:hAnsi="Times New Roman" w:cs="Times New Roman"/>
          <w:sz w:val="24"/>
          <w:szCs w:val="36"/>
        </w:rPr>
        <w:t>Table 7</w:t>
      </w:r>
      <w:r>
        <w:rPr>
          <w:rFonts w:ascii="Times New Roman" w:hAnsi="Times New Roman" w:cs="Times New Roman"/>
          <w:sz w:val="24"/>
          <w:szCs w:val="36"/>
        </w:rPr>
        <w:t xml:space="preserve"> shows the correlations for the equally weighted single sorted portfolios. </w:t>
      </w:r>
      <w:r w:rsidR="00960BE5">
        <w:rPr>
          <w:rFonts w:ascii="Times New Roman" w:hAnsi="Times New Roman" w:cs="Times New Roman"/>
          <w:sz w:val="24"/>
          <w:szCs w:val="36"/>
        </w:rPr>
        <w:t xml:space="preserve">In general, most of the correlations sit below 0.6. </w:t>
      </w:r>
      <w:r>
        <w:rPr>
          <w:rFonts w:ascii="Times New Roman" w:hAnsi="Times New Roman" w:cs="Times New Roman"/>
          <w:sz w:val="24"/>
          <w:szCs w:val="36"/>
        </w:rPr>
        <w:t xml:space="preserve">The three most notable correlations are the E/P value portfolio with the E/P growth portfolio, the C/P value portfolio with the C/P growth portfolio, and the BTM value portfolio with the BTM growth portfolio. </w:t>
      </w:r>
      <w:r w:rsidR="00146950">
        <w:rPr>
          <w:rFonts w:ascii="Times New Roman" w:hAnsi="Times New Roman" w:cs="Times New Roman"/>
          <w:sz w:val="24"/>
          <w:szCs w:val="36"/>
        </w:rPr>
        <w:t>These</w:t>
      </w:r>
      <w:r>
        <w:rPr>
          <w:rFonts w:ascii="Times New Roman" w:hAnsi="Times New Roman" w:cs="Times New Roman"/>
          <w:sz w:val="24"/>
          <w:szCs w:val="36"/>
        </w:rPr>
        <w:t xml:space="preserve"> three respective correlations are 0.9893, 0.996, and 0.9929. </w:t>
      </w:r>
      <w:r w:rsidR="00146950">
        <w:rPr>
          <w:rFonts w:ascii="Times New Roman" w:hAnsi="Times New Roman" w:cs="Times New Roman"/>
          <w:sz w:val="24"/>
          <w:szCs w:val="36"/>
        </w:rPr>
        <w:t>It</w:t>
      </w:r>
      <w:r>
        <w:rPr>
          <w:rFonts w:ascii="Times New Roman" w:hAnsi="Times New Roman" w:cs="Times New Roman"/>
          <w:sz w:val="24"/>
          <w:szCs w:val="36"/>
        </w:rPr>
        <w:t xml:space="preserve"> is a natural assumption to find these portfolios correlated as they each are made up of the same type of stocks. In other words, the BTM value and growth portfolios are both sorted on the BTM ratio, thus these two portfolios would have a high correlation.</w:t>
      </w:r>
      <w:r w:rsidR="00960BE5" w:rsidRPr="00960BE5">
        <w:rPr>
          <w:rFonts w:ascii="Times New Roman" w:hAnsi="Times New Roman" w:cs="Times New Roman"/>
          <w:sz w:val="24"/>
          <w:szCs w:val="36"/>
        </w:rPr>
        <w:t xml:space="preserve"> </w:t>
      </w:r>
      <w:r w:rsidR="00960BE5">
        <w:rPr>
          <w:rFonts w:ascii="Times New Roman" w:hAnsi="Times New Roman" w:cs="Times New Roman"/>
          <w:sz w:val="24"/>
          <w:szCs w:val="36"/>
        </w:rPr>
        <w:t xml:space="preserve">The high correlation of </w:t>
      </w:r>
      <w:r w:rsidR="00960BE5">
        <w:rPr>
          <w:rFonts w:ascii="Times New Roman" w:hAnsi="Times New Roman" w:cs="Times New Roman"/>
          <w:sz w:val="24"/>
          <w:szCs w:val="36"/>
        </w:rPr>
        <w:lastRenderedPageBreak/>
        <w:t xml:space="preserve">0.9893 of the E/P value and E/P growth portfolio can also be argued as a result of the creation of both the portfolios on the E/P ratio. </w:t>
      </w:r>
      <w:r>
        <w:rPr>
          <w:rFonts w:ascii="Times New Roman" w:hAnsi="Times New Roman" w:cs="Times New Roman"/>
          <w:sz w:val="24"/>
          <w:szCs w:val="36"/>
        </w:rPr>
        <w:t xml:space="preserve"> It is expected that the portfolio consisting of high BTM stocks (that is, the value portfolios) should be negatively related to the growth portfolio consisting of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Both BTM portfolios are negatively related to both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with the correlation of the growth BTM and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at -0.2202 and the correlation between both value portfolios at -0.1137. In Table </w:t>
      </w:r>
      <w:r w:rsidR="00206FE3">
        <w:rPr>
          <w:rFonts w:ascii="Times New Roman" w:hAnsi="Times New Roman" w:cs="Times New Roman"/>
          <w:sz w:val="24"/>
          <w:szCs w:val="36"/>
        </w:rPr>
        <w:t>8</w:t>
      </w:r>
      <w:r>
        <w:rPr>
          <w:rFonts w:ascii="Times New Roman" w:hAnsi="Times New Roman" w:cs="Times New Roman"/>
          <w:sz w:val="24"/>
          <w:szCs w:val="36"/>
        </w:rPr>
        <w:t xml:space="preserve"> the correlations for all the value weighted single sorted</w:t>
      </w:r>
      <w:r w:rsidR="00960BE5">
        <w:rPr>
          <w:rFonts w:ascii="Times New Roman" w:hAnsi="Times New Roman" w:cs="Times New Roman"/>
          <w:sz w:val="24"/>
          <w:szCs w:val="36"/>
        </w:rPr>
        <w:t xml:space="preserve"> independent variables</w:t>
      </w:r>
      <w:r>
        <w:rPr>
          <w:rFonts w:ascii="Times New Roman" w:hAnsi="Times New Roman" w:cs="Times New Roman"/>
          <w:sz w:val="24"/>
          <w:szCs w:val="36"/>
        </w:rPr>
        <w:t xml:space="preserve"> are presented. Once again there are three notable correlations, albeit smaller in terms of absolute value. The E/P value and E/P growth portfolios have a high correlation of 0.749. The C/P value and C/P growth portfolios have a high correlation of 0.79. The BTM value and BTM growth portfolios also have a high correlation of 0.7786. of the four correlations between the two BTM and two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it is apparent that the strongest correlation lies with the BTM growth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growth portfolios at -0.1946. </w:t>
      </w:r>
    </w:p>
    <w:p w:rsidR="00A434F6" w:rsidRPr="00700A7C" w:rsidRDefault="00A434F6" w:rsidP="00BB617D">
      <w:pPr>
        <w:pStyle w:val="ListParagraph"/>
        <w:spacing w:line="360" w:lineRule="auto"/>
        <w:ind w:left="0"/>
        <w:jc w:val="both"/>
        <w:rPr>
          <w:rFonts w:ascii="Times New Roman" w:hAnsi="Times New Roman" w:cs="Times New Roman"/>
          <w:sz w:val="28"/>
          <w:szCs w:val="36"/>
        </w:rPr>
      </w:pPr>
    </w:p>
    <w:p w:rsidR="00F750E1" w:rsidRPr="00700A7C" w:rsidRDefault="00F750E1" w:rsidP="00700A7C">
      <w:pPr>
        <w:pStyle w:val="ListParagraph"/>
        <w:spacing w:line="360" w:lineRule="auto"/>
        <w:ind w:left="0"/>
        <w:jc w:val="both"/>
        <w:rPr>
          <w:rFonts w:ascii="Times New Roman" w:hAnsi="Times New Roman" w:cs="Times New Roman"/>
          <w:sz w:val="24"/>
          <w:szCs w:val="24"/>
        </w:rPr>
      </w:pPr>
      <w:r w:rsidRPr="00700A7C">
        <w:rPr>
          <w:rFonts w:ascii="Times New Roman" w:hAnsi="Times New Roman" w:cs="Times New Roman"/>
          <w:sz w:val="24"/>
          <w:szCs w:val="24"/>
        </w:rPr>
        <w:t xml:space="preserve">The expectation that the value portfolios should be positively correlated and the combination of value-growth should be negatively correlated is supported somewhat. The dividend yield growth portfolio is negatively related to the E/P value portfolio, but the correlation is small at -0.0405. E/P growth and C/P value are negatively related with a correlation of -0.3086. However, E/P growth and C/P growth are also negatively correlated with a correlation value of -0.3742. </w:t>
      </w:r>
    </w:p>
    <w:p w:rsidR="00DC682F" w:rsidRPr="00700A7C" w:rsidRDefault="00DC682F" w:rsidP="00BB617D">
      <w:pPr>
        <w:pStyle w:val="ListParagraph"/>
        <w:spacing w:line="360" w:lineRule="auto"/>
        <w:ind w:left="0"/>
        <w:jc w:val="both"/>
        <w:rPr>
          <w:rFonts w:ascii="Times New Roman" w:hAnsi="Times New Roman" w:cs="Times New Roman"/>
          <w:sz w:val="28"/>
          <w:szCs w:val="36"/>
        </w:rPr>
      </w:pPr>
    </w:p>
    <w:p w:rsidR="00F750E1" w:rsidRPr="00BB617D" w:rsidRDefault="00F750E1" w:rsidP="00F750E1">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In both correlation tables for the single sorted independent variables there remains a clear pattern. There is a consistent negative relationship between all four combinations of the value and growth BTM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 portfolios. Another consistent negative relationship between the variable exists for the E/P value and growth portfolios with the C/P and BTM value and growth portfolios. In each of the correlation tables this negative relationship remains persistent. Also notable in all the single sorted correlation tables is the negative correlations of both the D/P value and growth portfolios with the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 portfolio. Also important to note is that, in Bro</w:t>
      </w:r>
      <w:r w:rsidR="00A22588">
        <w:rPr>
          <w:rFonts w:ascii="Times New Roman" w:hAnsi="Times New Roman" w:cs="Times New Roman"/>
          <w:sz w:val="24"/>
          <w:szCs w:val="36"/>
        </w:rPr>
        <w:t>u</w:t>
      </w:r>
      <w:r>
        <w:rPr>
          <w:rFonts w:ascii="Times New Roman" w:hAnsi="Times New Roman" w:cs="Times New Roman"/>
          <w:sz w:val="24"/>
          <w:szCs w:val="36"/>
        </w:rPr>
        <w:t xml:space="preserve">wer, van der Put, and Veld (1997) the authors expect variables with price in the denominator to be highly correlated. However, the authors do not find the correlations of their variables over the 11 year sample period to be as correlated as expected. For this reason, the authors use the variables in a multivariate regression. The natural logarithm of size is negatively correlated </w:t>
      </w:r>
      <w:r>
        <w:rPr>
          <w:rFonts w:ascii="Times New Roman" w:hAnsi="Times New Roman" w:cs="Times New Roman"/>
          <w:sz w:val="24"/>
          <w:szCs w:val="36"/>
        </w:rPr>
        <w:lastRenderedPageBreak/>
        <w:t xml:space="preserve">with all four fundamental-to-price variables (C/P, E/P, D/P, and BTM) in Brouwer, van der Put, and Veld (1997) study. In this dissertation, only the value weighted variables are negatively related with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 </w:t>
      </w:r>
      <w:r w:rsidR="00163AB8">
        <w:rPr>
          <w:rFonts w:ascii="Times New Roman" w:hAnsi="Times New Roman" w:cs="Times New Roman"/>
          <w:sz w:val="24"/>
          <w:szCs w:val="36"/>
        </w:rPr>
        <w:t xml:space="preserve">The correlations for both the value weighted and equally weighted portfolios are moderate, with the higher correlations existing between portfolios such as the E/P growth and E/P value. The value weighted correlation for these two portfolios is 0.75. However, this is to be expected as the split between growth and value is 50-50, so the concentration of value stocks in the value portfolio and growth stocks in the growth portfolio are diluted.  </w:t>
      </w:r>
    </w:p>
    <w:p w:rsidR="00DC682F" w:rsidRDefault="00DC682F" w:rsidP="00BB617D">
      <w:pPr>
        <w:pStyle w:val="ListParagraph"/>
        <w:spacing w:line="360" w:lineRule="auto"/>
        <w:ind w:left="0"/>
        <w:jc w:val="both"/>
        <w:rPr>
          <w:rFonts w:ascii="Times New Roman" w:hAnsi="Times New Roman" w:cs="Times New Roman"/>
          <w:sz w:val="24"/>
          <w:szCs w:val="36"/>
        </w:rPr>
      </w:pPr>
    </w:p>
    <w:p w:rsidR="00CF67DA" w:rsidRDefault="00CF67DA" w:rsidP="00CF67DA">
      <w:pPr>
        <w:pStyle w:val="ListParagraph"/>
        <w:spacing w:line="360" w:lineRule="auto"/>
        <w:ind w:left="0"/>
        <w:jc w:val="both"/>
        <w:rPr>
          <w:rFonts w:ascii="Times New Roman" w:hAnsi="Times New Roman" w:cs="Times New Roman"/>
          <w:sz w:val="24"/>
          <w:szCs w:val="36"/>
        </w:rPr>
      </w:pPr>
      <w:r w:rsidRPr="00AA0048">
        <w:rPr>
          <w:rFonts w:ascii="Times New Roman" w:hAnsi="Times New Roman" w:cs="Times New Roman"/>
          <w:sz w:val="24"/>
          <w:szCs w:val="36"/>
        </w:rPr>
        <w:t>If the extrapolation</w:t>
      </w:r>
      <w:r>
        <w:rPr>
          <w:rFonts w:ascii="Times New Roman" w:hAnsi="Times New Roman" w:cs="Times New Roman"/>
          <w:sz w:val="24"/>
          <w:szCs w:val="36"/>
        </w:rPr>
        <w:t xml:space="preserve"> hypothesis holds then the portfolios sorted on low BTM, E/P, C/P, D/P and high market capitalisation will underperform portfolios sorted on high BTM, E/P, C/P, D/P and low market capitalisation. This is because, as stated and demonstrated by Levis and Liodakis (2001) earlier, investors are extrapolating past performance into the future. They believe stocks that have done well in the past will do well in the future, hence overestimating growth portfolio performance. On the other hand, investors believe stocks that have done poorly in the past will continue in this manner, thus they underestimate the performance of value portfolios. It is evident by the single sorted value weighted summary statistics that portfolios sorted on high D/P, E/P, C/P, and BTM stocks and low market capitalisation stocks produce results that are indicative of the extrapolation hypothesis. For the equally weighted portfolios, the high BTM and low market capitalisation sorted portfolios also produce superior results. Only the equally weighted D/P, E/P, and C/P portfolios provide</w:t>
      </w:r>
      <w:r w:rsidR="00D60F19">
        <w:rPr>
          <w:rFonts w:ascii="Times New Roman" w:hAnsi="Times New Roman" w:cs="Times New Roman"/>
          <w:sz w:val="24"/>
          <w:szCs w:val="36"/>
        </w:rPr>
        <w:t xml:space="preserve"> no</w:t>
      </w:r>
      <w:r>
        <w:rPr>
          <w:rFonts w:ascii="Times New Roman" w:hAnsi="Times New Roman" w:cs="Times New Roman"/>
          <w:sz w:val="24"/>
          <w:szCs w:val="36"/>
        </w:rPr>
        <w:t xml:space="preserve"> evidence of a value effect.  </w:t>
      </w:r>
    </w:p>
    <w:p w:rsidR="000409F6" w:rsidRDefault="000409F6" w:rsidP="00EE561B">
      <w:pPr>
        <w:jc w:val="center"/>
        <w:rPr>
          <w:rFonts w:ascii="Times New Roman" w:hAnsi="Times New Roman" w:cs="Times New Roman"/>
          <w:b/>
          <w:sz w:val="24"/>
        </w:rPr>
      </w:pPr>
    </w:p>
    <w:p w:rsidR="00CF67DA" w:rsidRDefault="00CF67DA" w:rsidP="00CF67DA">
      <w:pPr>
        <w:spacing w:line="360" w:lineRule="auto"/>
        <w:jc w:val="both"/>
        <w:rPr>
          <w:rFonts w:ascii="Times New Roman" w:hAnsi="Times New Roman" w:cs="Times New Roman"/>
          <w:b/>
          <w:sz w:val="24"/>
        </w:rPr>
      </w:pPr>
      <w:r>
        <w:rPr>
          <w:rFonts w:ascii="Times New Roman" w:hAnsi="Times New Roman" w:cs="Times New Roman"/>
          <w:sz w:val="24"/>
          <w:szCs w:val="36"/>
        </w:rPr>
        <w:t>Table 9 presents the results for t</w:t>
      </w:r>
      <w:r w:rsidRPr="00176BC6">
        <w:rPr>
          <w:rFonts w:ascii="Times New Roman" w:hAnsi="Times New Roman" w:cs="Times New Roman"/>
          <w:sz w:val="24"/>
          <w:szCs w:val="36"/>
        </w:rPr>
        <w:t xml:space="preserve">he equally weighted value and growth </w:t>
      </w:r>
      <w:r>
        <w:rPr>
          <w:rFonts w:ascii="Times New Roman" w:hAnsi="Times New Roman" w:cs="Times New Roman"/>
          <w:sz w:val="24"/>
          <w:szCs w:val="36"/>
        </w:rPr>
        <w:t xml:space="preserve">portfolios created separately on E/P, C/P, D/P, BTM and size </w:t>
      </w:r>
      <w:r w:rsidRPr="00176BC6">
        <w:rPr>
          <w:rFonts w:ascii="Times New Roman" w:hAnsi="Times New Roman" w:cs="Times New Roman"/>
          <w:sz w:val="24"/>
          <w:szCs w:val="36"/>
        </w:rPr>
        <w:t xml:space="preserve">regressed on the large growth dependent </w:t>
      </w:r>
      <w:r>
        <w:rPr>
          <w:rFonts w:ascii="Times New Roman" w:hAnsi="Times New Roman" w:cs="Times New Roman"/>
          <w:sz w:val="24"/>
          <w:szCs w:val="36"/>
        </w:rPr>
        <w:t>portfolio</w:t>
      </w:r>
      <w:r w:rsidRPr="00176BC6">
        <w:rPr>
          <w:rFonts w:ascii="Times New Roman" w:hAnsi="Times New Roman" w:cs="Times New Roman"/>
          <w:sz w:val="24"/>
          <w:szCs w:val="36"/>
        </w:rPr>
        <w:t xml:space="preserve">. </w:t>
      </w:r>
      <w:r>
        <w:rPr>
          <w:rFonts w:ascii="Times New Roman" w:hAnsi="Times New Roman" w:cs="Times New Roman"/>
          <w:sz w:val="24"/>
          <w:szCs w:val="36"/>
        </w:rPr>
        <w:t>The negative coefficients on the value portfolios sorted on dividend yield, E/P, and market capitalisation indicate that there is an inverse relationship between these value portfolios and the large growth dependent variable.</w:t>
      </w:r>
    </w:p>
    <w:p w:rsidR="00CF67DA" w:rsidRDefault="00CF67DA" w:rsidP="00EE561B">
      <w:pPr>
        <w:jc w:val="center"/>
        <w:rPr>
          <w:rFonts w:ascii="Times New Roman" w:hAnsi="Times New Roman" w:cs="Times New Roman"/>
          <w:b/>
          <w:sz w:val="24"/>
        </w:rPr>
        <w:sectPr w:rsidR="00CF67DA" w:rsidSect="002A2283">
          <w:footerReference w:type="default" r:id="rId9"/>
          <w:pgSz w:w="11906" w:h="16838"/>
          <w:pgMar w:top="1134" w:right="1440" w:bottom="1440" w:left="1440" w:header="708" w:footer="708" w:gutter="0"/>
          <w:cols w:space="708"/>
          <w:titlePg/>
          <w:docGrid w:linePitch="360"/>
        </w:sectPr>
      </w:pPr>
    </w:p>
    <w:tbl>
      <w:tblPr>
        <w:tblStyle w:val="TableGrid"/>
        <w:tblW w:w="10097" w:type="dxa"/>
        <w:jc w:val="center"/>
        <w:tblLook w:val="04A0"/>
      </w:tblPr>
      <w:tblGrid>
        <w:gridCol w:w="1057"/>
        <w:gridCol w:w="837"/>
        <w:gridCol w:w="971"/>
        <w:gridCol w:w="837"/>
        <w:gridCol w:w="970"/>
        <w:gridCol w:w="837"/>
        <w:gridCol w:w="970"/>
        <w:gridCol w:w="837"/>
        <w:gridCol w:w="970"/>
        <w:gridCol w:w="840"/>
        <w:gridCol w:w="971"/>
      </w:tblGrid>
      <w:tr w:rsidR="008B5BC6" w:rsidTr="00EE561B">
        <w:trPr>
          <w:trHeight w:val="294"/>
          <w:jc w:val="center"/>
        </w:trPr>
        <w:tc>
          <w:tcPr>
            <w:tcW w:w="10097" w:type="dxa"/>
            <w:gridSpan w:val="11"/>
          </w:tcPr>
          <w:p w:rsidR="008B5BC6" w:rsidRPr="00B71680" w:rsidRDefault="008B5BC6" w:rsidP="00EE561B">
            <w:pPr>
              <w:jc w:val="center"/>
              <w:rPr>
                <w:rFonts w:ascii="Times New Roman" w:hAnsi="Times New Roman" w:cs="Times New Roman"/>
                <w:b/>
                <w:sz w:val="24"/>
              </w:rPr>
            </w:pPr>
            <w:r>
              <w:rPr>
                <w:rFonts w:ascii="Times New Roman" w:hAnsi="Times New Roman" w:cs="Times New Roman"/>
                <w:b/>
                <w:sz w:val="24"/>
              </w:rPr>
              <w:lastRenderedPageBreak/>
              <w:t>Table 7</w:t>
            </w:r>
          </w:p>
        </w:tc>
      </w:tr>
      <w:tr w:rsidR="008B5BC6" w:rsidTr="00EE561B">
        <w:trPr>
          <w:trHeight w:val="1528"/>
          <w:jc w:val="center"/>
        </w:trPr>
        <w:tc>
          <w:tcPr>
            <w:tcW w:w="10097" w:type="dxa"/>
            <w:gridSpan w:val="11"/>
          </w:tcPr>
          <w:p w:rsidR="008B5BC6" w:rsidRPr="00B71680" w:rsidRDefault="008B5BC6" w:rsidP="00EE561B">
            <w:pPr>
              <w:jc w:val="center"/>
              <w:rPr>
                <w:rFonts w:ascii="Times New Roman" w:hAnsi="Times New Roman" w:cs="Times New Roman"/>
                <w:b/>
                <w:sz w:val="24"/>
              </w:rPr>
            </w:pPr>
            <w:r w:rsidRPr="00B71680">
              <w:rPr>
                <w:rFonts w:ascii="Times New Roman" w:hAnsi="Times New Roman" w:cs="Times New Roman"/>
                <w:b/>
                <w:sz w:val="24"/>
              </w:rPr>
              <w:t>Correlation Matrix</w:t>
            </w:r>
            <w:r>
              <w:rPr>
                <w:rFonts w:ascii="Times New Roman" w:hAnsi="Times New Roman" w:cs="Times New Roman"/>
                <w:b/>
                <w:sz w:val="24"/>
              </w:rPr>
              <w:t xml:space="preserve"> for</w:t>
            </w:r>
            <w:r w:rsidRPr="00B71680">
              <w:rPr>
                <w:rFonts w:ascii="Times New Roman" w:hAnsi="Times New Roman" w:cs="Times New Roman"/>
                <w:b/>
                <w:sz w:val="24"/>
              </w:rPr>
              <w:t xml:space="preserve"> All Equally Weighted Independent Variables</w:t>
            </w:r>
          </w:p>
          <w:p w:rsidR="008B5BC6" w:rsidRPr="00B71680" w:rsidRDefault="008B5BC6" w:rsidP="00EE561B">
            <w:pPr>
              <w:jc w:val="center"/>
              <w:rPr>
                <w:rFonts w:ascii="Times New Roman" w:hAnsi="Times New Roman" w:cs="Times New Roman"/>
              </w:rPr>
            </w:pPr>
            <w:r w:rsidRPr="00B71680">
              <w:rPr>
                <w:rFonts w:ascii="Times New Roman" w:hAnsi="Times New Roman" w:cs="Times New Roman"/>
                <w:sz w:val="20"/>
              </w:rPr>
              <w:t xml:space="preserve">The independent variables are all the equally weighted variables. DP Value is the value portfolio sorted on the dividend yield. DP Growth is the growth portfolio sorted on dividend yield. EP Value and Growth are the value and growth portfolios sorted on earnings-to-price. CP Value and Growth are the value and growth portfolios sorted on cash flow-to-price. BTM Value and Growth are the value and growth portfolios sorted on book-to-market. MCap Value and Growth are the value and growth portfolios sorted on market </w:t>
            </w:r>
            <w:r w:rsidR="00610C8D">
              <w:rPr>
                <w:rFonts w:ascii="Times New Roman" w:hAnsi="Times New Roman" w:cs="Times New Roman"/>
                <w:sz w:val="20"/>
              </w:rPr>
              <w:t>capitalisation</w:t>
            </w:r>
            <w:r w:rsidRPr="00B71680">
              <w:rPr>
                <w:rFonts w:ascii="Times New Roman" w:hAnsi="Times New Roman" w:cs="Times New Roman"/>
                <w:sz w:val="20"/>
              </w:rPr>
              <w:t>. The number of monthly observations is 227.</w:t>
            </w:r>
          </w:p>
        </w:tc>
      </w:tr>
      <w:tr w:rsidR="008B5BC6" w:rsidRPr="00B66DC9" w:rsidTr="00EE561B">
        <w:trPr>
          <w:trHeight w:val="517"/>
          <w:jc w:val="center"/>
        </w:trPr>
        <w:tc>
          <w:tcPr>
            <w:tcW w:w="1057" w:type="dxa"/>
            <w:tcBorders>
              <w:bottom w:val="single" w:sz="4" w:space="0" w:color="auto"/>
              <w:right w:val="single" w:sz="4" w:space="0" w:color="auto"/>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Variable</w:t>
            </w:r>
          </w:p>
        </w:tc>
        <w:tc>
          <w:tcPr>
            <w:tcW w:w="837" w:type="dxa"/>
            <w:tcBorders>
              <w:top w:val="single" w:sz="4" w:space="0" w:color="auto"/>
              <w:left w:val="single" w:sz="4" w:space="0" w:color="auto"/>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Div Yield Value</w:t>
            </w:r>
          </w:p>
        </w:tc>
        <w:tc>
          <w:tcPr>
            <w:tcW w:w="971"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Div Yield Growth</w:t>
            </w:r>
          </w:p>
        </w:tc>
        <w:tc>
          <w:tcPr>
            <w:tcW w:w="837"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EP Value</w:t>
            </w:r>
          </w:p>
        </w:tc>
        <w:tc>
          <w:tcPr>
            <w:tcW w:w="970"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EP Growth</w:t>
            </w:r>
          </w:p>
        </w:tc>
        <w:tc>
          <w:tcPr>
            <w:tcW w:w="837"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CP Value</w:t>
            </w:r>
          </w:p>
        </w:tc>
        <w:tc>
          <w:tcPr>
            <w:tcW w:w="970"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CP Growth</w:t>
            </w:r>
          </w:p>
        </w:tc>
        <w:tc>
          <w:tcPr>
            <w:tcW w:w="837"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BTM Value</w:t>
            </w:r>
          </w:p>
        </w:tc>
        <w:tc>
          <w:tcPr>
            <w:tcW w:w="970"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BTM Growth</w:t>
            </w:r>
          </w:p>
        </w:tc>
        <w:tc>
          <w:tcPr>
            <w:tcW w:w="840" w:type="dxa"/>
            <w:tcBorders>
              <w:top w:val="single" w:sz="4" w:space="0" w:color="auto"/>
              <w:left w:val="nil"/>
              <w:bottom w:val="single" w:sz="4" w:space="0" w:color="auto"/>
              <w:right w:val="nil"/>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MCap Value</w:t>
            </w:r>
          </w:p>
        </w:tc>
        <w:tc>
          <w:tcPr>
            <w:tcW w:w="971" w:type="dxa"/>
            <w:tcBorders>
              <w:top w:val="single" w:sz="4" w:space="0" w:color="auto"/>
              <w:left w:val="nil"/>
              <w:bottom w:val="single" w:sz="4" w:space="0" w:color="auto"/>
              <w:right w:val="single" w:sz="4" w:space="0" w:color="auto"/>
            </w:tcBorders>
            <w:vAlign w:val="center"/>
          </w:tcPr>
          <w:p w:rsidR="008B5BC6" w:rsidRPr="00B71680" w:rsidRDefault="008B5BC6" w:rsidP="00EE561B">
            <w:pPr>
              <w:jc w:val="center"/>
              <w:rPr>
                <w:rFonts w:ascii="Times New Roman" w:hAnsi="Times New Roman" w:cs="Times New Roman"/>
                <w:b/>
                <w:sz w:val="20"/>
                <w:szCs w:val="20"/>
              </w:rPr>
            </w:pPr>
            <w:r w:rsidRPr="00B71680">
              <w:rPr>
                <w:rFonts w:ascii="Times New Roman" w:hAnsi="Times New Roman" w:cs="Times New Roman"/>
                <w:b/>
                <w:sz w:val="20"/>
                <w:szCs w:val="20"/>
              </w:rPr>
              <w:t>MCap Growth</w:t>
            </w:r>
          </w:p>
        </w:tc>
      </w:tr>
      <w:tr w:rsidR="00DC682F" w:rsidRPr="00B66DC9" w:rsidTr="00DC682F">
        <w:trPr>
          <w:trHeight w:val="517"/>
          <w:jc w:val="center"/>
        </w:trPr>
        <w:tc>
          <w:tcPr>
            <w:tcW w:w="1057" w:type="dxa"/>
            <w:tcBorders>
              <w:top w:val="single" w:sz="4" w:space="0" w:color="auto"/>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Div Yield Value</w:t>
            </w:r>
          </w:p>
        </w:tc>
        <w:tc>
          <w:tcPr>
            <w:tcW w:w="837" w:type="dxa"/>
            <w:tcBorders>
              <w:top w:val="single" w:sz="4" w:space="0" w:color="auto"/>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1"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0.21</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84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1" w:type="dxa"/>
            <w:tcBorders>
              <w:top w:val="single" w:sz="4" w:space="0" w:color="auto"/>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-0.30</w:t>
            </w:r>
          </w:p>
        </w:tc>
      </w:tr>
      <w:tr w:rsidR="00DC682F" w:rsidRPr="00B66DC9" w:rsidTr="00DC682F">
        <w:trPr>
          <w:trHeight w:val="517"/>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Div Yield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0.21</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-0.12</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-0.27</w:t>
            </w:r>
          </w:p>
        </w:tc>
      </w:tr>
      <w:tr w:rsidR="00DC682F" w:rsidRPr="00B66DC9" w:rsidTr="00DC682F">
        <w:trPr>
          <w:trHeight w:val="517"/>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EP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0.99</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-0.63</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0.07</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EP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0.99</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-0.63</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0.08</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CP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-0.62</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-0.12</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CP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-0.63</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BTM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0.99</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BTM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-0.62</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-0.64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0.99</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-0.22</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MCap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-0.12</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-0.12</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0.56</w:t>
            </w:r>
          </w:p>
        </w:tc>
      </w:tr>
      <w:tr w:rsidR="00DC682F" w:rsidRPr="00B66DC9" w:rsidTr="00DC682F">
        <w:trPr>
          <w:trHeight w:val="536"/>
          <w:jc w:val="center"/>
        </w:trPr>
        <w:tc>
          <w:tcPr>
            <w:tcW w:w="1057" w:type="dxa"/>
            <w:tcBorders>
              <w:top w:val="nil"/>
              <w:left w:val="single" w:sz="4" w:space="0" w:color="auto"/>
              <w:bottom w:val="single" w:sz="4" w:space="0" w:color="auto"/>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MCap Growth</w:t>
            </w:r>
          </w:p>
        </w:tc>
        <w:tc>
          <w:tcPr>
            <w:tcW w:w="837" w:type="dxa"/>
            <w:tcBorders>
              <w:top w:val="nil"/>
              <w:left w:val="single" w:sz="4" w:space="0" w:color="auto"/>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-0.30</w:t>
            </w:r>
          </w:p>
        </w:tc>
        <w:tc>
          <w:tcPr>
            <w:tcW w:w="971"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-0.27</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0.07</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0.08</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-0.22</w:t>
            </w:r>
          </w:p>
        </w:tc>
        <w:tc>
          <w:tcPr>
            <w:tcW w:w="84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0.56</w:t>
            </w:r>
          </w:p>
        </w:tc>
        <w:tc>
          <w:tcPr>
            <w:tcW w:w="971" w:type="dxa"/>
            <w:tcBorders>
              <w:top w:val="nil"/>
              <w:left w:val="nil"/>
              <w:bottom w:val="single" w:sz="4" w:space="0" w:color="auto"/>
              <w:right w:val="single" w:sz="4" w:space="0" w:color="auto"/>
            </w:tcBorders>
            <w:vAlign w:val="center"/>
          </w:tcPr>
          <w:p w:rsidR="00DC682F" w:rsidRPr="00DC682F" w:rsidRDefault="00DC682F" w:rsidP="00904DA8">
            <w:pPr>
              <w:keepNext/>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r>
    </w:tbl>
    <w:p w:rsidR="008B5BC6" w:rsidRPr="00904DA8" w:rsidRDefault="00904DA8" w:rsidP="00904DA8">
      <w:pPr>
        <w:pStyle w:val="Caption"/>
        <w:rPr>
          <w:rFonts w:ascii="Times New Roman" w:hAnsi="Times New Roman" w:cs="Times New Roman"/>
          <w:color w:val="FFFFFF" w:themeColor="background1"/>
          <w:sz w:val="24"/>
          <w:szCs w:val="36"/>
        </w:rPr>
      </w:pPr>
      <w:bookmarkStart w:id="60" w:name="_Toc305166530"/>
      <w:r w:rsidRPr="00904DA8">
        <w:rPr>
          <w:color w:val="FFFFFF" w:themeColor="background1"/>
        </w:rPr>
        <w:t xml:space="preserve">Table </w:t>
      </w:r>
      <w:r w:rsidR="000963F3" w:rsidRPr="00904DA8">
        <w:rPr>
          <w:color w:val="FFFFFF" w:themeColor="background1"/>
        </w:rPr>
        <w:fldChar w:fldCharType="begin"/>
      </w:r>
      <w:r w:rsidRPr="00904DA8">
        <w:rPr>
          <w:color w:val="FFFFFF" w:themeColor="background1"/>
        </w:rPr>
        <w:instrText xml:space="preserve"> SEQ Table \* ARABIC </w:instrText>
      </w:r>
      <w:r w:rsidR="000963F3" w:rsidRPr="00904DA8">
        <w:rPr>
          <w:color w:val="FFFFFF" w:themeColor="background1"/>
        </w:rPr>
        <w:fldChar w:fldCharType="separate"/>
      </w:r>
      <w:r w:rsidR="00AB32F5">
        <w:rPr>
          <w:noProof/>
          <w:color w:val="FFFFFF" w:themeColor="background1"/>
        </w:rPr>
        <w:t>7</w:t>
      </w:r>
      <w:r w:rsidR="000963F3" w:rsidRPr="00904DA8">
        <w:rPr>
          <w:color w:val="FFFFFF" w:themeColor="background1"/>
        </w:rPr>
        <w:fldChar w:fldCharType="end"/>
      </w:r>
      <w:r w:rsidRPr="00904DA8">
        <w:rPr>
          <w:color w:val="FFFFFF" w:themeColor="background1"/>
        </w:rPr>
        <w:t xml:space="preserve"> - Correlation Matrix for All Equally Weighted Independent Variables</w:t>
      </w:r>
      <w:bookmarkEnd w:id="60"/>
    </w:p>
    <w:p w:rsidR="008B5BC6" w:rsidRDefault="008B5BC6" w:rsidP="00BB617D">
      <w:pPr>
        <w:pStyle w:val="ListParagraph"/>
        <w:spacing w:line="360" w:lineRule="auto"/>
        <w:ind w:left="0"/>
        <w:jc w:val="both"/>
        <w:rPr>
          <w:rFonts w:ascii="Times New Roman" w:hAnsi="Times New Roman" w:cs="Times New Roman"/>
          <w:sz w:val="24"/>
          <w:szCs w:val="36"/>
        </w:rPr>
      </w:pPr>
    </w:p>
    <w:tbl>
      <w:tblPr>
        <w:tblStyle w:val="TableGrid"/>
        <w:tblW w:w="10097" w:type="dxa"/>
        <w:jc w:val="center"/>
        <w:tblLook w:val="04A0"/>
      </w:tblPr>
      <w:tblGrid>
        <w:gridCol w:w="1057"/>
        <w:gridCol w:w="837"/>
        <w:gridCol w:w="971"/>
        <w:gridCol w:w="837"/>
        <w:gridCol w:w="970"/>
        <w:gridCol w:w="837"/>
        <w:gridCol w:w="970"/>
        <w:gridCol w:w="837"/>
        <w:gridCol w:w="970"/>
        <w:gridCol w:w="840"/>
        <w:gridCol w:w="971"/>
      </w:tblGrid>
      <w:tr w:rsidR="008B5BC6" w:rsidTr="00EE561B">
        <w:trPr>
          <w:trHeight w:val="294"/>
          <w:jc w:val="center"/>
        </w:trPr>
        <w:tc>
          <w:tcPr>
            <w:tcW w:w="10097" w:type="dxa"/>
            <w:gridSpan w:val="11"/>
          </w:tcPr>
          <w:p w:rsidR="008B5BC6" w:rsidRPr="00B71680" w:rsidRDefault="008B5BC6" w:rsidP="00EE561B">
            <w:pPr>
              <w:jc w:val="center"/>
              <w:rPr>
                <w:rFonts w:ascii="Times New Roman" w:hAnsi="Times New Roman" w:cs="Times New Roman"/>
                <w:b/>
                <w:sz w:val="24"/>
              </w:rPr>
            </w:pPr>
            <w:r>
              <w:rPr>
                <w:rFonts w:ascii="Times New Roman" w:hAnsi="Times New Roman" w:cs="Times New Roman"/>
                <w:b/>
                <w:sz w:val="24"/>
              </w:rPr>
              <w:lastRenderedPageBreak/>
              <w:t>Table 8</w:t>
            </w:r>
          </w:p>
        </w:tc>
      </w:tr>
      <w:tr w:rsidR="008B5BC6" w:rsidTr="00EE561B">
        <w:trPr>
          <w:trHeight w:val="1526"/>
          <w:jc w:val="center"/>
        </w:trPr>
        <w:tc>
          <w:tcPr>
            <w:tcW w:w="10097" w:type="dxa"/>
            <w:gridSpan w:val="11"/>
          </w:tcPr>
          <w:p w:rsidR="008B5BC6" w:rsidRPr="00B66DC9" w:rsidRDefault="008B5BC6" w:rsidP="00EE561B">
            <w:pPr>
              <w:jc w:val="center"/>
              <w:rPr>
                <w:rFonts w:ascii="Times New Roman" w:hAnsi="Times New Roman" w:cs="Times New Roman"/>
                <w:b/>
                <w:sz w:val="24"/>
              </w:rPr>
            </w:pPr>
            <w:r>
              <w:rPr>
                <w:rFonts w:ascii="Times New Roman" w:hAnsi="Times New Roman" w:cs="Times New Roman"/>
                <w:b/>
                <w:sz w:val="24"/>
              </w:rPr>
              <w:t>Correlation Matrix</w:t>
            </w:r>
            <w:r w:rsidR="00904DA8">
              <w:rPr>
                <w:rFonts w:ascii="Times New Roman" w:hAnsi="Times New Roman" w:cs="Times New Roman"/>
                <w:b/>
                <w:sz w:val="24"/>
              </w:rPr>
              <w:t xml:space="preserve"> for</w:t>
            </w:r>
            <w:r>
              <w:rPr>
                <w:rFonts w:ascii="Times New Roman" w:hAnsi="Times New Roman" w:cs="Times New Roman"/>
                <w:b/>
                <w:sz w:val="24"/>
              </w:rPr>
              <w:t xml:space="preserve"> All Value Weighted Independent Variables</w:t>
            </w:r>
          </w:p>
          <w:p w:rsidR="008B5BC6" w:rsidRPr="00B66DC9" w:rsidRDefault="008B5BC6" w:rsidP="00EE561B">
            <w:pPr>
              <w:jc w:val="center"/>
              <w:rPr>
                <w:rFonts w:ascii="Times New Roman" w:hAnsi="Times New Roman" w:cs="Times New Roman"/>
              </w:rPr>
            </w:pPr>
            <w:r w:rsidRPr="00B66DC9">
              <w:rPr>
                <w:rFonts w:ascii="Times New Roman" w:hAnsi="Times New Roman" w:cs="Times New Roman"/>
                <w:sz w:val="20"/>
              </w:rPr>
              <w:t xml:space="preserve">The independent variables are all the </w:t>
            </w:r>
            <w:r>
              <w:rPr>
                <w:rFonts w:ascii="Times New Roman" w:hAnsi="Times New Roman" w:cs="Times New Roman"/>
                <w:sz w:val="20"/>
              </w:rPr>
              <w:t>value</w:t>
            </w:r>
            <w:r w:rsidRPr="00B66DC9">
              <w:rPr>
                <w:rFonts w:ascii="Times New Roman" w:hAnsi="Times New Roman" w:cs="Times New Roman"/>
                <w:sz w:val="20"/>
              </w:rPr>
              <w:t xml:space="preserve"> weighted variables. DP Value is the value portfolio sorted on the dividend yield. DP Growth is the growth portfolio sorted on dividend yield. EP Value and Growth are the value and growth portfolios sorted on earnings-to-price. CP Value and Growth are the value and growth portfolios sorted on cash flow-to-price. BTM Value and Growth are the value and growth portfolios sorted on book-to-market. MCap Value and Growth are the value and growth portfolios sorted on market </w:t>
            </w:r>
            <w:r w:rsidR="00610C8D">
              <w:rPr>
                <w:rFonts w:ascii="Times New Roman" w:hAnsi="Times New Roman" w:cs="Times New Roman"/>
                <w:sz w:val="20"/>
              </w:rPr>
              <w:t>capitalisation</w:t>
            </w:r>
            <w:r w:rsidRPr="00B66DC9">
              <w:rPr>
                <w:rFonts w:ascii="Times New Roman" w:hAnsi="Times New Roman" w:cs="Times New Roman"/>
                <w:sz w:val="20"/>
              </w:rPr>
              <w:t>. The number of monthly observations is 227.</w:t>
            </w:r>
          </w:p>
        </w:tc>
      </w:tr>
      <w:tr w:rsidR="008B5BC6" w:rsidRPr="00B66DC9" w:rsidTr="00EE561B">
        <w:trPr>
          <w:trHeight w:val="517"/>
          <w:jc w:val="center"/>
        </w:trPr>
        <w:tc>
          <w:tcPr>
            <w:tcW w:w="1057" w:type="dxa"/>
            <w:tcBorders>
              <w:bottom w:val="single" w:sz="4" w:space="0" w:color="auto"/>
              <w:right w:val="single" w:sz="4" w:space="0" w:color="auto"/>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Variable</w:t>
            </w:r>
          </w:p>
        </w:tc>
        <w:tc>
          <w:tcPr>
            <w:tcW w:w="837" w:type="dxa"/>
            <w:tcBorders>
              <w:top w:val="single" w:sz="4" w:space="0" w:color="auto"/>
              <w:left w:val="single" w:sz="4" w:space="0" w:color="auto"/>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Pr>
                <w:rFonts w:ascii="Times New Roman" w:hAnsi="Times New Roman" w:cs="Times New Roman"/>
                <w:b/>
                <w:sz w:val="20"/>
                <w:szCs w:val="20"/>
              </w:rPr>
              <w:t>Div Yield</w:t>
            </w:r>
            <w:r w:rsidRPr="00B66DC9">
              <w:rPr>
                <w:rFonts w:ascii="Times New Roman" w:hAnsi="Times New Roman" w:cs="Times New Roman"/>
                <w:b/>
                <w:sz w:val="20"/>
                <w:szCs w:val="20"/>
              </w:rPr>
              <w:t xml:space="preserve"> Value</w:t>
            </w:r>
          </w:p>
        </w:tc>
        <w:tc>
          <w:tcPr>
            <w:tcW w:w="971"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Pr>
                <w:rFonts w:ascii="Times New Roman" w:hAnsi="Times New Roman" w:cs="Times New Roman"/>
                <w:b/>
                <w:sz w:val="20"/>
                <w:szCs w:val="20"/>
              </w:rPr>
              <w:t>Div Yield</w:t>
            </w:r>
            <w:r w:rsidRPr="00B66DC9">
              <w:rPr>
                <w:rFonts w:ascii="Times New Roman" w:hAnsi="Times New Roman" w:cs="Times New Roman"/>
                <w:b/>
                <w:sz w:val="20"/>
                <w:szCs w:val="20"/>
              </w:rPr>
              <w:t xml:space="preserve"> Growth</w:t>
            </w:r>
          </w:p>
        </w:tc>
        <w:tc>
          <w:tcPr>
            <w:tcW w:w="837"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EP Value</w:t>
            </w:r>
          </w:p>
        </w:tc>
        <w:tc>
          <w:tcPr>
            <w:tcW w:w="970"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EP Growth</w:t>
            </w:r>
          </w:p>
        </w:tc>
        <w:tc>
          <w:tcPr>
            <w:tcW w:w="837"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CP Value</w:t>
            </w:r>
          </w:p>
        </w:tc>
        <w:tc>
          <w:tcPr>
            <w:tcW w:w="970"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CP Growth</w:t>
            </w:r>
          </w:p>
        </w:tc>
        <w:tc>
          <w:tcPr>
            <w:tcW w:w="837"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BTM Value</w:t>
            </w:r>
          </w:p>
        </w:tc>
        <w:tc>
          <w:tcPr>
            <w:tcW w:w="970"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BTM Growth</w:t>
            </w:r>
          </w:p>
        </w:tc>
        <w:tc>
          <w:tcPr>
            <w:tcW w:w="840" w:type="dxa"/>
            <w:tcBorders>
              <w:top w:val="single" w:sz="4" w:space="0" w:color="auto"/>
              <w:left w:val="nil"/>
              <w:bottom w:val="single" w:sz="4" w:space="0" w:color="auto"/>
              <w:right w:val="nil"/>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MCap Value</w:t>
            </w:r>
          </w:p>
        </w:tc>
        <w:tc>
          <w:tcPr>
            <w:tcW w:w="971" w:type="dxa"/>
            <w:tcBorders>
              <w:top w:val="single" w:sz="4" w:space="0" w:color="auto"/>
              <w:left w:val="nil"/>
              <w:bottom w:val="single" w:sz="4" w:space="0" w:color="auto"/>
              <w:right w:val="single" w:sz="4" w:space="0" w:color="auto"/>
            </w:tcBorders>
            <w:vAlign w:val="center"/>
          </w:tcPr>
          <w:p w:rsidR="008B5BC6" w:rsidRPr="00B66DC9" w:rsidRDefault="008B5BC6" w:rsidP="00EE561B">
            <w:pPr>
              <w:jc w:val="center"/>
              <w:rPr>
                <w:rFonts w:ascii="Times New Roman" w:hAnsi="Times New Roman" w:cs="Times New Roman"/>
                <w:b/>
                <w:sz w:val="20"/>
                <w:szCs w:val="20"/>
              </w:rPr>
            </w:pPr>
            <w:r w:rsidRPr="00B66DC9">
              <w:rPr>
                <w:rFonts w:ascii="Times New Roman" w:hAnsi="Times New Roman" w:cs="Times New Roman"/>
                <w:b/>
                <w:sz w:val="20"/>
                <w:szCs w:val="20"/>
              </w:rPr>
              <w:t>MCap Growth</w:t>
            </w:r>
          </w:p>
        </w:tc>
      </w:tr>
      <w:tr w:rsidR="00DC682F" w:rsidRPr="00B66DC9" w:rsidTr="00DC682F">
        <w:trPr>
          <w:trHeight w:val="517"/>
          <w:jc w:val="center"/>
        </w:trPr>
        <w:tc>
          <w:tcPr>
            <w:tcW w:w="1057" w:type="dxa"/>
            <w:tcBorders>
              <w:top w:val="single" w:sz="4" w:space="0" w:color="auto"/>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D</w:t>
            </w:r>
            <w:r>
              <w:rPr>
                <w:rFonts w:ascii="Times New Roman" w:hAnsi="Times New Roman" w:cs="Times New Roman"/>
                <w:b/>
                <w:sz w:val="20"/>
                <w:szCs w:val="20"/>
              </w:rPr>
              <w:t>iv Yield</w:t>
            </w:r>
            <w:r w:rsidRPr="00B66DC9">
              <w:rPr>
                <w:rFonts w:ascii="Times New Roman" w:hAnsi="Times New Roman" w:cs="Times New Roman"/>
                <w:b/>
                <w:sz w:val="20"/>
                <w:szCs w:val="20"/>
              </w:rPr>
              <w:t xml:space="preserve"> Value</w:t>
            </w:r>
          </w:p>
        </w:tc>
        <w:tc>
          <w:tcPr>
            <w:tcW w:w="837" w:type="dxa"/>
            <w:tcBorders>
              <w:top w:val="single" w:sz="4" w:space="0" w:color="auto"/>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1"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0.28</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0.00</w:t>
            </w:r>
          </w:p>
        </w:tc>
        <w:tc>
          <w:tcPr>
            <w:tcW w:w="837"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-0.20</w:t>
            </w:r>
          </w:p>
        </w:tc>
        <w:tc>
          <w:tcPr>
            <w:tcW w:w="97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840" w:type="dxa"/>
            <w:tcBorders>
              <w:top w:val="single" w:sz="4" w:space="0" w:color="auto"/>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971" w:type="dxa"/>
            <w:tcBorders>
              <w:top w:val="single" w:sz="4" w:space="0" w:color="auto"/>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-0.29</w:t>
            </w:r>
          </w:p>
        </w:tc>
      </w:tr>
      <w:tr w:rsidR="00DC682F" w:rsidRPr="00B66DC9" w:rsidTr="00DC682F">
        <w:trPr>
          <w:trHeight w:val="517"/>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Pr>
                <w:rFonts w:ascii="Times New Roman" w:hAnsi="Times New Roman" w:cs="Times New Roman"/>
                <w:b/>
                <w:sz w:val="20"/>
                <w:szCs w:val="20"/>
              </w:rPr>
              <w:t xml:space="preserve">Div Yield </w:t>
            </w:r>
            <w:r w:rsidRPr="00B66DC9">
              <w:rPr>
                <w:rFonts w:ascii="Times New Roman" w:hAnsi="Times New Roman" w:cs="Times New Roman"/>
                <w:b/>
                <w:sz w:val="20"/>
                <w:szCs w:val="20"/>
              </w:rPr>
              <w:t>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0.28</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0.15</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-0.34</w:t>
            </w:r>
          </w:p>
        </w:tc>
      </w:tr>
      <w:tr w:rsidR="00DC682F" w:rsidRPr="00B66DC9" w:rsidTr="00DC682F">
        <w:trPr>
          <w:trHeight w:val="517"/>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EP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0.11</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0.75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-0.36</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-0.16</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EP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0.75</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-0.31</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-0.37</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-0.44</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CP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-0.09</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-0.01</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-0.31</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0.80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-0.33</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-0.25</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CP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0.00</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-0.24</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-0.37</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0.80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-0.45</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BTM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-0.20</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0.13</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-0.40</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0.78</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-0.03</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66DC9" w:rsidRDefault="00DC682F" w:rsidP="00EE561B">
            <w:pPr>
              <w:rPr>
                <w:rFonts w:ascii="Times New Roman" w:hAnsi="Times New Roman" w:cs="Times New Roman"/>
                <w:b/>
                <w:sz w:val="20"/>
                <w:szCs w:val="20"/>
              </w:rPr>
            </w:pPr>
            <w:r w:rsidRPr="00B66DC9">
              <w:rPr>
                <w:rFonts w:ascii="Times New Roman" w:hAnsi="Times New Roman" w:cs="Times New Roman"/>
                <w:b/>
                <w:sz w:val="20"/>
                <w:szCs w:val="20"/>
              </w:rPr>
              <w:t>BTM Growth</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-0.33</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-0.45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0.78</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-0.19</w:t>
            </w:r>
          </w:p>
        </w:tc>
      </w:tr>
      <w:tr w:rsidR="00DC682F" w:rsidRPr="00B66DC9" w:rsidTr="00DC682F">
        <w:trPr>
          <w:trHeight w:val="536"/>
          <w:jc w:val="center"/>
        </w:trPr>
        <w:tc>
          <w:tcPr>
            <w:tcW w:w="1057" w:type="dxa"/>
            <w:tcBorders>
              <w:top w:val="nil"/>
              <w:left w:val="single" w:sz="4" w:space="0" w:color="auto"/>
              <w:bottom w:val="nil"/>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MCap Value</w:t>
            </w:r>
          </w:p>
        </w:tc>
        <w:tc>
          <w:tcPr>
            <w:tcW w:w="837" w:type="dxa"/>
            <w:tcBorders>
              <w:top w:val="nil"/>
              <w:left w:val="single" w:sz="4" w:space="0" w:color="auto"/>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971"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-0.04</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-0.06</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-0.05</w:t>
            </w:r>
          </w:p>
        </w:tc>
        <w:tc>
          <w:tcPr>
            <w:tcW w:w="837"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-0.10</w:t>
            </w:r>
          </w:p>
        </w:tc>
        <w:tc>
          <w:tcPr>
            <w:tcW w:w="97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-0.02</w:t>
            </w:r>
          </w:p>
        </w:tc>
        <w:tc>
          <w:tcPr>
            <w:tcW w:w="840" w:type="dxa"/>
            <w:tcBorders>
              <w:top w:val="nil"/>
              <w:left w:val="nil"/>
              <w:bottom w:val="nil"/>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c>
          <w:tcPr>
            <w:tcW w:w="971" w:type="dxa"/>
            <w:tcBorders>
              <w:top w:val="nil"/>
              <w:left w:val="nil"/>
              <w:bottom w:val="nil"/>
              <w:right w:val="single" w:sz="4" w:space="0" w:color="auto"/>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0.07</w:t>
            </w:r>
          </w:p>
        </w:tc>
      </w:tr>
      <w:tr w:rsidR="00DC682F" w:rsidRPr="00B66DC9" w:rsidTr="00DC682F">
        <w:trPr>
          <w:trHeight w:val="536"/>
          <w:jc w:val="center"/>
        </w:trPr>
        <w:tc>
          <w:tcPr>
            <w:tcW w:w="1057" w:type="dxa"/>
            <w:tcBorders>
              <w:top w:val="nil"/>
              <w:left w:val="single" w:sz="4" w:space="0" w:color="auto"/>
              <w:bottom w:val="single" w:sz="4" w:space="0" w:color="auto"/>
              <w:right w:val="single" w:sz="4" w:space="0" w:color="auto"/>
            </w:tcBorders>
            <w:vAlign w:val="center"/>
          </w:tcPr>
          <w:p w:rsidR="00DC682F" w:rsidRPr="00B71680" w:rsidRDefault="00DC682F" w:rsidP="00EE561B">
            <w:pPr>
              <w:rPr>
                <w:rFonts w:ascii="Times New Roman" w:hAnsi="Times New Roman" w:cs="Times New Roman"/>
                <w:b/>
                <w:sz w:val="20"/>
                <w:szCs w:val="20"/>
              </w:rPr>
            </w:pPr>
            <w:r w:rsidRPr="00B71680">
              <w:rPr>
                <w:rFonts w:ascii="Times New Roman" w:hAnsi="Times New Roman" w:cs="Times New Roman"/>
                <w:b/>
                <w:sz w:val="20"/>
                <w:szCs w:val="20"/>
              </w:rPr>
              <w:t>MCap Growth</w:t>
            </w:r>
          </w:p>
        </w:tc>
        <w:tc>
          <w:tcPr>
            <w:tcW w:w="837" w:type="dxa"/>
            <w:tcBorders>
              <w:top w:val="nil"/>
              <w:left w:val="single" w:sz="4" w:space="0" w:color="auto"/>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-0.29</w:t>
            </w:r>
          </w:p>
        </w:tc>
        <w:tc>
          <w:tcPr>
            <w:tcW w:w="971"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-0.34</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-0.16</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-0.18</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-0.25</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-0.14</w:t>
            </w:r>
          </w:p>
        </w:tc>
        <w:tc>
          <w:tcPr>
            <w:tcW w:w="837"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-0.03</w:t>
            </w:r>
          </w:p>
        </w:tc>
        <w:tc>
          <w:tcPr>
            <w:tcW w:w="97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-0.19</w:t>
            </w:r>
          </w:p>
        </w:tc>
        <w:tc>
          <w:tcPr>
            <w:tcW w:w="840" w:type="dxa"/>
            <w:tcBorders>
              <w:top w:val="nil"/>
              <w:left w:val="nil"/>
              <w:bottom w:val="single" w:sz="4" w:space="0" w:color="auto"/>
              <w:right w:val="nil"/>
            </w:tcBorders>
            <w:vAlign w:val="center"/>
          </w:tcPr>
          <w:p w:rsidR="00DC682F" w:rsidRPr="00DC682F" w:rsidRDefault="00DC682F" w:rsidP="00DC682F">
            <w:pPr>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0.07</w:t>
            </w:r>
          </w:p>
        </w:tc>
        <w:tc>
          <w:tcPr>
            <w:tcW w:w="971" w:type="dxa"/>
            <w:tcBorders>
              <w:top w:val="nil"/>
              <w:left w:val="nil"/>
              <w:bottom w:val="single" w:sz="4" w:space="0" w:color="auto"/>
              <w:right w:val="single" w:sz="4" w:space="0" w:color="auto"/>
            </w:tcBorders>
            <w:vAlign w:val="center"/>
          </w:tcPr>
          <w:p w:rsidR="00DC682F" w:rsidRPr="00DC682F" w:rsidRDefault="00DC682F" w:rsidP="00904DA8">
            <w:pPr>
              <w:keepNext/>
              <w:jc w:val="center"/>
              <w:rPr>
                <w:rFonts w:ascii="Times New Roman" w:hAnsi="Times New Roman" w:cs="Times New Roman"/>
                <w:color w:val="000000"/>
                <w:sz w:val="18"/>
                <w:szCs w:val="18"/>
              </w:rPr>
            </w:pPr>
            <w:r w:rsidRPr="00DC682F">
              <w:rPr>
                <w:rFonts w:ascii="Times New Roman" w:hAnsi="Times New Roman" w:cs="Times New Roman"/>
                <w:color w:val="000000"/>
                <w:sz w:val="18"/>
                <w:szCs w:val="18"/>
              </w:rPr>
              <w:t>1.00</w:t>
            </w:r>
          </w:p>
        </w:tc>
      </w:tr>
    </w:tbl>
    <w:p w:rsidR="000409F6" w:rsidRPr="00904DA8" w:rsidRDefault="00904DA8" w:rsidP="00904DA8">
      <w:pPr>
        <w:pStyle w:val="Caption"/>
        <w:rPr>
          <w:rFonts w:ascii="Times New Roman" w:hAnsi="Times New Roman" w:cs="Times New Roman"/>
          <w:color w:val="FFFFFF" w:themeColor="background1"/>
          <w:sz w:val="24"/>
          <w:szCs w:val="36"/>
        </w:rPr>
        <w:sectPr w:rsidR="000409F6" w:rsidRPr="00904DA8" w:rsidSect="000409F6">
          <w:pgSz w:w="16838" w:h="11906" w:orient="landscape"/>
          <w:pgMar w:top="1440" w:right="1134" w:bottom="1440" w:left="1440" w:header="709" w:footer="709" w:gutter="0"/>
          <w:cols w:space="708"/>
          <w:docGrid w:linePitch="360"/>
        </w:sectPr>
      </w:pPr>
      <w:bookmarkStart w:id="61" w:name="_Toc305166531"/>
      <w:r w:rsidRPr="00904DA8">
        <w:rPr>
          <w:color w:val="FFFFFF" w:themeColor="background1"/>
        </w:rPr>
        <w:t xml:space="preserve">Table </w:t>
      </w:r>
      <w:r w:rsidR="000963F3" w:rsidRPr="00904DA8">
        <w:rPr>
          <w:color w:val="FFFFFF" w:themeColor="background1"/>
        </w:rPr>
        <w:fldChar w:fldCharType="begin"/>
      </w:r>
      <w:r w:rsidRPr="00904DA8">
        <w:rPr>
          <w:color w:val="FFFFFF" w:themeColor="background1"/>
        </w:rPr>
        <w:instrText xml:space="preserve"> SEQ Table \* ARABIC </w:instrText>
      </w:r>
      <w:r w:rsidR="000963F3" w:rsidRPr="00904DA8">
        <w:rPr>
          <w:color w:val="FFFFFF" w:themeColor="background1"/>
        </w:rPr>
        <w:fldChar w:fldCharType="separate"/>
      </w:r>
      <w:r w:rsidR="00AB32F5">
        <w:rPr>
          <w:noProof/>
          <w:color w:val="FFFFFF" w:themeColor="background1"/>
        </w:rPr>
        <w:t>8</w:t>
      </w:r>
      <w:r w:rsidR="000963F3" w:rsidRPr="00904DA8">
        <w:rPr>
          <w:color w:val="FFFFFF" w:themeColor="background1"/>
        </w:rPr>
        <w:fldChar w:fldCharType="end"/>
      </w:r>
      <w:r w:rsidRPr="00904DA8">
        <w:rPr>
          <w:color w:val="FFFFFF" w:themeColor="background1"/>
        </w:rPr>
        <w:t xml:space="preserve"> - Correlation Matrix for All Value Weighted Independent Variables</w:t>
      </w:r>
      <w:bookmarkEnd w:id="61"/>
    </w:p>
    <w:p w:rsidR="006D10B2" w:rsidRPr="00AA0048" w:rsidRDefault="006D10B2" w:rsidP="00A02570">
      <w:pPr>
        <w:pStyle w:val="ListParagraph"/>
        <w:spacing w:line="360" w:lineRule="auto"/>
        <w:ind w:left="0"/>
        <w:jc w:val="both"/>
        <w:rPr>
          <w:rFonts w:ascii="Times New Roman" w:hAnsi="Times New Roman" w:cs="Times New Roman"/>
          <w:sz w:val="24"/>
          <w:szCs w:val="36"/>
        </w:rPr>
      </w:pPr>
    </w:p>
    <w:p w:rsidR="006D10B2" w:rsidRDefault="00FF54D4" w:rsidP="006D10B2">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A negative relationship between the return on the portfolios and the E/P ratio are expected as this is the result found in the studies of Fama and French (1998) and Dreman and Berry (1995). The authors also find a negative relationship between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return of a portfolio. </w:t>
      </w:r>
      <w:r w:rsidR="006D10B2">
        <w:rPr>
          <w:rFonts w:ascii="Times New Roman" w:hAnsi="Times New Roman" w:cs="Times New Roman"/>
          <w:sz w:val="24"/>
          <w:szCs w:val="36"/>
        </w:rPr>
        <w:t xml:space="preserve">The coefficient of the value portfolio sorted on dividend yield of -0.10691 is statistically significant at the 10% level. Also statistically significant at the 10% level is the growth portfolio sorted on E/P (with a coefficient of -0.80837) and the value and growth portfolios sorted on the BTM ratio (with coefficients of 0.7462 and 0.8381 respectively). The negative coefficient of -0.97619 of the value portfolio sorted on the E/P ratio is statistically significant at the 5% level. Both the value and growth portfolios sorted on market </w:t>
      </w:r>
      <w:r w:rsidR="00610C8D">
        <w:rPr>
          <w:rFonts w:ascii="Times New Roman" w:hAnsi="Times New Roman" w:cs="Times New Roman"/>
          <w:sz w:val="24"/>
          <w:szCs w:val="36"/>
        </w:rPr>
        <w:t>capitalisation</w:t>
      </w:r>
      <w:r w:rsidR="006D10B2">
        <w:rPr>
          <w:rFonts w:ascii="Times New Roman" w:hAnsi="Times New Roman" w:cs="Times New Roman"/>
          <w:sz w:val="24"/>
          <w:szCs w:val="36"/>
        </w:rPr>
        <w:t xml:space="preserve"> have coefficients that are statistically significant at the 1% level. The value portfolio has a negative coefficient of -0.55047 and the growth portfolio has a positive coefficient of 0.5625. This inverse relationship between the dependent variable and value portfolio as well as the direct relationship between the growth portfolio and dependent variable is expected as the dependent variable consists of large market </w:t>
      </w:r>
      <w:r w:rsidR="00610C8D">
        <w:rPr>
          <w:rFonts w:ascii="Times New Roman" w:hAnsi="Times New Roman" w:cs="Times New Roman"/>
          <w:sz w:val="24"/>
          <w:szCs w:val="36"/>
        </w:rPr>
        <w:t>capitalisation</w:t>
      </w:r>
      <w:r w:rsidR="006D10B2">
        <w:rPr>
          <w:rFonts w:ascii="Times New Roman" w:hAnsi="Times New Roman" w:cs="Times New Roman"/>
          <w:sz w:val="24"/>
          <w:szCs w:val="36"/>
        </w:rPr>
        <w:t xml:space="preserve"> stocks. </w:t>
      </w:r>
    </w:p>
    <w:p w:rsidR="006D10B2" w:rsidRDefault="006D10B2" w:rsidP="006D10B2">
      <w:pPr>
        <w:spacing w:line="360" w:lineRule="auto"/>
        <w:jc w:val="both"/>
        <w:rPr>
          <w:rFonts w:ascii="Times New Roman" w:hAnsi="Times New Roman" w:cs="Times New Roman"/>
          <w:sz w:val="24"/>
          <w:szCs w:val="36"/>
        </w:rPr>
      </w:pPr>
    </w:p>
    <w:p w:rsidR="006D10B2" w:rsidRPr="00176BC6" w:rsidRDefault="006D10B2" w:rsidP="006D10B2">
      <w:pPr>
        <w:pStyle w:val="ListParagraph"/>
        <w:spacing w:line="360" w:lineRule="auto"/>
        <w:ind w:left="0"/>
        <w:jc w:val="both"/>
        <w:rPr>
          <w:rFonts w:ascii="Times New Roman" w:hAnsi="Times New Roman" w:cs="Times New Roman"/>
          <w:sz w:val="24"/>
          <w:szCs w:val="36"/>
        </w:rPr>
      </w:pPr>
      <w:r w:rsidRPr="00176BC6">
        <w:rPr>
          <w:rFonts w:ascii="Times New Roman" w:hAnsi="Times New Roman" w:cs="Times New Roman"/>
          <w:sz w:val="24"/>
          <w:szCs w:val="36"/>
        </w:rPr>
        <w:t xml:space="preserve">The positive </w:t>
      </w:r>
      <w:r>
        <w:rPr>
          <w:rFonts w:ascii="Times New Roman" w:hAnsi="Times New Roman" w:cs="Times New Roman"/>
          <w:sz w:val="24"/>
          <w:szCs w:val="36"/>
        </w:rPr>
        <w:t xml:space="preserve">coefficient on the BTM growth (value weighted) portfolio in Table 10 confirms what is anticipated. As the dependent variable is large growth one expects both the growth BTM portfolio and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to have positive coefficients. The growth BTM portfolio has a coefficient of 0.13967, but it is not statistically significant.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has a coefficient of -0.4825 and is also not statistically significant. The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however, has a positive coefficient of 0.3197 and is statistically significant at the 1% level. While the value and growth portfolios sorted on the dividend yield, E/P, or C/P ratio all have positive coefficients only the coefficient of the growth E/P portfolio of 0.48577 is statistically significant at the 5% level. </w:t>
      </w:r>
    </w:p>
    <w:p w:rsidR="00FC4E83" w:rsidRDefault="00FC4E83" w:rsidP="00CF67DA"/>
    <w:p w:rsidR="00B90167" w:rsidRDefault="00B90167" w:rsidP="00B90167">
      <w:pPr>
        <w:pStyle w:val="ListParagraph"/>
        <w:spacing w:line="360" w:lineRule="auto"/>
        <w:ind w:left="0"/>
        <w:jc w:val="both"/>
        <w:rPr>
          <w:rFonts w:ascii="Times New Roman" w:hAnsi="Times New Roman" w:cs="Times New Roman"/>
          <w:sz w:val="24"/>
        </w:rPr>
      </w:pPr>
      <w:r>
        <w:rPr>
          <w:rFonts w:ascii="Times New Roman" w:hAnsi="Times New Roman" w:cs="Times New Roman"/>
          <w:sz w:val="24"/>
          <w:szCs w:val="36"/>
        </w:rPr>
        <w:t xml:space="preserve">In Table 11 the equally weighted single sorted independent variables are regressed on the large value dependent variable. The positive coefficient of the value dividend yield portfolio is 0.22093 and is statistically significant at the 1% level. The positive relationship between this value variable and the dependent variable is what is predicted. The value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has a negative coefficient of -0.36914 that is statistically significant </w:t>
      </w:r>
      <w:r>
        <w:rPr>
          <w:rFonts w:ascii="Times New Roman" w:hAnsi="Times New Roman" w:cs="Times New Roman"/>
          <w:sz w:val="24"/>
          <w:szCs w:val="36"/>
        </w:rPr>
        <w:lastRenderedPageBreak/>
        <w:t xml:space="preserve">at the 1% level. Once again, this negative relationship between the value portfolio of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the large value dependent variable appears to be acceptable as the dependent variable consists of large sized stocks, and the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consists of small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There exists a positive relationship between the dependent variable and the growth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This is a likely relationship as the coefficient on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is 0.37484 and is statistically significant at the 1% level. It indicates the direct relationship between this independent variable consisting of large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the dependent variable consisting of large </w:t>
      </w:r>
      <w:r w:rsidR="00610C8D">
        <w:rPr>
          <w:rFonts w:ascii="Times New Roman" w:hAnsi="Times New Roman" w:cs="Times New Roman"/>
          <w:sz w:val="24"/>
          <w:szCs w:val="36"/>
        </w:rPr>
        <w:t>capitalisation</w:t>
      </w:r>
      <w:r>
        <w:rPr>
          <w:rFonts w:ascii="Times New Roman" w:hAnsi="Times New Roman" w:cs="Times New Roman"/>
          <w:sz w:val="24"/>
          <w:szCs w:val="36"/>
        </w:rPr>
        <w:t>, high BTM stocks. The negative coefficient of -0.37550 of the value portfolio sorted on C/P is not statistically significant. This fundamental-to-price sorted portfolio is the only value portfolio with a negative coefficient.</w:t>
      </w:r>
      <w:r w:rsidR="00D04100">
        <w:rPr>
          <w:rFonts w:ascii="Times New Roman" w:hAnsi="Times New Roman" w:cs="Times New Roman"/>
          <w:sz w:val="24"/>
          <w:szCs w:val="36"/>
        </w:rPr>
        <w:t xml:space="preserve"> In comparison, Brouwer, van der Put, and Veld (1997) note that the C/P portfolio has a positive coefficient and is statistically significant at the 1% level. It has already been noted that the equally weighted growth portfolios sorted on D/P, C/P, or E/P outperform value portfolios. It is noticeable that the value weighted value portfolio sorted on the C/P variable has a positive coefficient. The finding of the negative coefficient on the equally weighted value portfolio created on C/P may indeed imply that this variable does not explain the returns on a large growth portfolio. </w:t>
      </w:r>
    </w:p>
    <w:p w:rsidR="00FC4E83" w:rsidRDefault="00FC4E83" w:rsidP="006F5D7F"/>
    <w:p w:rsidR="00FC4E83" w:rsidRDefault="00B90167" w:rsidP="00A02570">
      <w:pPr>
        <w:pStyle w:val="ListParagraph"/>
        <w:spacing w:line="360" w:lineRule="auto"/>
        <w:ind w:left="0"/>
        <w:jc w:val="both"/>
        <w:rPr>
          <w:rFonts w:ascii="Times New Roman" w:hAnsi="Times New Roman" w:cs="Times New Roman"/>
          <w:color w:val="943634" w:themeColor="accent2" w:themeShade="BF"/>
          <w:sz w:val="24"/>
          <w:szCs w:val="36"/>
        </w:rPr>
      </w:pPr>
      <w:r>
        <w:rPr>
          <w:rFonts w:ascii="Times New Roman" w:hAnsi="Times New Roman" w:cs="Times New Roman"/>
          <w:sz w:val="24"/>
          <w:szCs w:val="36"/>
        </w:rPr>
        <w:t xml:space="preserve">The value weighed single sorted variables are regressed on the large value dependent variable in Table 12. The assumption that the fundamental-to-price sorted value portfolios should be positively associated with the dependent variable, while the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should be negatively associated with the dependent variable</w:t>
      </w:r>
      <w:r w:rsidR="00E327C4">
        <w:rPr>
          <w:rFonts w:ascii="Times New Roman" w:hAnsi="Times New Roman" w:cs="Times New Roman"/>
          <w:sz w:val="24"/>
          <w:szCs w:val="36"/>
        </w:rPr>
        <w:t xml:space="preserve"> is based on the idea that because the dependent portfolio is large value, small </w:t>
      </w:r>
      <w:r w:rsidR="00610C8D">
        <w:rPr>
          <w:rFonts w:ascii="Times New Roman" w:hAnsi="Times New Roman" w:cs="Times New Roman"/>
          <w:sz w:val="24"/>
          <w:szCs w:val="36"/>
        </w:rPr>
        <w:t>capitalisation</w:t>
      </w:r>
      <w:r w:rsidR="00E327C4">
        <w:rPr>
          <w:rFonts w:ascii="Times New Roman" w:hAnsi="Times New Roman" w:cs="Times New Roman"/>
          <w:sz w:val="24"/>
          <w:szCs w:val="36"/>
        </w:rPr>
        <w:t xml:space="preserve"> stocks should be negatively associated with large </w:t>
      </w:r>
      <w:r w:rsidR="00610C8D">
        <w:rPr>
          <w:rFonts w:ascii="Times New Roman" w:hAnsi="Times New Roman" w:cs="Times New Roman"/>
          <w:sz w:val="24"/>
          <w:szCs w:val="36"/>
        </w:rPr>
        <w:t>capitalisation</w:t>
      </w:r>
      <w:r w:rsidR="00E327C4">
        <w:rPr>
          <w:rFonts w:ascii="Times New Roman" w:hAnsi="Times New Roman" w:cs="Times New Roman"/>
          <w:sz w:val="24"/>
          <w:szCs w:val="36"/>
        </w:rPr>
        <w:t xml:space="preserve"> stocks</w:t>
      </w:r>
      <w:r>
        <w:rPr>
          <w:rFonts w:ascii="Times New Roman" w:hAnsi="Times New Roman" w:cs="Times New Roman"/>
          <w:sz w:val="24"/>
          <w:szCs w:val="36"/>
        </w:rPr>
        <w:t xml:space="preserve">. </w:t>
      </w:r>
      <w:r w:rsidR="00E327C4">
        <w:rPr>
          <w:rFonts w:ascii="Times New Roman" w:hAnsi="Times New Roman" w:cs="Times New Roman"/>
          <w:sz w:val="24"/>
          <w:szCs w:val="36"/>
        </w:rPr>
        <w:t xml:space="preserve">Furthermore, high BTM, E/P, C/P, and D/P stock portfolios should exhibit a positive relationship with the high BTM part of the dependent variable. </w:t>
      </w:r>
      <w:r>
        <w:rPr>
          <w:rFonts w:ascii="Times New Roman" w:hAnsi="Times New Roman" w:cs="Times New Roman"/>
          <w:sz w:val="24"/>
          <w:szCs w:val="36"/>
        </w:rPr>
        <w:t>The value portfolios sorted on the dividend yield, E/P, C/P, and BTM ratio all have positive coefficients of 0.0331, 0.43495, 0.3733, and 0.117 respectively but only the E/P value coefficient is statistically significant at the 1% level.</w:t>
      </w:r>
      <w:r w:rsidR="00E41864">
        <w:rPr>
          <w:rFonts w:ascii="Times New Roman" w:hAnsi="Times New Roman" w:cs="Times New Roman"/>
          <w:sz w:val="24"/>
          <w:szCs w:val="36"/>
        </w:rPr>
        <w:t xml:space="preserve"> With this statistical significance in mind, the E/P variable seems to be, for now at least, the only variable that can reliably explain portfolio returns when value weighted.</w:t>
      </w:r>
    </w:p>
    <w:p w:rsidR="00FC4E83" w:rsidRDefault="00FC4E83" w:rsidP="006F5D7F"/>
    <w:p w:rsidR="00F750E1" w:rsidRDefault="00F750E1" w:rsidP="00F750E1">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lastRenderedPageBreak/>
        <w:t xml:space="preserve">The C/P value coefficient is statistically significant at the 5% level, while the D/P and BTM value coefficients are not statistically significant. The value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has a positive coefficient of 0.3061 and is statistically significant at the 1% level. One may think this positive relationship is anticipated but the large value dependent variable consists of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as well as high BTM stocks. In this respect,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value portfolio consists of small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thus should have a negative coefficient. The growth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has a negative coefficient of -0.51851 but is only statistically significant at the 10% level. Remembering that the dependent variable consists of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high BTM stocks the expectation is that the value BTM variable has a negative coefficient. Both of these expectations are supported by the data in Table 12, however, while the value BTM variables has a positive coefficient of 0.117 it is not statistically significant. The growth BTM variable, on the other hand, has a negative coefficient of -0.48944 and is statistically significant at the 10% level. </w:t>
      </w:r>
    </w:p>
    <w:p w:rsidR="00CF67DA" w:rsidRDefault="00CF67DA" w:rsidP="00CF67DA"/>
    <w:p w:rsidR="00CF67DA" w:rsidRDefault="00CF67DA" w:rsidP="00CF67DA">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Table 13 provides the regression results for the equally weighted independent variables regressed on the small growth dependent variable. As the small growth dependent variable consists of small market capitalisation stocks as well as low BTM stocks the expectation is that the fundamental-to-price variables deemed value will have negative coefficients, while the market capitalisation value variable will have a positive coefficient. This latter anticipation is confirmed by the positive coefficient of 0.52835 on the value market capitalisation portfolio. This coefficient is statistically significant at the 1% level. There is only one growth fundamental-to-price portfolio that has a positive coefficient. The growth portfolio sorted on the C/P ratio has a coefficient of 2.96071, which is statistically significant at the 5% level. The value portfolio sorted on dividend yield has a positive coefficient of 0.5504 that is statistically significant at the 1% level. While the value portfolio sorted on the C/P ratio has a positive coefficient of 1.151654, the result is not statistically significant. The growth portfolio sorted on market capitalisation has a negative coefficient of -1.13223, as excepted, and this is statistically significant at the 1% level. </w:t>
      </w:r>
    </w:p>
    <w:p w:rsidR="00CF67DA" w:rsidRPr="000C1EC2" w:rsidRDefault="00CF67DA" w:rsidP="00F750E1">
      <w:pPr>
        <w:pStyle w:val="ListParagraph"/>
        <w:spacing w:line="360" w:lineRule="auto"/>
        <w:ind w:left="0"/>
        <w:jc w:val="both"/>
        <w:rPr>
          <w:rFonts w:ascii="Times New Roman" w:hAnsi="Times New Roman" w:cs="Times New Roman"/>
          <w:sz w:val="24"/>
          <w:szCs w:val="36"/>
        </w:rPr>
      </w:pPr>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p w:rsidR="000409F6" w:rsidRDefault="000409F6" w:rsidP="00431232">
      <w:pPr>
        <w:jc w:val="center"/>
        <w:rPr>
          <w:rFonts w:ascii="Times New Roman" w:hAnsi="Times New Roman" w:cs="Times New Roman"/>
          <w:b/>
          <w:bCs/>
          <w:color w:val="000000"/>
          <w:sz w:val="24"/>
        </w:rPr>
        <w:sectPr w:rsidR="000409F6" w:rsidSect="00905FD2">
          <w:pgSz w:w="11906" w:h="16838"/>
          <w:pgMar w:top="1134" w:right="1440" w:bottom="1440" w:left="1440" w:header="708" w:footer="708" w:gutter="0"/>
          <w:cols w:space="708"/>
          <w:docGrid w:linePitch="360"/>
        </w:sectPr>
      </w:pPr>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9052E5" w:rsidRPr="009052E5" w:rsidTr="000409F6">
        <w:tc>
          <w:tcPr>
            <w:tcW w:w="5000" w:type="pct"/>
            <w:gridSpan w:val="11"/>
            <w:tcBorders>
              <w:bottom w:val="single" w:sz="4" w:space="0" w:color="auto"/>
            </w:tcBorders>
            <w:vAlign w:val="center"/>
          </w:tcPr>
          <w:p w:rsidR="009052E5" w:rsidRPr="003F0647" w:rsidRDefault="009052E5" w:rsidP="00431232">
            <w:pPr>
              <w:jc w:val="center"/>
              <w:rPr>
                <w:rFonts w:ascii="Times New Roman" w:hAnsi="Times New Roman" w:cs="Times New Roman"/>
                <w:sz w:val="24"/>
              </w:rPr>
            </w:pPr>
            <w:r w:rsidRPr="003F0647">
              <w:rPr>
                <w:rFonts w:ascii="Times New Roman" w:hAnsi="Times New Roman" w:cs="Times New Roman"/>
                <w:b/>
                <w:bCs/>
                <w:color w:val="000000"/>
                <w:sz w:val="24"/>
              </w:rPr>
              <w:lastRenderedPageBreak/>
              <w:t xml:space="preserve">Table </w:t>
            </w:r>
            <w:r w:rsidR="006D10B2">
              <w:rPr>
                <w:rFonts w:ascii="Times New Roman" w:hAnsi="Times New Roman" w:cs="Times New Roman"/>
                <w:b/>
                <w:bCs/>
                <w:color w:val="000000"/>
                <w:sz w:val="24"/>
              </w:rPr>
              <w:t>9</w:t>
            </w:r>
          </w:p>
        </w:tc>
      </w:tr>
      <w:tr w:rsidR="009052E5" w:rsidRPr="009052E5" w:rsidTr="000409F6">
        <w:tc>
          <w:tcPr>
            <w:tcW w:w="5000" w:type="pct"/>
            <w:gridSpan w:val="11"/>
            <w:tcBorders>
              <w:top w:val="single" w:sz="4" w:space="0" w:color="auto"/>
              <w:left w:val="single" w:sz="4" w:space="0" w:color="auto"/>
              <w:bottom w:val="nil"/>
              <w:right w:val="single" w:sz="4" w:space="0" w:color="auto"/>
            </w:tcBorders>
            <w:vAlign w:val="center"/>
          </w:tcPr>
          <w:p w:rsidR="009052E5" w:rsidRPr="003F0647" w:rsidRDefault="009052E5" w:rsidP="009052E5">
            <w:pPr>
              <w:jc w:val="center"/>
              <w:rPr>
                <w:rFonts w:ascii="Times New Roman" w:hAnsi="Times New Roman" w:cs="Times New Roman"/>
                <w:sz w:val="24"/>
              </w:rPr>
            </w:pPr>
            <w:r w:rsidRPr="003F0647">
              <w:rPr>
                <w:rFonts w:ascii="Times New Roman" w:hAnsi="Times New Roman" w:cs="Times New Roman"/>
                <w:b/>
                <w:bCs/>
                <w:color w:val="000000"/>
                <w:sz w:val="24"/>
              </w:rPr>
              <w:t>Regression Results for All Equally Weighted Variables Regressed on Large Growth Dependent Variable</w:t>
            </w:r>
          </w:p>
        </w:tc>
      </w:tr>
      <w:tr w:rsidR="009052E5" w:rsidRPr="006236E4" w:rsidTr="000409F6">
        <w:tc>
          <w:tcPr>
            <w:tcW w:w="5000" w:type="pct"/>
            <w:gridSpan w:val="11"/>
            <w:tcBorders>
              <w:top w:val="nil"/>
            </w:tcBorders>
            <w:vAlign w:val="center"/>
          </w:tcPr>
          <w:p w:rsidR="009052E5" w:rsidRPr="003F0647" w:rsidRDefault="009052E5" w:rsidP="009052E5">
            <w:pPr>
              <w:jc w:val="center"/>
              <w:rPr>
                <w:rFonts w:ascii="Times New Roman" w:hAnsi="Times New Roman" w:cs="Times New Roman"/>
                <w:sz w:val="20"/>
              </w:rPr>
            </w:pPr>
            <w:r w:rsidRPr="003F0647">
              <w:rPr>
                <w:rFonts w:ascii="Times New Roman" w:hAnsi="Times New Roman" w:cs="Times New Roman"/>
                <w:color w:val="000000"/>
                <w:sz w:val="20"/>
              </w:rPr>
              <w:t>Over the period 1990 to 2009 monthly returns are calculated for each equally weighted portfolio sorted independently on the book-to-market ratio</w:t>
            </w:r>
            <w:r w:rsidR="00146950">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sidR="00146950">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sidR="00146950">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sidR="00146950">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sidR="00146950">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sidR="001F50B7">
              <w:rPr>
                <w:rFonts w:ascii="Times New Roman" w:hAnsi="Times New Roman" w:cs="Times New Roman"/>
                <w:color w:val="000000"/>
                <w:sz w:val="20"/>
              </w:rPr>
              <w:t xml:space="preserve"> regressed on the large growth dependent variable</w:t>
            </w:r>
            <w:r w:rsidRPr="003F0647">
              <w:rPr>
                <w:rFonts w:ascii="Times New Roman" w:hAnsi="Times New Roman" w:cs="Times New Roman"/>
                <w:color w:val="000000"/>
                <w:sz w:val="20"/>
              </w:rPr>
              <w:t xml:space="preserve">. </w:t>
            </w:r>
            <w:r w:rsidR="00A53F00">
              <w:rPr>
                <w:rFonts w:ascii="Times New Roman" w:hAnsi="Times New Roman" w:cs="Times New Roman"/>
                <w:color w:val="000000"/>
                <w:sz w:val="20"/>
              </w:rPr>
              <w:t xml:space="preserve">The DP, EP, CP, and BTM </w:t>
            </w:r>
            <w:r w:rsidR="00DC4208">
              <w:rPr>
                <w:rFonts w:ascii="Times New Roman" w:hAnsi="Times New Roman" w:cs="Times New Roman"/>
                <w:color w:val="000000"/>
                <w:sz w:val="20"/>
              </w:rPr>
              <w:t xml:space="preserve">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large growth dependent variable consists of large market </w:t>
            </w:r>
            <w:r w:rsidR="00610C8D">
              <w:rPr>
                <w:rFonts w:ascii="Times New Roman" w:hAnsi="Times New Roman" w:cs="Times New Roman"/>
                <w:color w:val="000000"/>
                <w:sz w:val="20"/>
              </w:rPr>
              <w:t>capitalisation</w:t>
            </w:r>
            <w:r w:rsidR="00DC4208">
              <w:rPr>
                <w:rFonts w:ascii="Times New Roman" w:hAnsi="Times New Roman" w:cs="Times New Roman"/>
                <w:color w:val="000000"/>
                <w:sz w:val="20"/>
              </w:rPr>
              <w:t xml:space="preserve"> stocks and low book-to-market stocks. The portfolio of stocks is sorted initially on the market </w:t>
            </w:r>
            <w:r w:rsidR="00610C8D">
              <w:rPr>
                <w:rFonts w:ascii="Times New Roman" w:hAnsi="Times New Roman" w:cs="Times New Roman"/>
                <w:color w:val="000000"/>
                <w:sz w:val="20"/>
              </w:rPr>
              <w:t>capitalisation</w:t>
            </w:r>
            <w:r w:rsidR="00DC4208">
              <w:rPr>
                <w:rFonts w:ascii="Times New Roman" w:hAnsi="Times New Roman" w:cs="Times New Roman"/>
                <w:color w:val="000000"/>
                <w:sz w:val="20"/>
              </w:rPr>
              <w:t xml:space="preserve">, taking the top 50% median split, then on the book-to-market ratio, taking the bottom 50% median split. </w:t>
            </w:r>
          </w:p>
        </w:tc>
      </w:tr>
      <w:tr w:rsidR="00D5064B" w:rsidRPr="00460918" w:rsidTr="000409F6">
        <w:tc>
          <w:tcPr>
            <w:tcW w:w="473" w:type="pct"/>
            <w:tcBorders>
              <w:bottom w:val="single" w:sz="4" w:space="0" w:color="auto"/>
              <w:right w:val="single" w:sz="4" w:space="0" w:color="auto"/>
            </w:tcBorders>
            <w:vAlign w:val="center"/>
          </w:tcPr>
          <w:p w:rsidR="009052E5" w:rsidRPr="003F0647" w:rsidRDefault="009052E5"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9052E5" w:rsidRPr="003F0647" w:rsidRDefault="00D5064B" w:rsidP="009E3756">
            <w:pPr>
              <w:rPr>
                <w:rFonts w:ascii="Times New Roman" w:hAnsi="Times New Roman" w:cs="Times New Roman"/>
                <w:b/>
                <w:color w:val="000000"/>
                <w:sz w:val="18"/>
                <w:szCs w:val="20"/>
              </w:rPr>
            </w:pPr>
            <w:r>
              <w:rPr>
                <w:rFonts w:ascii="Times New Roman" w:hAnsi="Times New Roman" w:cs="Times New Roman"/>
                <w:b/>
                <w:color w:val="000000"/>
                <w:sz w:val="18"/>
                <w:szCs w:val="20"/>
              </w:rPr>
              <w:t xml:space="preserve">Div Yield </w:t>
            </w:r>
            <w:r w:rsidR="009052E5" w:rsidRPr="003F0647">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9052E5" w:rsidRPr="003F0647" w:rsidRDefault="00D5064B" w:rsidP="009E3756">
            <w:pPr>
              <w:rPr>
                <w:rFonts w:ascii="Times New Roman" w:hAnsi="Times New Roman" w:cs="Times New Roman"/>
                <w:b/>
                <w:color w:val="000000"/>
                <w:sz w:val="18"/>
                <w:szCs w:val="20"/>
              </w:rPr>
            </w:pPr>
            <w:r>
              <w:rPr>
                <w:rFonts w:ascii="Times New Roman" w:hAnsi="Times New Roman" w:cs="Times New Roman"/>
                <w:b/>
                <w:color w:val="000000"/>
                <w:sz w:val="18"/>
                <w:szCs w:val="20"/>
              </w:rPr>
              <w:t xml:space="preserve">Div Yield </w:t>
            </w:r>
            <w:r w:rsidR="009052E5" w:rsidRPr="003F0647">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9052E5" w:rsidRPr="003F0647" w:rsidRDefault="009052E5" w:rsidP="009E375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MCap Growth</w:t>
            </w: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4E368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r w:rsidRPr="003F0647">
              <w:rPr>
                <w:rFonts w:ascii="Times New Roman" w:hAnsi="Times New Roman" w:cs="Times New Roman"/>
                <w:b/>
                <w:color w:val="000000"/>
                <w:sz w:val="18"/>
                <w:szCs w:val="20"/>
              </w:rPr>
              <w:t xml:space="preserve"> </w:t>
            </w:r>
          </w:p>
        </w:tc>
        <w:tc>
          <w:tcPr>
            <w:tcW w:w="452" w:type="pct"/>
            <w:tcBorders>
              <w:top w:val="single" w:sz="4" w:space="0" w:color="auto"/>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-0.11</w:t>
            </w: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(-1.83)</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4E3686">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r w:rsidRPr="003F0647">
              <w:rPr>
                <w:rFonts w:ascii="Times New Roman" w:hAnsi="Times New Roman" w:cs="Times New Roman"/>
                <w:b/>
                <w:color w:val="000000"/>
                <w:sz w:val="18"/>
                <w:szCs w:val="20"/>
              </w:rPr>
              <w:t xml:space="preserve">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0.02</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7556E6"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0.49</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-0.98</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(-2.34)*</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-0.81</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(-1.96)</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0.62</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7556E6"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1.14</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0.59</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7556E6"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1.11</w:t>
            </w:r>
            <w:r>
              <w:rPr>
                <w:rFonts w:ascii="Times New Roman" w:hAnsi="Times New Roman" w:cs="Times New Roman"/>
                <w:color w:val="000000"/>
                <w:sz w:val="20"/>
                <w:szCs w:val="18"/>
              </w:rPr>
              <w:t>)</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0.75</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7556E6"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1.76</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0.84</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7556E6"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1.97</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-0.55</w:t>
            </w: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(-8.80)**</w:t>
            </w: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0409F6">
        <w:tc>
          <w:tcPr>
            <w:tcW w:w="473" w:type="pct"/>
            <w:tcBorders>
              <w:top w:val="single" w:sz="4" w:space="0" w:color="auto"/>
              <w:left w:val="single" w:sz="4" w:space="0" w:color="auto"/>
              <w:bottom w:val="nil"/>
              <w:right w:val="single" w:sz="4" w:space="0" w:color="auto"/>
            </w:tcBorders>
            <w:vAlign w:val="center"/>
          </w:tcPr>
          <w:p w:rsidR="000409F6" w:rsidRPr="003F0647" w:rsidRDefault="000409F6" w:rsidP="00F47E3A">
            <w:pPr>
              <w:rPr>
                <w:rFonts w:ascii="Times New Roman" w:hAnsi="Times New Roman" w:cs="Times New Roman"/>
                <w:b/>
                <w:color w:val="000000"/>
                <w:sz w:val="18"/>
                <w:szCs w:val="20"/>
              </w:rPr>
            </w:pPr>
            <w:r w:rsidRPr="003F0647">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0.56</w:t>
            </w:r>
          </w:p>
        </w:tc>
      </w:tr>
      <w:tr w:rsidR="000409F6" w:rsidTr="000409F6">
        <w:tc>
          <w:tcPr>
            <w:tcW w:w="473" w:type="pct"/>
            <w:tcBorders>
              <w:top w:val="nil"/>
              <w:left w:val="single" w:sz="4" w:space="0" w:color="auto"/>
              <w:bottom w:val="single" w:sz="4" w:space="0" w:color="auto"/>
              <w:right w:val="single" w:sz="4" w:space="0" w:color="auto"/>
            </w:tcBorders>
            <w:vAlign w:val="center"/>
          </w:tcPr>
          <w:p w:rsidR="000409F6" w:rsidRPr="003F0647" w:rsidRDefault="000409F6" w:rsidP="00F47E3A">
            <w:pPr>
              <w:rPr>
                <w:rFonts w:ascii="Times New Roman" w:hAnsi="Times New Roman" w:cs="Times New Roman"/>
                <w:color w:val="000000"/>
                <w:sz w:val="18"/>
                <w:szCs w:val="20"/>
              </w:rPr>
            </w:pPr>
            <w:r w:rsidRPr="003F0647">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(6.89)**</w:t>
            </w:r>
          </w:p>
        </w:tc>
      </w:tr>
      <w:tr w:rsidR="00D5064B" w:rsidTr="000409F6">
        <w:tc>
          <w:tcPr>
            <w:tcW w:w="5000" w:type="pct"/>
            <w:gridSpan w:val="11"/>
            <w:tcBorders>
              <w:top w:val="single" w:sz="4" w:space="0" w:color="auto"/>
              <w:left w:val="single" w:sz="4" w:space="0" w:color="auto"/>
              <w:bottom w:val="single" w:sz="4" w:space="0" w:color="auto"/>
              <w:right w:val="single" w:sz="4" w:space="0" w:color="auto"/>
            </w:tcBorders>
            <w:vAlign w:val="center"/>
          </w:tcPr>
          <w:p w:rsidR="00D5064B" w:rsidRDefault="004E3686" w:rsidP="00F47E3A">
            <w:pPr>
              <w:rPr>
                <w:rFonts w:ascii="Times New Roman" w:hAnsi="Times New Roman" w:cs="Times New Roman"/>
                <w:color w:val="000000"/>
                <w:sz w:val="20"/>
                <w:szCs w:val="20"/>
              </w:rPr>
            </w:pPr>
            <w:r>
              <w:rPr>
                <w:rFonts w:ascii="Times New Roman" w:hAnsi="Times New Roman" w:cs="Times New Roman"/>
                <w:color w:val="000000"/>
                <w:sz w:val="20"/>
                <w:szCs w:val="20"/>
              </w:rPr>
              <w:t>*</w:t>
            </w:r>
            <w:r w:rsidR="00D5064B">
              <w:rPr>
                <w:rFonts w:ascii="Times New Roman" w:hAnsi="Times New Roman" w:cs="Times New Roman"/>
                <w:color w:val="000000"/>
                <w:sz w:val="20"/>
                <w:szCs w:val="20"/>
              </w:rPr>
              <w:t>Significant at the 5% level</w:t>
            </w:r>
          </w:p>
          <w:p w:rsidR="00D5064B" w:rsidRPr="00F47E3A" w:rsidRDefault="00D5064B"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9052E5" w:rsidRPr="0012635E" w:rsidRDefault="0012635E" w:rsidP="0012635E">
      <w:pPr>
        <w:pStyle w:val="Caption"/>
        <w:rPr>
          <w:rFonts w:ascii="Times New Roman" w:hAnsi="Times New Roman" w:cs="Times New Roman"/>
          <w:color w:val="FFFFFF" w:themeColor="background1"/>
          <w:sz w:val="24"/>
          <w:szCs w:val="36"/>
        </w:rPr>
      </w:pPr>
      <w:bookmarkStart w:id="62" w:name="_Toc305166532"/>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9</w:t>
      </w:r>
      <w:r w:rsidR="000963F3" w:rsidRPr="0012635E">
        <w:rPr>
          <w:color w:val="FFFFFF" w:themeColor="background1"/>
        </w:rPr>
        <w:fldChar w:fldCharType="end"/>
      </w:r>
      <w:r w:rsidRPr="0012635E">
        <w:rPr>
          <w:color w:val="FFFFFF" w:themeColor="background1"/>
        </w:rPr>
        <w:t xml:space="preserve"> - Regression Results for All Equally Weighted Variables Regressed on Large Growth Dependent Variable</w:t>
      </w:r>
      <w:bookmarkEnd w:id="62"/>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p w:rsidR="00A86AA0" w:rsidRDefault="00A86AA0" w:rsidP="00A02570">
      <w:pPr>
        <w:pStyle w:val="ListParagraph"/>
        <w:spacing w:line="360" w:lineRule="auto"/>
        <w:ind w:left="0"/>
        <w:jc w:val="both"/>
        <w:rPr>
          <w:rFonts w:ascii="Times New Roman" w:hAnsi="Times New Roman" w:cs="Times New Roman"/>
          <w:color w:val="943634" w:themeColor="accent2" w:themeShade="BF"/>
          <w:sz w:val="24"/>
          <w:szCs w:val="36"/>
        </w:rPr>
      </w:pPr>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9052E5" w:rsidRPr="00431232" w:rsidTr="00A86AA0">
        <w:tc>
          <w:tcPr>
            <w:tcW w:w="5000" w:type="pct"/>
            <w:gridSpan w:val="11"/>
            <w:tcBorders>
              <w:bottom w:val="single" w:sz="4" w:space="0" w:color="auto"/>
            </w:tcBorders>
            <w:vAlign w:val="center"/>
          </w:tcPr>
          <w:p w:rsidR="009052E5" w:rsidRPr="00431232" w:rsidRDefault="009052E5" w:rsidP="009052E5">
            <w:pPr>
              <w:jc w:val="center"/>
              <w:rPr>
                <w:rFonts w:ascii="Times New Roman" w:hAnsi="Times New Roman" w:cs="Times New Roman"/>
                <w:sz w:val="24"/>
              </w:rPr>
            </w:pPr>
            <w:r w:rsidRPr="00431232">
              <w:rPr>
                <w:rFonts w:ascii="Times New Roman" w:hAnsi="Times New Roman" w:cs="Times New Roman"/>
                <w:b/>
                <w:bCs/>
                <w:color w:val="000000"/>
                <w:sz w:val="24"/>
              </w:rPr>
              <w:lastRenderedPageBreak/>
              <w:t>Table 1</w:t>
            </w:r>
            <w:r w:rsidR="006D10B2">
              <w:rPr>
                <w:rFonts w:ascii="Times New Roman" w:hAnsi="Times New Roman" w:cs="Times New Roman"/>
                <w:b/>
                <w:bCs/>
                <w:color w:val="000000"/>
                <w:sz w:val="24"/>
              </w:rPr>
              <w:t>0</w:t>
            </w:r>
          </w:p>
        </w:tc>
      </w:tr>
      <w:tr w:rsidR="009052E5" w:rsidRPr="00431232" w:rsidTr="00A86AA0">
        <w:tc>
          <w:tcPr>
            <w:tcW w:w="5000" w:type="pct"/>
            <w:gridSpan w:val="11"/>
            <w:tcBorders>
              <w:top w:val="single" w:sz="4" w:space="0" w:color="auto"/>
              <w:left w:val="single" w:sz="4" w:space="0" w:color="auto"/>
              <w:bottom w:val="nil"/>
              <w:right w:val="single" w:sz="4" w:space="0" w:color="auto"/>
            </w:tcBorders>
            <w:vAlign w:val="center"/>
          </w:tcPr>
          <w:p w:rsidR="009052E5" w:rsidRPr="00431232" w:rsidRDefault="009052E5" w:rsidP="009052E5">
            <w:pPr>
              <w:jc w:val="center"/>
              <w:rPr>
                <w:rFonts w:ascii="Times New Roman" w:hAnsi="Times New Roman" w:cs="Times New Roman"/>
                <w:sz w:val="24"/>
              </w:rPr>
            </w:pPr>
            <w:r w:rsidRPr="00431232">
              <w:rPr>
                <w:rFonts w:ascii="Times New Roman" w:hAnsi="Times New Roman" w:cs="Times New Roman"/>
                <w:b/>
                <w:bCs/>
                <w:color w:val="000000"/>
                <w:sz w:val="24"/>
              </w:rPr>
              <w:t>Regression Results for All Value Weighted Variables Regressed on Large Growth Dependent Variable</w:t>
            </w:r>
          </w:p>
        </w:tc>
      </w:tr>
      <w:tr w:rsidR="009052E5" w:rsidRPr="006236E4" w:rsidTr="00A86AA0">
        <w:tc>
          <w:tcPr>
            <w:tcW w:w="5000" w:type="pct"/>
            <w:gridSpan w:val="11"/>
            <w:tcBorders>
              <w:top w:val="nil"/>
            </w:tcBorders>
            <w:vAlign w:val="center"/>
          </w:tcPr>
          <w:p w:rsidR="009052E5" w:rsidRPr="00431232" w:rsidRDefault="00146950" w:rsidP="00146950">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value</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sidR="001F50B7">
              <w:rPr>
                <w:rFonts w:ascii="Times New Roman" w:hAnsi="Times New Roman" w:cs="Times New Roman"/>
                <w:color w:val="000000"/>
                <w:sz w:val="20"/>
              </w:rPr>
              <w:t xml:space="preserve"> regressed on the large growth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large growth dependent variable consists of large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low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top 50% median split, then on the book-to-market ratio, taking the bottom 50% median split.</w:t>
            </w:r>
            <w:r w:rsidR="009052E5" w:rsidRPr="00431232">
              <w:rPr>
                <w:rFonts w:ascii="Times New Roman" w:hAnsi="Times New Roman" w:cs="Times New Roman"/>
                <w:color w:val="000000"/>
                <w:sz w:val="20"/>
              </w:rPr>
              <w:t xml:space="preserve"> </w:t>
            </w:r>
          </w:p>
        </w:tc>
      </w:tr>
      <w:tr w:rsidR="009E3756" w:rsidRPr="00460918" w:rsidTr="00A86AA0">
        <w:tc>
          <w:tcPr>
            <w:tcW w:w="473" w:type="pct"/>
            <w:tcBorders>
              <w:bottom w:val="single" w:sz="4" w:space="0" w:color="auto"/>
              <w:right w:val="single" w:sz="4" w:space="0" w:color="auto"/>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9052E5" w:rsidRPr="009052E5"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9052E5" w:rsidRPr="009052E5">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9052E5" w:rsidRPr="009052E5"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9052E5" w:rsidRPr="009052E5">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9052E5" w:rsidRPr="009052E5" w:rsidRDefault="009052E5" w:rsidP="009E3756">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MCap Growth</w:t>
            </w:r>
          </w:p>
        </w:tc>
      </w:tr>
      <w:tr w:rsidR="000409F6" w:rsidTr="00A86AA0">
        <w:tc>
          <w:tcPr>
            <w:tcW w:w="473" w:type="pct"/>
            <w:tcBorders>
              <w:top w:val="single" w:sz="4" w:space="0" w:color="auto"/>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single" w:sz="4" w:space="0" w:color="auto"/>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0.05</w:t>
            </w: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single" w:sz="4" w:space="0" w:color="auto"/>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0.77</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0.11</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1.76</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0.19</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1.35</w:t>
            </w:r>
            <w:r>
              <w:rPr>
                <w:rFonts w:ascii="Times New Roman" w:hAnsi="Times New Roman" w:cs="Times New Roman"/>
                <w:color w:val="000000"/>
                <w:sz w:val="20"/>
                <w:szCs w:val="18"/>
              </w:rPr>
              <w:t>)</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0.49</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(2.36)*</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0.07</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0.40</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0.09</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0.45</w:t>
            </w:r>
            <w:r>
              <w:rPr>
                <w:rFonts w:ascii="Times New Roman" w:hAnsi="Times New Roman" w:cs="Times New Roman"/>
                <w:color w:val="000000"/>
                <w:sz w:val="20"/>
                <w:szCs w:val="18"/>
              </w:rPr>
              <w:t>)</w:t>
            </w: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0.11</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1.23</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0.14</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DC122C" w:rsidP="000409F6">
            <w:pPr>
              <w:jc w:val="center"/>
              <w:rPr>
                <w:rFonts w:ascii="Times New Roman" w:hAnsi="Times New Roman" w:cs="Times New Roman"/>
                <w:color w:val="000000"/>
                <w:sz w:val="20"/>
                <w:szCs w:val="18"/>
              </w:rPr>
            </w:pPr>
            <w:r>
              <w:rPr>
                <w:rFonts w:ascii="Times New Roman" w:hAnsi="Times New Roman" w:cs="Times New Roman"/>
                <w:color w:val="000000"/>
                <w:sz w:val="20"/>
                <w:szCs w:val="18"/>
              </w:rPr>
              <w:t>(</w:t>
            </w:r>
            <w:r w:rsidR="000409F6" w:rsidRPr="00A86AA0">
              <w:rPr>
                <w:rFonts w:ascii="Times New Roman" w:hAnsi="Times New Roman" w:cs="Times New Roman"/>
                <w:color w:val="000000"/>
                <w:sz w:val="20"/>
                <w:szCs w:val="18"/>
              </w:rPr>
              <w:t>0.53</w:t>
            </w:r>
            <w:r>
              <w:rPr>
                <w:rFonts w:ascii="Times New Roman" w:hAnsi="Times New Roman" w:cs="Times New Roman"/>
                <w:color w:val="000000"/>
                <w:sz w:val="20"/>
                <w:szCs w:val="18"/>
              </w:rPr>
              <w:t>)</w:t>
            </w: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0.32</w:t>
            </w: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9052E5" w:rsidRDefault="000409F6" w:rsidP="00F47E3A">
            <w:pPr>
              <w:rPr>
                <w:rFonts w:ascii="Times New Roman" w:hAnsi="Times New Roman" w:cs="Times New Roman"/>
                <w:b/>
                <w:color w:val="000000"/>
                <w:sz w:val="18"/>
                <w:szCs w:val="18"/>
              </w:rPr>
            </w:pPr>
            <w:r w:rsidRPr="009052E5">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(7.79)*</w:t>
            </w: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p>
        </w:tc>
      </w:tr>
      <w:tr w:rsidR="000409F6" w:rsidTr="00A86AA0">
        <w:tc>
          <w:tcPr>
            <w:tcW w:w="473" w:type="pct"/>
            <w:tcBorders>
              <w:top w:val="nil"/>
              <w:left w:val="single" w:sz="4" w:space="0" w:color="auto"/>
              <w:bottom w:val="nil"/>
              <w:right w:val="single" w:sz="4" w:space="0" w:color="auto"/>
            </w:tcBorders>
            <w:vAlign w:val="center"/>
          </w:tcPr>
          <w:p w:rsidR="000409F6" w:rsidRPr="00431232" w:rsidRDefault="000409F6" w:rsidP="00F47E3A">
            <w:pPr>
              <w:rPr>
                <w:rFonts w:ascii="Times New Roman" w:hAnsi="Times New Roman" w:cs="Times New Roman"/>
                <w:b/>
                <w:color w:val="000000"/>
                <w:sz w:val="18"/>
                <w:szCs w:val="18"/>
              </w:rPr>
            </w:pPr>
            <w:r w:rsidRPr="00431232">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nil"/>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-0.48</w:t>
            </w:r>
          </w:p>
        </w:tc>
      </w:tr>
      <w:tr w:rsidR="000409F6" w:rsidTr="00A86AA0">
        <w:tc>
          <w:tcPr>
            <w:tcW w:w="473" w:type="pct"/>
            <w:tcBorders>
              <w:top w:val="nil"/>
              <w:left w:val="single" w:sz="4" w:space="0" w:color="auto"/>
              <w:bottom w:val="single" w:sz="4" w:space="0" w:color="auto"/>
              <w:right w:val="single" w:sz="4" w:space="0" w:color="auto"/>
            </w:tcBorders>
            <w:vAlign w:val="center"/>
          </w:tcPr>
          <w:p w:rsidR="000409F6" w:rsidRPr="00431232" w:rsidRDefault="000409F6" w:rsidP="00F47E3A">
            <w:pPr>
              <w:rPr>
                <w:rFonts w:ascii="Times New Roman" w:hAnsi="Times New Roman" w:cs="Times New Roman"/>
                <w:color w:val="000000"/>
                <w:sz w:val="18"/>
                <w:szCs w:val="18"/>
              </w:rPr>
            </w:pPr>
            <w:r w:rsidRPr="00431232">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2"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nil"/>
            </w:tcBorders>
            <w:vAlign w:val="center"/>
          </w:tcPr>
          <w:p w:rsidR="000409F6" w:rsidRPr="00A86AA0" w:rsidRDefault="000409F6" w:rsidP="000409F6">
            <w:pPr>
              <w:jc w:val="center"/>
              <w:rPr>
                <w:rFonts w:ascii="Times New Roman" w:hAnsi="Times New Roman" w:cs="Times New Roman"/>
                <w:color w:val="000000"/>
                <w:sz w:val="20"/>
                <w:szCs w:val="18"/>
              </w:rPr>
            </w:pPr>
          </w:p>
        </w:tc>
        <w:tc>
          <w:tcPr>
            <w:tcW w:w="453" w:type="pct"/>
            <w:tcBorders>
              <w:top w:val="nil"/>
              <w:left w:val="nil"/>
              <w:bottom w:val="single" w:sz="4" w:space="0" w:color="auto"/>
              <w:right w:val="single" w:sz="4" w:space="0" w:color="auto"/>
            </w:tcBorders>
            <w:vAlign w:val="center"/>
          </w:tcPr>
          <w:p w:rsidR="000409F6" w:rsidRPr="00A86AA0" w:rsidRDefault="000409F6" w:rsidP="000409F6">
            <w:pPr>
              <w:jc w:val="center"/>
              <w:rPr>
                <w:rFonts w:ascii="Times New Roman" w:hAnsi="Times New Roman" w:cs="Times New Roman"/>
                <w:color w:val="000000"/>
                <w:sz w:val="20"/>
                <w:szCs w:val="18"/>
              </w:rPr>
            </w:pPr>
            <w:r w:rsidRPr="00A86AA0">
              <w:rPr>
                <w:rFonts w:ascii="Times New Roman" w:hAnsi="Times New Roman" w:cs="Times New Roman"/>
                <w:color w:val="000000"/>
                <w:sz w:val="20"/>
                <w:szCs w:val="18"/>
              </w:rPr>
              <w:t>(-1.57)</w:t>
            </w:r>
          </w:p>
        </w:tc>
      </w:tr>
      <w:tr w:rsidR="00D5064B" w:rsidTr="00A86AA0">
        <w:tc>
          <w:tcPr>
            <w:tcW w:w="5000" w:type="pct"/>
            <w:gridSpan w:val="11"/>
            <w:tcBorders>
              <w:top w:val="single" w:sz="4" w:space="0" w:color="auto"/>
              <w:left w:val="single" w:sz="4" w:space="0" w:color="auto"/>
              <w:bottom w:val="single" w:sz="4" w:space="0" w:color="auto"/>
              <w:right w:val="single" w:sz="4" w:space="0" w:color="auto"/>
            </w:tcBorders>
            <w:vAlign w:val="center"/>
          </w:tcPr>
          <w:p w:rsidR="00D5064B" w:rsidRDefault="00D5064B" w:rsidP="00F47E3A">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D5064B" w:rsidRPr="00F47E3A" w:rsidRDefault="00D5064B"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0409F6" w:rsidRPr="0012635E" w:rsidRDefault="0012635E" w:rsidP="0012635E">
      <w:pPr>
        <w:pStyle w:val="Caption"/>
        <w:rPr>
          <w:rFonts w:ascii="Times New Roman" w:hAnsi="Times New Roman" w:cs="Times New Roman"/>
          <w:color w:val="FFFFFF" w:themeColor="background1"/>
          <w:sz w:val="24"/>
          <w:szCs w:val="36"/>
        </w:rPr>
        <w:sectPr w:rsidR="000409F6" w:rsidRPr="0012635E" w:rsidSect="000409F6">
          <w:pgSz w:w="16838" w:h="11906" w:orient="landscape"/>
          <w:pgMar w:top="1440" w:right="1134" w:bottom="1440" w:left="1440" w:header="709" w:footer="709" w:gutter="0"/>
          <w:cols w:space="708"/>
          <w:docGrid w:linePitch="360"/>
        </w:sectPr>
      </w:pPr>
      <w:bookmarkStart w:id="63" w:name="_Toc305166533"/>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10</w:t>
      </w:r>
      <w:r w:rsidR="000963F3" w:rsidRPr="0012635E">
        <w:rPr>
          <w:color w:val="FFFFFF" w:themeColor="background1"/>
        </w:rPr>
        <w:fldChar w:fldCharType="end"/>
      </w:r>
      <w:r w:rsidRPr="0012635E">
        <w:rPr>
          <w:color w:val="FFFFFF" w:themeColor="background1"/>
        </w:rPr>
        <w:t xml:space="preserve"> - Regression Results for All Value Weighted Variables Regressed on Large Growth Dependent Variable</w:t>
      </w:r>
      <w:bookmarkEnd w:id="63"/>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06259F" w:rsidRPr="0006259F" w:rsidTr="00A86AA0">
        <w:tc>
          <w:tcPr>
            <w:tcW w:w="5000" w:type="pct"/>
            <w:gridSpan w:val="11"/>
            <w:tcBorders>
              <w:bottom w:val="single" w:sz="4" w:space="0" w:color="auto"/>
            </w:tcBorders>
            <w:vAlign w:val="center"/>
          </w:tcPr>
          <w:p w:rsidR="0006259F" w:rsidRPr="0006259F" w:rsidRDefault="0006259F" w:rsidP="0006259F">
            <w:pPr>
              <w:jc w:val="center"/>
              <w:rPr>
                <w:rFonts w:ascii="Times New Roman" w:hAnsi="Times New Roman" w:cs="Times New Roman"/>
                <w:sz w:val="24"/>
              </w:rPr>
            </w:pPr>
            <w:r w:rsidRPr="0006259F">
              <w:rPr>
                <w:rFonts w:ascii="Times New Roman" w:hAnsi="Times New Roman" w:cs="Times New Roman"/>
                <w:b/>
                <w:bCs/>
                <w:color w:val="000000"/>
                <w:sz w:val="24"/>
              </w:rPr>
              <w:lastRenderedPageBreak/>
              <w:t xml:space="preserve">Table </w:t>
            </w:r>
            <w:r w:rsidR="006D10B2">
              <w:rPr>
                <w:rFonts w:ascii="Times New Roman" w:hAnsi="Times New Roman" w:cs="Times New Roman"/>
                <w:b/>
                <w:bCs/>
                <w:color w:val="000000"/>
                <w:sz w:val="24"/>
              </w:rPr>
              <w:t>11</w:t>
            </w:r>
          </w:p>
        </w:tc>
      </w:tr>
      <w:tr w:rsidR="0006259F" w:rsidRPr="0006259F" w:rsidTr="00A86AA0">
        <w:tc>
          <w:tcPr>
            <w:tcW w:w="5000" w:type="pct"/>
            <w:gridSpan w:val="11"/>
            <w:tcBorders>
              <w:top w:val="single" w:sz="4" w:space="0" w:color="auto"/>
              <w:left w:val="single" w:sz="4" w:space="0" w:color="auto"/>
              <w:bottom w:val="nil"/>
              <w:right w:val="single" w:sz="4" w:space="0" w:color="auto"/>
            </w:tcBorders>
            <w:vAlign w:val="center"/>
          </w:tcPr>
          <w:p w:rsidR="0006259F" w:rsidRPr="0006259F" w:rsidRDefault="0006259F" w:rsidP="0006259F">
            <w:pPr>
              <w:jc w:val="center"/>
              <w:rPr>
                <w:rFonts w:ascii="Times New Roman" w:hAnsi="Times New Roman" w:cs="Times New Roman"/>
                <w:sz w:val="24"/>
              </w:rPr>
            </w:pPr>
            <w:r w:rsidRPr="0006259F">
              <w:rPr>
                <w:rFonts w:ascii="Times New Roman" w:hAnsi="Times New Roman" w:cs="Times New Roman"/>
                <w:b/>
                <w:bCs/>
                <w:color w:val="000000"/>
                <w:sz w:val="24"/>
              </w:rPr>
              <w:t>Regression Results for All Equally Weighted Variables Regressed on Large Value Dependent Variable</w:t>
            </w:r>
          </w:p>
        </w:tc>
      </w:tr>
      <w:tr w:rsidR="0006259F" w:rsidRPr="006236E4" w:rsidTr="00A86AA0">
        <w:tc>
          <w:tcPr>
            <w:tcW w:w="5000" w:type="pct"/>
            <w:gridSpan w:val="11"/>
            <w:tcBorders>
              <w:top w:val="nil"/>
            </w:tcBorders>
            <w:vAlign w:val="center"/>
          </w:tcPr>
          <w:p w:rsidR="0006259F" w:rsidRPr="006236E4" w:rsidRDefault="00DE04AD" w:rsidP="00DE04AD">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equally</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large value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large value dependent variable consists of large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high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top 50% median split, then on the book-to-market ratio, taking the top 50% median split.</w:t>
            </w:r>
          </w:p>
        </w:tc>
      </w:tr>
      <w:tr w:rsidR="0006259F" w:rsidRPr="00E518AA" w:rsidTr="00A86AA0">
        <w:tc>
          <w:tcPr>
            <w:tcW w:w="473" w:type="pct"/>
            <w:tcBorders>
              <w:bottom w:val="single" w:sz="4" w:space="0" w:color="auto"/>
              <w:right w:val="single" w:sz="4" w:space="0" w:color="auto"/>
            </w:tcBorders>
            <w:vAlign w:val="bottom"/>
          </w:tcPr>
          <w:p w:rsidR="0006259F" w:rsidRPr="00E518AA" w:rsidRDefault="0006259F" w:rsidP="0006259F">
            <w:pPr>
              <w:jc w:val="center"/>
              <w:rPr>
                <w:rFonts w:ascii="Times New Roman" w:hAnsi="Times New Roman" w:cs="Times New Roman"/>
                <w:b/>
                <w:color w:val="000000"/>
                <w:sz w:val="20"/>
                <w:szCs w:val="18"/>
              </w:rPr>
            </w:pPr>
            <w:r w:rsidRPr="00E518AA">
              <w:rPr>
                <w:rFonts w:ascii="Times New Roman" w:hAnsi="Times New Roman" w:cs="Times New Roman"/>
                <w:b/>
                <w:color w:val="000000"/>
                <w:sz w:val="20"/>
                <w:szCs w:val="20"/>
              </w:rPr>
              <w:t> </w:t>
            </w:r>
          </w:p>
        </w:tc>
        <w:tc>
          <w:tcPr>
            <w:tcW w:w="452" w:type="pct"/>
            <w:tcBorders>
              <w:top w:val="single" w:sz="4" w:space="0" w:color="auto"/>
              <w:left w:val="single" w:sz="4" w:space="0" w:color="auto"/>
              <w:bottom w:val="single" w:sz="4" w:space="0" w:color="auto"/>
              <w:right w:val="nil"/>
            </w:tcBorders>
            <w:vAlign w:val="center"/>
          </w:tcPr>
          <w:p w:rsidR="0006259F" w:rsidRPr="009E3756" w:rsidRDefault="009E3756"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 xml:space="preserve">Div Yield </w:t>
            </w:r>
            <w:r w:rsidR="0006259F" w:rsidRPr="009E3756">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06259F" w:rsidRPr="009E3756" w:rsidRDefault="009E3756"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 xml:space="preserve">Div Yield </w:t>
            </w:r>
            <w:r w:rsidR="0006259F" w:rsidRPr="009E3756">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06259F" w:rsidRPr="009E3756" w:rsidRDefault="0006259F" w:rsidP="009E3756">
            <w:pPr>
              <w:rPr>
                <w:rFonts w:ascii="Times New Roman" w:hAnsi="Times New Roman" w:cs="Times New Roman"/>
                <w:b/>
                <w:color w:val="000000"/>
                <w:sz w:val="18"/>
                <w:szCs w:val="18"/>
              </w:rPr>
            </w:pPr>
            <w:r w:rsidRPr="009E3756">
              <w:rPr>
                <w:rFonts w:ascii="Times New Roman" w:hAnsi="Times New Roman" w:cs="Times New Roman"/>
                <w:b/>
                <w:color w:val="000000"/>
                <w:sz w:val="18"/>
                <w:szCs w:val="20"/>
              </w:rPr>
              <w:t>MCap Growth</w:t>
            </w:r>
          </w:p>
        </w:tc>
      </w:tr>
      <w:tr w:rsidR="00A86AA0" w:rsidTr="00A86AA0">
        <w:tc>
          <w:tcPr>
            <w:tcW w:w="473" w:type="pct"/>
            <w:tcBorders>
              <w:top w:val="single" w:sz="4" w:space="0" w:color="auto"/>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Pr>
                <w:rFonts w:ascii="Times New Roman" w:hAnsi="Times New Roman" w:cs="Times New Roman"/>
                <w:b/>
                <w:color w:val="000000"/>
                <w:sz w:val="18"/>
                <w:szCs w:val="20"/>
              </w:rPr>
              <w:t>Div Yield</w:t>
            </w:r>
          </w:p>
        </w:tc>
        <w:tc>
          <w:tcPr>
            <w:tcW w:w="452" w:type="pct"/>
            <w:tcBorders>
              <w:top w:val="single" w:sz="4" w:space="0" w:color="auto"/>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0.22</w:t>
            </w: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(3.20)**</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-0.00</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(-0.04)</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0.58</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1.17</w:t>
            </w:r>
            <w:r>
              <w:rPr>
                <w:rFonts w:ascii="Times New Roman" w:hAnsi="Times New Roman" w:cs="Times New Roman"/>
                <w:color w:val="000000"/>
                <w:sz w:val="20"/>
                <w:szCs w:val="20"/>
              </w:rPr>
              <w:t>)</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0.28</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0.56</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-0.38</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(-0.59)</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-0.44</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(-0.70)</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0.43</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0.86</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0.41</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0.82</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-0.37</w:t>
            </w: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(-4.99)**</w:t>
            </w: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center"/>
          </w:tcPr>
          <w:p w:rsidR="00A86AA0" w:rsidRPr="00936B2A" w:rsidRDefault="00A86AA0" w:rsidP="00BC2FC6">
            <w:pPr>
              <w:rPr>
                <w:rFonts w:ascii="Times New Roman" w:hAnsi="Times New Roman" w:cs="Times New Roman"/>
                <w:b/>
                <w:color w:val="000000"/>
                <w:sz w:val="18"/>
                <w:szCs w:val="18"/>
              </w:rPr>
            </w:pPr>
            <w:r w:rsidRPr="00936B2A">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0.37</w:t>
            </w:r>
          </w:p>
        </w:tc>
      </w:tr>
      <w:tr w:rsidR="00A86AA0" w:rsidTr="00A86AA0">
        <w:tc>
          <w:tcPr>
            <w:tcW w:w="473" w:type="pct"/>
            <w:tcBorders>
              <w:top w:val="nil"/>
              <w:left w:val="single" w:sz="4" w:space="0" w:color="auto"/>
              <w:bottom w:val="single" w:sz="4" w:space="0" w:color="auto"/>
              <w:right w:val="single" w:sz="4" w:space="0" w:color="auto"/>
            </w:tcBorders>
            <w:vAlign w:val="center"/>
          </w:tcPr>
          <w:p w:rsidR="00A86AA0" w:rsidRPr="00936B2A" w:rsidRDefault="00A86AA0" w:rsidP="00BC2FC6">
            <w:pPr>
              <w:rPr>
                <w:rFonts w:ascii="Times New Roman" w:hAnsi="Times New Roman" w:cs="Times New Roman"/>
                <w:color w:val="000000"/>
                <w:sz w:val="18"/>
                <w:szCs w:val="18"/>
              </w:rPr>
            </w:pPr>
            <w:r w:rsidRPr="00936B2A">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(3.88)**</w:t>
            </w:r>
          </w:p>
        </w:tc>
      </w:tr>
      <w:tr w:rsidR="00D5064B" w:rsidTr="00A86AA0">
        <w:tc>
          <w:tcPr>
            <w:tcW w:w="5000" w:type="pct"/>
            <w:gridSpan w:val="11"/>
            <w:tcBorders>
              <w:top w:val="single" w:sz="4" w:space="0" w:color="auto"/>
              <w:left w:val="single" w:sz="4" w:space="0" w:color="auto"/>
              <w:bottom w:val="single" w:sz="4" w:space="0" w:color="auto"/>
              <w:right w:val="single" w:sz="4" w:space="0" w:color="auto"/>
            </w:tcBorders>
            <w:vAlign w:val="center"/>
          </w:tcPr>
          <w:p w:rsidR="00D5064B" w:rsidRDefault="00D5064B" w:rsidP="00F47E3A">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D5064B" w:rsidRPr="00F47E3A" w:rsidRDefault="00D5064B"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9052E5" w:rsidRPr="0012635E" w:rsidRDefault="0012635E" w:rsidP="0012635E">
      <w:pPr>
        <w:pStyle w:val="Caption"/>
        <w:rPr>
          <w:rFonts w:ascii="Times New Roman" w:hAnsi="Times New Roman" w:cs="Times New Roman"/>
          <w:color w:val="FFFFFF" w:themeColor="background1"/>
          <w:sz w:val="24"/>
          <w:szCs w:val="36"/>
        </w:rPr>
      </w:pPr>
      <w:bookmarkStart w:id="64" w:name="_Toc305166534"/>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11</w:t>
      </w:r>
      <w:r w:rsidR="000963F3" w:rsidRPr="0012635E">
        <w:rPr>
          <w:color w:val="FFFFFF" w:themeColor="background1"/>
        </w:rPr>
        <w:fldChar w:fldCharType="end"/>
      </w:r>
      <w:r w:rsidRPr="0012635E">
        <w:rPr>
          <w:color w:val="FFFFFF" w:themeColor="background1"/>
        </w:rPr>
        <w:t xml:space="preserve"> - Regression Results for All Equally Weighted Variables Regressed on Large Value Dependent Variable</w:t>
      </w:r>
      <w:bookmarkEnd w:id="64"/>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6D10B2" w:rsidRPr="0034705A" w:rsidTr="00A86AA0">
        <w:tc>
          <w:tcPr>
            <w:tcW w:w="5000" w:type="pct"/>
            <w:gridSpan w:val="11"/>
            <w:tcBorders>
              <w:bottom w:val="single" w:sz="4" w:space="0" w:color="auto"/>
            </w:tcBorders>
            <w:vAlign w:val="center"/>
          </w:tcPr>
          <w:p w:rsidR="006D10B2" w:rsidRPr="00570A61" w:rsidRDefault="006D10B2" w:rsidP="006D10B2">
            <w:pPr>
              <w:jc w:val="center"/>
              <w:rPr>
                <w:rFonts w:ascii="Times New Roman" w:hAnsi="Times New Roman" w:cs="Times New Roman"/>
                <w:sz w:val="24"/>
              </w:rPr>
            </w:pPr>
            <w:r>
              <w:rPr>
                <w:rFonts w:ascii="Times New Roman" w:hAnsi="Times New Roman" w:cs="Times New Roman"/>
                <w:b/>
                <w:bCs/>
                <w:color w:val="000000"/>
                <w:sz w:val="24"/>
              </w:rPr>
              <w:lastRenderedPageBreak/>
              <w:t xml:space="preserve">Table </w:t>
            </w:r>
            <w:r w:rsidRPr="00570A61">
              <w:rPr>
                <w:rFonts w:ascii="Times New Roman" w:hAnsi="Times New Roman" w:cs="Times New Roman"/>
                <w:b/>
                <w:bCs/>
                <w:color w:val="000000"/>
                <w:sz w:val="24"/>
              </w:rPr>
              <w:t>1</w:t>
            </w:r>
            <w:r>
              <w:rPr>
                <w:rFonts w:ascii="Times New Roman" w:hAnsi="Times New Roman" w:cs="Times New Roman"/>
                <w:b/>
                <w:bCs/>
                <w:color w:val="000000"/>
                <w:sz w:val="24"/>
              </w:rPr>
              <w:t>2</w:t>
            </w:r>
          </w:p>
        </w:tc>
      </w:tr>
      <w:tr w:rsidR="006D10B2" w:rsidRPr="0034705A" w:rsidTr="00A86AA0">
        <w:tc>
          <w:tcPr>
            <w:tcW w:w="5000" w:type="pct"/>
            <w:gridSpan w:val="11"/>
            <w:tcBorders>
              <w:top w:val="single" w:sz="4" w:space="0" w:color="auto"/>
              <w:left w:val="single" w:sz="4" w:space="0" w:color="auto"/>
              <w:bottom w:val="nil"/>
              <w:right w:val="single" w:sz="4" w:space="0" w:color="auto"/>
            </w:tcBorders>
            <w:vAlign w:val="center"/>
          </w:tcPr>
          <w:p w:rsidR="006D10B2" w:rsidRPr="00570A61" w:rsidRDefault="006D10B2" w:rsidP="006D10B2">
            <w:pPr>
              <w:jc w:val="center"/>
              <w:rPr>
                <w:rFonts w:ascii="Times New Roman" w:hAnsi="Times New Roman" w:cs="Times New Roman"/>
                <w:sz w:val="24"/>
              </w:rPr>
            </w:pPr>
            <w:r w:rsidRPr="00570A61">
              <w:rPr>
                <w:rFonts w:ascii="Times New Roman" w:hAnsi="Times New Roman" w:cs="Times New Roman"/>
                <w:b/>
                <w:bCs/>
                <w:color w:val="000000"/>
                <w:sz w:val="24"/>
              </w:rPr>
              <w:t>Regression Results for All Value Weighted Variables Regressed on Large Value Dependent Variable</w:t>
            </w:r>
          </w:p>
        </w:tc>
      </w:tr>
      <w:tr w:rsidR="006D10B2" w:rsidRPr="006236E4" w:rsidTr="00A86AA0">
        <w:tc>
          <w:tcPr>
            <w:tcW w:w="5000" w:type="pct"/>
            <w:gridSpan w:val="11"/>
            <w:tcBorders>
              <w:top w:val="nil"/>
            </w:tcBorders>
            <w:vAlign w:val="center"/>
          </w:tcPr>
          <w:p w:rsidR="006D10B2" w:rsidRPr="00570A61" w:rsidRDefault="006D10B2" w:rsidP="006D10B2">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value</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large value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large value dependent variable consists of large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high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top 50% median split, then on the book-to-market ratio, taking the top 50% median split.</w:t>
            </w:r>
          </w:p>
        </w:tc>
      </w:tr>
      <w:tr w:rsidR="006D10B2" w:rsidRPr="00460918" w:rsidTr="00A86AA0">
        <w:tc>
          <w:tcPr>
            <w:tcW w:w="473" w:type="pct"/>
            <w:tcBorders>
              <w:bottom w:val="single" w:sz="4" w:space="0" w:color="auto"/>
              <w:right w:val="single" w:sz="4" w:space="0" w:color="auto"/>
            </w:tcBorders>
            <w:vAlign w:val="bottom"/>
          </w:tcPr>
          <w:p w:rsidR="006D10B2" w:rsidRPr="00570A61" w:rsidRDefault="006D10B2" w:rsidP="006D10B2">
            <w:pPr>
              <w:jc w:val="cente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570A61">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570A61">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6D10B2" w:rsidRPr="00570A61" w:rsidRDefault="006D10B2"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MCap Growth</w:t>
            </w:r>
          </w:p>
        </w:tc>
      </w:tr>
      <w:tr w:rsidR="00A86AA0" w:rsidTr="00A86AA0">
        <w:tc>
          <w:tcPr>
            <w:tcW w:w="473" w:type="pct"/>
            <w:tcBorders>
              <w:top w:val="single" w:sz="4" w:space="0" w:color="auto"/>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single" w:sz="4" w:space="0" w:color="auto"/>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0.03</w:t>
            </w: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single" w:sz="4" w:space="0" w:color="auto"/>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0.52</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0.13</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(2.23)*</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0.43</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(3.19)**</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0.45</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(2.20)*</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0.37</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(2.30)*</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0.19</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0.92</w:t>
            </w:r>
            <w:r>
              <w:rPr>
                <w:rFonts w:ascii="Times New Roman" w:hAnsi="Times New Roman" w:cs="Times New Roman"/>
                <w:color w:val="000000"/>
                <w:sz w:val="20"/>
                <w:szCs w:val="20"/>
              </w:rPr>
              <w:t>)</w:t>
            </w: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0.12</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DC122C" w:rsidP="00A86AA0">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A86AA0" w:rsidRPr="00A86AA0">
              <w:rPr>
                <w:rFonts w:ascii="Times New Roman" w:hAnsi="Times New Roman" w:cs="Times New Roman"/>
                <w:color w:val="000000"/>
                <w:sz w:val="20"/>
                <w:szCs w:val="20"/>
              </w:rPr>
              <w:t>1.31</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-0.49</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(-1.85)</w:t>
            </w: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0.31</w:t>
            </w: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(7.50)**</w:t>
            </w: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p>
        </w:tc>
      </w:tr>
      <w:tr w:rsidR="00A86AA0" w:rsidTr="00A86AA0">
        <w:tc>
          <w:tcPr>
            <w:tcW w:w="473" w:type="pct"/>
            <w:tcBorders>
              <w:top w:val="nil"/>
              <w:left w:val="single" w:sz="4" w:space="0" w:color="auto"/>
              <w:bottom w:val="nil"/>
              <w:right w:val="single" w:sz="4" w:space="0" w:color="auto"/>
            </w:tcBorders>
            <w:vAlign w:val="bottom"/>
          </w:tcPr>
          <w:p w:rsidR="00A86AA0" w:rsidRPr="00570A61" w:rsidRDefault="00A86AA0" w:rsidP="006D10B2">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nil"/>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-0.52</w:t>
            </w:r>
          </w:p>
        </w:tc>
      </w:tr>
      <w:tr w:rsidR="00A86AA0" w:rsidTr="00A86AA0">
        <w:tc>
          <w:tcPr>
            <w:tcW w:w="473" w:type="pct"/>
            <w:tcBorders>
              <w:top w:val="nil"/>
              <w:left w:val="single" w:sz="4" w:space="0" w:color="auto"/>
              <w:bottom w:val="single" w:sz="4" w:space="0" w:color="auto"/>
              <w:right w:val="single" w:sz="4" w:space="0" w:color="auto"/>
            </w:tcBorders>
            <w:vAlign w:val="bottom"/>
          </w:tcPr>
          <w:p w:rsidR="00A86AA0" w:rsidRPr="00570A61" w:rsidRDefault="00A86AA0" w:rsidP="006D10B2">
            <w:pPr>
              <w:rPr>
                <w:rFonts w:ascii="Times New Roman" w:hAnsi="Times New Roman" w:cs="Times New Roman"/>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2"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nil"/>
            </w:tcBorders>
            <w:vAlign w:val="center"/>
          </w:tcPr>
          <w:p w:rsidR="00A86AA0" w:rsidRPr="00A86AA0" w:rsidRDefault="00A86AA0" w:rsidP="00A86AA0">
            <w:pPr>
              <w:jc w:val="center"/>
              <w:rPr>
                <w:rFonts w:ascii="Times New Roman" w:hAnsi="Times New Roman" w:cs="Times New Roman"/>
                <w:color w:val="000000"/>
                <w:sz w:val="20"/>
                <w:szCs w:val="20"/>
              </w:rPr>
            </w:pPr>
          </w:p>
        </w:tc>
        <w:tc>
          <w:tcPr>
            <w:tcW w:w="453" w:type="pct"/>
            <w:tcBorders>
              <w:top w:val="nil"/>
              <w:left w:val="nil"/>
              <w:bottom w:val="single" w:sz="4" w:space="0" w:color="auto"/>
              <w:right w:val="single" w:sz="4" w:space="0" w:color="auto"/>
            </w:tcBorders>
            <w:vAlign w:val="center"/>
          </w:tcPr>
          <w:p w:rsidR="00A86AA0" w:rsidRPr="00A86AA0" w:rsidRDefault="00A86AA0" w:rsidP="00A86AA0">
            <w:pPr>
              <w:jc w:val="center"/>
              <w:rPr>
                <w:rFonts w:ascii="Times New Roman" w:hAnsi="Times New Roman" w:cs="Times New Roman"/>
                <w:color w:val="000000"/>
                <w:sz w:val="20"/>
                <w:szCs w:val="20"/>
              </w:rPr>
            </w:pPr>
            <w:r w:rsidRPr="00A86AA0">
              <w:rPr>
                <w:rFonts w:ascii="Times New Roman" w:hAnsi="Times New Roman" w:cs="Times New Roman"/>
                <w:color w:val="000000"/>
                <w:sz w:val="20"/>
                <w:szCs w:val="20"/>
              </w:rPr>
              <w:t>(-1.69)</w:t>
            </w:r>
          </w:p>
        </w:tc>
      </w:tr>
      <w:tr w:rsidR="006D10B2" w:rsidTr="00A86AA0">
        <w:tc>
          <w:tcPr>
            <w:tcW w:w="5000" w:type="pct"/>
            <w:gridSpan w:val="11"/>
            <w:tcBorders>
              <w:top w:val="single" w:sz="4" w:space="0" w:color="auto"/>
              <w:left w:val="single" w:sz="4" w:space="0" w:color="auto"/>
              <w:bottom w:val="single" w:sz="4" w:space="0" w:color="auto"/>
              <w:right w:val="single" w:sz="4" w:space="0" w:color="auto"/>
            </w:tcBorders>
            <w:vAlign w:val="center"/>
          </w:tcPr>
          <w:p w:rsidR="006D10B2" w:rsidRDefault="006D10B2" w:rsidP="006D10B2">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6D10B2" w:rsidRPr="00F47E3A" w:rsidRDefault="006D10B2"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A86AA0" w:rsidRPr="0012635E" w:rsidRDefault="0012635E" w:rsidP="0012635E">
      <w:pPr>
        <w:pStyle w:val="Caption"/>
        <w:rPr>
          <w:rFonts w:ascii="Times New Roman" w:hAnsi="Times New Roman" w:cs="Times New Roman"/>
          <w:color w:val="FFFFFF" w:themeColor="background1"/>
          <w:sz w:val="24"/>
          <w:szCs w:val="36"/>
        </w:rPr>
        <w:sectPr w:rsidR="00A86AA0" w:rsidRPr="0012635E" w:rsidSect="00A86AA0">
          <w:pgSz w:w="16838" w:h="11906" w:orient="landscape"/>
          <w:pgMar w:top="1440" w:right="1134" w:bottom="1440" w:left="1440" w:header="709" w:footer="709" w:gutter="0"/>
          <w:cols w:space="708"/>
          <w:docGrid w:linePitch="360"/>
        </w:sectPr>
      </w:pPr>
      <w:bookmarkStart w:id="65" w:name="_Toc305166535"/>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12</w:t>
      </w:r>
      <w:r w:rsidR="000963F3" w:rsidRPr="0012635E">
        <w:rPr>
          <w:color w:val="FFFFFF" w:themeColor="background1"/>
        </w:rPr>
        <w:fldChar w:fldCharType="end"/>
      </w:r>
      <w:r w:rsidRPr="0012635E">
        <w:rPr>
          <w:color w:val="FFFFFF" w:themeColor="background1"/>
        </w:rPr>
        <w:t xml:space="preserve"> - </w:t>
      </w:r>
      <w:r w:rsidRPr="00D95616">
        <w:rPr>
          <w:color w:val="FFFFFF" w:themeColor="background1"/>
        </w:rPr>
        <w:t>Regression Results for All Value Weighted Variables Regressed on Large Value Dependent Variabl</w:t>
      </w:r>
      <w:r w:rsidR="008B084D" w:rsidRPr="008B084D">
        <w:rPr>
          <w:color w:val="FFFFFF" w:themeColor="background1"/>
        </w:rPr>
        <w:t>e</w:t>
      </w:r>
      <w:bookmarkEnd w:id="65"/>
    </w:p>
    <w:p w:rsidR="00F750E1" w:rsidRDefault="00F750E1" w:rsidP="009976E7">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lastRenderedPageBreak/>
        <w:t xml:space="preserve">The value weighted independent variables are regressed on the small growth dependent variable in Table 14. Again one looks for positive coefficients on the growth fundamental-to-price variables and a negative coefficient on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 Starting the discussion with the two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there is a positive association of the value portfolio with the small growth dependent variable. The coefficient on the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is 0.87798 and it is statistically significant at the 1% level.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however, also has a positive coefficient (0.36497) when the expectation was a negative coefficient. This positive coefficient result is not statistically significant. The value portfolios sorted on dividend yield and the C/P ratio have negative coefficients of -0.35668 and -0.20434 respectively. The former portfolio’s coefficient is statistically significant at the 5% level, while the latter portfolio’s coefficient is not statistically significant. Even though these two value portfolios have negative coefficients, their growth counterparts also have negative coefficients. This has the possible implication that the D/P and C/P sorted portfolios are inversely related to small growth portfolios as a while, and no</w:t>
      </w:r>
      <w:r w:rsidR="00837215">
        <w:rPr>
          <w:rFonts w:ascii="Times New Roman" w:hAnsi="Times New Roman" w:cs="Times New Roman"/>
          <w:sz w:val="24"/>
          <w:szCs w:val="36"/>
        </w:rPr>
        <w:t>t</w:t>
      </w:r>
      <w:r>
        <w:rPr>
          <w:rFonts w:ascii="Times New Roman" w:hAnsi="Times New Roman" w:cs="Times New Roman"/>
          <w:sz w:val="24"/>
          <w:szCs w:val="36"/>
        </w:rPr>
        <w:t xml:space="preserve"> simply when they are value when the dependent variable is growth. </w:t>
      </w:r>
    </w:p>
    <w:p w:rsidR="00F750E1" w:rsidRDefault="00F750E1" w:rsidP="009976E7">
      <w:pPr>
        <w:pStyle w:val="ListParagraph"/>
        <w:spacing w:line="360" w:lineRule="auto"/>
        <w:ind w:left="0"/>
        <w:jc w:val="both"/>
        <w:rPr>
          <w:rFonts w:ascii="Times New Roman" w:hAnsi="Times New Roman" w:cs="Times New Roman"/>
          <w:sz w:val="24"/>
          <w:szCs w:val="36"/>
        </w:rPr>
      </w:pPr>
    </w:p>
    <w:p w:rsidR="00F750E1" w:rsidRDefault="00F750E1" w:rsidP="00F750E1">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Table 15 provides the regression results of the equally weighted independent variables regressed on the small value portfolio. The expectation for this table and Table 16 is that the value portfolios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will have a positive coefficient. Furthermore, the value portfolios sorted on D/P, C/P, E/P, and BTM will have positive coefficients as the small value dependent variable is made up of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high (value) BTM stocks. The statistically significant negative coefficients of the dividend yield sorted value portfolio (-0.40297) at the 1% level and the C/P sorted</w:t>
      </w:r>
      <w:r w:rsidR="00E41864">
        <w:rPr>
          <w:rFonts w:ascii="Times New Roman" w:hAnsi="Times New Roman" w:cs="Times New Roman"/>
          <w:sz w:val="24"/>
          <w:szCs w:val="36"/>
        </w:rPr>
        <w:t xml:space="preserve"> value</w:t>
      </w:r>
      <w:r>
        <w:rPr>
          <w:rFonts w:ascii="Times New Roman" w:hAnsi="Times New Roman" w:cs="Times New Roman"/>
          <w:sz w:val="24"/>
          <w:szCs w:val="36"/>
        </w:rPr>
        <w:t xml:space="preserve"> portfolio (-1.75237) at the 5% level do not conform to the expectations. </w:t>
      </w:r>
      <w:r w:rsidR="00E41864">
        <w:rPr>
          <w:rFonts w:ascii="Times New Roman" w:hAnsi="Times New Roman" w:cs="Times New Roman"/>
          <w:sz w:val="24"/>
          <w:szCs w:val="36"/>
        </w:rPr>
        <w:t xml:space="preserve">It is expected that these coefficients would be positive, indicating a positive relationship with the high BTM stocks included in the dependent portfolio. A simple explanation for this negative coefficient is that these two variables are negatively related to the small market </w:t>
      </w:r>
      <w:r w:rsidR="00610C8D">
        <w:rPr>
          <w:rFonts w:ascii="Times New Roman" w:hAnsi="Times New Roman" w:cs="Times New Roman"/>
          <w:sz w:val="24"/>
          <w:szCs w:val="36"/>
        </w:rPr>
        <w:t>capitalisation</w:t>
      </w:r>
      <w:r w:rsidR="00E41864">
        <w:rPr>
          <w:rFonts w:ascii="Times New Roman" w:hAnsi="Times New Roman" w:cs="Times New Roman"/>
          <w:sz w:val="24"/>
          <w:szCs w:val="36"/>
        </w:rPr>
        <w:t xml:space="preserve"> stocks. In this case, it is possible that small </w:t>
      </w:r>
      <w:r w:rsidR="00610C8D">
        <w:rPr>
          <w:rFonts w:ascii="Times New Roman" w:hAnsi="Times New Roman" w:cs="Times New Roman"/>
          <w:sz w:val="24"/>
          <w:szCs w:val="36"/>
        </w:rPr>
        <w:t>capitalisation</w:t>
      </w:r>
      <w:r w:rsidR="00E41864">
        <w:rPr>
          <w:rFonts w:ascii="Times New Roman" w:hAnsi="Times New Roman" w:cs="Times New Roman"/>
          <w:sz w:val="24"/>
          <w:szCs w:val="36"/>
        </w:rPr>
        <w:t xml:space="preserve"> stocks are not value, or in fact, the high C/P and D/P ratios do not capture any sort of value premium in stock returns. </w:t>
      </w:r>
      <w:r>
        <w:rPr>
          <w:rFonts w:ascii="Times New Roman" w:hAnsi="Times New Roman" w:cs="Times New Roman"/>
          <w:sz w:val="24"/>
          <w:szCs w:val="36"/>
        </w:rPr>
        <w:t>However, the E/P sorted value portfolio and BTM sorted value portfolio have positive coefficients of 0.84734 and 2.1515 respectively.</w:t>
      </w:r>
    </w:p>
    <w:p w:rsidR="005F2CD2" w:rsidRDefault="005F2CD2" w:rsidP="009154A4">
      <w:pPr>
        <w:jc w:val="center"/>
        <w:rPr>
          <w:rFonts w:ascii="Times New Roman" w:hAnsi="Times New Roman" w:cs="Times New Roman"/>
          <w:b/>
          <w:bCs/>
          <w:color w:val="000000"/>
          <w:sz w:val="24"/>
        </w:rPr>
        <w:sectPr w:rsidR="005F2CD2" w:rsidSect="00905FD2">
          <w:pgSz w:w="11906" w:h="16838"/>
          <w:pgMar w:top="1134" w:right="1440" w:bottom="1440" w:left="1440" w:header="708" w:footer="708" w:gutter="0"/>
          <w:cols w:space="708"/>
          <w:docGrid w:linePitch="360"/>
        </w:sectPr>
      </w:pPr>
    </w:p>
    <w:tbl>
      <w:tblPr>
        <w:tblStyle w:val="TableGrid"/>
        <w:tblW w:w="5000" w:type="pct"/>
        <w:tblLook w:val="04A0"/>
      </w:tblPr>
      <w:tblGrid>
        <w:gridCol w:w="1369"/>
        <w:gridCol w:w="1132"/>
        <w:gridCol w:w="177"/>
        <w:gridCol w:w="1153"/>
        <w:gridCol w:w="159"/>
        <w:gridCol w:w="1170"/>
        <w:gridCol w:w="142"/>
        <w:gridCol w:w="1187"/>
        <w:gridCol w:w="122"/>
        <w:gridCol w:w="1208"/>
        <w:gridCol w:w="104"/>
        <w:gridCol w:w="1225"/>
        <w:gridCol w:w="87"/>
        <w:gridCol w:w="1242"/>
        <w:gridCol w:w="67"/>
        <w:gridCol w:w="1263"/>
        <w:gridCol w:w="49"/>
        <w:gridCol w:w="1254"/>
        <w:gridCol w:w="1370"/>
      </w:tblGrid>
      <w:tr w:rsidR="009154A4" w:rsidRPr="006236E4" w:rsidTr="005F2CD2">
        <w:tc>
          <w:tcPr>
            <w:tcW w:w="5000" w:type="pct"/>
            <w:gridSpan w:val="19"/>
            <w:tcBorders>
              <w:bottom w:val="single" w:sz="4" w:space="0" w:color="auto"/>
            </w:tcBorders>
            <w:vAlign w:val="center"/>
          </w:tcPr>
          <w:p w:rsidR="009154A4" w:rsidRPr="0034705A" w:rsidRDefault="009154A4" w:rsidP="009154A4">
            <w:pPr>
              <w:jc w:val="center"/>
              <w:rPr>
                <w:rFonts w:ascii="Times New Roman" w:hAnsi="Times New Roman" w:cs="Times New Roman"/>
                <w:sz w:val="24"/>
              </w:rPr>
            </w:pPr>
            <w:r w:rsidRPr="0034705A">
              <w:rPr>
                <w:rFonts w:ascii="Times New Roman" w:hAnsi="Times New Roman" w:cs="Times New Roman"/>
                <w:b/>
                <w:bCs/>
                <w:color w:val="000000"/>
                <w:sz w:val="24"/>
              </w:rPr>
              <w:lastRenderedPageBreak/>
              <w:t xml:space="preserve">Table </w:t>
            </w:r>
            <w:r w:rsidR="006D10B2">
              <w:rPr>
                <w:rFonts w:ascii="Times New Roman" w:hAnsi="Times New Roman" w:cs="Times New Roman"/>
                <w:b/>
                <w:bCs/>
                <w:color w:val="000000"/>
                <w:sz w:val="24"/>
              </w:rPr>
              <w:t>13</w:t>
            </w:r>
          </w:p>
        </w:tc>
      </w:tr>
      <w:tr w:rsidR="009154A4" w:rsidRPr="0034705A" w:rsidTr="005F2CD2">
        <w:tc>
          <w:tcPr>
            <w:tcW w:w="5000" w:type="pct"/>
            <w:gridSpan w:val="19"/>
            <w:tcBorders>
              <w:top w:val="single" w:sz="4" w:space="0" w:color="auto"/>
              <w:left w:val="single" w:sz="4" w:space="0" w:color="auto"/>
              <w:bottom w:val="nil"/>
              <w:right w:val="single" w:sz="4" w:space="0" w:color="auto"/>
            </w:tcBorders>
            <w:vAlign w:val="center"/>
          </w:tcPr>
          <w:p w:rsidR="009154A4" w:rsidRPr="0034705A" w:rsidRDefault="009154A4" w:rsidP="009154A4">
            <w:pPr>
              <w:jc w:val="center"/>
              <w:rPr>
                <w:rFonts w:ascii="Times New Roman" w:hAnsi="Times New Roman" w:cs="Times New Roman"/>
                <w:sz w:val="24"/>
              </w:rPr>
            </w:pPr>
            <w:r w:rsidRPr="0034705A">
              <w:rPr>
                <w:rFonts w:ascii="Times New Roman" w:hAnsi="Times New Roman" w:cs="Times New Roman"/>
                <w:b/>
                <w:bCs/>
                <w:color w:val="000000"/>
                <w:sz w:val="24"/>
              </w:rPr>
              <w:t>Regression Results for All Equally Weighted Variables Regressed on Small Growth Dependent Variable</w:t>
            </w:r>
          </w:p>
        </w:tc>
      </w:tr>
      <w:tr w:rsidR="009154A4" w:rsidRPr="006236E4" w:rsidTr="005F2CD2">
        <w:tc>
          <w:tcPr>
            <w:tcW w:w="5000" w:type="pct"/>
            <w:gridSpan w:val="19"/>
            <w:tcBorders>
              <w:top w:val="nil"/>
            </w:tcBorders>
            <w:vAlign w:val="center"/>
          </w:tcPr>
          <w:p w:rsidR="009154A4" w:rsidRPr="00A45FF0" w:rsidRDefault="00786F08" w:rsidP="00786F08">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equally</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small growth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small growth dependent variable consists of small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low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bottom 50% median split, then on the book-to-market ratio, taking the bottom 50% median split.</w:t>
            </w:r>
          </w:p>
        </w:tc>
      </w:tr>
      <w:tr w:rsidR="009154A4" w:rsidRPr="00460918" w:rsidTr="005F2CD2">
        <w:tc>
          <w:tcPr>
            <w:tcW w:w="473" w:type="pct"/>
            <w:tcBorders>
              <w:bottom w:val="single" w:sz="4" w:space="0" w:color="auto"/>
              <w:right w:val="single" w:sz="4" w:space="0" w:color="auto"/>
            </w:tcBorders>
            <w:vAlign w:val="bottom"/>
          </w:tcPr>
          <w:p w:rsidR="009154A4" w:rsidRPr="00A45FF0" w:rsidRDefault="009154A4" w:rsidP="009154A4">
            <w:pPr>
              <w:jc w:val="cente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w:t>
            </w:r>
          </w:p>
        </w:tc>
        <w:tc>
          <w:tcPr>
            <w:tcW w:w="452" w:type="pct"/>
            <w:gridSpan w:val="2"/>
            <w:tcBorders>
              <w:top w:val="single" w:sz="4" w:space="0" w:color="auto"/>
              <w:left w:val="single" w:sz="4" w:space="0" w:color="auto"/>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A45FF0">
              <w:rPr>
                <w:rFonts w:ascii="Times New Roman" w:hAnsi="Times New Roman" w:cs="Times New Roman"/>
                <w:b/>
                <w:color w:val="000000"/>
                <w:sz w:val="18"/>
                <w:szCs w:val="20"/>
              </w:rPr>
              <w:t>Value</w:t>
            </w:r>
          </w:p>
        </w:tc>
        <w:tc>
          <w:tcPr>
            <w:tcW w:w="453"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A45FF0">
              <w:rPr>
                <w:rFonts w:ascii="Times New Roman" w:hAnsi="Times New Roman" w:cs="Times New Roman"/>
                <w:b/>
                <w:color w:val="000000"/>
                <w:sz w:val="18"/>
                <w:szCs w:val="20"/>
              </w:rPr>
              <w:t>Growth</w:t>
            </w:r>
          </w:p>
        </w:tc>
        <w:tc>
          <w:tcPr>
            <w:tcW w:w="453"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EP Value</w:t>
            </w:r>
          </w:p>
        </w:tc>
        <w:tc>
          <w:tcPr>
            <w:tcW w:w="452"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EP Growth</w:t>
            </w:r>
          </w:p>
        </w:tc>
        <w:tc>
          <w:tcPr>
            <w:tcW w:w="453"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CP Value</w:t>
            </w:r>
          </w:p>
        </w:tc>
        <w:tc>
          <w:tcPr>
            <w:tcW w:w="453"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CP Growth</w:t>
            </w:r>
          </w:p>
        </w:tc>
        <w:tc>
          <w:tcPr>
            <w:tcW w:w="452"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BTM Value</w:t>
            </w:r>
          </w:p>
        </w:tc>
        <w:tc>
          <w:tcPr>
            <w:tcW w:w="453" w:type="pct"/>
            <w:gridSpan w:val="2"/>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BTM Growth</w:t>
            </w:r>
          </w:p>
        </w:tc>
        <w:tc>
          <w:tcPr>
            <w:tcW w:w="433" w:type="pct"/>
            <w:tcBorders>
              <w:top w:val="single" w:sz="4" w:space="0" w:color="auto"/>
              <w:left w:val="nil"/>
              <w:bottom w:val="single" w:sz="4" w:space="0" w:color="auto"/>
              <w:right w:val="nil"/>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MCap Value</w:t>
            </w:r>
          </w:p>
        </w:tc>
        <w:tc>
          <w:tcPr>
            <w:tcW w:w="473" w:type="pct"/>
            <w:tcBorders>
              <w:top w:val="single" w:sz="4" w:space="0" w:color="auto"/>
              <w:left w:val="nil"/>
              <w:bottom w:val="single" w:sz="4" w:space="0" w:color="auto"/>
              <w:right w:val="single" w:sz="4" w:space="0" w:color="auto"/>
            </w:tcBorders>
            <w:vAlign w:val="center"/>
          </w:tcPr>
          <w:p w:rsidR="009154A4" w:rsidRPr="00A45FF0" w:rsidRDefault="009154A4"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MCap Growth</w:t>
            </w:r>
          </w:p>
        </w:tc>
      </w:tr>
      <w:tr w:rsidR="005F2CD2" w:rsidRPr="005F2CD2" w:rsidTr="00DC122C">
        <w:tc>
          <w:tcPr>
            <w:tcW w:w="473" w:type="pct"/>
            <w:tcBorders>
              <w:top w:val="single" w:sz="4" w:space="0" w:color="auto"/>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gridSpan w:val="2"/>
            <w:tcBorders>
              <w:top w:val="single" w:sz="4" w:space="0" w:color="auto"/>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0.55</w:t>
            </w:r>
          </w:p>
        </w:tc>
        <w:tc>
          <w:tcPr>
            <w:tcW w:w="453" w:type="pct"/>
            <w:gridSpan w:val="2"/>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single" w:sz="4" w:space="0" w:color="auto"/>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single" w:sz="4" w:space="0" w:color="auto"/>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33" w:type="pct"/>
            <w:tcBorders>
              <w:top w:val="single" w:sz="4" w:space="0" w:color="auto"/>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73" w:type="pct"/>
            <w:tcBorders>
              <w:top w:val="single" w:sz="4" w:space="0" w:color="auto"/>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Value</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(3.63)**</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rPr>
          <w:trHeight w:val="301"/>
        </w:trPr>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-0.13</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Growth</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(-1.43)</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EP </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-0.36</w:t>
            </w: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Value</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(-0.33)</w:t>
            </w: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EP </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-0.09</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Growth</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(-0.08)</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CP </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1.52</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Value</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1.08</w:t>
            </w:r>
            <w:r>
              <w:rPr>
                <w:rFonts w:ascii="Times New Roman" w:hAnsi="Times New Roman" w:cs="Times New Roman"/>
                <w:color w:val="000000"/>
                <w:sz w:val="18"/>
                <w:szCs w:val="18"/>
              </w:rPr>
              <w:t>)</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CP </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2.96</w:t>
            </w: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Growth</w:t>
            </w:r>
          </w:p>
        </w:tc>
        <w:tc>
          <w:tcPr>
            <w:tcW w:w="452" w:type="pct"/>
            <w:gridSpan w:val="2"/>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(2.13)*</w:t>
            </w: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33" w:type="pct"/>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BTM </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-1.79</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Value</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(-1.62)</w:t>
            </w: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BTM </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-0.94</w:t>
            </w: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Growth</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(-0.85)</w:t>
            </w: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MCap </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0.53</w:t>
            </w: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Value</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(3.24)**</w:t>
            </w:r>
          </w:p>
        </w:tc>
        <w:tc>
          <w:tcPr>
            <w:tcW w:w="473" w:type="pct"/>
            <w:tcBorders>
              <w:top w:val="nil"/>
              <w:left w:val="nil"/>
              <w:bottom w:val="nil"/>
              <w:right w:val="single" w:sz="4" w:space="0" w:color="auto"/>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r>
      <w:tr w:rsidR="005F2CD2" w:rsidRPr="005F2CD2" w:rsidTr="00DC122C">
        <w:tc>
          <w:tcPr>
            <w:tcW w:w="473" w:type="pct"/>
            <w:tcBorders>
              <w:top w:val="nil"/>
              <w:left w:val="single" w:sz="4" w:space="0" w:color="auto"/>
              <w:bottom w:val="nil"/>
              <w:right w:val="single" w:sz="4" w:space="0" w:color="auto"/>
            </w:tcBorders>
            <w:vAlign w:val="center"/>
          </w:tcPr>
          <w:p w:rsidR="005F2CD2" w:rsidRPr="00A45FF0" w:rsidRDefault="005F2CD2" w:rsidP="009154A4">
            <w:pPr>
              <w:rPr>
                <w:rFonts w:ascii="Times New Roman" w:hAnsi="Times New Roman" w:cs="Times New Roman"/>
                <w:b/>
                <w:color w:val="000000"/>
                <w:sz w:val="18"/>
                <w:szCs w:val="18"/>
              </w:rPr>
            </w:pPr>
            <w:r w:rsidRPr="00A45FF0">
              <w:rPr>
                <w:rFonts w:ascii="Times New Roman" w:hAnsi="Times New Roman" w:cs="Times New Roman"/>
                <w:b/>
                <w:color w:val="000000"/>
                <w:sz w:val="18"/>
                <w:szCs w:val="20"/>
              </w:rPr>
              <w:t xml:space="preserve">MCap </w:t>
            </w:r>
          </w:p>
        </w:tc>
        <w:tc>
          <w:tcPr>
            <w:tcW w:w="452" w:type="pct"/>
            <w:gridSpan w:val="2"/>
            <w:tcBorders>
              <w:top w:val="nil"/>
              <w:left w:val="single" w:sz="4" w:space="0" w:color="auto"/>
              <w:bottom w:val="nil"/>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bottom"/>
          </w:tcPr>
          <w:p w:rsidR="005F2CD2" w:rsidRPr="005F2CD2" w:rsidRDefault="005F2CD2">
            <w:pPr>
              <w:jc w:val="center"/>
              <w:rPr>
                <w:rFonts w:ascii="Times New Roman" w:hAnsi="Times New Roman" w:cs="Times New Roman"/>
                <w:color w:val="000000"/>
                <w:sz w:val="18"/>
                <w:szCs w:val="18"/>
              </w:rPr>
            </w:pPr>
          </w:p>
        </w:tc>
        <w:tc>
          <w:tcPr>
            <w:tcW w:w="452"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gridSpan w:val="2"/>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3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7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-1.13</w:t>
            </w:r>
          </w:p>
        </w:tc>
      </w:tr>
      <w:tr w:rsidR="005F2CD2" w:rsidRPr="005F2CD2" w:rsidTr="00DC122C">
        <w:tc>
          <w:tcPr>
            <w:tcW w:w="473" w:type="pct"/>
            <w:tcBorders>
              <w:top w:val="nil"/>
              <w:left w:val="single" w:sz="4" w:space="0" w:color="auto"/>
              <w:bottom w:val="single" w:sz="4" w:space="0" w:color="auto"/>
              <w:right w:val="single" w:sz="4" w:space="0" w:color="auto"/>
            </w:tcBorders>
            <w:vAlign w:val="center"/>
          </w:tcPr>
          <w:p w:rsidR="005F2CD2" w:rsidRPr="00A45FF0" w:rsidRDefault="005F2CD2" w:rsidP="009154A4">
            <w:pPr>
              <w:rPr>
                <w:rFonts w:ascii="Times New Roman" w:hAnsi="Times New Roman" w:cs="Times New Roman"/>
                <w:color w:val="000000"/>
                <w:sz w:val="18"/>
                <w:szCs w:val="18"/>
              </w:rPr>
            </w:pPr>
            <w:r w:rsidRPr="00A45FF0">
              <w:rPr>
                <w:rFonts w:ascii="Times New Roman" w:hAnsi="Times New Roman" w:cs="Times New Roman"/>
                <w:b/>
                <w:color w:val="000000"/>
                <w:sz w:val="18"/>
                <w:szCs w:val="20"/>
              </w:rPr>
              <w:t>Growth</w:t>
            </w:r>
          </w:p>
        </w:tc>
        <w:tc>
          <w:tcPr>
            <w:tcW w:w="391" w:type="pct"/>
            <w:tcBorders>
              <w:top w:val="nil"/>
              <w:left w:val="single" w:sz="4" w:space="0" w:color="auto"/>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9"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50" w:type="pct"/>
            <w:gridSpan w:val="2"/>
            <w:tcBorders>
              <w:top w:val="nil"/>
              <w:left w:val="nil"/>
              <w:bottom w:val="single" w:sz="4" w:space="0" w:color="auto"/>
              <w:right w:val="nil"/>
            </w:tcBorders>
            <w:vAlign w:val="bottom"/>
          </w:tcPr>
          <w:p w:rsidR="005F2CD2" w:rsidRPr="005F2CD2" w:rsidRDefault="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 </w:t>
            </w:r>
          </w:p>
        </w:tc>
        <w:tc>
          <w:tcPr>
            <w:tcW w:w="473" w:type="pct"/>
            <w:tcBorders>
              <w:top w:val="nil"/>
              <w:left w:val="nil"/>
              <w:bottom w:val="single" w:sz="4" w:space="0" w:color="auto"/>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(-5.33)**</w:t>
            </w:r>
          </w:p>
        </w:tc>
      </w:tr>
      <w:tr w:rsidR="009154A4" w:rsidTr="005F2CD2">
        <w:tc>
          <w:tcPr>
            <w:tcW w:w="5000" w:type="pct"/>
            <w:gridSpan w:val="19"/>
            <w:tcBorders>
              <w:top w:val="single" w:sz="4" w:space="0" w:color="auto"/>
              <w:left w:val="single" w:sz="4" w:space="0" w:color="auto"/>
              <w:bottom w:val="single" w:sz="4" w:space="0" w:color="auto"/>
              <w:right w:val="single" w:sz="4" w:space="0" w:color="auto"/>
            </w:tcBorders>
            <w:vAlign w:val="center"/>
          </w:tcPr>
          <w:p w:rsidR="009154A4" w:rsidRDefault="009154A4" w:rsidP="009154A4">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9154A4" w:rsidRPr="00F47E3A" w:rsidRDefault="009154A4"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DC122C" w:rsidRPr="0012635E" w:rsidRDefault="0012635E" w:rsidP="0012635E">
      <w:pPr>
        <w:pStyle w:val="Caption"/>
        <w:rPr>
          <w:color w:val="FFFFFF" w:themeColor="background1"/>
        </w:rPr>
      </w:pPr>
      <w:bookmarkStart w:id="66" w:name="_Toc305166536"/>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13</w:t>
      </w:r>
      <w:r w:rsidR="000963F3" w:rsidRPr="0012635E">
        <w:rPr>
          <w:color w:val="FFFFFF" w:themeColor="background1"/>
        </w:rPr>
        <w:fldChar w:fldCharType="end"/>
      </w:r>
      <w:r w:rsidRPr="0012635E">
        <w:rPr>
          <w:color w:val="FFFFFF" w:themeColor="background1"/>
        </w:rPr>
        <w:t xml:space="preserve"> - Regression Results for All Equally Weighted Variables Regressed on Small Growth Dependent Variable</w:t>
      </w:r>
      <w:bookmarkEnd w:id="66"/>
    </w:p>
    <w:p w:rsidR="00DC122C" w:rsidRDefault="00DC122C"/>
    <w:p w:rsidR="00DC122C" w:rsidRDefault="00DC122C"/>
    <w:p w:rsidR="00DC122C" w:rsidRDefault="00DC122C"/>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9154A4" w:rsidRPr="0034705A" w:rsidTr="005F2CD2">
        <w:tc>
          <w:tcPr>
            <w:tcW w:w="5000" w:type="pct"/>
            <w:gridSpan w:val="11"/>
            <w:tcBorders>
              <w:bottom w:val="single" w:sz="4" w:space="0" w:color="auto"/>
            </w:tcBorders>
            <w:vAlign w:val="center"/>
          </w:tcPr>
          <w:p w:rsidR="009154A4" w:rsidRPr="00F0066D" w:rsidRDefault="006D10B2" w:rsidP="006D10B2">
            <w:pPr>
              <w:jc w:val="center"/>
              <w:rPr>
                <w:rFonts w:ascii="Times New Roman" w:hAnsi="Times New Roman" w:cs="Times New Roman"/>
                <w:sz w:val="24"/>
              </w:rPr>
            </w:pPr>
            <w:r>
              <w:rPr>
                <w:rFonts w:ascii="Times New Roman" w:hAnsi="Times New Roman" w:cs="Times New Roman"/>
                <w:b/>
                <w:bCs/>
                <w:color w:val="000000"/>
                <w:sz w:val="24"/>
              </w:rPr>
              <w:lastRenderedPageBreak/>
              <w:t>Table 14</w:t>
            </w:r>
          </w:p>
        </w:tc>
      </w:tr>
      <w:tr w:rsidR="009154A4" w:rsidRPr="0034705A" w:rsidTr="005F2CD2">
        <w:tc>
          <w:tcPr>
            <w:tcW w:w="5000" w:type="pct"/>
            <w:gridSpan w:val="11"/>
            <w:tcBorders>
              <w:top w:val="single" w:sz="4" w:space="0" w:color="auto"/>
              <w:left w:val="single" w:sz="4" w:space="0" w:color="auto"/>
              <w:bottom w:val="nil"/>
              <w:right w:val="single" w:sz="4" w:space="0" w:color="auto"/>
            </w:tcBorders>
            <w:vAlign w:val="center"/>
          </w:tcPr>
          <w:p w:rsidR="009154A4" w:rsidRPr="00F0066D" w:rsidRDefault="009154A4" w:rsidP="009154A4">
            <w:pPr>
              <w:jc w:val="center"/>
              <w:rPr>
                <w:rFonts w:ascii="Times New Roman" w:hAnsi="Times New Roman" w:cs="Times New Roman"/>
                <w:sz w:val="24"/>
              </w:rPr>
            </w:pPr>
            <w:r w:rsidRPr="00F0066D">
              <w:rPr>
                <w:rFonts w:ascii="Times New Roman" w:hAnsi="Times New Roman" w:cs="Times New Roman"/>
                <w:b/>
                <w:bCs/>
                <w:color w:val="000000"/>
                <w:sz w:val="24"/>
              </w:rPr>
              <w:t>Regression Results for All Value Weighted Variables Regressed on Small Growth Dependent Variable</w:t>
            </w:r>
          </w:p>
        </w:tc>
      </w:tr>
      <w:tr w:rsidR="009154A4" w:rsidRPr="006236E4" w:rsidTr="005F2CD2">
        <w:tc>
          <w:tcPr>
            <w:tcW w:w="5000" w:type="pct"/>
            <w:gridSpan w:val="11"/>
            <w:tcBorders>
              <w:top w:val="nil"/>
            </w:tcBorders>
            <w:vAlign w:val="center"/>
          </w:tcPr>
          <w:p w:rsidR="009154A4" w:rsidRPr="00F0066D" w:rsidRDefault="004D5951" w:rsidP="004D5951">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value</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small growth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small growth dependent variable consists of small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low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bottom 50% median split, then on the book-to-market ratio, taking the bottom 50% median split.</w:t>
            </w:r>
          </w:p>
        </w:tc>
      </w:tr>
      <w:tr w:rsidR="009154A4" w:rsidRPr="00460918" w:rsidTr="005F2CD2">
        <w:tc>
          <w:tcPr>
            <w:tcW w:w="473" w:type="pct"/>
            <w:tcBorders>
              <w:bottom w:val="single" w:sz="4" w:space="0" w:color="auto"/>
              <w:right w:val="single" w:sz="4" w:space="0" w:color="auto"/>
            </w:tcBorders>
            <w:vAlign w:val="bottom"/>
          </w:tcPr>
          <w:p w:rsidR="009154A4" w:rsidRPr="00F0066D" w:rsidRDefault="009154A4" w:rsidP="009154A4">
            <w:pPr>
              <w:jc w:val="cente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F0066D">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Pr="00F0066D">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9154A4" w:rsidRPr="00F0066D" w:rsidRDefault="009154A4"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MCap Growth</w:t>
            </w:r>
          </w:p>
        </w:tc>
      </w:tr>
      <w:tr w:rsidR="005F2CD2" w:rsidTr="00DC122C">
        <w:tc>
          <w:tcPr>
            <w:tcW w:w="473" w:type="pct"/>
            <w:tcBorders>
              <w:top w:val="single" w:sz="4" w:space="0" w:color="auto"/>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single" w:sz="4" w:space="0" w:color="auto"/>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-0.36</w:t>
            </w: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single" w:sz="4" w:space="0" w:color="auto"/>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(-1.98)*</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-0.07</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(-0.41)</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0.05</w:t>
            </w: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0.14</w:t>
            </w:r>
            <w:r>
              <w:rPr>
                <w:rFonts w:ascii="Times New Roman" w:hAnsi="Times New Roman" w:cs="Times New Roman"/>
                <w:color w:val="000000"/>
                <w:sz w:val="18"/>
                <w:szCs w:val="18"/>
              </w:rPr>
              <w:t>)</w:t>
            </w: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0.46</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0.80</w:t>
            </w:r>
            <w:r>
              <w:rPr>
                <w:rFonts w:ascii="Times New Roman" w:hAnsi="Times New Roman" w:cs="Times New Roman"/>
                <w:color w:val="000000"/>
                <w:sz w:val="18"/>
                <w:szCs w:val="18"/>
              </w:rPr>
              <w:t>)</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-0.20</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(-0.45)</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-0.61</w:t>
            </w: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(-1.04)</w:t>
            </w: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0.31</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1.21</w:t>
            </w:r>
            <w:r>
              <w:rPr>
                <w:rFonts w:ascii="Times New Roman" w:hAnsi="Times New Roman" w:cs="Times New Roman"/>
                <w:color w:val="000000"/>
                <w:sz w:val="18"/>
                <w:szCs w:val="18"/>
              </w:rPr>
              <w:t>)</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0.55</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0.74</w:t>
            </w:r>
            <w:r>
              <w:rPr>
                <w:rFonts w:ascii="Times New Roman" w:hAnsi="Times New Roman" w:cs="Times New Roman"/>
                <w:color w:val="000000"/>
                <w:sz w:val="18"/>
                <w:szCs w:val="18"/>
              </w:rPr>
              <w:t>)</w:t>
            </w: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0.88</w:t>
            </w: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Valu</w:t>
            </w:r>
            <w:r>
              <w:rPr>
                <w:rFonts w:ascii="Times New Roman" w:hAnsi="Times New Roman" w:cs="Times New Roman"/>
                <w:b/>
                <w:color w:val="000000"/>
                <w:sz w:val="18"/>
                <w:szCs w:val="20"/>
              </w:rPr>
              <w:t>e</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(7.61)**</w:t>
            </w: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p>
        </w:tc>
      </w:tr>
      <w:tr w:rsidR="005F2CD2" w:rsidTr="00DC122C">
        <w:tc>
          <w:tcPr>
            <w:tcW w:w="473" w:type="pct"/>
            <w:tcBorders>
              <w:top w:val="nil"/>
              <w:left w:val="single" w:sz="4" w:space="0" w:color="auto"/>
              <w:bottom w:val="nil"/>
              <w:right w:val="single" w:sz="4" w:space="0" w:color="auto"/>
            </w:tcBorders>
            <w:vAlign w:val="center"/>
          </w:tcPr>
          <w:p w:rsidR="005F2CD2" w:rsidRPr="00F0066D" w:rsidRDefault="005F2CD2" w:rsidP="009154A4">
            <w:pPr>
              <w:rPr>
                <w:rFonts w:ascii="Times New Roman" w:hAnsi="Times New Roman" w:cs="Times New Roman"/>
                <w:b/>
                <w:color w:val="000000"/>
                <w:sz w:val="18"/>
                <w:szCs w:val="18"/>
              </w:rPr>
            </w:pPr>
            <w:r w:rsidRPr="00F0066D">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DC122C">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0.36</w:t>
            </w:r>
          </w:p>
        </w:tc>
      </w:tr>
      <w:tr w:rsidR="005F2CD2" w:rsidTr="00DC122C">
        <w:tc>
          <w:tcPr>
            <w:tcW w:w="473" w:type="pct"/>
            <w:tcBorders>
              <w:top w:val="nil"/>
              <w:left w:val="single" w:sz="4" w:space="0" w:color="auto"/>
              <w:bottom w:val="single" w:sz="4" w:space="0" w:color="auto"/>
              <w:right w:val="single" w:sz="4" w:space="0" w:color="auto"/>
            </w:tcBorders>
            <w:vAlign w:val="center"/>
          </w:tcPr>
          <w:p w:rsidR="005F2CD2" w:rsidRPr="00F0066D" w:rsidRDefault="005F2CD2" w:rsidP="009154A4">
            <w:pPr>
              <w:rPr>
                <w:rFonts w:ascii="Times New Roman" w:hAnsi="Times New Roman" w:cs="Times New Roman"/>
                <w:color w:val="000000"/>
                <w:sz w:val="18"/>
                <w:szCs w:val="18"/>
              </w:rPr>
            </w:pPr>
            <w:r w:rsidRPr="00F0066D">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DC122C">
            <w:pPr>
              <w:jc w:val="center"/>
              <w:rPr>
                <w:rFonts w:ascii="Times New Roman" w:hAnsi="Times New Roman" w:cs="Times New Roman"/>
                <w:color w:val="000000"/>
                <w:sz w:val="18"/>
                <w:szCs w:val="18"/>
              </w:rPr>
            </w:pPr>
          </w:p>
        </w:tc>
        <w:tc>
          <w:tcPr>
            <w:tcW w:w="453" w:type="pct"/>
            <w:tcBorders>
              <w:top w:val="nil"/>
              <w:left w:val="nil"/>
              <w:bottom w:val="single" w:sz="4" w:space="0" w:color="auto"/>
              <w:right w:val="single" w:sz="4" w:space="0" w:color="auto"/>
            </w:tcBorders>
            <w:vAlign w:val="center"/>
          </w:tcPr>
          <w:p w:rsidR="005F2CD2" w:rsidRPr="005F2CD2" w:rsidRDefault="00DC122C" w:rsidP="00DC122C">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0.42</w:t>
            </w:r>
            <w:r>
              <w:rPr>
                <w:rFonts w:ascii="Times New Roman" w:hAnsi="Times New Roman" w:cs="Times New Roman"/>
                <w:color w:val="000000"/>
                <w:sz w:val="18"/>
                <w:szCs w:val="18"/>
              </w:rPr>
              <w:t>)</w:t>
            </w:r>
          </w:p>
        </w:tc>
      </w:tr>
      <w:tr w:rsidR="009154A4" w:rsidTr="005F2CD2">
        <w:tc>
          <w:tcPr>
            <w:tcW w:w="5000" w:type="pct"/>
            <w:gridSpan w:val="11"/>
            <w:tcBorders>
              <w:top w:val="single" w:sz="4" w:space="0" w:color="auto"/>
              <w:left w:val="single" w:sz="4" w:space="0" w:color="auto"/>
              <w:bottom w:val="single" w:sz="4" w:space="0" w:color="auto"/>
              <w:right w:val="single" w:sz="4" w:space="0" w:color="auto"/>
            </w:tcBorders>
            <w:vAlign w:val="center"/>
          </w:tcPr>
          <w:p w:rsidR="009154A4" w:rsidRDefault="009154A4" w:rsidP="009154A4">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9154A4" w:rsidRPr="00F47E3A" w:rsidRDefault="009154A4"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5F2CD2" w:rsidRPr="0012635E" w:rsidRDefault="0012635E" w:rsidP="0012635E">
      <w:pPr>
        <w:pStyle w:val="Caption"/>
        <w:rPr>
          <w:rFonts w:ascii="Times New Roman" w:hAnsi="Times New Roman" w:cs="Times New Roman"/>
          <w:color w:val="FFFFFF" w:themeColor="background1"/>
          <w:sz w:val="24"/>
        </w:rPr>
        <w:sectPr w:rsidR="005F2CD2" w:rsidRPr="0012635E" w:rsidSect="005F2CD2">
          <w:pgSz w:w="16838" w:h="11906" w:orient="landscape"/>
          <w:pgMar w:top="1276" w:right="1134" w:bottom="1440" w:left="1440" w:header="709" w:footer="709" w:gutter="0"/>
          <w:cols w:space="708"/>
          <w:docGrid w:linePitch="360"/>
        </w:sectPr>
      </w:pPr>
      <w:bookmarkStart w:id="67" w:name="_Toc305166537"/>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14</w:t>
      </w:r>
      <w:r w:rsidR="000963F3" w:rsidRPr="0012635E">
        <w:rPr>
          <w:color w:val="FFFFFF" w:themeColor="background1"/>
        </w:rPr>
        <w:fldChar w:fldCharType="end"/>
      </w:r>
      <w:r w:rsidRPr="0012635E">
        <w:rPr>
          <w:color w:val="FFFFFF" w:themeColor="background1"/>
        </w:rPr>
        <w:t xml:space="preserve"> - Regression Results for All Value Weighted Variables Regressed on Small Growth Dependent Variable</w:t>
      </w:r>
      <w:bookmarkEnd w:id="67"/>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06259F" w:rsidRPr="00570A61" w:rsidTr="005F2CD2">
        <w:tc>
          <w:tcPr>
            <w:tcW w:w="5000" w:type="pct"/>
            <w:gridSpan w:val="11"/>
            <w:tcBorders>
              <w:bottom w:val="single" w:sz="4" w:space="0" w:color="auto"/>
            </w:tcBorders>
            <w:vAlign w:val="center"/>
          </w:tcPr>
          <w:p w:rsidR="0006259F" w:rsidRPr="00570A61" w:rsidRDefault="006D10B2" w:rsidP="006D10B2">
            <w:pPr>
              <w:jc w:val="center"/>
              <w:rPr>
                <w:rFonts w:ascii="Times New Roman" w:hAnsi="Times New Roman" w:cs="Times New Roman"/>
                <w:sz w:val="24"/>
              </w:rPr>
            </w:pPr>
            <w:r>
              <w:rPr>
                <w:rFonts w:ascii="Times New Roman" w:hAnsi="Times New Roman" w:cs="Times New Roman"/>
                <w:b/>
                <w:bCs/>
                <w:color w:val="000000"/>
                <w:sz w:val="24"/>
              </w:rPr>
              <w:lastRenderedPageBreak/>
              <w:t>Table 15</w:t>
            </w:r>
          </w:p>
        </w:tc>
      </w:tr>
      <w:tr w:rsidR="0006259F" w:rsidRPr="00570A61" w:rsidTr="005F2CD2">
        <w:tc>
          <w:tcPr>
            <w:tcW w:w="5000" w:type="pct"/>
            <w:gridSpan w:val="11"/>
            <w:tcBorders>
              <w:top w:val="single" w:sz="4" w:space="0" w:color="auto"/>
              <w:left w:val="single" w:sz="4" w:space="0" w:color="auto"/>
              <w:bottom w:val="nil"/>
              <w:right w:val="single" w:sz="4" w:space="0" w:color="auto"/>
            </w:tcBorders>
            <w:vAlign w:val="center"/>
          </w:tcPr>
          <w:p w:rsidR="0006259F" w:rsidRPr="00570A61" w:rsidRDefault="0006259F" w:rsidP="0006259F">
            <w:pPr>
              <w:jc w:val="center"/>
              <w:rPr>
                <w:rFonts w:ascii="Times New Roman" w:hAnsi="Times New Roman" w:cs="Times New Roman"/>
                <w:sz w:val="24"/>
              </w:rPr>
            </w:pPr>
            <w:r w:rsidRPr="00570A61">
              <w:rPr>
                <w:rFonts w:ascii="Times New Roman" w:hAnsi="Times New Roman" w:cs="Times New Roman"/>
                <w:b/>
                <w:bCs/>
                <w:color w:val="000000"/>
                <w:sz w:val="24"/>
              </w:rPr>
              <w:t>Regression Results for All Equally Weighted Variables Regressed on Small Value Dependent Variable</w:t>
            </w:r>
          </w:p>
        </w:tc>
      </w:tr>
      <w:tr w:rsidR="0006259F" w:rsidRPr="006236E4" w:rsidTr="005F2CD2">
        <w:tc>
          <w:tcPr>
            <w:tcW w:w="5000" w:type="pct"/>
            <w:gridSpan w:val="11"/>
            <w:tcBorders>
              <w:top w:val="nil"/>
            </w:tcBorders>
            <w:vAlign w:val="center"/>
          </w:tcPr>
          <w:p w:rsidR="0006259F" w:rsidRPr="00570A61" w:rsidRDefault="00B241C2" w:rsidP="000576F0">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Pr>
                <w:rFonts w:ascii="Times New Roman" w:hAnsi="Times New Roman" w:cs="Times New Roman"/>
                <w:color w:val="000000"/>
                <w:sz w:val="20"/>
              </w:rPr>
              <w:t>equally</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small value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small </w:t>
            </w:r>
            <w:r w:rsidR="000576F0">
              <w:rPr>
                <w:rFonts w:ascii="Times New Roman" w:hAnsi="Times New Roman" w:cs="Times New Roman"/>
                <w:color w:val="000000"/>
                <w:sz w:val="20"/>
              </w:rPr>
              <w:t>value</w:t>
            </w:r>
            <w:r>
              <w:rPr>
                <w:rFonts w:ascii="Times New Roman" w:hAnsi="Times New Roman" w:cs="Times New Roman"/>
                <w:color w:val="000000"/>
                <w:sz w:val="20"/>
              </w:rPr>
              <w:t xml:space="preserve"> dependent variable consists of small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high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taking the bottom 50% median split, then on the book-to-market ratio, taking the </w:t>
            </w:r>
            <w:r w:rsidR="00F400DD">
              <w:rPr>
                <w:rFonts w:ascii="Times New Roman" w:hAnsi="Times New Roman" w:cs="Times New Roman"/>
                <w:color w:val="000000"/>
                <w:sz w:val="20"/>
              </w:rPr>
              <w:t>top</w:t>
            </w:r>
            <w:r>
              <w:rPr>
                <w:rFonts w:ascii="Times New Roman" w:hAnsi="Times New Roman" w:cs="Times New Roman"/>
                <w:color w:val="000000"/>
                <w:sz w:val="20"/>
              </w:rPr>
              <w:t xml:space="preserve"> 50% median split.</w:t>
            </w:r>
          </w:p>
        </w:tc>
      </w:tr>
      <w:tr w:rsidR="0006259F" w:rsidRPr="00460918" w:rsidTr="005F2CD2">
        <w:tc>
          <w:tcPr>
            <w:tcW w:w="473" w:type="pct"/>
            <w:tcBorders>
              <w:bottom w:val="single" w:sz="4" w:space="0" w:color="auto"/>
              <w:right w:val="single" w:sz="4" w:space="0" w:color="auto"/>
            </w:tcBorders>
            <w:vAlign w:val="bottom"/>
          </w:tcPr>
          <w:p w:rsidR="0006259F" w:rsidRPr="00570A61" w:rsidRDefault="0006259F" w:rsidP="0006259F">
            <w:pPr>
              <w:jc w:val="cente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06259F" w:rsidRPr="00570A61"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06259F" w:rsidRPr="00570A61">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06259F" w:rsidRPr="00570A61"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06259F" w:rsidRPr="00570A61">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06259F" w:rsidRPr="00570A61" w:rsidRDefault="0006259F" w:rsidP="009E3756">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MCap Growth</w:t>
            </w:r>
          </w:p>
        </w:tc>
      </w:tr>
      <w:tr w:rsidR="005F2CD2" w:rsidTr="005F2CD2">
        <w:tc>
          <w:tcPr>
            <w:tcW w:w="473" w:type="pct"/>
            <w:tcBorders>
              <w:top w:val="single" w:sz="4" w:space="0" w:color="auto"/>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single" w:sz="4" w:space="0" w:color="auto"/>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-0.40</w:t>
            </w: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(-4.31)**</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0.03</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5F2CD2">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0.46</w:t>
            </w:r>
            <w:r>
              <w:rPr>
                <w:rFonts w:ascii="Times New Roman" w:hAnsi="Times New Roman" w:cs="Times New Roman"/>
                <w:color w:val="000000"/>
                <w:sz w:val="18"/>
                <w:szCs w:val="18"/>
              </w:rPr>
              <w:t>)</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0.85</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5F2CD2">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1.27</w:t>
            </w:r>
            <w:r>
              <w:rPr>
                <w:rFonts w:ascii="Times New Roman" w:hAnsi="Times New Roman" w:cs="Times New Roman"/>
                <w:color w:val="000000"/>
                <w:sz w:val="18"/>
                <w:szCs w:val="18"/>
              </w:rPr>
              <w:t>)</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0.63</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DC122C" w:rsidP="005F2CD2">
            <w:pPr>
              <w:jc w:val="center"/>
              <w:rPr>
                <w:rFonts w:ascii="Times New Roman" w:hAnsi="Times New Roman" w:cs="Times New Roman"/>
                <w:color w:val="000000"/>
                <w:sz w:val="18"/>
                <w:szCs w:val="18"/>
              </w:rPr>
            </w:pPr>
            <w:r>
              <w:rPr>
                <w:rFonts w:ascii="Times New Roman" w:hAnsi="Times New Roman" w:cs="Times New Roman"/>
                <w:color w:val="000000"/>
                <w:sz w:val="18"/>
                <w:szCs w:val="18"/>
              </w:rPr>
              <w:t>(</w:t>
            </w:r>
            <w:r w:rsidR="005F2CD2" w:rsidRPr="005F2CD2">
              <w:rPr>
                <w:rFonts w:ascii="Times New Roman" w:hAnsi="Times New Roman" w:cs="Times New Roman"/>
                <w:color w:val="000000"/>
                <w:sz w:val="18"/>
                <w:szCs w:val="18"/>
              </w:rPr>
              <w:t>0.95</w:t>
            </w:r>
            <w:r>
              <w:rPr>
                <w:rFonts w:ascii="Times New Roman" w:hAnsi="Times New Roman" w:cs="Times New Roman"/>
                <w:color w:val="000000"/>
                <w:sz w:val="18"/>
                <w:szCs w:val="18"/>
              </w:rPr>
              <w:t>)</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-1.75</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(-2.02)*</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-2.64</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(-3.08)**</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2.15</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(3.16)**</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1.63</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(2.39)*</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0.55</w:t>
            </w: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(5.44)**</w:t>
            </w: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570A61" w:rsidRDefault="005F2CD2" w:rsidP="00570A61">
            <w:pPr>
              <w:rPr>
                <w:rFonts w:ascii="Times New Roman" w:hAnsi="Times New Roman" w:cs="Times New Roman"/>
                <w:b/>
                <w:color w:val="000000"/>
                <w:sz w:val="18"/>
                <w:szCs w:val="18"/>
              </w:rPr>
            </w:pPr>
            <w:r w:rsidRPr="00570A6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-0.10</w:t>
            </w:r>
          </w:p>
        </w:tc>
      </w:tr>
      <w:tr w:rsidR="005F2CD2" w:rsidTr="005F2CD2">
        <w:tc>
          <w:tcPr>
            <w:tcW w:w="473" w:type="pct"/>
            <w:tcBorders>
              <w:top w:val="nil"/>
              <w:left w:val="single" w:sz="4" w:space="0" w:color="auto"/>
              <w:bottom w:val="single" w:sz="4" w:space="0" w:color="auto"/>
              <w:right w:val="single" w:sz="4" w:space="0" w:color="auto"/>
            </w:tcBorders>
            <w:vAlign w:val="center"/>
          </w:tcPr>
          <w:p w:rsidR="005F2CD2" w:rsidRPr="00570A61" w:rsidRDefault="005F2CD2" w:rsidP="00570A61">
            <w:pPr>
              <w:rPr>
                <w:rFonts w:ascii="Times New Roman" w:hAnsi="Times New Roman" w:cs="Times New Roman"/>
                <w:color w:val="000000"/>
                <w:sz w:val="18"/>
                <w:szCs w:val="18"/>
              </w:rPr>
            </w:pPr>
            <w:r w:rsidRPr="00570A61">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r w:rsidRPr="005F2CD2">
              <w:rPr>
                <w:rFonts w:ascii="Times New Roman" w:hAnsi="Times New Roman" w:cs="Times New Roman"/>
                <w:color w:val="000000"/>
                <w:sz w:val="18"/>
                <w:szCs w:val="18"/>
              </w:rPr>
              <w:t>(-0.75)</w:t>
            </w:r>
          </w:p>
        </w:tc>
      </w:tr>
      <w:tr w:rsidR="00D5064B" w:rsidTr="005F2CD2">
        <w:tc>
          <w:tcPr>
            <w:tcW w:w="5000" w:type="pct"/>
            <w:gridSpan w:val="11"/>
            <w:tcBorders>
              <w:top w:val="single" w:sz="4" w:space="0" w:color="auto"/>
              <w:left w:val="single" w:sz="4" w:space="0" w:color="auto"/>
              <w:bottom w:val="single" w:sz="4" w:space="0" w:color="auto"/>
              <w:right w:val="single" w:sz="4" w:space="0" w:color="auto"/>
            </w:tcBorders>
            <w:vAlign w:val="center"/>
          </w:tcPr>
          <w:p w:rsidR="00D5064B" w:rsidRDefault="00D5064B" w:rsidP="00F47E3A">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D5064B" w:rsidRPr="00F47E3A" w:rsidRDefault="00D5064B"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06259F" w:rsidRPr="0012635E" w:rsidRDefault="0012635E" w:rsidP="0012635E">
      <w:pPr>
        <w:pStyle w:val="Caption"/>
        <w:rPr>
          <w:rFonts w:ascii="Times New Roman" w:hAnsi="Times New Roman" w:cs="Times New Roman"/>
          <w:color w:val="FFFFFF" w:themeColor="background1"/>
          <w:sz w:val="24"/>
          <w:szCs w:val="36"/>
        </w:rPr>
      </w:pPr>
      <w:bookmarkStart w:id="68" w:name="_Toc305166538"/>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15</w:t>
      </w:r>
      <w:r w:rsidR="000963F3" w:rsidRPr="0012635E">
        <w:rPr>
          <w:color w:val="FFFFFF" w:themeColor="background1"/>
        </w:rPr>
        <w:fldChar w:fldCharType="end"/>
      </w:r>
      <w:r w:rsidRPr="0012635E">
        <w:rPr>
          <w:color w:val="FFFFFF" w:themeColor="background1"/>
        </w:rPr>
        <w:t xml:space="preserve"> - Regression Results for All Equally Weighted Variables Regressed on Small Value Dependent Variable</w:t>
      </w:r>
      <w:bookmarkEnd w:id="68"/>
    </w:p>
    <w:p w:rsidR="00F85D49" w:rsidRDefault="00F85D49" w:rsidP="00A02570">
      <w:pPr>
        <w:pStyle w:val="ListParagraph"/>
        <w:spacing w:line="360" w:lineRule="auto"/>
        <w:ind w:left="0"/>
        <w:jc w:val="both"/>
        <w:rPr>
          <w:rFonts w:ascii="Times New Roman" w:hAnsi="Times New Roman" w:cs="Times New Roman"/>
          <w:color w:val="943634" w:themeColor="accent2" w:themeShade="BF"/>
          <w:sz w:val="24"/>
          <w:szCs w:val="36"/>
        </w:rPr>
      </w:pPr>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p w:rsidR="00FC4E83" w:rsidRDefault="00FC4E83" w:rsidP="00A02570">
      <w:pPr>
        <w:pStyle w:val="ListParagraph"/>
        <w:spacing w:line="360" w:lineRule="auto"/>
        <w:ind w:left="0"/>
        <w:jc w:val="both"/>
        <w:rPr>
          <w:rFonts w:ascii="Times New Roman" w:hAnsi="Times New Roman" w:cs="Times New Roman"/>
          <w:color w:val="943634" w:themeColor="accent2" w:themeShade="BF"/>
          <w:sz w:val="24"/>
          <w:szCs w:val="36"/>
        </w:rPr>
      </w:pPr>
    </w:p>
    <w:tbl>
      <w:tblPr>
        <w:tblStyle w:val="TableGrid"/>
        <w:tblW w:w="5000" w:type="pct"/>
        <w:tblLook w:val="04A0"/>
      </w:tblPr>
      <w:tblGrid>
        <w:gridCol w:w="1369"/>
        <w:gridCol w:w="1309"/>
        <w:gridCol w:w="1312"/>
        <w:gridCol w:w="1312"/>
        <w:gridCol w:w="1309"/>
        <w:gridCol w:w="1312"/>
        <w:gridCol w:w="1312"/>
        <w:gridCol w:w="1309"/>
        <w:gridCol w:w="1312"/>
        <w:gridCol w:w="1312"/>
        <w:gridCol w:w="1312"/>
      </w:tblGrid>
      <w:tr w:rsidR="0034705A" w:rsidRPr="0034705A" w:rsidTr="005F2CD2">
        <w:tc>
          <w:tcPr>
            <w:tcW w:w="5000" w:type="pct"/>
            <w:gridSpan w:val="11"/>
            <w:tcBorders>
              <w:bottom w:val="single" w:sz="4" w:space="0" w:color="auto"/>
            </w:tcBorders>
            <w:vAlign w:val="center"/>
          </w:tcPr>
          <w:p w:rsidR="0034705A" w:rsidRPr="009774E1" w:rsidRDefault="006D10B2" w:rsidP="006D10B2">
            <w:pPr>
              <w:jc w:val="center"/>
              <w:rPr>
                <w:rFonts w:ascii="Times New Roman" w:hAnsi="Times New Roman" w:cs="Times New Roman"/>
                <w:sz w:val="24"/>
              </w:rPr>
            </w:pPr>
            <w:r>
              <w:rPr>
                <w:rFonts w:ascii="Times New Roman" w:hAnsi="Times New Roman" w:cs="Times New Roman"/>
                <w:b/>
                <w:bCs/>
                <w:color w:val="000000"/>
                <w:sz w:val="24"/>
              </w:rPr>
              <w:lastRenderedPageBreak/>
              <w:t>Table 16</w:t>
            </w:r>
          </w:p>
        </w:tc>
      </w:tr>
      <w:tr w:rsidR="0034705A" w:rsidRPr="0034705A" w:rsidTr="005F2CD2">
        <w:tc>
          <w:tcPr>
            <w:tcW w:w="5000" w:type="pct"/>
            <w:gridSpan w:val="11"/>
            <w:tcBorders>
              <w:top w:val="single" w:sz="4" w:space="0" w:color="auto"/>
              <w:left w:val="single" w:sz="4" w:space="0" w:color="auto"/>
              <w:bottom w:val="nil"/>
              <w:right w:val="single" w:sz="4" w:space="0" w:color="auto"/>
            </w:tcBorders>
            <w:vAlign w:val="center"/>
          </w:tcPr>
          <w:p w:rsidR="0034705A" w:rsidRPr="009774E1" w:rsidRDefault="0034705A" w:rsidP="0034705A">
            <w:pPr>
              <w:jc w:val="center"/>
              <w:rPr>
                <w:rFonts w:ascii="Times New Roman" w:hAnsi="Times New Roman" w:cs="Times New Roman"/>
                <w:sz w:val="24"/>
              </w:rPr>
            </w:pPr>
            <w:r w:rsidRPr="009774E1">
              <w:rPr>
                <w:rFonts w:ascii="Times New Roman" w:hAnsi="Times New Roman" w:cs="Times New Roman"/>
                <w:b/>
                <w:bCs/>
                <w:color w:val="000000"/>
                <w:sz w:val="24"/>
              </w:rPr>
              <w:t>Regression Results for All Value Weighted Variables Regressed on Small Value Dependent Variable</w:t>
            </w:r>
          </w:p>
        </w:tc>
      </w:tr>
      <w:tr w:rsidR="0034705A" w:rsidRPr="006236E4" w:rsidTr="005F2CD2">
        <w:tc>
          <w:tcPr>
            <w:tcW w:w="5000" w:type="pct"/>
            <w:gridSpan w:val="11"/>
            <w:tcBorders>
              <w:top w:val="nil"/>
            </w:tcBorders>
            <w:vAlign w:val="center"/>
          </w:tcPr>
          <w:p w:rsidR="0034705A" w:rsidRPr="009774E1" w:rsidRDefault="00C30099" w:rsidP="000576F0">
            <w:pPr>
              <w:jc w:val="center"/>
              <w:rPr>
                <w:rFonts w:ascii="Times New Roman" w:hAnsi="Times New Roman" w:cs="Times New Roman"/>
                <w:sz w:val="20"/>
              </w:rPr>
            </w:pPr>
            <w:r w:rsidRPr="003F0647">
              <w:rPr>
                <w:rFonts w:ascii="Times New Roman" w:hAnsi="Times New Roman" w:cs="Times New Roman"/>
                <w:color w:val="000000"/>
                <w:sz w:val="20"/>
              </w:rPr>
              <w:t xml:space="preserve">Over the period 1990 to 2009 monthly returns are calculated for each </w:t>
            </w:r>
            <w:r w:rsidR="000576F0">
              <w:rPr>
                <w:rFonts w:ascii="Times New Roman" w:hAnsi="Times New Roman" w:cs="Times New Roman"/>
                <w:color w:val="000000"/>
                <w:sz w:val="20"/>
              </w:rPr>
              <w:t>value</w:t>
            </w:r>
            <w:r w:rsidRPr="003F0647">
              <w:rPr>
                <w:rFonts w:ascii="Times New Roman" w:hAnsi="Times New Roman" w:cs="Times New Roman"/>
                <w:color w:val="000000"/>
                <w:sz w:val="20"/>
              </w:rPr>
              <w:t xml:space="preserve"> weighted portfolio sorted independently on the book-to-market ratio</w:t>
            </w:r>
            <w:r>
              <w:rPr>
                <w:rFonts w:ascii="Times New Roman" w:hAnsi="Times New Roman" w:cs="Times New Roman"/>
                <w:color w:val="000000"/>
                <w:sz w:val="20"/>
              </w:rPr>
              <w:t xml:space="preserve"> (BTM)</w:t>
            </w:r>
            <w:r w:rsidRPr="003F0647">
              <w:rPr>
                <w:rFonts w:ascii="Times New Roman" w:hAnsi="Times New Roman" w:cs="Times New Roman"/>
                <w:color w:val="000000"/>
                <w:sz w:val="20"/>
              </w:rPr>
              <w:t xml:space="preserv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(MCap)</w:t>
            </w:r>
            <w:r w:rsidRPr="003F0647">
              <w:rPr>
                <w:rFonts w:ascii="Times New Roman" w:hAnsi="Times New Roman" w:cs="Times New Roman"/>
                <w:color w:val="000000"/>
                <w:sz w:val="20"/>
              </w:rPr>
              <w:t>, cash flow-to-price</w:t>
            </w:r>
            <w:r>
              <w:rPr>
                <w:rFonts w:ascii="Times New Roman" w:hAnsi="Times New Roman" w:cs="Times New Roman"/>
                <w:color w:val="000000"/>
                <w:sz w:val="20"/>
              </w:rPr>
              <w:t xml:space="preserve"> (CP)</w:t>
            </w:r>
            <w:r w:rsidRPr="003F0647">
              <w:rPr>
                <w:rFonts w:ascii="Times New Roman" w:hAnsi="Times New Roman" w:cs="Times New Roman"/>
                <w:color w:val="000000"/>
                <w:sz w:val="20"/>
              </w:rPr>
              <w:t>, dividend-to-price</w:t>
            </w:r>
            <w:r>
              <w:rPr>
                <w:rFonts w:ascii="Times New Roman" w:hAnsi="Times New Roman" w:cs="Times New Roman"/>
                <w:color w:val="000000"/>
                <w:sz w:val="20"/>
              </w:rPr>
              <w:t xml:space="preserve"> (Div Yield)</w:t>
            </w:r>
            <w:r w:rsidRPr="003F0647">
              <w:rPr>
                <w:rFonts w:ascii="Times New Roman" w:hAnsi="Times New Roman" w:cs="Times New Roman"/>
                <w:color w:val="000000"/>
                <w:sz w:val="20"/>
              </w:rPr>
              <w:t>, or earnings-to-price</w:t>
            </w:r>
            <w:r>
              <w:rPr>
                <w:rFonts w:ascii="Times New Roman" w:hAnsi="Times New Roman" w:cs="Times New Roman"/>
                <w:color w:val="000000"/>
                <w:sz w:val="20"/>
              </w:rPr>
              <w:t xml:space="preserve"> (EP)</w:t>
            </w:r>
            <w:r w:rsidRPr="003F0647">
              <w:rPr>
                <w:rFonts w:ascii="Times New Roman" w:hAnsi="Times New Roman" w:cs="Times New Roman"/>
                <w:color w:val="000000"/>
                <w:sz w:val="20"/>
              </w:rPr>
              <w:t>. Below are the coefficients and the t-statistics (in parentheses) for the value and growth portfolios</w:t>
            </w:r>
            <w:r>
              <w:rPr>
                <w:rFonts w:ascii="Times New Roman" w:hAnsi="Times New Roman" w:cs="Times New Roman"/>
                <w:color w:val="000000"/>
                <w:sz w:val="20"/>
              </w:rPr>
              <w:t xml:space="preserve"> regressed on the small value dependent variable</w:t>
            </w:r>
            <w:r w:rsidRPr="003F0647">
              <w:rPr>
                <w:rFonts w:ascii="Times New Roman" w:hAnsi="Times New Roman" w:cs="Times New Roman"/>
                <w:color w:val="000000"/>
                <w:sz w:val="20"/>
              </w:rPr>
              <w:t xml:space="preserve">. </w:t>
            </w:r>
            <w:r>
              <w:rPr>
                <w:rFonts w:ascii="Times New Roman" w:hAnsi="Times New Roman" w:cs="Times New Roman"/>
                <w:color w:val="000000"/>
                <w:sz w:val="20"/>
              </w:rPr>
              <w:t xml:space="preserve">The DP, EP, CP, and BTM value portfolios consist of the top 50% median split of stocks on each particular ratio. The MCap value portfolio consists of the bottom 50% median split of stocks on that particular ratio. The DP, EP, CP, and BTM growth portfolios consist of the bottom 50% median split of stocks sorted on each particular ratio. The MCap growth portfolio consists of the top 50% median split of stocks sorted on that particular ratio. The small </w:t>
            </w:r>
            <w:r w:rsidR="000576F0">
              <w:rPr>
                <w:rFonts w:ascii="Times New Roman" w:hAnsi="Times New Roman" w:cs="Times New Roman"/>
                <w:color w:val="000000"/>
                <w:sz w:val="20"/>
              </w:rPr>
              <w:t>value</w:t>
            </w:r>
            <w:r>
              <w:rPr>
                <w:rFonts w:ascii="Times New Roman" w:hAnsi="Times New Roman" w:cs="Times New Roman"/>
                <w:color w:val="000000"/>
                <w:sz w:val="20"/>
              </w:rPr>
              <w:t xml:space="preserve"> dependent variable consists of small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xml:space="preserve"> stocks and high book-to-market stocks. The portfolio of stocks is sorted initially on the market </w:t>
            </w:r>
            <w:r w:rsidR="00610C8D">
              <w:rPr>
                <w:rFonts w:ascii="Times New Roman" w:hAnsi="Times New Roman" w:cs="Times New Roman"/>
                <w:color w:val="000000"/>
                <w:sz w:val="20"/>
              </w:rPr>
              <w:t>capitalisation</w:t>
            </w:r>
            <w:r>
              <w:rPr>
                <w:rFonts w:ascii="Times New Roman" w:hAnsi="Times New Roman" w:cs="Times New Roman"/>
                <w:color w:val="000000"/>
                <w:sz w:val="20"/>
              </w:rPr>
              <w:t>, taking the bottom 50% median split, then on the book-to-market ratio, taking the top 50% median split</w:t>
            </w:r>
            <w:r w:rsidR="0034705A" w:rsidRPr="009774E1">
              <w:rPr>
                <w:rFonts w:ascii="Times New Roman" w:hAnsi="Times New Roman" w:cs="Times New Roman"/>
                <w:color w:val="000000"/>
                <w:sz w:val="20"/>
              </w:rPr>
              <w:t>.</w:t>
            </w:r>
          </w:p>
        </w:tc>
      </w:tr>
      <w:tr w:rsidR="0034705A" w:rsidRPr="00460918" w:rsidTr="005F2CD2">
        <w:tc>
          <w:tcPr>
            <w:tcW w:w="473" w:type="pct"/>
            <w:tcBorders>
              <w:bottom w:val="single" w:sz="4" w:space="0" w:color="auto"/>
              <w:right w:val="single" w:sz="4" w:space="0" w:color="auto"/>
            </w:tcBorders>
            <w:vAlign w:val="bottom"/>
          </w:tcPr>
          <w:p w:rsidR="0034705A" w:rsidRPr="009774E1" w:rsidRDefault="0034705A" w:rsidP="0034705A">
            <w:pPr>
              <w:jc w:val="cente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w:t>
            </w:r>
          </w:p>
        </w:tc>
        <w:tc>
          <w:tcPr>
            <w:tcW w:w="452" w:type="pct"/>
            <w:tcBorders>
              <w:top w:val="single" w:sz="4" w:space="0" w:color="auto"/>
              <w:left w:val="single" w:sz="4" w:space="0" w:color="auto"/>
              <w:bottom w:val="single" w:sz="4" w:space="0" w:color="auto"/>
              <w:right w:val="nil"/>
            </w:tcBorders>
            <w:vAlign w:val="center"/>
          </w:tcPr>
          <w:p w:rsidR="0034705A" w:rsidRPr="009774E1"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34705A" w:rsidRPr="009774E1">
              <w:rPr>
                <w:rFonts w:ascii="Times New Roman" w:hAnsi="Times New Roman" w:cs="Times New Roman"/>
                <w:b/>
                <w:color w:val="000000"/>
                <w:sz w:val="18"/>
                <w:szCs w:val="20"/>
              </w:rPr>
              <w:t>Value</w:t>
            </w:r>
          </w:p>
        </w:tc>
        <w:tc>
          <w:tcPr>
            <w:tcW w:w="453" w:type="pct"/>
            <w:tcBorders>
              <w:top w:val="single" w:sz="4" w:space="0" w:color="auto"/>
              <w:left w:val="nil"/>
              <w:bottom w:val="single" w:sz="4" w:space="0" w:color="auto"/>
              <w:right w:val="nil"/>
            </w:tcBorders>
            <w:vAlign w:val="center"/>
          </w:tcPr>
          <w:p w:rsidR="0034705A" w:rsidRPr="009774E1" w:rsidRDefault="009E3756" w:rsidP="009E3756">
            <w:pPr>
              <w:rPr>
                <w:rFonts w:ascii="Times New Roman" w:hAnsi="Times New Roman" w:cs="Times New Roman"/>
                <w:b/>
                <w:color w:val="000000"/>
                <w:sz w:val="18"/>
                <w:szCs w:val="18"/>
              </w:rPr>
            </w:pPr>
            <w:r>
              <w:rPr>
                <w:rFonts w:ascii="Times New Roman" w:hAnsi="Times New Roman" w:cs="Times New Roman"/>
                <w:b/>
                <w:color w:val="000000"/>
                <w:sz w:val="18"/>
                <w:szCs w:val="20"/>
              </w:rPr>
              <w:t xml:space="preserve">Div Yield </w:t>
            </w:r>
            <w:r w:rsidR="0034705A" w:rsidRPr="009774E1">
              <w:rPr>
                <w:rFonts w:ascii="Times New Roman" w:hAnsi="Times New Roman" w:cs="Times New Roman"/>
                <w:b/>
                <w:color w:val="000000"/>
                <w:sz w:val="18"/>
                <w:szCs w:val="20"/>
              </w:rPr>
              <w:t>Growth</w:t>
            </w:r>
          </w:p>
        </w:tc>
        <w:tc>
          <w:tcPr>
            <w:tcW w:w="453"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EP Value</w:t>
            </w:r>
          </w:p>
        </w:tc>
        <w:tc>
          <w:tcPr>
            <w:tcW w:w="452"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EP Growth</w:t>
            </w:r>
          </w:p>
        </w:tc>
        <w:tc>
          <w:tcPr>
            <w:tcW w:w="453"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CP Value</w:t>
            </w:r>
          </w:p>
        </w:tc>
        <w:tc>
          <w:tcPr>
            <w:tcW w:w="453"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CP Growth</w:t>
            </w:r>
          </w:p>
        </w:tc>
        <w:tc>
          <w:tcPr>
            <w:tcW w:w="452"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BTM Value</w:t>
            </w:r>
          </w:p>
        </w:tc>
        <w:tc>
          <w:tcPr>
            <w:tcW w:w="453"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BTM Growth</w:t>
            </w:r>
          </w:p>
        </w:tc>
        <w:tc>
          <w:tcPr>
            <w:tcW w:w="453" w:type="pct"/>
            <w:tcBorders>
              <w:top w:val="single" w:sz="4" w:space="0" w:color="auto"/>
              <w:left w:val="nil"/>
              <w:bottom w:val="single" w:sz="4" w:space="0" w:color="auto"/>
              <w:right w:val="nil"/>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MCap Value</w:t>
            </w:r>
          </w:p>
        </w:tc>
        <w:tc>
          <w:tcPr>
            <w:tcW w:w="453" w:type="pct"/>
            <w:tcBorders>
              <w:top w:val="single" w:sz="4" w:space="0" w:color="auto"/>
              <w:left w:val="nil"/>
              <w:bottom w:val="single" w:sz="4" w:space="0" w:color="auto"/>
              <w:right w:val="single" w:sz="4" w:space="0" w:color="auto"/>
            </w:tcBorders>
            <w:vAlign w:val="center"/>
          </w:tcPr>
          <w:p w:rsidR="0034705A" w:rsidRPr="009774E1" w:rsidRDefault="0034705A" w:rsidP="009E3756">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MCap Growth</w:t>
            </w:r>
          </w:p>
        </w:tc>
      </w:tr>
      <w:tr w:rsidR="005F2CD2" w:rsidTr="005F2CD2">
        <w:tc>
          <w:tcPr>
            <w:tcW w:w="473" w:type="pct"/>
            <w:tcBorders>
              <w:top w:val="single" w:sz="4" w:space="0" w:color="auto"/>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single" w:sz="4" w:space="0" w:color="auto"/>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0.09</w:t>
            </w: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single" w:sz="4" w:space="0" w:color="auto"/>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DC122C" w:rsidP="005F2CD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5F2CD2" w:rsidRPr="005F2CD2">
              <w:rPr>
                <w:rFonts w:ascii="Times New Roman" w:hAnsi="Times New Roman" w:cs="Times New Roman"/>
                <w:color w:val="000000"/>
                <w:sz w:val="20"/>
                <w:szCs w:val="20"/>
              </w:rPr>
              <w:t>0.46</w:t>
            </w:r>
            <w:r>
              <w:rPr>
                <w:rFonts w:ascii="Times New Roman" w:hAnsi="Times New Roman" w:cs="Times New Roman"/>
                <w:color w:val="000000"/>
                <w:sz w:val="20"/>
                <w:szCs w:val="20"/>
              </w:rPr>
              <w:t>)</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D</w:t>
            </w:r>
            <w:r>
              <w:rPr>
                <w:rFonts w:ascii="Times New Roman" w:hAnsi="Times New Roman" w:cs="Times New Roman"/>
                <w:b/>
                <w:color w:val="000000"/>
                <w:sz w:val="18"/>
                <w:szCs w:val="20"/>
              </w:rPr>
              <w:t>iv Yield</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-0.03</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(-0.18)</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0.29</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5F2CD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5F2CD2" w:rsidRPr="005F2CD2">
              <w:rPr>
                <w:rFonts w:ascii="Times New Roman" w:hAnsi="Times New Roman" w:cs="Times New Roman"/>
                <w:color w:val="000000"/>
                <w:sz w:val="20"/>
                <w:szCs w:val="20"/>
              </w:rPr>
              <w:t>0.72</w:t>
            </w:r>
            <w:r>
              <w:rPr>
                <w:rFonts w:ascii="Times New Roman" w:hAnsi="Times New Roman" w:cs="Times New Roman"/>
                <w:color w:val="000000"/>
                <w:sz w:val="20"/>
                <w:szCs w:val="20"/>
              </w:rPr>
              <w:t>)</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EP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-0.79</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(-1.29)</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-0.16</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(-0.33)</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CP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0.78</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DC122C" w:rsidP="005F2CD2">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5F2CD2" w:rsidRPr="005F2CD2">
              <w:rPr>
                <w:rFonts w:ascii="Times New Roman" w:hAnsi="Times New Roman" w:cs="Times New Roman"/>
                <w:color w:val="000000"/>
                <w:sz w:val="20"/>
                <w:szCs w:val="20"/>
              </w:rPr>
              <w:t>1.25</w:t>
            </w:r>
            <w:r>
              <w:rPr>
                <w:rFonts w:ascii="Times New Roman" w:hAnsi="Times New Roman" w:cs="Times New Roman"/>
                <w:color w:val="000000"/>
                <w:sz w:val="20"/>
                <w:szCs w:val="20"/>
              </w:rPr>
              <w:t>)</w:t>
            </w: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-0.01</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(-0.05)</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BTM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-0.05</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Growth</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(-0.06)</w:t>
            </w: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0.79</w:t>
            </w: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Value</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(6.46)**</w:t>
            </w: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18"/>
                <w:szCs w:val="18"/>
              </w:rPr>
            </w:pPr>
          </w:p>
        </w:tc>
      </w:tr>
      <w:tr w:rsidR="005F2CD2" w:rsidTr="005F2CD2">
        <w:tc>
          <w:tcPr>
            <w:tcW w:w="473" w:type="pct"/>
            <w:tcBorders>
              <w:top w:val="nil"/>
              <w:left w:val="single" w:sz="4" w:space="0" w:color="auto"/>
              <w:bottom w:val="nil"/>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 xml:space="preserve">MCap </w:t>
            </w:r>
          </w:p>
        </w:tc>
        <w:tc>
          <w:tcPr>
            <w:tcW w:w="452" w:type="pct"/>
            <w:tcBorders>
              <w:top w:val="nil"/>
              <w:left w:val="single" w:sz="4" w:space="0" w:color="auto"/>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nil"/>
              <w:right w:val="single" w:sz="4" w:space="0" w:color="auto"/>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-0.39</w:t>
            </w:r>
          </w:p>
        </w:tc>
      </w:tr>
      <w:tr w:rsidR="005F2CD2" w:rsidTr="005F2CD2">
        <w:tc>
          <w:tcPr>
            <w:tcW w:w="473" w:type="pct"/>
            <w:tcBorders>
              <w:top w:val="nil"/>
              <w:left w:val="single" w:sz="4" w:space="0" w:color="auto"/>
              <w:bottom w:val="single" w:sz="4" w:space="0" w:color="auto"/>
              <w:right w:val="single" w:sz="4" w:space="0" w:color="auto"/>
            </w:tcBorders>
            <w:vAlign w:val="center"/>
          </w:tcPr>
          <w:p w:rsidR="005F2CD2" w:rsidRPr="009774E1" w:rsidRDefault="005F2CD2" w:rsidP="009774E1">
            <w:pPr>
              <w:rPr>
                <w:rFonts w:ascii="Times New Roman" w:hAnsi="Times New Roman" w:cs="Times New Roman"/>
                <w:b/>
                <w:color w:val="000000"/>
                <w:sz w:val="18"/>
                <w:szCs w:val="18"/>
              </w:rPr>
            </w:pPr>
            <w:r w:rsidRPr="009774E1">
              <w:rPr>
                <w:rFonts w:ascii="Times New Roman" w:hAnsi="Times New Roman" w:cs="Times New Roman"/>
                <w:b/>
                <w:color w:val="000000"/>
                <w:sz w:val="18"/>
                <w:szCs w:val="20"/>
              </w:rPr>
              <w:t>Growth</w:t>
            </w:r>
          </w:p>
        </w:tc>
        <w:tc>
          <w:tcPr>
            <w:tcW w:w="452" w:type="pct"/>
            <w:tcBorders>
              <w:top w:val="nil"/>
              <w:left w:val="single" w:sz="4" w:space="0" w:color="auto"/>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2"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nil"/>
            </w:tcBorders>
            <w:vAlign w:val="center"/>
          </w:tcPr>
          <w:p w:rsidR="005F2CD2" w:rsidRPr="005F2CD2" w:rsidRDefault="005F2CD2" w:rsidP="005F2CD2">
            <w:pPr>
              <w:jc w:val="center"/>
              <w:rPr>
                <w:rFonts w:ascii="Times New Roman" w:hAnsi="Times New Roman" w:cs="Times New Roman"/>
                <w:color w:val="000000"/>
                <w:sz w:val="18"/>
                <w:szCs w:val="18"/>
              </w:rPr>
            </w:pPr>
          </w:p>
        </w:tc>
        <w:tc>
          <w:tcPr>
            <w:tcW w:w="453" w:type="pct"/>
            <w:tcBorders>
              <w:top w:val="nil"/>
              <w:left w:val="nil"/>
              <w:bottom w:val="single" w:sz="4" w:space="0" w:color="auto"/>
              <w:right w:val="single" w:sz="4" w:space="0" w:color="auto"/>
            </w:tcBorders>
            <w:vAlign w:val="center"/>
          </w:tcPr>
          <w:p w:rsidR="005F2CD2" w:rsidRPr="005F2CD2" w:rsidRDefault="005F2CD2" w:rsidP="005F2CD2">
            <w:pPr>
              <w:jc w:val="center"/>
              <w:rPr>
                <w:rFonts w:ascii="Times New Roman" w:hAnsi="Times New Roman" w:cs="Times New Roman"/>
                <w:color w:val="000000"/>
                <w:sz w:val="20"/>
                <w:szCs w:val="20"/>
              </w:rPr>
            </w:pPr>
            <w:r w:rsidRPr="005F2CD2">
              <w:rPr>
                <w:rFonts w:ascii="Times New Roman" w:hAnsi="Times New Roman" w:cs="Times New Roman"/>
                <w:color w:val="000000"/>
                <w:sz w:val="20"/>
                <w:szCs w:val="20"/>
              </w:rPr>
              <w:t>(-0.43)</w:t>
            </w:r>
          </w:p>
        </w:tc>
      </w:tr>
      <w:tr w:rsidR="00D5064B" w:rsidTr="005F2CD2">
        <w:tc>
          <w:tcPr>
            <w:tcW w:w="5000" w:type="pct"/>
            <w:gridSpan w:val="11"/>
            <w:tcBorders>
              <w:top w:val="single" w:sz="4" w:space="0" w:color="auto"/>
              <w:left w:val="single" w:sz="4" w:space="0" w:color="auto"/>
              <w:bottom w:val="single" w:sz="4" w:space="0" w:color="auto"/>
              <w:right w:val="single" w:sz="4" w:space="0" w:color="auto"/>
            </w:tcBorders>
            <w:vAlign w:val="center"/>
          </w:tcPr>
          <w:p w:rsidR="00D5064B" w:rsidRDefault="00D5064B" w:rsidP="00F47E3A">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D5064B" w:rsidRPr="00F47E3A" w:rsidRDefault="00D5064B"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5F2CD2" w:rsidRPr="0012635E" w:rsidRDefault="0012635E" w:rsidP="0012635E">
      <w:pPr>
        <w:pStyle w:val="Caption"/>
        <w:rPr>
          <w:rFonts w:ascii="Times New Roman" w:hAnsi="Times New Roman" w:cs="Times New Roman"/>
          <w:color w:val="FFFFFF" w:themeColor="background1"/>
          <w:sz w:val="24"/>
          <w:szCs w:val="36"/>
        </w:rPr>
        <w:sectPr w:rsidR="005F2CD2" w:rsidRPr="0012635E" w:rsidSect="005F2CD2">
          <w:pgSz w:w="16838" w:h="11906" w:orient="landscape"/>
          <w:pgMar w:top="1440" w:right="1134" w:bottom="1440" w:left="1440" w:header="709" w:footer="709" w:gutter="0"/>
          <w:cols w:space="708"/>
          <w:docGrid w:linePitch="360"/>
        </w:sectPr>
      </w:pPr>
      <w:bookmarkStart w:id="69" w:name="_Toc305166539"/>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16</w:t>
      </w:r>
      <w:r w:rsidR="000963F3" w:rsidRPr="0012635E">
        <w:rPr>
          <w:color w:val="FFFFFF" w:themeColor="background1"/>
        </w:rPr>
        <w:fldChar w:fldCharType="end"/>
      </w:r>
      <w:r w:rsidRPr="0012635E">
        <w:rPr>
          <w:color w:val="FFFFFF" w:themeColor="background1"/>
        </w:rPr>
        <w:t xml:space="preserve"> - Regression Results for All Value Weighted Variables Regressed on Small Value Dependent Variable</w:t>
      </w:r>
      <w:bookmarkEnd w:id="69"/>
    </w:p>
    <w:p w:rsidR="0034705A" w:rsidRDefault="0034705A" w:rsidP="00A02570">
      <w:pPr>
        <w:pStyle w:val="ListParagraph"/>
        <w:spacing w:line="360" w:lineRule="auto"/>
        <w:ind w:left="0"/>
        <w:jc w:val="both"/>
        <w:rPr>
          <w:rFonts w:ascii="Times New Roman" w:hAnsi="Times New Roman" w:cs="Times New Roman"/>
          <w:color w:val="943634" w:themeColor="accent2" w:themeShade="BF"/>
          <w:sz w:val="24"/>
          <w:szCs w:val="36"/>
        </w:rPr>
      </w:pPr>
    </w:p>
    <w:p w:rsidR="006D10B2" w:rsidRDefault="006D10B2" w:rsidP="006D10B2">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BTM sorted value coefficient is statistically significant at the 1% level. What is remarkable is that both the value and growth portfolios sorted independently on BTM and E/P have positive coefficients, while both the value and growth portfolios sorted on C/P have negative coefficients. This could mean that the E/P and BTM sorted portfolios are positively related to the small value dependent variable regardless of</w:t>
      </w:r>
      <w:r w:rsidR="009976E7">
        <w:rPr>
          <w:rFonts w:ascii="Times New Roman" w:hAnsi="Times New Roman" w:cs="Times New Roman"/>
          <w:sz w:val="24"/>
          <w:szCs w:val="36"/>
        </w:rPr>
        <w:t xml:space="preserve"> whether they are high or low E/</w:t>
      </w:r>
      <w:r>
        <w:rPr>
          <w:rFonts w:ascii="Times New Roman" w:hAnsi="Times New Roman" w:cs="Times New Roman"/>
          <w:sz w:val="24"/>
          <w:szCs w:val="36"/>
        </w:rPr>
        <w:t xml:space="preserve">P (or BTM) stock portfolios.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sorted portfolio confirms the expectation that the value portfolio should have a positive coefficient, while the growth portfolio should have a negative coefficient. The value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has a coefficient of 0.54532 and it is statistically significant at the 1% level. The growth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 has a negative coefficient of -0.09841, but this result is not statistically significant. </w:t>
      </w:r>
    </w:p>
    <w:p w:rsidR="00987828" w:rsidRDefault="00987828" w:rsidP="006D10B2">
      <w:pPr>
        <w:pStyle w:val="ListParagraph"/>
        <w:spacing w:line="360" w:lineRule="auto"/>
        <w:ind w:left="0"/>
        <w:jc w:val="both"/>
        <w:rPr>
          <w:rFonts w:ascii="Times New Roman" w:hAnsi="Times New Roman" w:cs="Times New Roman"/>
          <w:sz w:val="24"/>
          <w:szCs w:val="36"/>
        </w:rPr>
      </w:pPr>
    </w:p>
    <w:p w:rsidR="00987828" w:rsidRDefault="00987828" w:rsidP="006D10B2">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In contrast to Bauman and Miller (1997) who create four portfolios using the E/P ratio to classify stocks into value and growth, this dissertation does not find the E/P ratio to be an extraordinary explanatory variable. The authors equally weight their portfolios, and find that the value portfolio produces superior results than the growth portfolio.</w:t>
      </w:r>
      <w:r w:rsidR="00837215">
        <w:rPr>
          <w:rFonts w:ascii="Times New Roman" w:hAnsi="Times New Roman" w:cs="Times New Roman"/>
          <w:sz w:val="24"/>
          <w:szCs w:val="36"/>
        </w:rPr>
        <w:t xml:space="preserve"> S</w:t>
      </w:r>
      <w:r w:rsidR="004D5398">
        <w:rPr>
          <w:rFonts w:ascii="Times New Roman" w:hAnsi="Times New Roman" w:cs="Times New Roman"/>
          <w:sz w:val="24"/>
          <w:szCs w:val="36"/>
        </w:rPr>
        <w:t xml:space="preserve">upporting this idea is </w:t>
      </w:r>
      <w:r w:rsidR="00AB2C61">
        <w:rPr>
          <w:rFonts w:ascii="Times New Roman" w:hAnsi="Times New Roman" w:cs="Times New Roman"/>
          <w:sz w:val="24"/>
          <w:szCs w:val="36"/>
        </w:rPr>
        <w:t>Basu</w:t>
      </w:r>
      <w:r w:rsidR="004D5398">
        <w:rPr>
          <w:rFonts w:ascii="Times New Roman" w:hAnsi="Times New Roman" w:cs="Times New Roman"/>
          <w:sz w:val="24"/>
          <w:szCs w:val="36"/>
        </w:rPr>
        <w:t xml:space="preserve"> (1977) who finds that the lowest P/E portfolio has a return of 16.3% per annum, while the highest P/E portfolio (or growth portfolio) only manages a return of 9.5% per annum. </w:t>
      </w:r>
      <w:r>
        <w:rPr>
          <w:rFonts w:ascii="Times New Roman" w:hAnsi="Times New Roman" w:cs="Times New Roman"/>
          <w:sz w:val="24"/>
          <w:szCs w:val="36"/>
        </w:rPr>
        <w:t xml:space="preserve"> </w:t>
      </w:r>
      <w:r w:rsidR="004D5398">
        <w:rPr>
          <w:rFonts w:ascii="Times New Roman" w:hAnsi="Times New Roman" w:cs="Times New Roman"/>
          <w:sz w:val="24"/>
          <w:szCs w:val="36"/>
        </w:rPr>
        <w:t xml:space="preserve">On the other hand, portfolios created by Michailidis, Tsopoglou, and Papanastasiou (2007) on the E/P ratio show very little significant relation between the ratio and average returns. </w:t>
      </w:r>
    </w:p>
    <w:p w:rsidR="006D10B2" w:rsidRPr="000B67EF" w:rsidRDefault="006D10B2" w:rsidP="006D10B2">
      <w:pPr>
        <w:pStyle w:val="ListParagraph"/>
        <w:spacing w:line="360" w:lineRule="auto"/>
        <w:ind w:left="0"/>
        <w:jc w:val="both"/>
        <w:rPr>
          <w:rFonts w:ascii="Times New Roman" w:hAnsi="Times New Roman" w:cs="Times New Roman"/>
          <w:sz w:val="24"/>
          <w:szCs w:val="36"/>
        </w:rPr>
      </w:pPr>
    </w:p>
    <w:p w:rsidR="00CA11A2" w:rsidRDefault="00BA0816"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There is only one statistically si</w:t>
      </w:r>
      <w:r w:rsidR="006D10B2">
        <w:rPr>
          <w:rFonts w:ascii="Times New Roman" w:hAnsi="Times New Roman" w:cs="Times New Roman"/>
          <w:sz w:val="24"/>
          <w:szCs w:val="36"/>
        </w:rPr>
        <w:t>gnificant coefficient in Table 16</w:t>
      </w:r>
      <w:r>
        <w:rPr>
          <w:rFonts w:ascii="Times New Roman" w:hAnsi="Times New Roman" w:cs="Times New Roman"/>
          <w:sz w:val="24"/>
          <w:szCs w:val="36"/>
        </w:rPr>
        <w:t xml:space="preserve">. It is the value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This portfol</w:t>
      </w:r>
      <w:r w:rsidR="001A4D9C">
        <w:rPr>
          <w:rFonts w:ascii="Times New Roman" w:hAnsi="Times New Roman" w:cs="Times New Roman"/>
          <w:sz w:val="24"/>
          <w:szCs w:val="36"/>
        </w:rPr>
        <w:t>io has a positive coefficient of</w:t>
      </w:r>
      <w:r>
        <w:rPr>
          <w:rFonts w:ascii="Times New Roman" w:hAnsi="Times New Roman" w:cs="Times New Roman"/>
          <w:sz w:val="24"/>
          <w:szCs w:val="36"/>
        </w:rPr>
        <w:t xml:space="preserve"> 0.78961, confirming the theory that the small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 portfolio must be positively related to the small value dependent portfolio. This result is statistically significant at the 1% level. The growth portfolio sorted on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has a negative coefficient of -0.38954, which is anticipated, but it i</w:t>
      </w:r>
      <w:r w:rsidR="004411F4">
        <w:rPr>
          <w:rFonts w:ascii="Times New Roman" w:hAnsi="Times New Roman" w:cs="Times New Roman"/>
          <w:sz w:val="24"/>
          <w:szCs w:val="36"/>
        </w:rPr>
        <w:t>s not statistically significant</w:t>
      </w:r>
      <w:r>
        <w:rPr>
          <w:rFonts w:ascii="Times New Roman" w:hAnsi="Times New Roman" w:cs="Times New Roman"/>
          <w:sz w:val="24"/>
          <w:szCs w:val="36"/>
        </w:rPr>
        <w:t xml:space="preserve">. The value portfolios sorted independently on D/P and E/P have positive coefficients of 0.08737 and 0.29455 respectively, indicating a direct relationship with the small value dependent variable. The value portfolios sorted on C/P and BTM, however, have negative coefficients of -0.16005 and -0.01464 respectively. The growth portfolio sorted on the BTM ratio also has a negative coefficient, this leads to the conclusion that the portfolio sorted on the BTM ratio will be inversely related to a portfolio sorted on small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high BTM stocks. Both the </w:t>
      </w:r>
      <w:r>
        <w:rPr>
          <w:rFonts w:ascii="Times New Roman" w:hAnsi="Times New Roman" w:cs="Times New Roman"/>
          <w:sz w:val="24"/>
          <w:szCs w:val="36"/>
        </w:rPr>
        <w:lastRenderedPageBreak/>
        <w:t xml:space="preserve">E/P and D/P sorted growth portfolios have negative coefficients of -0.0319 and -0.78693, respectively, that confirm the negative relationship between a high BTM,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 portfolio and a low E/P or low D/P stock portfolio. </w:t>
      </w:r>
      <w:r w:rsidR="00A75F4A">
        <w:rPr>
          <w:rFonts w:ascii="Times New Roman" w:hAnsi="Times New Roman" w:cs="Times New Roman"/>
          <w:sz w:val="24"/>
          <w:szCs w:val="36"/>
        </w:rPr>
        <w:t xml:space="preserve">In the regressions performed by Fama and French (1992), the only variable that did not seem to account for any of the risk in a stock is the market </w:t>
      </w:r>
      <w:r w:rsidR="00610C8D">
        <w:rPr>
          <w:rFonts w:ascii="Times New Roman" w:hAnsi="Times New Roman" w:cs="Times New Roman"/>
          <w:sz w:val="24"/>
          <w:szCs w:val="36"/>
        </w:rPr>
        <w:t>capitalisation</w:t>
      </w:r>
      <w:r w:rsidR="00A75F4A">
        <w:rPr>
          <w:rFonts w:ascii="Times New Roman" w:hAnsi="Times New Roman" w:cs="Times New Roman"/>
          <w:sz w:val="24"/>
          <w:szCs w:val="36"/>
        </w:rPr>
        <w:t xml:space="preserve"> variable. This is in contradiction to the results found in this dissertation as size sorted portfolios exhibit value premiums. </w:t>
      </w:r>
      <w:r w:rsidR="00510F27">
        <w:rPr>
          <w:rFonts w:ascii="Times New Roman" w:hAnsi="Times New Roman" w:cs="Times New Roman"/>
          <w:sz w:val="24"/>
          <w:szCs w:val="36"/>
        </w:rPr>
        <w:t>The</w:t>
      </w:r>
      <w:r w:rsidR="00A75F4A">
        <w:rPr>
          <w:rFonts w:ascii="Times New Roman" w:hAnsi="Times New Roman" w:cs="Times New Roman"/>
          <w:sz w:val="24"/>
          <w:szCs w:val="36"/>
        </w:rPr>
        <w:t xml:space="preserve"> portfolios sorted on variables found by Fama and French (1992) to be superior descriptive variables do not exhibit </w:t>
      </w:r>
      <w:r w:rsidR="00016E57">
        <w:rPr>
          <w:rFonts w:ascii="Times New Roman" w:hAnsi="Times New Roman" w:cs="Times New Roman"/>
          <w:sz w:val="24"/>
          <w:szCs w:val="36"/>
        </w:rPr>
        <w:t xml:space="preserve">a clear </w:t>
      </w:r>
      <w:r w:rsidR="00A75F4A">
        <w:rPr>
          <w:rFonts w:ascii="Times New Roman" w:hAnsi="Times New Roman" w:cs="Times New Roman"/>
          <w:sz w:val="24"/>
          <w:szCs w:val="36"/>
        </w:rPr>
        <w:t>value premium in this dissertation</w:t>
      </w:r>
      <w:r w:rsidR="00510F27">
        <w:rPr>
          <w:rFonts w:ascii="Times New Roman" w:hAnsi="Times New Roman" w:cs="Times New Roman"/>
          <w:sz w:val="24"/>
          <w:szCs w:val="36"/>
        </w:rPr>
        <w:t xml:space="preserve">. Again, this could be due to the methodology employed in creating stock portfolios. </w:t>
      </w:r>
      <w:r w:rsidR="00CA11A2">
        <w:rPr>
          <w:rFonts w:ascii="Times New Roman" w:hAnsi="Times New Roman" w:cs="Times New Roman"/>
          <w:sz w:val="24"/>
          <w:szCs w:val="36"/>
        </w:rPr>
        <w:t xml:space="preserve"> </w:t>
      </w:r>
    </w:p>
    <w:p w:rsidR="00CA11A2" w:rsidRDefault="00CA11A2" w:rsidP="00A02570">
      <w:pPr>
        <w:pStyle w:val="ListParagraph"/>
        <w:spacing w:line="360" w:lineRule="auto"/>
        <w:ind w:left="0"/>
        <w:jc w:val="both"/>
        <w:rPr>
          <w:rFonts w:ascii="Times New Roman" w:hAnsi="Times New Roman" w:cs="Times New Roman"/>
          <w:sz w:val="24"/>
          <w:szCs w:val="36"/>
        </w:rPr>
      </w:pPr>
    </w:p>
    <w:p w:rsidR="00F65795" w:rsidRDefault="00CA11A2"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sorted portfolios explain the cross-section of returns the best, whether the portfolios are value weighted or equally weighted.</w:t>
      </w:r>
      <w:r w:rsidR="009C550C">
        <w:rPr>
          <w:rFonts w:ascii="Times New Roman" w:hAnsi="Times New Roman" w:cs="Times New Roman"/>
          <w:sz w:val="24"/>
          <w:szCs w:val="36"/>
        </w:rPr>
        <w:t xml:space="preserve"> This result is in accord with Fama and French (1993) who find that size explains stock returns and is a risk proxy for certain unnamed risks.</w:t>
      </w:r>
      <w:r>
        <w:rPr>
          <w:rFonts w:ascii="Times New Roman" w:hAnsi="Times New Roman" w:cs="Times New Roman"/>
          <w:sz w:val="24"/>
          <w:szCs w:val="36"/>
        </w:rPr>
        <w:t xml:space="preserve"> The D/P ratio also appears to have explanatory value whether value or equally weighted. However, the BTM sorted portfolios and E/P and C/P portfolios have very few statistically significant coefficients.</w:t>
      </w:r>
      <w:r w:rsidR="009C550C">
        <w:rPr>
          <w:rFonts w:ascii="Times New Roman" w:hAnsi="Times New Roman" w:cs="Times New Roman"/>
          <w:sz w:val="24"/>
          <w:szCs w:val="36"/>
        </w:rPr>
        <w:t xml:space="preserve"> The result of the BTM ratio having very little explanatory power is in disagreement with Fama and French (1993). Along with size, they note that BTM has significant ability in explaining stock returns.</w:t>
      </w:r>
      <w:r>
        <w:rPr>
          <w:rFonts w:ascii="Times New Roman" w:hAnsi="Times New Roman" w:cs="Times New Roman"/>
          <w:sz w:val="24"/>
          <w:szCs w:val="36"/>
        </w:rPr>
        <w:t xml:space="preserve"> The E/P portfolio explains the large value and large growth dependent variables. It has little explanatory power with the small stock dependent portfolios, which is interesting since the E/P ratio is found by several authors to be a superior explanatory variable. An explanation for this is that in other studies of the E/P ratio, more portfolios are created using smaller percentiles, that is, some authors use decile sorts, others create 5 portfolios. In this way they have a higher concentration of value and growth stocks in their respective portfolios. </w:t>
      </w:r>
      <w:r w:rsidR="00EC391F">
        <w:rPr>
          <w:rFonts w:ascii="Times New Roman" w:hAnsi="Times New Roman" w:cs="Times New Roman"/>
          <w:sz w:val="24"/>
          <w:szCs w:val="36"/>
        </w:rPr>
        <w:t xml:space="preserve">The relationship between small sized stocks and E/P is low. </w:t>
      </w:r>
    </w:p>
    <w:p w:rsidR="00510F27" w:rsidRDefault="00510F27" w:rsidP="00A02570">
      <w:pPr>
        <w:pStyle w:val="ListParagraph"/>
        <w:spacing w:line="360" w:lineRule="auto"/>
        <w:ind w:left="0"/>
        <w:jc w:val="both"/>
        <w:rPr>
          <w:rFonts w:ascii="Times New Roman" w:hAnsi="Times New Roman" w:cs="Times New Roman"/>
          <w:sz w:val="24"/>
          <w:szCs w:val="36"/>
        </w:rPr>
      </w:pPr>
    </w:p>
    <w:p w:rsidR="00F33A89" w:rsidRPr="00566BF3" w:rsidRDefault="00EE561B" w:rsidP="00F33A89">
      <w:pPr>
        <w:spacing w:line="360" w:lineRule="auto"/>
        <w:jc w:val="both"/>
        <w:rPr>
          <w:rFonts w:ascii="Times New Roman" w:hAnsi="Times New Roman" w:cs="Times New Roman"/>
          <w:sz w:val="24"/>
          <w:szCs w:val="36"/>
        </w:rPr>
      </w:pPr>
      <w:r>
        <w:rPr>
          <w:rFonts w:ascii="Times New Roman" w:hAnsi="Times New Roman" w:cs="Times New Roman"/>
          <w:sz w:val="24"/>
        </w:rPr>
        <w:t xml:space="preserve">The one dimensional portfolios have the following characteristics. The dividend yield sorted portfolios exhibit a value premium for the value weighted portfolio. With a lower Sharpe ratio, this premium of the value portfolio appears to be because of mispricing and not increased risk. Both the value weighted and equally weighted portfolios sorted on the earnings yield have larger returns for the growth portfolios. The value weighted portfolios sorted on the C/P ratio has a more pronounced value premium than that of the dividend yield sorted portfolio. Moving on to the portfolios sorted on the BTM ratio, it is clear that value outperforms growth, regardless of the weighting used. The size variable produces similar </w:t>
      </w:r>
      <w:r>
        <w:rPr>
          <w:rFonts w:ascii="Times New Roman" w:hAnsi="Times New Roman" w:cs="Times New Roman"/>
          <w:sz w:val="24"/>
        </w:rPr>
        <w:lastRenderedPageBreak/>
        <w:t xml:space="preserve">results leading the analyst to the conclusion that portfolios sorted on high BTM or low market </w:t>
      </w:r>
      <w:r w:rsidR="00610C8D">
        <w:rPr>
          <w:rFonts w:ascii="Times New Roman" w:hAnsi="Times New Roman" w:cs="Times New Roman"/>
          <w:sz w:val="24"/>
        </w:rPr>
        <w:t>capitalisation</w:t>
      </w:r>
      <w:r>
        <w:rPr>
          <w:rFonts w:ascii="Times New Roman" w:hAnsi="Times New Roman" w:cs="Times New Roman"/>
          <w:sz w:val="24"/>
        </w:rPr>
        <w:t xml:space="preserve"> will result in superior profits. </w:t>
      </w:r>
      <w:r>
        <w:rPr>
          <w:rFonts w:ascii="Times New Roman" w:hAnsi="Times New Roman" w:cs="Times New Roman"/>
          <w:sz w:val="24"/>
          <w:szCs w:val="36"/>
        </w:rPr>
        <w:t xml:space="preserve">Regressions performed on the large growth dependent variable show that the E/P ratio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 are significant in explaining the cross section of returns. The single sorted variables regressed on the large value dependent variable display a larger array of significance across variables. The E/P, C/P, and D/P ratios all exhibit statistically significant relationships with the large value variable, as does the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variable. The D/P and C/P ratios, along with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are significant variables in the regressions performed on the small growth dependent variable. The D/P, C/P, BTM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sorted portfolios explain the cross section of returns when the single sorted variables are regressed on the small value dependent variable. Here i</w:t>
      </w:r>
      <w:r w:rsidR="00F33A89">
        <w:rPr>
          <w:rFonts w:ascii="Times New Roman" w:hAnsi="Times New Roman" w:cs="Times New Roman"/>
          <w:sz w:val="24"/>
          <w:szCs w:val="36"/>
        </w:rPr>
        <w:t>t</w:t>
      </w:r>
      <w:r>
        <w:rPr>
          <w:rFonts w:ascii="Times New Roman" w:hAnsi="Times New Roman" w:cs="Times New Roman"/>
          <w:sz w:val="24"/>
          <w:szCs w:val="36"/>
        </w:rPr>
        <w:t xml:space="preserve"> is noteworthy that the small value dependent variable is an extreme value portfolio so these explanatory variables play an expected role in descri</w:t>
      </w:r>
      <w:r w:rsidR="00F33A89">
        <w:rPr>
          <w:rFonts w:ascii="Times New Roman" w:hAnsi="Times New Roman" w:cs="Times New Roman"/>
          <w:sz w:val="24"/>
          <w:szCs w:val="36"/>
        </w:rPr>
        <w:t xml:space="preserve">bing the returns. Therefore, from the one dimensional regression results the market </w:t>
      </w:r>
      <w:r w:rsidR="00610C8D">
        <w:rPr>
          <w:rFonts w:ascii="Times New Roman" w:hAnsi="Times New Roman" w:cs="Times New Roman"/>
          <w:sz w:val="24"/>
          <w:szCs w:val="36"/>
        </w:rPr>
        <w:t>capitalisation</w:t>
      </w:r>
      <w:r w:rsidR="00F33A89">
        <w:rPr>
          <w:rFonts w:ascii="Times New Roman" w:hAnsi="Times New Roman" w:cs="Times New Roman"/>
          <w:sz w:val="24"/>
          <w:szCs w:val="36"/>
        </w:rPr>
        <w:t xml:space="preserve"> variable appears to be the most </w:t>
      </w:r>
      <w:r w:rsidR="00AB2C61">
        <w:rPr>
          <w:rFonts w:ascii="Times New Roman" w:hAnsi="Times New Roman" w:cs="Times New Roman"/>
          <w:sz w:val="24"/>
          <w:szCs w:val="36"/>
        </w:rPr>
        <w:t>consistent</w:t>
      </w:r>
      <w:r w:rsidR="00F33A89">
        <w:rPr>
          <w:rFonts w:ascii="Times New Roman" w:hAnsi="Times New Roman" w:cs="Times New Roman"/>
          <w:sz w:val="24"/>
          <w:szCs w:val="36"/>
        </w:rPr>
        <w:t xml:space="preserve"> variable in terms of explaining stock returns. While the remaining f</w:t>
      </w:r>
      <w:r w:rsidR="004411F4">
        <w:rPr>
          <w:rFonts w:ascii="Times New Roman" w:hAnsi="Times New Roman" w:cs="Times New Roman"/>
          <w:sz w:val="24"/>
          <w:szCs w:val="36"/>
        </w:rPr>
        <w:t>undamental-to-price ratios do a</w:t>
      </w:r>
      <w:r w:rsidR="00F33A89">
        <w:rPr>
          <w:rFonts w:ascii="Times New Roman" w:hAnsi="Times New Roman" w:cs="Times New Roman"/>
          <w:sz w:val="24"/>
          <w:szCs w:val="36"/>
        </w:rPr>
        <w:t xml:space="preserve"> </w:t>
      </w:r>
      <w:r w:rsidR="004411F4">
        <w:rPr>
          <w:rFonts w:ascii="Times New Roman" w:hAnsi="Times New Roman" w:cs="Times New Roman"/>
          <w:sz w:val="24"/>
          <w:szCs w:val="36"/>
        </w:rPr>
        <w:t>reasonable</w:t>
      </w:r>
      <w:r w:rsidR="00F33A89">
        <w:rPr>
          <w:rFonts w:ascii="Times New Roman" w:hAnsi="Times New Roman" w:cs="Times New Roman"/>
          <w:sz w:val="24"/>
          <w:szCs w:val="36"/>
        </w:rPr>
        <w:t xml:space="preserve"> job with respect to explaining returns, the most surprising result is that the E/P ratio does not feature at all. This is in contrast to Basu (1997) and Dreman and Berry (1995). </w:t>
      </w:r>
      <w:r w:rsidR="00987828">
        <w:rPr>
          <w:rFonts w:ascii="Times New Roman" w:hAnsi="Times New Roman" w:cs="Times New Roman"/>
          <w:sz w:val="24"/>
          <w:szCs w:val="36"/>
        </w:rPr>
        <w:t xml:space="preserve">With C/P being a better explanatory variable than E/P, the conclusion that can be drawn, similar to that of Brouwer, van der Put, and Veld (1997), is that the C/P measure is a more stable accounting measure than earnings. </w:t>
      </w:r>
    </w:p>
    <w:p w:rsidR="00D15210" w:rsidRDefault="00D15210" w:rsidP="00A02570">
      <w:pPr>
        <w:pStyle w:val="ListParagraph"/>
        <w:spacing w:line="360" w:lineRule="auto"/>
        <w:ind w:left="0"/>
        <w:jc w:val="both"/>
        <w:rPr>
          <w:rFonts w:ascii="Times New Roman" w:hAnsi="Times New Roman" w:cs="Times New Roman"/>
          <w:color w:val="943634" w:themeColor="accent2" w:themeShade="BF"/>
          <w:sz w:val="24"/>
          <w:szCs w:val="36"/>
        </w:rPr>
      </w:pPr>
    </w:p>
    <w:p w:rsidR="005A2B86" w:rsidRPr="00EF7DC3" w:rsidRDefault="005A2B86" w:rsidP="00FF500C">
      <w:pPr>
        <w:pStyle w:val="ListParagraph"/>
        <w:numPr>
          <w:ilvl w:val="1"/>
          <w:numId w:val="18"/>
        </w:numPr>
        <w:spacing w:line="360" w:lineRule="auto"/>
        <w:jc w:val="both"/>
        <w:outlineLvl w:val="1"/>
        <w:rPr>
          <w:rFonts w:ascii="Times New Roman" w:hAnsi="Times New Roman" w:cs="Times New Roman"/>
          <w:b/>
          <w:sz w:val="32"/>
          <w:szCs w:val="36"/>
        </w:rPr>
      </w:pPr>
      <w:bookmarkStart w:id="70" w:name="_Toc305166520"/>
      <w:r w:rsidRPr="00EF7DC3">
        <w:rPr>
          <w:rFonts w:ascii="Times New Roman" w:hAnsi="Times New Roman" w:cs="Times New Roman"/>
          <w:b/>
          <w:sz w:val="32"/>
          <w:szCs w:val="36"/>
        </w:rPr>
        <w:t>Two</w:t>
      </w:r>
      <w:r w:rsidR="00D310D8" w:rsidRPr="00EF7DC3">
        <w:rPr>
          <w:rFonts w:ascii="Times New Roman" w:hAnsi="Times New Roman" w:cs="Times New Roman"/>
          <w:b/>
          <w:sz w:val="32"/>
          <w:szCs w:val="36"/>
        </w:rPr>
        <w:t xml:space="preserve"> Dimensional</w:t>
      </w:r>
      <w:r w:rsidRPr="00EF7DC3">
        <w:rPr>
          <w:rFonts w:ascii="Times New Roman" w:hAnsi="Times New Roman" w:cs="Times New Roman"/>
          <w:b/>
          <w:sz w:val="32"/>
          <w:szCs w:val="36"/>
        </w:rPr>
        <w:t xml:space="preserve"> </w:t>
      </w:r>
      <w:r w:rsidR="002041DC" w:rsidRPr="00EF7DC3">
        <w:rPr>
          <w:rFonts w:ascii="Times New Roman" w:hAnsi="Times New Roman" w:cs="Times New Roman"/>
          <w:b/>
          <w:sz w:val="32"/>
          <w:szCs w:val="36"/>
        </w:rPr>
        <w:t>Regression Results</w:t>
      </w:r>
      <w:bookmarkEnd w:id="70"/>
    </w:p>
    <w:p w:rsidR="005A2B86" w:rsidRDefault="005A2B86" w:rsidP="00A02570">
      <w:pPr>
        <w:pStyle w:val="ListParagraph"/>
        <w:spacing w:line="360" w:lineRule="auto"/>
        <w:ind w:left="0"/>
        <w:jc w:val="both"/>
        <w:rPr>
          <w:rFonts w:ascii="Times New Roman" w:hAnsi="Times New Roman" w:cs="Times New Roman"/>
          <w:color w:val="943634" w:themeColor="accent2" w:themeShade="BF"/>
          <w:sz w:val="24"/>
          <w:szCs w:val="36"/>
        </w:rPr>
      </w:pPr>
    </w:p>
    <w:p w:rsidR="00CD5EB8" w:rsidRDefault="005A2B86"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motivation behind these dual sorted portfolios is that if one variable does not correctly capture th</w:t>
      </w:r>
      <w:r w:rsidR="002041DC">
        <w:rPr>
          <w:rFonts w:ascii="Times New Roman" w:hAnsi="Times New Roman" w:cs="Times New Roman"/>
          <w:sz w:val="24"/>
          <w:szCs w:val="36"/>
        </w:rPr>
        <w:t>e</w:t>
      </w:r>
      <w:r>
        <w:rPr>
          <w:rFonts w:ascii="Times New Roman" w:hAnsi="Times New Roman" w:cs="Times New Roman"/>
          <w:sz w:val="24"/>
          <w:szCs w:val="36"/>
        </w:rPr>
        <w:t xml:space="preserve"> value or growth nature of a stock, sorting it with a second variable will. As discussed earlier under the Data and Portfolio Construction section, Lakon</w:t>
      </w:r>
      <w:r w:rsidR="00EF3BFD">
        <w:rPr>
          <w:rFonts w:ascii="Times New Roman" w:hAnsi="Times New Roman" w:cs="Times New Roman"/>
          <w:sz w:val="24"/>
          <w:szCs w:val="36"/>
        </w:rPr>
        <w:t>ishok, Shleifer, and Vishny (199</w:t>
      </w:r>
      <w:r>
        <w:rPr>
          <w:rFonts w:ascii="Times New Roman" w:hAnsi="Times New Roman" w:cs="Times New Roman"/>
          <w:sz w:val="24"/>
          <w:szCs w:val="36"/>
        </w:rPr>
        <w:t xml:space="preserve">4) suggest the earnings of stocks could be misinterpreted, thus value stocks may sit in growth portfolios and </w:t>
      </w:r>
      <w:r w:rsidR="002041DC">
        <w:rPr>
          <w:rFonts w:ascii="Times New Roman" w:hAnsi="Times New Roman" w:cs="Times New Roman"/>
          <w:sz w:val="24"/>
          <w:szCs w:val="36"/>
        </w:rPr>
        <w:t>growth stocks in value portfolios. These dual sorted portfolios also have the added advantage of being extreme growth or value, or a</w:t>
      </w:r>
      <w:r w:rsidR="003D5A13">
        <w:rPr>
          <w:rFonts w:ascii="Times New Roman" w:hAnsi="Times New Roman" w:cs="Times New Roman"/>
          <w:sz w:val="24"/>
          <w:szCs w:val="36"/>
        </w:rPr>
        <w:t xml:space="preserve"> combination of the two. </w:t>
      </w:r>
      <w:r w:rsidR="008E6F94">
        <w:rPr>
          <w:rFonts w:ascii="Times New Roman" w:hAnsi="Times New Roman" w:cs="Times New Roman"/>
          <w:sz w:val="24"/>
          <w:szCs w:val="36"/>
        </w:rPr>
        <w:t>Table 17 below presents the descriptive statistics of the two dimensional portfolios. The Sharpe</w:t>
      </w:r>
      <w:r w:rsidR="00984B1C">
        <w:rPr>
          <w:rFonts w:ascii="Times New Roman" w:hAnsi="Times New Roman" w:cs="Times New Roman"/>
          <w:sz w:val="24"/>
          <w:szCs w:val="36"/>
        </w:rPr>
        <w:t xml:space="preserve"> and</w:t>
      </w:r>
      <w:r w:rsidR="008E6F94">
        <w:rPr>
          <w:rFonts w:ascii="Times New Roman" w:hAnsi="Times New Roman" w:cs="Times New Roman"/>
          <w:sz w:val="24"/>
          <w:szCs w:val="36"/>
        </w:rPr>
        <w:t xml:space="preserve"> </w:t>
      </w:r>
      <w:r w:rsidR="00AB2C61">
        <w:rPr>
          <w:rFonts w:ascii="Times New Roman" w:hAnsi="Times New Roman" w:cs="Times New Roman"/>
          <w:sz w:val="24"/>
          <w:szCs w:val="36"/>
        </w:rPr>
        <w:t>Treynor measures</w:t>
      </w:r>
      <w:r w:rsidR="008E6F94">
        <w:rPr>
          <w:rFonts w:ascii="Times New Roman" w:hAnsi="Times New Roman" w:cs="Times New Roman"/>
          <w:sz w:val="24"/>
          <w:szCs w:val="36"/>
        </w:rPr>
        <w:t xml:space="preserve"> are the most critical values as they provide evidence as to whether value strategies based on sorting portfolios two ways will provide superior returns without additional risk</w:t>
      </w:r>
      <w:r w:rsidR="00987C29">
        <w:rPr>
          <w:rFonts w:ascii="Times New Roman" w:hAnsi="Times New Roman" w:cs="Times New Roman"/>
          <w:sz w:val="24"/>
          <w:szCs w:val="36"/>
        </w:rPr>
        <w:t xml:space="preserve"> that is not proportionally higher than the increase in returns</w:t>
      </w:r>
      <w:r w:rsidR="008E6F94">
        <w:rPr>
          <w:rFonts w:ascii="Times New Roman" w:hAnsi="Times New Roman" w:cs="Times New Roman"/>
          <w:sz w:val="24"/>
          <w:szCs w:val="36"/>
        </w:rPr>
        <w:t xml:space="preserve">. </w:t>
      </w:r>
    </w:p>
    <w:p w:rsidR="008E6F94" w:rsidRDefault="008E6F94" w:rsidP="005A2B86">
      <w:pPr>
        <w:pStyle w:val="ListParagraph"/>
        <w:spacing w:line="360" w:lineRule="auto"/>
        <w:ind w:left="0"/>
        <w:jc w:val="both"/>
        <w:rPr>
          <w:rFonts w:ascii="Times New Roman" w:hAnsi="Times New Roman" w:cs="Times New Roman"/>
          <w:sz w:val="24"/>
          <w:szCs w:val="36"/>
        </w:rPr>
      </w:pPr>
    </w:p>
    <w:p w:rsidR="008E6F94" w:rsidRDefault="00D35683"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lastRenderedPageBreak/>
        <w:t xml:space="preserve">The </w:t>
      </w:r>
      <w:r w:rsidR="00A72822">
        <w:rPr>
          <w:rFonts w:ascii="Times New Roman" w:hAnsi="Times New Roman" w:cs="Times New Roman"/>
          <w:sz w:val="24"/>
          <w:szCs w:val="36"/>
        </w:rPr>
        <w:t>portfolios</w:t>
      </w:r>
      <w:r>
        <w:rPr>
          <w:rFonts w:ascii="Times New Roman" w:hAnsi="Times New Roman" w:cs="Times New Roman"/>
          <w:sz w:val="24"/>
          <w:szCs w:val="36"/>
        </w:rPr>
        <w:t xml:space="preserve"> sorted initially on the BTM ratio, then on the E/P ratio display that the  annual mean excess return on the extreme value portfolio (denoted by 1) is 16.11%, while on the extreme </w:t>
      </w:r>
      <w:r w:rsidR="00D32145">
        <w:rPr>
          <w:rFonts w:ascii="Times New Roman" w:hAnsi="Times New Roman" w:cs="Times New Roman"/>
          <w:sz w:val="24"/>
          <w:szCs w:val="36"/>
        </w:rPr>
        <w:t xml:space="preserve">growth </w:t>
      </w:r>
      <w:r>
        <w:rPr>
          <w:rFonts w:ascii="Times New Roman" w:hAnsi="Times New Roman" w:cs="Times New Roman"/>
          <w:sz w:val="24"/>
          <w:szCs w:val="36"/>
        </w:rPr>
        <w:t xml:space="preserve">portfolio (denoted by 4) it is 17.03%. The combination of high BTM stocks with low E/P stocks (denoted by 3) has the highest annual mean excess return of 36.17%. However, this increased return is coupled with increased standard deviation – 37.31%. The low BTM, high E/P stocks portfolio exhibits an annual mean excess return of 7.97%, but has a standard deviation comparable to the extreme value portfolio of 15.9%. The Sharpe ratio for the extreme growth portfolio is lower than that of the extreme value portfolio, suggesting that the </w:t>
      </w:r>
      <w:r w:rsidR="00D32145">
        <w:rPr>
          <w:rFonts w:ascii="Times New Roman" w:hAnsi="Times New Roman" w:cs="Times New Roman"/>
          <w:sz w:val="24"/>
          <w:szCs w:val="36"/>
        </w:rPr>
        <w:t xml:space="preserve">percentage </w:t>
      </w:r>
      <w:r>
        <w:rPr>
          <w:rFonts w:ascii="Times New Roman" w:hAnsi="Times New Roman" w:cs="Times New Roman"/>
          <w:sz w:val="24"/>
          <w:szCs w:val="36"/>
        </w:rPr>
        <w:t xml:space="preserve">return </w:t>
      </w:r>
      <w:r w:rsidR="00D32145">
        <w:rPr>
          <w:rFonts w:ascii="Times New Roman" w:hAnsi="Times New Roman" w:cs="Times New Roman"/>
          <w:sz w:val="24"/>
          <w:szCs w:val="36"/>
        </w:rPr>
        <w:t>per unit of risk of</w:t>
      </w:r>
      <w:r>
        <w:rPr>
          <w:rFonts w:ascii="Times New Roman" w:hAnsi="Times New Roman" w:cs="Times New Roman"/>
          <w:sz w:val="24"/>
          <w:szCs w:val="36"/>
        </w:rPr>
        <w:t xml:space="preserve"> the extreme growth portfolio is </w:t>
      </w:r>
      <w:r w:rsidR="00D32145">
        <w:rPr>
          <w:rFonts w:ascii="Times New Roman" w:hAnsi="Times New Roman" w:cs="Times New Roman"/>
          <w:sz w:val="24"/>
          <w:szCs w:val="36"/>
        </w:rPr>
        <w:t>much higher than the extreme value portfolio</w:t>
      </w:r>
      <w:r>
        <w:rPr>
          <w:rFonts w:ascii="Times New Roman" w:hAnsi="Times New Roman" w:cs="Times New Roman"/>
          <w:sz w:val="24"/>
          <w:szCs w:val="36"/>
        </w:rPr>
        <w:t xml:space="preserve">. </w:t>
      </w:r>
      <w:r w:rsidR="00984B1C">
        <w:rPr>
          <w:rFonts w:ascii="Times New Roman" w:hAnsi="Times New Roman" w:cs="Times New Roman"/>
          <w:sz w:val="24"/>
          <w:szCs w:val="36"/>
        </w:rPr>
        <w:t>T</w:t>
      </w:r>
      <w:r>
        <w:rPr>
          <w:rFonts w:ascii="Times New Roman" w:hAnsi="Times New Roman" w:cs="Times New Roman"/>
          <w:sz w:val="24"/>
          <w:szCs w:val="36"/>
        </w:rPr>
        <w:t>he extreme value portfolio has the highest Sharpe ratio of 0.2606,</w:t>
      </w:r>
      <w:r w:rsidR="009512E5">
        <w:rPr>
          <w:rFonts w:ascii="Times New Roman" w:hAnsi="Times New Roman" w:cs="Times New Roman"/>
          <w:sz w:val="24"/>
          <w:szCs w:val="36"/>
        </w:rPr>
        <w:t xml:space="preserve"> </w:t>
      </w:r>
      <w:r w:rsidR="00984B1C">
        <w:rPr>
          <w:rFonts w:ascii="Times New Roman" w:hAnsi="Times New Roman" w:cs="Times New Roman"/>
          <w:sz w:val="24"/>
          <w:szCs w:val="36"/>
        </w:rPr>
        <w:t>while</w:t>
      </w:r>
      <w:r w:rsidR="009512E5">
        <w:rPr>
          <w:rFonts w:ascii="Times New Roman" w:hAnsi="Times New Roman" w:cs="Times New Roman"/>
          <w:sz w:val="24"/>
          <w:szCs w:val="36"/>
        </w:rPr>
        <w:t xml:space="preserve"> the highest Treynor measure in comparison to the extreme growth portfolio. The former results imply that even though the return of the value portfolio is less than the growth portfolio, the risk-adjusted returns are greater. The beta of the value portfolio is less than the growth portfolio, implying less risk in the former portfolio. This </w:t>
      </w:r>
      <w:r w:rsidR="00AD66F9">
        <w:rPr>
          <w:rFonts w:ascii="Times New Roman" w:hAnsi="Times New Roman" w:cs="Times New Roman"/>
          <w:sz w:val="24"/>
          <w:szCs w:val="36"/>
        </w:rPr>
        <w:t>suggests</w:t>
      </w:r>
      <w:r w:rsidR="009512E5">
        <w:rPr>
          <w:rFonts w:ascii="Times New Roman" w:hAnsi="Times New Roman" w:cs="Times New Roman"/>
          <w:sz w:val="24"/>
          <w:szCs w:val="36"/>
        </w:rPr>
        <w:t xml:space="preserve"> the value portfolio’s return is relatively higher compared to its systematic risk.</w:t>
      </w:r>
      <w:r>
        <w:rPr>
          <w:rFonts w:ascii="Times New Roman" w:hAnsi="Times New Roman" w:cs="Times New Roman"/>
          <w:sz w:val="24"/>
          <w:szCs w:val="36"/>
        </w:rPr>
        <w:t xml:space="preserve"> </w:t>
      </w:r>
      <w:r w:rsidR="00F63AB2">
        <w:rPr>
          <w:rFonts w:ascii="Times New Roman" w:hAnsi="Times New Roman" w:cs="Times New Roman"/>
          <w:sz w:val="24"/>
          <w:szCs w:val="36"/>
        </w:rPr>
        <w:t>I</w:t>
      </w:r>
      <w:r>
        <w:rPr>
          <w:rFonts w:ascii="Times New Roman" w:hAnsi="Times New Roman" w:cs="Times New Roman"/>
          <w:sz w:val="24"/>
          <w:szCs w:val="36"/>
        </w:rPr>
        <w:t xml:space="preserve">t turns out that the BM-EP3 portfolio is the superior risk-adjusted portfolio. </w:t>
      </w:r>
    </w:p>
    <w:p w:rsidR="00D35683" w:rsidRDefault="00D35683" w:rsidP="005A2B86">
      <w:pPr>
        <w:pStyle w:val="ListParagraph"/>
        <w:spacing w:line="360" w:lineRule="auto"/>
        <w:ind w:left="0"/>
        <w:jc w:val="both"/>
        <w:rPr>
          <w:rFonts w:ascii="Times New Roman" w:hAnsi="Times New Roman" w:cs="Times New Roman"/>
          <w:sz w:val="24"/>
          <w:szCs w:val="36"/>
        </w:rPr>
      </w:pPr>
    </w:p>
    <w:p w:rsidR="005722F2" w:rsidRDefault="006479E3"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A pattern emerges as one </w:t>
      </w:r>
      <w:r w:rsidR="00A72822">
        <w:rPr>
          <w:rFonts w:ascii="Times New Roman" w:hAnsi="Times New Roman" w:cs="Times New Roman"/>
          <w:sz w:val="24"/>
          <w:szCs w:val="36"/>
        </w:rPr>
        <w:t>focuses</w:t>
      </w:r>
      <w:r>
        <w:rPr>
          <w:rFonts w:ascii="Times New Roman" w:hAnsi="Times New Roman" w:cs="Times New Roman"/>
          <w:sz w:val="24"/>
          <w:szCs w:val="36"/>
        </w:rPr>
        <w:t xml:space="preserve"> their attention </w:t>
      </w:r>
      <w:r w:rsidR="00A72822">
        <w:rPr>
          <w:rFonts w:ascii="Times New Roman" w:hAnsi="Times New Roman" w:cs="Times New Roman"/>
          <w:sz w:val="24"/>
          <w:szCs w:val="36"/>
        </w:rPr>
        <w:t>on</w:t>
      </w:r>
      <w:r>
        <w:rPr>
          <w:rFonts w:ascii="Times New Roman" w:hAnsi="Times New Roman" w:cs="Times New Roman"/>
          <w:sz w:val="24"/>
          <w:szCs w:val="36"/>
        </w:rPr>
        <w:t xml:space="preserve"> the portfolios sorted on BTM and C/P. While the extreme growth portfolio has an annual mean excess return of 15%, the </w:t>
      </w:r>
      <w:r w:rsidR="004013FC">
        <w:rPr>
          <w:rFonts w:ascii="Times New Roman" w:hAnsi="Times New Roman" w:cs="Times New Roman"/>
          <w:sz w:val="24"/>
          <w:szCs w:val="36"/>
        </w:rPr>
        <w:t xml:space="preserve">extreme value portfolio has an excess return of 20.6%. </w:t>
      </w:r>
      <w:r w:rsidR="003E3F9E">
        <w:rPr>
          <w:rFonts w:ascii="Times New Roman" w:hAnsi="Times New Roman" w:cs="Times New Roman"/>
          <w:sz w:val="24"/>
          <w:szCs w:val="36"/>
        </w:rPr>
        <w:t xml:space="preserve">In this case only can the third hypothesis be confirmed. </w:t>
      </w:r>
      <w:r w:rsidR="00A72822">
        <w:rPr>
          <w:rFonts w:ascii="Times New Roman" w:hAnsi="Times New Roman" w:cs="Times New Roman"/>
          <w:sz w:val="24"/>
          <w:szCs w:val="36"/>
        </w:rPr>
        <w:t>The</w:t>
      </w:r>
      <w:r w:rsidR="004013FC">
        <w:rPr>
          <w:rFonts w:ascii="Times New Roman" w:hAnsi="Times New Roman" w:cs="Times New Roman"/>
          <w:sz w:val="24"/>
          <w:szCs w:val="36"/>
        </w:rPr>
        <w:t xml:space="preserve"> BM-CP3 portfolio however, has the highest annual mean excess return of 28.06%. Its standard deviation is also lower than the extreme value portfolio. The Sharpe ratio for the extreme value portfolio is 0.2228, with the BM-CP3 ratio at 0.3135. An investor, </w:t>
      </w:r>
      <w:r w:rsidR="00F72A54">
        <w:rPr>
          <w:rFonts w:ascii="Times New Roman" w:hAnsi="Times New Roman" w:cs="Times New Roman"/>
          <w:sz w:val="24"/>
          <w:szCs w:val="36"/>
        </w:rPr>
        <w:t>looking</w:t>
      </w:r>
      <w:r w:rsidR="004013FC">
        <w:rPr>
          <w:rFonts w:ascii="Times New Roman" w:hAnsi="Times New Roman" w:cs="Times New Roman"/>
          <w:sz w:val="24"/>
          <w:szCs w:val="36"/>
        </w:rPr>
        <w:t xml:space="preserve"> at this ratio alone would pick the high BTM, low CP stock portfolio. The Treynor measures on the extreme value and BM-CP</w:t>
      </w:r>
      <w:r w:rsidR="00987C29">
        <w:rPr>
          <w:rFonts w:ascii="Times New Roman" w:hAnsi="Times New Roman" w:cs="Times New Roman"/>
          <w:sz w:val="24"/>
          <w:szCs w:val="36"/>
        </w:rPr>
        <w:t>3 portfolios are 0.0328 and 0.037</w:t>
      </w:r>
      <w:r w:rsidR="004013FC">
        <w:rPr>
          <w:rFonts w:ascii="Times New Roman" w:hAnsi="Times New Roman" w:cs="Times New Roman"/>
          <w:sz w:val="24"/>
          <w:szCs w:val="36"/>
        </w:rPr>
        <w:t xml:space="preserve"> respectively</w:t>
      </w:r>
      <w:r w:rsidR="008B787A">
        <w:rPr>
          <w:rFonts w:ascii="Times New Roman" w:hAnsi="Times New Roman" w:cs="Times New Roman"/>
          <w:sz w:val="24"/>
          <w:szCs w:val="36"/>
        </w:rPr>
        <w:t>.</w:t>
      </w:r>
      <w:r w:rsidR="00F72A54">
        <w:rPr>
          <w:rFonts w:ascii="Times New Roman" w:hAnsi="Times New Roman" w:cs="Times New Roman"/>
          <w:sz w:val="24"/>
          <w:szCs w:val="36"/>
        </w:rPr>
        <w:t xml:space="preserve"> The extreme value portfolio outperforms the extreme growth portfolio. In all instances of the risk-adjusted measures it is clear that value outperforms growth. The beta of the value portfolio, however, is less than the beta of the growth portfolio. The standard deviation, on the other hand, is greater for the value portfolio than the growth portfolio implying that although the systematic risk is lower the value portfolio was unable to diversify away unsystematic risk.</w:t>
      </w:r>
    </w:p>
    <w:p w:rsidR="005722F2" w:rsidRDefault="005722F2" w:rsidP="005A2B86">
      <w:pPr>
        <w:pStyle w:val="ListParagraph"/>
        <w:spacing w:line="360" w:lineRule="auto"/>
        <w:ind w:left="0"/>
        <w:jc w:val="both"/>
        <w:rPr>
          <w:rFonts w:ascii="Times New Roman" w:hAnsi="Times New Roman" w:cs="Times New Roman"/>
          <w:sz w:val="24"/>
          <w:szCs w:val="36"/>
        </w:rPr>
      </w:pPr>
    </w:p>
    <w:p w:rsidR="00DC6908" w:rsidRDefault="00950E7E"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With the hope </w:t>
      </w:r>
      <w:r w:rsidR="006F5D7F">
        <w:rPr>
          <w:rFonts w:ascii="Times New Roman" w:hAnsi="Times New Roman" w:cs="Times New Roman"/>
          <w:sz w:val="24"/>
          <w:szCs w:val="36"/>
        </w:rPr>
        <w:t>that the</w:t>
      </w:r>
      <w:r w:rsidR="005722F2">
        <w:rPr>
          <w:rFonts w:ascii="Times New Roman" w:hAnsi="Times New Roman" w:cs="Times New Roman"/>
          <w:sz w:val="24"/>
          <w:szCs w:val="36"/>
        </w:rPr>
        <w:t xml:space="preserve"> extreme value portfolio will </w:t>
      </w:r>
      <w:r>
        <w:rPr>
          <w:rFonts w:ascii="Times New Roman" w:hAnsi="Times New Roman" w:cs="Times New Roman"/>
          <w:sz w:val="24"/>
          <w:szCs w:val="36"/>
        </w:rPr>
        <w:t xml:space="preserve">outperform the extreme growth portfolio </w:t>
      </w:r>
      <w:r w:rsidR="005722F2">
        <w:rPr>
          <w:rFonts w:ascii="Times New Roman" w:hAnsi="Times New Roman" w:cs="Times New Roman"/>
          <w:sz w:val="24"/>
          <w:szCs w:val="36"/>
        </w:rPr>
        <w:t xml:space="preserve">in the dual sorting of BTM and dividend yield, the evidence is clear: it does not. The extreme </w:t>
      </w:r>
      <w:r w:rsidR="005722F2">
        <w:rPr>
          <w:rFonts w:ascii="Times New Roman" w:hAnsi="Times New Roman" w:cs="Times New Roman"/>
          <w:sz w:val="24"/>
          <w:szCs w:val="36"/>
        </w:rPr>
        <w:lastRenderedPageBreak/>
        <w:t xml:space="preserve">value portfolio does not even come in second, with the extreme growth portfolio producing an annual mean excess return 21 basis points higher than the extreme value portfolio. The BM-DP3 portfolio has an annual mean excess return of 25.38%, and the highest standard deviation of 23.31%. Its Sharpe ratio also beats the rest of the portfolios at 0.2828, but the extreme value portfolio redeems itself as it has a Sharpe ratio of 0.2415. This is better than the extreme growth portfolio, which has the second highest mean excess return. </w:t>
      </w:r>
      <w:r w:rsidR="004013FC">
        <w:rPr>
          <w:rFonts w:ascii="Times New Roman" w:hAnsi="Times New Roman" w:cs="Times New Roman"/>
          <w:sz w:val="24"/>
          <w:szCs w:val="36"/>
        </w:rPr>
        <w:t xml:space="preserve"> </w:t>
      </w:r>
      <w:r w:rsidR="005722F2">
        <w:rPr>
          <w:rFonts w:ascii="Times New Roman" w:hAnsi="Times New Roman" w:cs="Times New Roman"/>
          <w:sz w:val="24"/>
          <w:szCs w:val="36"/>
        </w:rPr>
        <w:t>Nonetheless, the Treynor measure</w:t>
      </w:r>
      <w:r w:rsidR="00F63AB2">
        <w:rPr>
          <w:rFonts w:ascii="Times New Roman" w:hAnsi="Times New Roman" w:cs="Times New Roman"/>
          <w:sz w:val="24"/>
          <w:szCs w:val="36"/>
        </w:rPr>
        <w:t xml:space="preserve"> is</w:t>
      </w:r>
      <w:r w:rsidR="005722F2">
        <w:rPr>
          <w:rFonts w:ascii="Times New Roman" w:hAnsi="Times New Roman" w:cs="Times New Roman"/>
          <w:sz w:val="24"/>
          <w:szCs w:val="36"/>
        </w:rPr>
        <w:t xml:space="preserve"> still the largest for the BM-DP3 </w:t>
      </w:r>
      <w:r w:rsidR="00A72822">
        <w:rPr>
          <w:rFonts w:ascii="Times New Roman" w:hAnsi="Times New Roman" w:cs="Times New Roman"/>
          <w:sz w:val="24"/>
          <w:szCs w:val="36"/>
        </w:rPr>
        <w:t>portfolio</w:t>
      </w:r>
      <w:r w:rsidR="005722F2">
        <w:rPr>
          <w:rFonts w:ascii="Times New Roman" w:hAnsi="Times New Roman" w:cs="Times New Roman"/>
          <w:sz w:val="24"/>
          <w:szCs w:val="36"/>
        </w:rPr>
        <w:t xml:space="preserve">. </w:t>
      </w:r>
      <w:r>
        <w:rPr>
          <w:rFonts w:ascii="Times New Roman" w:hAnsi="Times New Roman" w:cs="Times New Roman"/>
          <w:sz w:val="24"/>
          <w:szCs w:val="36"/>
        </w:rPr>
        <w:t xml:space="preserve">The standard deviation and beta of the growth portfolio are larger than those of the value portfolio. Interestingly, the risk-adjusted measures are larger for the value portfolio. So, while the standard deviation and beta are lower for this value portfolio, it appears when risk is taken into account the returns of this portfolio cannot be ignored. </w:t>
      </w:r>
    </w:p>
    <w:p w:rsidR="00DC6908" w:rsidRDefault="00DC6908" w:rsidP="005A2B86">
      <w:pPr>
        <w:pStyle w:val="ListParagraph"/>
        <w:spacing w:line="360" w:lineRule="auto"/>
        <w:ind w:left="0"/>
        <w:jc w:val="both"/>
        <w:rPr>
          <w:rFonts w:ascii="Times New Roman" w:hAnsi="Times New Roman" w:cs="Times New Roman"/>
          <w:sz w:val="24"/>
          <w:szCs w:val="36"/>
        </w:rPr>
      </w:pPr>
    </w:p>
    <w:p w:rsidR="00D35683" w:rsidRDefault="005722F2"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From these three sets of results the conclusion that can be made is that the BTM ratio subsumes the E/P, C/P, and D/P ratios in terms of producing superior results.</w:t>
      </w:r>
      <w:r w:rsidR="00950E7E">
        <w:rPr>
          <w:rFonts w:ascii="Times New Roman" w:hAnsi="Times New Roman" w:cs="Times New Roman"/>
          <w:sz w:val="24"/>
          <w:szCs w:val="36"/>
        </w:rPr>
        <w:t xml:space="preserve"> While the three latter variables do go some way in capturing some performance dynamic, it is clear that the BTM variable is consistent in capturing, what may be some other performance dynamic.</w:t>
      </w:r>
      <w:r>
        <w:rPr>
          <w:rFonts w:ascii="Times New Roman" w:hAnsi="Times New Roman" w:cs="Times New Roman"/>
          <w:sz w:val="24"/>
          <w:szCs w:val="36"/>
        </w:rPr>
        <w:t xml:space="preserve"> In</w:t>
      </w:r>
      <w:r w:rsidR="00A72822">
        <w:rPr>
          <w:rFonts w:ascii="Times New Roman" w:hAnsi="Times New Roman" w:cs="Times New Roman"/>
          <w:sz w:val="24"/>
          <w:szCs w:val="36"/>
        </w:rPr>
        <w:t xml:space="preserve"> other words, when the portfolio</w:t>
      </w:r>
      <w:r w:rsidR="00950E7E">
        <w:rPr>
          <w:rFonts w:ascii="Times New Roman" w:hAnsi="Times New Roman" w:cs="Times New Roman"/>
          <w:sz w:val="24"/>
          <w:szCs w:val="36"/>
        </w:rPr>
        <w:t>s</w:t>
      </w:r>
      <w:r w:rsidR="00A72822">
        <w:rPr>
          <w:rFonts w:ascii="Times New Roman" w:hAnsi="Times New Roman" w:cs="Times New Roman"/>
          <w:sz w:val="24"/>
          <w:szCs w:val="36"/>
        </w:rPr>
        <w:t xml:space="preserve"> hold high ratios of E/P, C/P, or D/P stocks, the returns are lower than when one of these variables is sorted on a low ratio and placed in a portfolio with value BTM stocks. </w:t>
      </w:r>
      <w:r w:rsidR="00DC6908">
        <w:rPr>
          <w:rFonts w:ascii="Times New Roman" w:hAnsi="Times New Roman" w:cs="Times New Roman"/>
          <w:sz w:val="24"/>
          <w:szCs w:val="36"/>
        </w:rPr>
        <w:t>While all combinations of C/P, E/P, or D/P with BTM produce positive mean excess returns, the BM-CP sorting is the one of most interest. In this case the extreme value portfolio outperforms the extreme growth portfolio, suggesting the combination of these variables captures some form of performance not otherwise captured by these variables alone or the combination of BTM with D/P, or BTM with E/P. However, the return differentials for the latter two dual sorted portfolios are relatively small, and on a risk-adjusted basis value appears to outperform growth.</w:t>
      </w:r>
    </w:p>
    <w:p w:rsidR="00CF67DA" w:rsidRDefault="00CF67DA" w:rsidP="005A2B86">
      <w:pPr>
        <w:pStyle w:val="ListParagraph"/>
        <w:spacing w:line="360" w:lineRule="auto"/>
        <w:ind w:left="0"/>
        <w:jc w:val="both"/>
        <w:rPr>
          <w:rFonts w:ascii="Times New Roman" w:hAnsi="Times New Roman" w:cs="Times New Roman"/>
          <w:sz w:val="24"/>
          <w:szCs w:val="36"/>
        </w:rPr>
      </w:pPr>
    </w:p>
    <w:p w:rsidR="00CF67DA" w:rsidRDefault="00CF67DA" w:rsidP="005A2B86">
      <w:pPr>
        <w:pStyle w:val="ListParagraph"/>
        <w:spacing w:line="360" w:lineRule="auto"/>
        <w:ind w:left="0"/>
        <w:jc w:val="both"/>
        <w:rPr>
          <w:rFonts w:ascii="Times New Roman" w:hAnsi="Times New Roman" w:cs="Times New Roman"/>
          <w:sz w:val="24"/>
          <w:szCs w:val="36"/>
        </w:rPr>
      </w:pPr>
    </w:p>
    <w:p w:rsidR="00CF67DA" w:rsidRDefault="00CF67DA" w:rsidP="005A2B86">
      <w:pPr>
        <w:pStyle w:val="ListParagraph"/>
        <w:spacing w:line="360" w:lineRule="auto"/>
        <w:ind w:left="0"/>
        <w:jc w:val="both"/>
        <w:rPr>
          <w:rFonts w:ascii="Times New Roman" w:hAnsi="Times New Roman" w:cs="Times New Roman"/>
          <w:sz w:val="24"/>
          <w:szCs w:val="36"/>
        </w:rPr>
      </w:pPr>
    </w:p>
    <w:p w:rsidR="00251EC5" w:rsidRDefault="00251EC5" w:rsidP="005A2B86">
      <w:pPr>
        <w:pStyle w:val="ListParagraph"/>
        <w:spacing w:line="360" w:lineRule="auto"/>
        <w:ind w:left="0"/>
        <w:jc w:val="both"/>
        <w:rPr>
          <w:rFonts w:ascii="Times New Roman" w:hAnsi="Times New Roman" w:cs="Times New Roman"/>
          <w:sz w:val="24"/>
          <w:szCs w:val="36"/>
        </w:rPr>
      </w:pPr>
    </w:p>
    <w:p w:rsidR="00251EC5" w:rsidRDefault="00251EC5" w:rsidP="005A2B86">
      <w:pPr>
        <w:pStyle w:val="ListParagraph"/>
        <w:spacing w:line="360" w:lineRule="auto"/>
        <w:ind w:left="0"/>
        <w:jc w:val="both"/>
        <w:rPr>
          <w:rFonts w:ascii="Times New Roman" w:hAnsi="Times New Roman" w:cs="Times New Roman"/>
          <w:sz w:val="24"/>
          <w:szCs w:val="36"/>
        </w:rPr>
      </w:pPr>
    </w:p>
    <w:p w:rsidR="00251EC5" w:rsidRDefault="00251EC5" w:rsidP="005A2B86">
      <w:pPr>
        <w:pStyle w:val="ListParagraph"/>
        <w:spacing w:line="360" w:lineRule="auto"/>
        <w:ind w:left="0"/>
        <w:jc w:val="both"/>
        <w:rPr>
          <w:rFonts w:ascii="Times New Roman" w:hAnsi="Times New Roman" w:cs="Times New Roman"/>
          <w:sz w:val="24"/>
          <w:szCs w:val="36"/>
        </w:rPr>
      </w:pPr>
    </w:p>
    <w:p w:rsidR="00251EC5" w:rsidRDefault="00251EC5" w:rsidP="005A2B86">
      <w:pPr>
        <w:pStyle w:val="ListParagraph"/>
        <w:spacing w:line="360" w:lineRule="auto"/>
        <w:ind w:left="0"/>
        <w:jc w:val="both"/>
        <w:rPr>
          <w:rFonts w:ascii="Times New Roman" w:hAnsi="Times New Roman" w:cs="Times New Roman"/>
          <w:sz w:val="24"/>
          <w:szCs w:val="36"/>
        </w:rPr>
      </w:pPr>
    </w:p>
    <w:p w:rsidR="00251EC5" w:rsidRDefault="00251EC5" w:rsidP="005A2B86">
      <w:pPr>
        <w:pStyle w:val="ListParagraph"/>
        <w:spacing w:line="360" w:lineRule="auto"/>
        <w:ind w:left="0"/>
        <w:jc w:val="both"/>
        <w:rPr>
          <w:rFonts w:ascii="Times New Roman" w:hAnsi="Times New Roman" w:cs="Times New Roman"/>
          <w:sz w:val="24"/>
          <w:szCs w:val="36"/>
        </w:rPr>
      </w:pPr>
    </w:p>
    <w:p w:rsidR="006A5DB3" w:rsidRDefault="006A5DB3" w:rsidP="005A2B86">
      <w:pPr>
        <w:pStyle w:val="ListParagraph"/>
        <w:spacing w:line="360" w:lineRule="auto"/>
        <w:ind w:left="0"/>
        <w:jc w:val="both"/>
        <w:rPr>
          <w:rFonts w:ascii="Times New Roman" w:hAnsi="Times New Roman" w:cs="Times New Roman"/>
          <w:sz w:val="24"/>
          <w:szCs w:val="36"/>
        </w:rPr>
      </w:pPr>
    </w:p>
    <w:tbl>
      <w:tblPr>
        <w:tblStyle w:val="TableGrid"/>
        <w:tblW w:w="0" w:type="auto"/>
        <w:tblLook w:val="04A0"/>
      </w:tblPr>
      <w:tblGrid>
        <w:gridCol w:w="1848"/>
        <w:gridCol w:w="1848"/>
        <w:gridCol w:w="1848"/>
        <w:gridCol w:w="1849"/>
        <w:gridCol w:w="1849"/>
      </w:tblGrid>
      <w:tr w:rsidR="00CD5EB8" w:rsidRPr="00CD5EB8" w:rsidTr="006313FD">
        <w:tc>
          <w:tcPr>
            <w:tcW w:w="9242" w:type="dxa"/>
            <w:gridSpan w:val="5"/>
            <w:tcBorders>
              <w:bottom w:val="single" w:sz="4" w:space="0" w:color="auto"/>
            </w:tcBorders>
            <w:vAlign w:val="center"/>
          </w:tcPr>
          <w:p w:rsidR="00CD5EB8" w:rsidRPr="00CD5EB8" w:rsidRDefault="00CD5EB8" w:rsidP="008E6F94">
            <w:pPr>
              <w:pStyle w:val="ListParagraph"/>
              <w:spacing w:line="360" w:lineRule="auto"/>
              <w:ind w:left="0"/>
              <w:jc w:val="center"/>
              <w:rPr>
                <w:rFonts w:ascii="Times New Roman" w:hAnsi="Times New Roman" w:cs="Times New Roman"/>
                <w:b/>
                <w:sz w:val="24"/>
                <w:szCs w:val="20"/>
              </w:rPr>
            </w:pPr>
            <w:r w:rsidRPr="00CD5EB8">
              <w:rPr>
                <w:rFonts w:ascii="Times New Roman" w:hAnsi="Times New Roman" w:cs="Times New Roman"/>
                <w:b/>
                <w:sz w:val="24"/>
                <w:szCs w:val="20"/>
              </w:rPr>
              <w:lastRenderedPageBreak/>
              <w:t>Table</w:t>
            </w:r>
            <w:r w:rsidR="008E6F94">
              <w:rPr>
                <w:rFonts w:ascii="Times New Roman" w:hAnsi="Times New Roman" w:cs="Times New Roman"/>
                <w:b/>
                <w:sz w:val="24"/>
                <w:szCs w:val="20"/>
              </w:rPr>
              <w:t xml:space="preserve"> 17</w:t>
            </w:r>
          </w:p>
        </w:tc>
      </w:tr>
      <w:tr w:rsidR="008E6F94" w:rsidRPr="00CD5EB8" w:rsidTr="006313FD">
        <w:trPr>
          <w:trHeight w:val="422"/>
        </w:trPr>
        <w:tc>
          <w:tcPr>
            <w:tcW w:w="9242" w:type="dxa"/>
            <w:gridSpan w:val="5"/>
            <w:tcBorders>
              <w:top w:val="single" w:sz="4" w:space="0" w:color="auto"/>
              <w:left w:val="single" w:sz="4" w:space="0" w:color="auto"/>
              <w:bottom w:val="nil"/>
              <w:right w:val="single" w:sz="4" w:space="0" w:color="auto"/>
            </w:tcBorders>
          </w:tcPr>
          <w:p w:rsidR="008E6F94" w:rsidRPr="00303472" w:rsidRDefault="008E6F94" w:rsidP="008E6F94">
            <w:pPr>
              <w:jc w:val="center"/>
              <w:rPr>
                <w:rFonts w:ascii="Times New Roman" w:hAnsi="Times New Roman" w:cs="Times New Roman"/>
                <w:b/>
                <w:sz w:val="24"/>
              </w:rPr>
            </w:pPr>
            <w:r>
              <w:rPr>
                <w:rFonts w:ascii="Times New Roman" w:hAnsi="Times New Roman" w:cs="Times New Roman"/>
                <w:b/>
                <w:sz w:val="24"/>
              </w:rPr>
              <w:t xml:space="preserve">Descriptive Statistics of Dual Sorted </w:t>
            </w:r>
            <w:r w:rsidRPr="00303472">
              <w:rPr>
                <w:rFonts w:ascii="Times New Roman" w:hAnsi="Times New Roman" w:cs="Times New Roman"/>
                <w:b/>
                <w:sz w:val="24"/>
              </w:rPr>
              <w:t>Portfolios</w:t>
            </w:r>
          </w:p>
        </w:tc>
      </w:tr>
      <w:tr w:rsidR="008E6F94" w:rsidRPr="00CD5EB8" w:rsidTr="006313FD">
        <w:tc>
          <w:tcPr>
            <w:tcW w:w="9242" w:type="dxa"/>
            <w:gridSpan w:val="5"/>
            <w:tcBorders>
              <w:top w:val="nil"/>
            </w:tcBorders>
          </w:tcPr>
          <w:p w:rsidR="008E6F94" w:rsidRPr="00CD5EB8" w:rsidRDefault="008E6F94" w:rsidP="00F63AB2">
            <w:pPr>
              <w:pStyle w:val="ListParagraph"/>
              <w:spacing w:line="360" w:lineRule="auto"/>
              <w:ind w:left="0"/>
              <w:jc w:val="center"/>
              <w:rPr>
                <w:rFonts w:ascii="Times New Roman" w:hAnsi="Times New Roman" w:cs="Times New Roman"/>
                <w:b/>
                <w:szCs w:val="20"/>
              </w:rPr>
            </w:pPr>
            <w:r>
              <w:rPr>
                <w:rFonts w:ascii="Times New Roman" w:hAnsi="Times New Roman" w:cs="Times New Roman"/>
                <w:bCs/>
                <w:color w:val="000000"/>
                <w:sz w:val="20"/>
              </w:rPr>
              <w:t>The summary descriptive statistics presented included: annual mean excess returns, annual standard deviation, Sharpe</w:t>
            </w:r>
            <w:r w:rsidR="00F63AB2">
              <w:rPr>
                <w:rFonts w:ascii="Times New Roman" w:hAnsi="Times New Roman" w:cs="Times New Roman"/>
                <w:bCs/>
                <w:color w:val="000000"/>
                <w:sz w:val="20"/>
              </w:rPr>
              <w:t xml:space="preserve"> and</w:t>
            </w:r>
            <w:r>
              <w:rPr>
                <w:rFonts w:ascii="Times New Roman" w:hAnsi="Times New Roman" w:cs="Times New Roman"/>
                <w:bCs/>
                <w:color w:val="000000"/>
                <w:sz w:val="20"/>
              </w:rPr>
              <w:t xml:space="preserve"> Treynor measures. These portfolios are sorted initially on the book-to-market ratio, and then on either earnings-to-price (EP), cash flow-to-price (CP), or dividend yield (DP). 1 indicates an extreme value portfolio that has high ratios of both variables, 2 indicates the portfolio has low BTM stocks and high E/P, D/P, or C/P stocks. 3 indicates the portfolio has high BTM stocks and low E/P, D/P, or C/P stocks, while 4 indicates an extreme growth portfolio consisting of low ratios of both variables. </w:t>
            </w:r>
          </w:p>
        </w:tc>
      </w:tr>
      <w:tr w:rsidR="008E6F94" w:rsidRPr="00CD5EB8" w:rsidTr="00CF12A6">
        <w:tc>
          <w:tcPr>
            <w:tcW w:w="1848" w:type="dxa"/>
            <w:tcBorders>
              <w:top w:val="single" w:sz="4" w:space="0" w:color="auto"/>
              <w:left w:val="single" w:sz="4" w:space="0" w:color="auto"/>
              <w:bottom w:val="nil"/>
              <w:right w:val="single" w:sz="4" w:space="0" w:color="auto"/>
            </w:tcBorders>
          </w:tcPr>
          <w:p w:rsidR="008E6F94" w:rsidRPr="00303472" w:rsidRDefault="008E6F94" w:rsidP="008E6F94">
            <w:pPr>
              <w:jc w:val="center"/>
              <w:rPr>
                <w:rFonts w:ascii="Times New Roman" w:hAnsi="Times New Roman" w:cs="Times New Roman"/>
                <w:bCs/>
                <w:color w:val="000000"/>
                <w:sz w:val="20"/>
              </w:rPr>
            </w:pPr>
          </w:p>
        </w:tc>
        <w:tc>
          <w:tcPr>
            <w:tcW w:w="7394" w:type="dxa"/>
            <w:gridSpan w:val="4"/>
            <w:tcBorders>
              <w:top w:val="nil"/>
              <w:left w:val="single" w:sz="4" w:space="0" w:color="auto"/>
              <w:bottom w:val="nil"/>
              <w:right w:val="single" w:sz="4" w:space="0" w:color="auto"/>
            </w:tcBorders>
            <w:vAlign w:val="center"/>
          </w:tcPr>
          <w:p w:rsidR="008E6F94" w:rsidRPr="00CD5EB8" w:rsidRDefault="008E6F94" w:rsidP="00CD5EB8">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BM-EP</w:t>
            </w:r>
          </w:p>
        </w:tc>
      </w:tr>
      <w:tr w:rsidR="008E6F94" w:rsidRPr="00CD5EB8" w:rsidTr="00CF12A6">
        <w:tc>
          <w:tcPr>
            <w:tcW w:w="1848" w:type="dxa"/>
            <w:tcBorders>
              <w:top w:val="nil"/>
              <w:left w:val="single" w:sz="4" w:space="0" w:color="auto"/>
              <w:bottom w:val="single" w:sz="4" w:space="0" w:color="auto"/>
              <w:right w:val="single" w:sz="4" w:space="0" w:color="auto"/>
            </w:tcBorders>
            <w:vAlign w:val="bottom"/>
          </w:tcPr>
          <w:p w:rsidR="008E6F94" w:rsidRPr="00CD5EB8" w:rsidRDefault="008E6F94">
            <w:pPr>
              <w:rPr>
                <w:rFonts w:ascii="Times New Roman" w:hAnsi="Times New Roman" w:cs="Times New Roman"/>
                <w:b/>
                <w:bCs/>
                <w:color w:val="000000"/>
                <w:szCs w:val="20"/>
              </w:rPr>
            </w:pPr>
          </w:p>
        </w:tc>
        <w:tc>
          <w:tcPr>
            <w:tcW w:w="1848" w:type="dxa"/>
            <w:tcBorders>
              <w:top w:val="single" w:sz="4" w:space="0" w:color="auto"/>
              <w:left w:val="single" w:sz="4" w:space="0" w:color="auto"/>
              <w:bottom w:val="single" w:sz="4" w:space="0" w:color="auto"/>
              <w:right w:val="nil"/>
            </w:tcBorders>
            <w:vAlign w:val="center"/>
          </w:tcPr>
          <w:p w:rsidR="008E6F94" w:rsidRPr="00CD5EB8" w:rsidRDefault="008E6F94" w:rsidP="00CD5EB8">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1</w:t>
            </w:r>
          </w:p>
        </w:tc>
        <w:tc>
          <w:tcPr>
            <w:tcW w:w="1848" w:type="dxa"/>
            <w:tcBorders>
              <w:top w:val="single" w:sz="4" w:space="0" w:color="auto"/>
              <w:left w:val="nil"/>
              <w:bottom w:val="single" w:sz="4" w:space="0" w:color="auto"/>
              <w:right w:val="nil"/>
            </w:tcBorders>
            <w:vAlign w:val="center"/>
          </w:tcPr>
          <w:p w:rsidR="008E6F94" w:rsidRPr="00CD5EB8" w:rsidRDefault="008E6F94" w:rsidP="00CD5EB8">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2</w:t>
            </w:r>
          </w:p>
        </w:tc>
        <w:tc>
          <w:tcPr>
            <w:tcW w:w="1849" w:type="dxa"/>
            <w:tcBorders>
              <w:top w:val="single" w:sz="4" w:space="0" w:color="auto"/>
              <w:left w:val="nil"/>
              <w:bottom w:val="single" w:sz="4" w:space="0" w:color="auto"/>
              <w:right w:val="nil"/>
            </w:tcBorders>
            <w:vAlign w:val="center"/>
          </w:tcPr>
          <w:p w:rsidR="008E6F94" w:rsidRPr="00CD5EB8" w:rsidRDefault="008E6F94" w:rsidP="00CD5EB8">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3</w:t>
            </w:r>
          </w:p>
        </w:tc>
        <w:tc>
          <w:tcPr>
            <w:tcW w:w="1849" w:type="dxa"/>
            <w:tcBorders>
              <w:top w:val="single" w:sz="4" w:space="0" w:color="auto"/>
              <w:left w:val="nil"/>
              <w:bottom w:val="single" w:sz="4" w:space="0" w:color="auto"/>
              <w:right w:val="single" w:sz="4" w:space="0" w:color="auto"/>
            </w:tcBorders>
            <w:vAlign w:val="center"/>
          </w:tcPr>
          <w:p w:rsidR="008E6F94" w:rsidRPr="00CD5EB8" w:rsidRDefault="008E6F94" w:rsidP="00CD5EB8">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4</w:t>
            </w:r>
          </w:p>
        </w:tc>
      </w:tr>
      <w:tr w:rsidR="009976E7" w:rsidTr="009976E7">
        <w:tc>
          <w:tcPr>
            <w:tcW w:w="1848" w:type="dxa"/>
            <w:tcBorders>
              <w:top w:val="single" w:sz="4" w:space="0" w:color="auto"/>
              <w:left w:val="single" w:sz="4" w:space="0" w:color="auto"/>
              <w:bottom w:val="nil"/>
              <w:right w:val="single" w:sz="4" w:space="0" w:color="auto"/>
            </w:tcBorders>
            <w:vAlign w:val="bottom"/>
          </w:tcPr>
          <w:p w:rsidR="009976E7" w:rsidRPr="00CD5EB8" w:rsidRDefault="009976E7">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Mean Excess Returns</w:t>
            </w:r>
          </w:p>
        </w:tc>
        <w:tc>
          <w:tcPr>
            <w:tcW w:w="1848" w:type="dxa"/>
            <w:tcBorders>
              <w:top w:val="single" w:sz="4" w:space="0" w:color="auto"/>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0.161</w:t>
            </w:r>
          </w:p>
        </w:tc>
        <w:tc>
          <w:tcPr>
            <w:tcW w:w="1848"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0.080</w:t>
            </w:r>
          </w:p>
        </w:tc>
        <w:tc>
          <w:tcPr>
            <w:tcW w:w="1849"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0.362</w:t>
            </w:r>
          </w:p>
        </w:tc>
        <w:tc>
          <w:tcPr>
            <w:tcW w:w="1849" w:type="dxa"/>
            <w:tcBorders>
              <w:top w:val="single" w:sz="4" w:space="0" w:color="auto"/>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0.170</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Std Dev</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0.167</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0.159</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0.372</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0.215</w:t>
            </w:r>
          </w:p>
        </w:tc>
      </w:tr>
      <w:tr w:rsidR="00987C29" w:rsidTr="00987C29">
        <w:tc>
          <w:tcPr>
            <w:tcW w:w="1848" w:type="dxa"/>
            <w:tcBorders>
              <w:top w:val="nil"/>
              <w:left w:val="single" w:sz="4" w:space="0" w:color="auto"/>
              <w:bottom w:val="nil"/>
              <w:right w:val="single" w:sz="4" w:space="0" w:color="auto"/>
            </w:tcBorders>
            <w:vAlign w:val="bottom"/>
          </w:tcPr>
          <w:p w:rsidR="00987C29" w:rsidRPr="00CD5EB8" w:rsidRDefault="00987C29">
            <w:pPr>
              <w:rPr>
                <w:rFonts w:ascii="Times New Roman" w:hAnsi="Times New Roman" w:cs="Times New Roman"/>
                <w:b/>
                <w:bCs/>
                <w:color w:val="000000"/>
                <w:sz w:val="20"/>
                <w:szCs w:val="20"/>
              </w:rPr>
            </w:pPr>
            <w:r>
              <w:rPr>
                <w:rFonts w:ascii="Times New Roman" w:hAnsi="Times New Roman" w:cs="Times New Roman"/>
                <w:b/>
                <w:bCs/>
                <w:color w:val="000000"/>
                <w:sz w:val="20"/>
                <w:szCs w:val="20"/>
              </w:rPr>
              <w:t>Monthly Beta</w:t>
            </w:r>
          </w:p>
        </w:tc>
        <w:tc>
          <w:tcPr>
            <w:tcW w:w="1848" w:type="dxa"/>
            <w:tcBorders>
              <w:top w:val="nil"/>
              <w:left w:val="single" w:sz="4" w:space="0" w:color="auto"/>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0.509</w:t>
            </w:r>
          </w:p>
        </w:tc>
        <w:tc>
          <w:tcPr>
            <w:tcW w:w="1848"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0.552</w:t>
            </w:r>
          </w:p>
        </w:tc>
        <w:tc>
          <w:tcPr>
            <w:tcW w:w="1849"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0.497</w:t>
            </w:r>
          </w:p>
        </w:tc>
        <w:tc>
          <w:tcPr>
            <w:tcW w:w="1849" w:type="dxa"/>
            <w:tcBorders>
              <w:top w:val="nil"/>
              <w:left w:val="nil"/>
              <w:bottom w:val="nil"/>
              <w:right w:val="single" w:sz="4" w:space="0" w:color="auto"/>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0.694</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Sharpe</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0.261</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0.140</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0.243</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0.213</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Treynor</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0.025</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0.012</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0.052</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0.019</w:t>
            </w:r>
          </w:p>
        </w:tc>
      </w:tr>
      <w:tr w:rsidR="008E6F94" w:rsidRPr="00CD5EB8" w:rsidTr="00CF12A6">
        <w:tc>
          <w:tcPr>
            <w:tcW w:w="1848" w:type="dxa"/>
            <w:tcBorders>
              <w:top w:val="single" w:sz="4" w:space="0" w:color="auto"/>
              <w:bottom w:val="single" w:sz="4" w:space="0" w:color="auto"/>
              <w:right w:val="single" w:sz="4" w:space="0" w:color="auto"/>
            </w:tcBorders>
            <w:vAlign w:val="bottom"/>
          </w:tcPr>
          <w:p w:rsidR="008E6F94" w:rsidRPr="00CD5EB8" w:rsidRDefault="008E6F94">
            <w:pPr>
              <w:rPr>
                <w:rFonts w:ascii="Times New Roman" w:hAnsi="Times New Roman" w:cs="Times New Roman"/>
                <w:b/>
                <w:bCs/>
                <w:color w:val="000000"/>
                <w:szCs w:val="20"/>
              </w:rPr>
            </w:pPr>
          </w:p>
        </w:tc>
        <w:tc>
          <w:tcPr>
            <w:tcW w:w="7394" w:type="dxa"/>
            <w:gridSpan w:val="4"/>
            <w:tcBorders>
              <w:top w:val="single" w:sz="4" w:space="0" w:color="auto"/>
              <w:left w:val="single" w:sz="4" w:space="0" w:color="auto"/>
              <w:bottom w:val="single" w:sz="4" w:space="0" w:color="auto"/>
              <w:right w:val="single" w:sz="4" w:space="0" w:color="auto"/>
            </w:tcBorders>
            <w:vAlign w:val="center"/>
          </w:tcPr>
          <w:p w:rsidR="008E6F94" w:rsidRPr="00CD5EB8" w:rsidRDefault="008E6F94" w:rsidP="00CF12A6">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BM-CP</w:t>
            </w:r>
          </w:p>
        </w:tc>
      </w:tr>
      <w:tr w:rsidR="009976E7" w:rsidTr="009976E7">
        <w:tc>
          <w:tcPr>
            <w:tcW w:w="1848" w:type="dxa"/>
            <w:tcBorders>
              <w:top w:val="single" w:sz="4" w:space="0" w:color="auto"/>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Mean Excess Returns</w:t>
            </w:r>
          </w:p>
        </w:tc>
        <w:tc>
          <w:tcPr>
            <w:tcW w:w="1848" w:type="dxa"/>
            <w:tcBorders>
              <w:top w:val="single" w:sz="4" w:space="0" w:color="auto"/>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0.206</w:t>
            </w:r>
          </w:p>
        </w:tc>
        <w:tc>
          <w:tcPr>
            <w:tcW w:w="1848"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0.106</w:t>
            </w:r>
          </w:p>
        </w:tc>
        <w:tc>
          <w:tcPr>
            <w:tcW w:w="1849"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0.281</w:t>
            </w:r>
          </w:p>
        </w:tc>
        <w:tc>
          <w:tcPr>
            <w:tcW w:w="1849" w:type="dxa"/>
            <w:tcBorders>
              <w:top w:val="single" w:sz="4" w:space="0" w:color="auto"/>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0.150</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Std Dev</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0.245</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0.179</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0.230</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0.204</w:t>
            </w:r>
          </w:p>
        </w:tc>
      </w:tr>
      <w:tr w:rsidR="00987C29" w:rsidTr="00987C29">
        <w:tc>
          <w:tcPr>
            <w:tcW w:w="1848" w:type="dxa"/>
            <w:tcBorders>
              <w:top w:val="nil"/>
              <w:left w:val="single" w:sz="4" w:space="0" w:color="auto"/>
              <w:bottom w:val="nil"/>
              <w:right w:val="single" w:sz="4" w:space="0" w:color="auto"/>
            </w:tcBorders>
            <w:vAlign w:val="bottom"/>
          </w:tcPr>
          <w:p w:rsidR="00987C29" w:rsidRPr="00CD5EB8" w:rsidRDefault="00987C29" w:rsidP="00CD5EB8">
            <w:pPr>
              <w:rPr>
                <w:rFonts w:ascii="Times New Roman" w:hAnsi="Times New Roman" w:cs="Times New Roman"/>
                <w:b/>
                <w:bCs/>
                <w:color w:val="000000"/>
                <w:sz w:val="20"/>
                <w:szCs w:val="20"/>
              </w:rPr>
            </w:pPr>
            <w:r>
              <w:rPr>
                <w:rFonts w:ascii="Times New Roman" w:hAnsi="Times New Roman" w:cs="Times New Roman"/>
                <w:b/>
                <w:bCs/>
                <w:color w:val="000000"/>
                <w:sz w:val="20"/>
                <w:szCs w:val="20"/>
              </w:rPr>
              <w:t>Monthly Beta</w:t>
            </w:r>
          </w:p>
        </w:tc>
        <w:tc>
          <w:tcPr>
            <w:tcW w:w="1848" w:type="dxa"/>
            <w:tcBorders>
              <w:top w:val="nil"/>
              <w:left w:val="single" w:sz="4" w:space="0" w:color="auto"/>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0.480</w:t>
            </w:r>
          </w:p>
        </w:tc>
        <w:tc>
          <w:tcPr>
            <w:tcW w:w="1848"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0.617</w:t>
            </w:r>
          </w:p>
        </w:tc>
        <w:tc>
          <w:tcPr>
            <w:tcW w:w="1849"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0.559</w:t>
            </w:r>
          </w:p>
        </w:tc>
        <w:tc>
          <w:tcPr>
            <w:tcW w:w="1849" w:type="dxa"/>
            <w:tcBorders>
              <w:top w:val="nil"/>
              <w:left w:val="nil"/>
              <w:bottom w:val="nil"/>
              <w:right w:val="single" w:sz="4" w:space="0" w:color="auto"/>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0.654</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Sharpe</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0.223</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0.162</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0.314</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0.199</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Treynor</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0.033</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0.014</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0.037</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0.018</w:t>
            </w:r>
          </w:p>
        </w:tc>
      </w:tr>
      <w:tr w:rsidR="008E6F94" w:rsidRPr="00CD5EB8" w:rsidTr="00CF12A6">
        <w:tc>
          <w:tcPr>
            <w:tcW w:w="1848" w:type="dxa"/>
            <w:tcBorders>
              <w:top w:val="single" w:sz="4" w:space="0" w:color="auto"/>
              <w:bottom w:val="single" w:sz="4" w:space="0" w:color="auto"/>
              <w:right w:val="single" w:sz="4" w:space="0" w:color="auto"/>
            </w:tcBorders>
            <w:vAlign w:val="bottom"/>
          </w:tcPr>
          <w:p w:rsidR="008E6F94" w:rsidRPr="00CD5EB8" w:rsidRDefault="008E6F94">
            <w:pPr>
              <w:rPr>
                <w:rFonts w:ascii="Times New Roman" w:hAnsi="Times New Roman" w:cs="Times New Roman"/>
                <w:b/>
                <w:bCs/>
                <w:color w:val="000000"/>
                <w:szCs w:val="20"/>
              </w:rPr>
            </w:pPr>
          </w:p>
        </w:tc>
        <w:tc>
          <w:tcPr>
            <w:tcW w:w="7394" w:type="dxa"/>
            <w:gridSpan w:val="4"/>
            <w:tcBorders>
              <w:top w:val="single" w:sz="4" w:space="0" w:color="auto"/>
              <w:left w:val="single" w:sz="4" w:space="0" w:color="auto"/>
              <w:bottom w:val="single" w:sz="4" w:space="0" w:color="auto"/>
              <w:right w:val="single" w:sz="4" w:space="0" w:color="auto"/>
            </w:tcBorders>
            <w:vAlign w:val="center"/>
          </w:tcPr>
          <w:p w:rsidR="008E6F94" w:rsidRPr="00CD5EB8" w:rsidRDefault="008E6F94" w:rsidP="00CF12A6">
            <w:pPr>
              <w:pStyle w:val="ListParagraph"/>
              <w:spacing w:line="360" w:lineRule="auto"/>
              <w:ind w:left="0"/>
              <w:jc w:val="center"/>
              <w:rPr>
                <w:rFonts w:ascii="Times New Roman" w:hAnsi="Times New Roman" w:cs="Times New Roman"/>
                <w:b/>
                <w:szCs w:val="20"/>
              </w:rPr>
            </w:pPr>
            <w:r w:rsidRPr="00CD5EB8">
              <w:rPr>
                <w:rFonts w:ascii="Times New Roman" w:hAnsi="Times New Roman" w:cs="Times New Roman"/>
                <w:b/>
                <w:szCs w:val="20"/>
              </w:rPr>
              <w:t>BM-DP</w:t>
            </w:r>
          </w:p>
        </w:tc>
      </w:tr>
      <w:tr w:rsidR="009976E7" w:rsidTr="009976E7">
        <w:tc>
          <w:tcPr>
            <w:tcW w:w="1848" w:type="dxa"/>
            <w:tcBorders>
              <w:top w:val="single" w:sz="4" w:space="0" w:color="auto"/>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Mean Excess Returns</w:t>
            </w:r>
          </w:p>
        </w:tc>
        <w:tc>
          <w:tcPr>
            <w:tcW w:w="1848" w:type="dxa"/>
            <w:tcBorders>
              <w:top w:val="single" w:sz="4" w:space="0" w:color="auto"/>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0.135</w:t>
            </w:r>
          </w:p>
        </w:tc>
        <w:tc>
          <w:tcPr>
            <w:tcW w:w="1848"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0.074</w:t>
            </w:r>
          </w:p>
        </w:tc>
        <w:tc>
          <w:tcPr>
            <w:tcW w:w="1849" w:type="dxa"/>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0.254</w:t>
            </w:r>
          </w:p>
        </w:tc>
        <w:tc>
          <w:tcPr>
            <w:tcW w:w="1849" w:type="dxa"/>
            <w:tcBorders>
              <w:top w:val="single" w:sz="4" w:space="0" w:color="auto"/>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0.137</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Annual Std Dev</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0.152</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0.160</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0.233</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0.215</w:t>
            </w:r>
          </w:p>
        </w:tc>
      </w:tr>
      <w:tr w:rsidR="00987C29" w:rsidTr="00987C29">
        <w:tc>
          <w:tcPr>
            <w:tcW w:w="1848" w:type="dxa"/>
            <w:tcBorders>
              <w:top w:val="nil"/>
              <w:left w:val="single" w:sz="4" w:space="0" w:color="auto"/>
              <w:bottom w:val="nil"/>
              <w:right w:val="single" w:sz="4" w:space="0" w:color="auto"/>
            </w:tcBorders>
            <w:vAlign w:val="bottom"/>
          </w:tcPr>
          <w:p w:rsidR="00987C29" w:rsidRPr="00CD5EB8" w:rsidRDefault="00987C29" w:rsidP="00CD5EB8">
            <w:pPr>
              <w:rPr>
                <w:rFonts w:ascii="Times New Roman" w:hAnsi="Times New Roman" w:cs="Times New Roman"/>
                <w:b/>
                <w:bCs/>
                <w:color w:val="000000"/>
                <w:sz w:val="20"/>
                <w:szCs w:val="20"/>
              </w:rPr>
            </w:pPr>
            <w:r>
              <w:rPr>
                <w:rFonts w:ascii="Times New Roman" w:hAnsi="Times New Roman" w:cs="Times New Roman"/>
                <w:b/>
                <w:bCs/>
                <w:color w:val="000000"/>
                <w:sz w:val="20"/>
                <w:szCs w:val="20"/>
              </w:rPr>
              <w:t>Monthly Beta</w:t>
            </w:r>
          </w:p>
        </w:tc>
        <w:tc>
          <w:tcPr>
            <w:tcW w:w="1848" w:type="dxa"/>
            <w:tcBorders>
              <w:top w:val="nil"/>
              <w:left w:val="single" w:sz="4" w:space="0" w:color="auto"/>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0.469</w:t>
            </w:r>
          </w:p>
        </w:tc>
        <w:tc>
          <w:tcPr>
            <w:tcW w:w="1848"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0.559</w:t>
            </w:r>
          </w:p>
        </w:tc>
        <w:tc>
          <w:tcPr>
            <w:tcW w:w="1849" w:type="dxa"/>
            <w:tcBorders>
              <w:top w:val="nil"/>
              <w:left w:val="nil"/>
              <w:bottom w:val="nil"/>
              <w:right w:val="nil"/>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0.599</w:t>
            </w:r>
          </w:p>
        </w:tc>
        <w:tc>
          <w:tcPr>
            <w:tcW w:w="1849" w:type="dxa"/>
            <w:tcBorders>
              <w:top w:val="nil"/>
              <w:left w:val="nil"/>
              <w:bottom w:val="nil"/>
              <w:right w:val="single" w:sz="4" w:space="0" w:color="auto"/>
            </w:tcBorders>
            <w:vAlign w:val="center"/>
          </w:tcPr>
          <w:p w:rsidR="00987C29" w:rsidRPr="00987C29" w:rsidRDefault="00987C29" w:rsidP="00987C29">
            <w:pPr>
              <w:jc w:val="center"/>
              <w:rPr>
                <w:rFonts w:ascii="Times New Roman" w:hAnsi="Times New Roman" w:cs="Times New Roman"/>
                <w:color w:val="000000"/>
                <w:sz w:val="20"/>
                <w:szCs w:val="20"/>
              </w:rPr>
            </w:pPr>
            <w:r w:rsidRPr="00987C29">
              <w:rPr>
                <w:rFonts w:ascii="Times New Roman" w:hAnsi="Times New Roman" w:cs="Times New Roman"/>
                <w:color w:val="000000"/>
                <w:sz w:val="20"/>
                <w:szCs w:val="20"/>
              </w:rPr>
              <w:t>0.653</w:t>
            </w:r>
          </w:p>
        </w:tc>
      </w:tr>
      <w:tr w:rsidR="009976E7" w:rsidTr="009976E7">
        <w:tc>
          <w:tcPr>
            <w:tcW w:w="1848" w:type="dxa"/>
            <w:tcBorders>
              <w:top w:val="nil"/>
              <w:left w:val="single" w:sz="4" w:space="0" w:color="auto"/>
              <w:bottom w:val="nil"/>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Sharpe</w:t>
            </w:r>
          </w:p>
        </w:tc>
        <w:tc>
          <w:tcPr>
            <w:tcW w:w="1848" w:type="dxa"/>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0.241</w:t>
            </w:r>
          </w:p>
        </w:tc>
        <w:tc>
          <w:tcPr>
            <w:tcW w:w="1848"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0.129</w:t>
            </w:r>
          </w:p>
        </w:tc>
        <w:tc>
          <w:tcPr>
            <w:tcW w:w="1849" w:type="dxa"/>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0.283</w:t>
            </w:r>
          </w:p>
        </w:tc>
        <w:tc>
          <w:tcPr>
            <w:tcW w:w="1849" w:type="dxa"/>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0.174</w:t>
            </w:r>
          </w:p>
        </w:tc>
      </w:tr>
      <w:tr w:rsidR="009976E7" w:rsidTr="00251EC5">
        <w:tc>
          <w:tcPr>
            <w:tcW w:w="1848" w:type="dxa"/>
            <w:tcBorders>
              <w:top w:val="nil"/>
              <w:left w:val="single" w:sz="4" w:space="0" w:color="auto"/>
              <w:bottom w:val="single" w:sz="4" w:space="0" w:color="auto"/>
              <w:right w:val="single" w:sz="4" w:space="0" w:color="auto"/>
            </w:tcBorders>
            <w:vAlign w:val="bottom"/>
          </w:tcPr>
          <w:p w:rsidR="009976E7" w:rsidRPr="00CD5EB8" w:rsidRDefault="009976E7" w:rsidP="00CD5EB8">
            <w:pPr>
              <w:rPr>
                <w:rFonts w:ascii="Times New Roman" w:hAnsi="Times New Roman" w:cs="Times New Roman"/>
                <w:b/>
                <w:bCs/>
                <w:color w:val="000000"/>
                <w:sz w:val="20"/>
                <w:szCs w:val="20"/>
              </w:rPr>
            </w:pPr>
            <w:r w:rsidRPr="00CD5EB8">
              <w:rPr>
                <w:rFonts w:ascii="Times New Roman" w:hAnsi="Times New Roman" w:cs="Times New Roman"/>
                <w:b/>
                <w:bCs/>
                <w:color w:val="000000"/>
                <w:sz w:val="20"/>
                <w:szCs w:val="20"/>
              </w:rPr>
              <w:t>Treynor</w:t>
            </w:r>
          </w:p>
        </w:tc>
        <w:tc>
          <w:tcPr>
            <w:tcW w:w="1848" w:type="dxa"/>
            <w:tcBorders>
              <w:top w:val="nil"/>
              <w:left w:val="single" w:sz="4" w:space="0" w:color="auto"/>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0.023</w:t>
            </w:r>
          </w:p>
        </w:tc>
        <w:tc>
          <w:tcPr>
            <w:tcW w:w="1848" w:type="dxa"/>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0.011</w:t>
            </w:r>
          </w:p>
        </w:tc>
        <w:tc>
          <w:tcPr>
            <w:tcW w:w="1849" w:type="dxa"/>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0.032</w:t>
            </w:r>
          </w:p>
        </w:tc>
        <w:tc>
          <w:tcPr>
            <w:tcW w:w="1849" w:type="dxa"/>
            <w:tcBorders>
              <w:top w:val="nil"/>
              <w:left w:val="nil"/>
              <w:bottom w:val="single" w:sz="4" w:space="0" w:color="auto"/>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0.016</w:t>
            </w:r>
          </w:p>
        </w:tc>
      </w:tr>
    </w:tbl>
    <w:p w:rsidR="00CD5EB8" w:rsidRPr="0012635E" w:rsidRDefault="0012635E" w:rsidP="0012635E">
      <w:pPr>
        <w:pStyle w:val="Caption"/>
        <w:rPr>
          <w:rFonts w:ascii="Times New Roman" w:hAnsi="Times New Roman" w:cs="Times New Roman"/>
          <w:color w:val="FFFFFF" w:themeColor="background1"/>
          <w:sz w:val="24"/>
          <w:szCs w:val="36"/>
        </w:rPr>
      </w:pPr>
      <w:bookmarkStart w:id="71" w:name="_Toc305166540"/>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17</w:t>
      </w:r>
      <w:r w:rsidR="000963F3" w:rsidRPr="0012635E">
        <w:rPr>
          <w:color w:val="FFFFFF" w:themeColor="background1"/>
        </w:rPr>
        <w:fldChar w:fldCharType="end"/>
      </w:r>
      <w:r w:rsidRPr="0012635E">
        <w:rPr>
          <w:color w:val="FFFFFF" w:themeColor="background1"/>
        </w:rPr>
        <w:t xml:space="preserve"> - Descriptive Statistics of Dual Sorted Portfolios</w:t>
      </w:r>
      <w:bookmarkEnd w:id="71"/>
    </w:p>
    <w:p w:rsidR="006A5DB3" w:rsidRDefault="006A5DB3" w:rsidP="005A2B86">
      <w:pPr>
        <w:pStyle w:val="ListParagraph"/>
        <w:spacing w:line="360" w:lineRule="auto"/>
        <w:ind w:left="0"/>
        <w:jc w:val="both"/>
        <w:rPr>
          <w:rFonts w:ascii="Times New Roman" w:hAnsi="Times New Roman" w:cs="Times New Roman"/>
          <w:sz w:val="24"/>
          <w:szCs w:val="36"/>
        </w:rPr>
      </w:pPr>
    </w:p>
    <w:p w:rsidR="006A1707" w:rsidRDefault="00F20CD4"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Checking the correlations between the dual sorted independent variables in T</w:t>
      </w:r>
      <w:r w:rsidR="006A5DB3">
        <w:rPr>
          <w:rFonts w:ascii="Times New Roman" w:hAnsi="Times New Roman" w:cs="Times New Roman"/>
          <w:sz w:val="24"/>
          <w:szCs w:val="36"/>
        </w:rPr>
        <w:t>able 18</w:t>
      </w:r>
      <w:r>
        <w:rPr>
          <w:rFonts w:ascii="Times New Roman" w:hAnsi="Times New Roman" w:cs="Times New Roman"/>
          <w:sz w:val="24"/>
          <w:szCs w:val="36"/>
        </w:rPr>
        <w:t xml:space="preserve">, the noticeable correlations exists among the BM-EP1 and BM-CP1, BM-EP1 and BM-DP1, BM-EP1 and BM-DP3, BM-CP2 and BM-EP2, BM-EP1 and BM-EP3, and BM-EP4 and BM-DP4. The important thing to remember is that 1 denotes an extreme value portfolio, while 4 denotes an extreme growth portfolio. The three extreme value portfolios are highly correlated with BM-EP1 and BM-CP1 with a correlation of -0.5383. BM-EP1 and BM-DP1 have a correlation of -0.5273, but the BM-DP1 and BM-CP1 portfolios do not share a high correlation. This </w:t>
      </w:r>
      <w:r w:rsidR="00AD66F9">
        <w:rPr>
          <w:rFonts w:ascii="Times New Roman" w:hAnsi="Times New Roman" w:cs="Times New Roman"/>
          <w:sz w:val="24"/>
          <w:szCs w:val="36"/>
        </w:rPr>
        <w:t xml:space="preserve">implies </w:t>
      </w:r>
      <w:r>
        <w:rPr>
          <w:rFonts w:ascii="Times New Roman" w:hAnsi="Times New Roman" w:cs="Times New Roman"/>
          <w:sz w:val="24"/>
          <w:szCs w:val="36"/>
        </w:rPr>
        <w:t xml:space="preserve">that the negative relationships displayed by the combination of BM-EP1 with </w:t>
      </w:r>
      <w:r w:rsidR="006A1707">
        <w:rPr>
          <w:rFonts w:ascii="Times New Roman" w:hAnsi="Times New Roman" w:cs="Times New Roman"/>
          <w:sz w:val="24"/>
          <w:szCs w:val="36"/>
        </w:rPr>
        <w:t xml:space="preserve">BM-DP1 and BM-CP1 must be due to the correlations between the earnings-to-price, dividend yield and cash flow-to-price variables. Furthermore, the extreme value portfolios sorted on BTM and CP and BTM and DP have a positive correlation of 0.0702. </w:t>
      </w:r>
      <w:r w:rsidR="006A1707">
        <w:rPr>
          <w:rFonts w:ascii="Times New Roman" w:hAnsi="Times New Roman" w:cs="Times New Roman"/>
          <w:sz w:val="24"/>
          <w:szCs w:val="36"/>
        </w:rPr>
        <w:lastRenderedPageBreak/>
        <w:t xml:space="preserve">The combination of extreme value portfolios with extreme growth portfolios should result in negative correlations. For example, BM-CP1 and its extreme growth counterpart are negatively related with a value of -0.0459. It is also negatively correlated with the BM-EP4 portfolio. However, BM-CP1 is positively correlated with the BM-DP4 portfolio (0.084). </w:t>
      </w:r>
      <w:r w:rsidR="000527E7">
        <w:rPr>
          <w:rFonts w:ascii="Times New Roman" w:hAnsi="Times New Roman" w:cs="Times New Roman"/>
          <w:sz w:val="24"/>
          <w:szCs w:val="36"/>
        </w:rPr>
        <w:t xml:space="preserve">BM-DP1 and BM-CP4 have a positive correlation of 0.0007, and a positive correlation exists between the BM-EP1 and BM-CP4 portfolios. </w:t>
      </w:r>
    </w:p>
    <w:p w:rsidR="00126774" w:rsidRDefault="00126774" w:rsidP="005A2B86">
      <w:pPr>
        <w:pStyle w:val="ListParagraph"/>
        <w:spacing w:line="360" w:lineRule="auto"/>
        <w:ind w:left="0"/>
        <w:jc w:val="both"/>
        <w:rPr>
          <w:rFonts w:ascii="Times New Roman" w:hAnsi="Times New Roman" w:cs="Times New Roman"/>
          <w:sz w:val="24"/>
          <w:szCs w:val="36"/>
        </w:rPr>
      </w:pPr>
    </w:p>
    <w:p w:rsidR="00126774" w:rsidRDefault="00126774"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In terms of the correlations of extreme value with extreme value (that is, when high BTM stocks are combined with either high D/P, E/P, or C/P stocks) the only positive and low correlation exists between the BM-CP1 and BM-DP1 portfolios. It is important to remember here that the constant is the high BTM stocks in each of these value portfolios. The relatively high negative correlation between the BM-EP1 and BM-CP1 can be attributed to the cash flow and earnings correlation. Expected future performance of a firm is proxied by E/P, C/P and D/P. C/P is considered a more stable measure than E/P, and so there is the expectation that these variables are correlated to an extent. The same relatively high negative correlation between the BM-EP1 and BM-DP1 exists. </w:t>
      </w:r>
      <w:r w:rsidR="0071338A">
        <w:rPr>
          <w:rFonts w:ascii="Times New Roman" w:hAnsi="Times New Roman" w:cs="Times New Roman"/>
          <w:sz w:val="24"/>
          <w:szCs w:val="36"/>
        </w:rPr>
        <w:t>The correlations of extreme growth with extreme growth (that is, when low BM stocks are combined with either low D/P, E/P, or C/P stocks) have similar results to the extreme value correlations above. However, the only negative relatively high correlation exists between BM-CP1 and BM-DP1. The dividend payout ratio may possibly be negatively related with the C/P ratio, which would explain this high negative correlation. In terms of the correlations of the extreme value portfolios with the extreme growth portfolios, while there are certain portfolios with negative correlations and certain</w:t>
      </w:r>
      <w:r w:rsidR="002E0AA1">
        <w:rPr>
          <w:rFonts w:ascii="Times New Roman" w:hAnsi="Times New Roman" w:cs="Times New Roman"/>
          <w:sz w:val="24"/>
          <w:szCs w:val="36"/>
        </w:rPr>
        <w:t xml:space="preserve"> with positive correlations, the results are all relatively low. </w:t>
      </w:r>
      <w:r w:rsidR="0071338A">
        <w:rPr>
          <w:rFonts w:ascii="Times New Roman" w:hAnsi="Times New Roman" w:cs="Times New Roman"/>
          <w:sz w:val="24"/>
          <w:szCs w:val="36"/>
        </w:rPr>
        <w:t xml:space="preserve"> </w:t>
      </w:r>
      <w:r w:rsidR="002E0AA1">
        <w:rPr>
          <w:rFonts w:ascii="Times New Roman" w:hAnsi="Times New Roman" w:cs="Times New Roman"/>
          <w:sz w:val="24"/>
          <w:szCs w:val="36"/>
        </w:rPr>
        <w:t>This result clearly shows that BTM plays an important role in the correlation of the variables. When it is held constant, higher correlations are exhibited between C/P, D/P, and E/P stocks. However, when BTM can vary between high and low (value and growth) the correlations drop significantly.</w:t>
      </w:r>
    </w:p>
    <w:p w:rsidR="00F20CD4" w:rsidRDefault="00F20CD4" w:rsidP="005A2B86">
      <w:pPr>
        <w:pStyle w:val="ListParagraph"/>
        <w:spacing w:line="360" w:lineRule="auto"/>
        <w:ind w:left="0"/>
        <w:jc w:val="both"/>
        <w:rPr>
          <w:rFonts w:ascii="Times New Roman" w:hAnsi="Times New Roman" w:cs="Times New Roman"/>
          <w:sz w:val="24"/>
          <w:szCs w:val="36"/>
        </w:rPr>
      </w:pPr>
    </w:p>
    <w:p w:rsidR="004729AF" w:rsidRDefault="004729AF"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Table 19 presents the results of the regression of the dual sorted variables on the large growth dependent variable. Seeing that the dual sorted dependent variables are created using the intersection of two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and two BTM portfolios, no independent dual sorted variables consist of the dual sorting of BTM and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The positive coefficient of 0.10942 on the BM-CP2 portfolio is statistically significant at the 10% level. The positive coefficient suggests a positive relationship between the large growth dependent variable and this low BTM, high C/P portfolio. BM-CP2 is a combination of </w:t>
      </w:r>
      <w:r>
        <w:rPr>
          <w:rFonts w:ascii="Times New Roman" w:hAnsi="Times New Roman" w:cs="Times New Roman"/>
          <w:sz w:val="24"/>
          <w:szCs w:val="36"/>
        </w:rPr>
        <w:lastRenderedPageBreak/>
        <w:t>growth and value stocks, consisting of low BTM (growth) and high C/P (value) stocks. This positive coefficient is thus anticipated. Hence, the coefficients on the BM-CP3, BM-DP2, BM-DP3, BM-EP2, and BM-EP3 are all expected to be positive. All of the aforementioned portfolios do have positive coefficients except for the BM-DP3 portfolio, which has a negative coefficient of -0.00318. This negative coefficient, however, is not statistically significant. The 0.13107 coefficient of the BM-DP2 portfolio is statistically significant at the 5% level.</w:t>
      </w:r>
    </w:p>
    <w:p w:rsidR="006A5DB3" w:rsidRDefault="006A5DB3" w:rsidP="00706ABF">
      <w:pPr>
        <w:jc w:val="center"/>
        <w:rPr>
          <w:rFonts w:ascii="Times New Roman" w:hAnsi="Times New Roman" w:cs="Times New Roman"/>
          <w:b/>
          <w:sz w:val="24"/>
        </w:rPr>
      </w:pPr>
    </w:p>
    <w:p w:rsidR="00CF67DA" w:rsidRDefault="00CF67DA" w:rsidP="00CF67DA">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extreme growth portfolio denoted by BM-EP4 has a positive coefficient of 0.16775 and is statistically significant at the 1% level. Considering the dependent variable consists of growth (low) BTM stocks and growth (large) market capitalisation stocks, this positive relationship between BM-EP4 and the dependent variable is not surprising. The extreme value portfolios of BM-CP1, BM-DP1, and BM-EP1 are expected to have negative coefficients. The only extreme value portfolio that has a negative coefficient is the BM-CP1 portfolio, with a coefficient of -0.00421. This figure, however, is not statistically significant. </w:t>
      </w:r>
    </w:p>
    <w:p w:rsidR="00CF67DA" w:rsidRDefault="00CF67DA" w:rsidP="00CF67DA">
      <w:pPr>
        <w:spacing w:line="360" w:lineRule="auto"/>
        <w:jc w:val="both"/>
      </w:pPr>
    </w:p>
    <w:p w:rsidR="00CF67DA" w:rsidRDefault="00CF67DA" w:rsidP="00CF67DA">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Table 20 presents the dual sorted independent variables regressed on the large value dependent variable. The large value dependent variable consists of large market capitalisation stocks and high BTM stocks, hence it is anticipated that the dual sorted portfolios denoted by 2 and 3 (that is, a combination of growth and value stocks) will have positive coefficients. BM-CP2 (with a coefficient of 0.06554), BM-DP2 (with a coefficient of 0.23404), and BM-EP2 (with a coefficient of 0.11745) all have positive coefficients, while BM-CP3, BM-DP3, and BM-EP3 have negative coefficients of -0.00876, -0.01999, and -0.01269 respectively. The portfolios denoted by 2 consist of low BTM, high D/P (or C/P, or E/P) stocks, while portfolio 3 consists of high BTM, low D/P (or C/P or E/P) stocks. This negative relationship between the portfolios denoted by 3 and the larger value dependent variable must be due to the low C/P, D/P, or E/P stocks in the independent portfolios and the large market capitalisation stocks in the dependent variable.</w:t>
      </w:r>
    </w:p>
    <w:p w:rsidR="00CF67DA" w:rsidRDefault="00CF67DA" w:rsidP="00CF67DA">
      <w:pPr>
        <w:jc w:val="both"/>
        <w:rPr>
          <w:rFonts w:ascii="Times New Roman" w:hAnsi="Times New Roman" w:cs="Times New Roman"/>
          <w:b/>
          <w:sz w:val="24"/>
        </w:rPr>
      </w:pPr>
    </w:p>
    <w:p w:rsidR="00CF67DA" w:rsidRDefault="00CF67DA" w:rsidP="00706ABF">
      <w:pPr>
        <w:jc w:val="center"/>
        <w:rPr>
          <w:rFonts w:ascii="Times New Roman" w:hAnsi="Times New Roman" w:cs="Times New Roman"/>
          <w:b/>
          <w:sz w:val="24"/>
        </w:rPr>
        <w:sectPr w:rsidR="00CF67DA" w:rsidSect="00905FD2">
          <w:pgSz w:w="11906" w:h="16838"/>
          <w:pgMar w:top="1134" w:right="1440" w:bottom="1440" w:left="1440" w:header="708" w:footer="708" w:gutter="0"/>
          <w:cols w:space="708"/>
          <w:docGrid w:linePitch="360"/>
        </w:sectPr>
      </w:pPr>
    </w:p>
    <w:tbl>
      <w:tblPr>
        <w:tblStyle w:val="TableGrid"/>
        <w:tblW w:w="5000" w:type="pct"/>
        <w:jc w:val="center"/>
        <w:tblLook w:val="04A0"/>
      </w:tblPr>
      <w:tblGrid>
        <w:gridCol w:w="958"/>
        <w:gridCol w:w="1126"/>
        <w:gridCol w:w="1126"/>
        <w:gridCol w:w="1126"/>
        <w:gridCol w:w="1126"/>
        <w:gridCol w:w="1127"/>
        <w:gridCol w:w="1127"/>
        <w:gridCol w:w="1127"/>
        <w:gridCol w:w="1127"/>
        <w:gridCol w:w="1127"/>
        <w:gridCol w:w="1127"/>
        <w:gridCol w:w="1127"/>
        <w:gridCol w:w="1129"/>
      </w:tblGrid>
      <w:tr w:rsidR="006A5DB3" w:rsidTr="006A5DB3">
        <w:trPr>
          <w:cantSplit/>
          <w:trHeight w:val="357"/>
          <w:jc w:val="center"/>
        </w:trPr>
        <w:tc>
          <w:tcPr>
            <w:tcW w:w="5000" w:type="pct"/>
            <w:gridSpan w:val="13"/>
          </w:tcPr>
          <w:p w:rsidR="006A5DB3" w:rsidRPr="00596790" w:rsidRDefault="006A5DB3" w:rsidP="00706ABF">
            <w:pPr>
              <w:jc w:val="center"/>
              <w:rPr>
                <w:rFonts w:ascii="Times New Roman" w:hAnsi="Times New Roman" w:cs="Times New Roman"/>
                <w:b/>
                <w:sz w:val="20"/>
              </w:rPr>
            </w:pPr>
            <w:r w:rsidRPr="00596790">
              <w:rPr>
                <w:rFonts w:ascii="Times New Roman" w:hAnsi="Times New Roman" w:cs="Times New Roman"/>
                <w:b/>
                <w:sz w:val="24"/>
              </w:rPr>
              <w:lastRenderedPageBreak/>
              <w:t>Table 1</w:t>
            </w:r>
            <w:r>
              <w:rPr>
                <w:rFonts w:ascii="Times New Roman" w:hAnsi="Times New Roman" w:cs="Times New Roman"/>
                <w:b/>
                <w:sz w:val="24"/>
              </w:rPr>
              <w:t>8</w:t>
            </w:r>
          </w:p>
        </w:tc>
      </w:tr>
      <w:tr w:rsidR="006A5DB3" w:rsidTr="006A5DB3">
        <w:trPr>
          <w:cantSplit/>
          <w:trHeight w:val="1328"/>
          <w:jc w:val="center"/>
        </w:trPr>
        <w:tc>
          <w:tcPr>
            <w:tcW w:w="5000" w:type="pct"/>
            <w:gridSpan w:val="13"/>
          </w:tcPr>
          <w:p w:rsidR="006A5DB3" w:rsidRPr="00596790" w:rsidRDefault="006A5DB3" w:rsidP="00706ABF">
            <w:pPr>
              <w:jc w:val="center"/>
              <w:rPr>
                <w:rFonts w:ascii="Times New Roman" w:hAnsi="Times New Roman" w:cs="Times New Roman"/>
                <w:b/>
                <w:sz w:val="24"/>
              </w:rPr>
            </w:pPr>
            <w:r>
              <w:rPr>
                <w:rFonts w:ascii="Times New Roman" w:hAnsi="Times New Roman" w:cs="Times New Roman"/>
                <w:b/>
                <w:sz w:val="24"/>
              </w:rPr>
              <w:t xml:space="preserve">Correlation Matrix for </w:t>
            </w:r>
            <w:r w:rsidRPr="00596790">
              <w:rPr>
                <w:rFonts w:ascii="Times New Roman" w:hAnsi="Times New Roman" w:cs="Times New Roman"/>
                <w:b/>
                <w:sz w:val="24"/>
              </w:rPr>
              <w:t>All Equally Weighted Two-Way Sorted Independent Variables</w:t>
            </w:r>
          </w:p>
          <w:p w:rsidR="006A5DB3" w:rsidRPr="00596790" w:rsidRDefault="006A5DB3" w:rsidP="00706ABF">
            <w:pPr>
              <w:jc w:val="center"/>
              <w:rPr>
                <w:rFonts w:ascii="Times New Roman" w:hAnsi="Times New Roman" w:cs="Times New Roman"/>
                <w:b/>
                <w:sz w:val="20"/>
              </w:rPr>
            </w:pPr>
            <w:r w:rsidRPr="00596790">
              <w:rPr>
                <w:rFonts w:ascii="Times New Roman" w:hAnsi="Times New Roman" w:cs="Times New Roman"/>
                <w:sz w:val="20"/>
              </w:rPr>
              <w:t xml:space="preserve">The independent variables are all the equally weighted two-way sorted variables. BM-CP 1 is the portfolio sorted initially on the book-to-market ratio, and then on the cash flow-to-price ratio. The 1 indicates that the portfolio is extreme value. The book-to-market ratio is high, as is the cash flow-to-price ratio. 2 indicates the BTM is low, while the C/P is high. 3 indicates the BTM is high and the C/P is low. 4 indicates the portfolio is extreme growth as both the BTM and C/P ratios are low. This is the same for the BM-DP, and BM-EP variables. </w:t>
            </w:r>
          </w:p>
        </w:tc>
      </w:tr>
      <w:tr w:rsidR="006A5DB3" w:rsidRPr="00B66DC9" w:rsidTr="006A5DB3">
        <w:trPr>
          <w:cantSplit/>
          <w:trHeight w:val="668"/>
          <w:jc w:val="center"/>
        </w:trPr>
        <w:tc>
          <w:tcPr>
            <w:tcW w:w="331" w:type="pct"/>
            <w:tcBorders>
              <w:bottom w:val="single" w:sz="4" w:space="0" w:color="auto"/>
              <w:right w:val="single" w:sz="4" w:space="0" w:color="auto"/>
            </w:tcBorders>
            <w:vAlign w:val="center"/>
          </w:tcPr>
          <w:p w:rsidR="006A5DB3" w:rsidRPr="00596790" w:rsidRDefault="006A5DB3" w:rsidP="00706ABF">
            <w:pPr>
              <w:jc w:val="center"/>
              <w:rPr>
                <w:rFonts w:ascii="Times New Roman" w:hAnsi="Times New Roman" w:cs="Times New Roman"/>
                <w:b/>
                <w:sz w:val="18"/>
                <w:szCs w:val="20"/>
              </w:rPr>
            </w:pPr>
            <w:r w:rsidRPr="00596790">
              <w:rPr>
                <w:rFonts w:ascii="Times New Roman" w:hAnsi="Times New Roman" w:cs="Times New Roman"/>
                <w:b/>
                <w:sz w:val="18"/>
                <w:szCs w:val="20"/>
              </w:rPr>
              <w:t>Variable</w:t>
            </w:r>
          </w:p>
        </w:tc>
        <w:tc>
          <w:tcPr>
            <w:tcW w:w="389" w:type="pct"/>
            <w:tcBorders>
              <w:top w:val="single" w:sz="4" w:space="0" w:color="auto"/>
              <w:left w:val="single" w:sz="4" w:space="0" w:color="auto"/>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1</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2</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3</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4</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1</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2</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3</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4</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1</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2</w:t>
            </w:r>
          </w:p>
        </w:tc>
        <w:tc>
          <w:tcPr>
            <w:tcW w:w="389" w:type="pct"/>
            <w:tcBorders>
              <w:top w:val="single" w:sz="4" w:space="0" w:color="auto"/>
              <w:left w:val="nil"/>
              <w:bottom w:val="single" w:sz="4" w:space="0" w:color="auto"/>
              <w:right w:val="nil"/>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3</w:t>
            </w:r>
          </w:p>
        </w:tc>
        <w:tc>
          <w:tcPr>
            <w:tcW w:w="389" w:type="pct"/>
            <w:tcBorders>
              <w:top w:val="single" w:sz="4" w:space="0" w:color="auto"/>
              <w:left w:val="nil"/>
              <w:bottom w:val="single" w:sz="4" w:space="0" w:color="auto"/>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4</w:t>
            </w:r>
          </w:p>
        </w:tc>
      </w:tr>
      <w:tr w:rsidR="006A5DB3" w:rsidRPr="00B66DC9" w:rsidTr="006A5DB3">
        <w:trPr>
          <w:cantSplit/>
          <w:trHeight w:val="434"/>
          <w:jc w:val="center"/>
        </w:trPr>
        <w:tc>
          <w:tcPr>
            <w:tcW w:w="331" w:type="pct"/>
            <w:tcBorders>
              <w:top w:val="single" w:sz="4" w:space="0" w:color="auto"/>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1</w:t>
            </w:r>
          </w:p>
        </w:tc>
        <w:tc>
          <w:tcPr>
            <w:tcW w:w="389" w:type="pct"/>
            <w:tcBorders>
              <w:top w:val="single" w:sz="4" w:space="0" w:color="auto"/>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-0.077</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0.134</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-0.046</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0.070</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0.026</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0.223</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0.084</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-0.538</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-0.076</w:t>
            </w:r>
          </w:p>
        </w:tc>
        <w:tc>
          <w:tcPr>
            <w:tcW w:w="389" w:type="pct"/>
            <w:tcBorders>
              <w:top w:val="single" w:sz="4" w:space="0" w:color="auto"/>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-0.883</w:t>
            </w:r>
          </w:p>
        </w:tc>
        <w:tc>
          <w:tcPr>
            <w:tcW w:w="389" w:type="pct"/>
            <w:tcBorders>
              <w:top w:val="single" w:sz="4" w:space="0" w:color="auto"/>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-0.030</w:t>
            </w:r>
          </w:p>
        </w:tc>
      </w:tr>
      <w:tr w:rsidR="006A5DB3" w:rsidRPr="00B66DC9" w:rsidTr="006A5DB3">
        <w:trPr>
          <w:cantSplit/>
          <w:trHeight w:val="437"/>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2</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-0.261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-0.577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0.061</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-0.183</w:t>
            </w:r>
          </w:p>
        </w:tc>
      </w:tr>
      <w:tr w:rsidR="006A5DB3" w:rsidRPr="00B66DC9" w:rsidTr="006A5DB3">
        <w:trPr>
          <w:cantSplit/>
          <w:trHeight w:val="415"/>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3</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0.109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0.233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-0.090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-0.122</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r>
      <w:tr w:rsidR="006A5DB3" w:rsidRPr="00B66DC9" w:rsidTr="006A5DB3">
        <w:trPr>
          <w:cantSplit/>
          <w:trHeight w:val="434"/>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BM-CP 4</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0.001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0.015</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0.047</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-0.086</w:t>
            </w:r>
          </w:p>
        </w:tc>
      </w:tr>
      <w:tr w:rsidR="006A5DB3" w:rsidRPr="00B66DC9" w:rsidTr="006A5DB3">
        <w:trPr>
          <w:cantSplit/>
          <w:trHeight w:val="426"/>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1</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0.001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-0.166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0.125</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-0.527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-0.035</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-0.025</w:t>
            </w:r>
          </w:p>
        </w:tc>
      </w:tr>
      <w:tr w:rsidR="006A5DB3" w:rsidRPr="00B66DC9" w:rsidTr="006A5DB3">
        <w:trPr>
          <w:cantSplit/>
          <w:trHeight w:val="419"/>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2</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-0.261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0.109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-0.166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0.004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-0.239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-0.090</w:t>
            </w:r>
          </w:p>
        </w:tc>
      </w:tr>
      <w:tr w:rsidR="006A5DB3" w:rsidRPr="00B66DC9" w:rsidTr="006A5DB3">
        <w:trPr>
          <w:cantSplit/>
          <w:trHeight w:val="425"/>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3</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0.223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0.125</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0.004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-0.454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-0.244</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-0.041</w:t>
            </w:r>
          </w:p>
        </w:tc>
      </w:tr>
      <w:tr w:rsidR="006A5DB3" w:rsidRPr="00B66DC9" w:rsidTr="006A5DB3">
        <w:trPr>
          <w:cantSplit/>
          <w:trHeight w:val="430"/>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BM-DP 4</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0.233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-0.319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-0.032</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-0.548</w:t>
            </w:r>
          </w:p>
        </w:tc>
      </w:tr>
      <w:tr w:rsidR="006A5DB3" w:rsidRPr="00B66DC9" w:rsidTr="006A5DB3">
        <w:trPr>
          <w:cantSplit/>
          <w:trHeight w:val="422"/>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1</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-0.538</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-0.090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0.015</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-0.527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-0.454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0.402</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-0.013</w:t>
            </w:r>
          </w:p>
        </w:tc>
      </w:tr>
      <w:tr w:rsidR="006A5DB3" w:rsidRPr="00B66DC9" w:rsidTr="006A5DB3">
        <w:trPr>
          <w:cantSplit/>
          <w:trHeight w:val="429"/>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2</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-0.577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-0.131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-0.016</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-0.239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-0.074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-0.319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-0.029</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0.062</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0.167</w:t>
            </w:r>
          </w:p>
        </w:tc>
      </w:tr>
      <w:tr w:rsidR="006A5DB3" w:rsidRPr="00B66DC9" w:rsidTr="006A5DB3">
        <w:trPr>
          <w:cantSplit/>
          <w:trHeight w:val="421"/>
          <w:jc w:val="center"/>
        </w:trPr>
        <w:tc>
          <w:tcPr>
            <w:tcW w:w="331" w:type="pct"/>
            <w:tcBorders>
              <w:top w:val="nil"/>
              <w:left w:val="single" w:sz="4" w:space="0" w:color="auto"/>
              <w:bottom w:val="nil"/>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3</w:t>
            </w:r>
          </w:p>
        </w:tc>
        <w:tc>
          <w:tcPr>
            <w:tcW w:w="389" w:type="pct"/>
            <w:tcBorders>
              <w:top w:val="nil"/>
              <w:left w:val="single" w:sz="4" w:space="0" w:color="auto"/>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-0.883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0.061</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-0.122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0.047</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-0.035</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-0.244</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0.402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0.062</w:t>
            </w:r>
          </w:p>
        </w:tc>
        <w:tc>
          <w:tcPr>
            <w:tcW w:w="389" w:type="pct"/>
            <w:tcBorders>
              <w:top w:val="nil"/>
              <w:left w:val="nil"/>
              <w:bottom w:val="nil"/>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c>
          <w:tcPr>
            <w:tcW w:w="389" w:type="pct"/>
            <w:tcBorders>
              <w:top w:val="nil"/>
              <w:left w:val="nil"/>
              <w:bottom w:val="nil"/>
              <w:right w:val="single" w:sz="4" w:space="0" w:color="auto"/>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0.020</w:t>
            </w:r>
          </w:p>
        </w:tc>
      </w:tr>
      <w:tr w:rsidR="006A5DB3" w:rsidRPr="00B66DC9" w:rsidTr="006A5DB3">
        <w:trPr>
          <w:cantSplit/>
          <w:trHeight w:val="426"/>
          <w:jc w:val="center"/>
        </w:trPr>
        <w:tc>
          <w:tcPr>
            <w:tcW w:w="331" w:type="pct"/>
            <w:tcBorders>
              <w:top w:val="nil"/>
              <w:left w:val="single" w:sz="4" w:space="0" w:color="auto"/>
              <w:bottom w:val="single" w:sz="4" w:space="0" w:color="auto"/>
              <w:right w:val="single" w:sz="4" w:space="0" w:color="auto"/>
            </w:tcBorders>
            <w:vAlign w:val="center"/>
          </w:tcPr>
          <w:p w:rsidR="006A5DB3" w:rsidRPr="00596790" w:rsidRDefault="006A5DB3" w:rsidP="00706ABF">
            <w:pPr>
              <w:jc w:val="center"/>
              <w:rPr>
                <w:rFonts w:ascii="Times New Roman" w:hAnsi="Times New Roman" w:cs="Times New Roman"/>
                <w:b/>
                <w:bCs/>
                <w:color w:val="000000"/>
                <w:sz w:val="18"/>
                <w:szCs w:val="20"/>
              </w:rPr>
            </w:pPr>
            <w:r w:rsidRPr="00596790">
              <w:rPr>
                <w:rFonts w:ascii="Times New Roman" w:hAnsi="Times New Roman" w:cs="Times New Roman"/>
                <w:b/>
                <w:bCs/>
                <w:color w:val="000000"/>
                <w:sz w:val="18"/>
                <w:szCs w:val="20"/>
              </w:rPr>
              <w:t>BM-EP 4</w:t>
            </w:r>
          </w:p>
        </w:tc>
        <w:tc>
          <w:tcPr>
            <w:tcW w:w="389" w:type="pct"/>
            <w:tcBorders>
              <w:top w:val="nil"/>
              <w:left w:val="single" w:sz="4" w:space="0" w:color="auto"/>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-0.030</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-0.183</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-0.023</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-0.086</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-0.025</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-0.090</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-0.041</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-0.548</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-0.013</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0.167</w:t>
            </w:r>
          </w:p>
        </w:tc>
        <w:tc>
          <w:tcPr>
            <w:tcW w:w="389" w:type="pct"/>
            <w:tcBorders>
              <w:top w:val="nil"/>
              <w:left w:val="nil"/>
              <w:bottom w:val="single" w:sz="4" w:space="0" w:color="auto"/>
              <w:right w:val="nil"/>
            </w:tcBorders>
            <w:vAlign w:val="center"/>
          </w:tcPr>
          <w:p w:rsidR="006A5DB3" w:rsidRPr="006A5DB3" w:rsidRDefault="006A5DB3" w:rsidP="006A5DB3">
            <w:pPr>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0.020</w:t>
            </w:r>
          </w:p>
        </w:tc>
        <w:tc>
          <w:tcPr>
            <w:tcW w:w="389" w:type="pct"/>
            <w:tcBorders>
              <w:top w:val="nil"/>
              <w:left w:val="nil"/>
              <w:bottom w:val="single" w:sz="4" w:space="0" w:color="auto"/>
              <w:right w:val="single" w:sz="4" w:space="0" w:color="auto"/>
            </w:tcBorders>
            <w:vAlign w:val="center"/>
          </w:tcPr>
          <w:p w:rsidR="006A5DB3" w:rsidRPr="006A5DB3" w:rsidRDefault="006A5DB3" w:rsidP="0012635E">
            <w:pPr>
              <w:keepNext/>
              <w:jc w:val="center"/>
              <w:rPr>
                <w:rFonts w:ascii="Times New Roman" w:hAnsi="Times New Roman" w:cs="Times New Roman"/>
                <w:color w:val="000000"/>
                <w:sz w:val="18"/>
                <w:szCs w:val="18"/>
              </w:rPr>
            </w:pPr>
            <w:r w:rsidRPr="006A5DB3">
              <w:rPr>
                <w:rFonts w:ascii="Times New Roman" w:hAnsi="Times New Roman" w:cs="Times New Roman"/>
                <w:color w:val="000000"/>
                <w:sz w:val="18"/>
                <w:szCs w:val="18"/>
              </w:rPr>
              <w:t>1.000</w:t>
            </w:r>
          </w:p>
        </w:tc>
      </w:tr>
    </w:tbl>
    <w:p w:rsidR="006A5DB3" w:rsidRPr="0012635E" w:rsidRDefault="0012635E" w:rsidP="0012635E">
      <w:pPr>
        <w:pStyle w:val="Caption"/>
        <w:rPr>
          <w:rFonts w:ascii="Times New Roman" w:hAnsi="Times New Roman" w:cs="Times New Roman"/>
          <w:color w:val="FFFFFF" w:themeColor="background1"/>
          <w:sz w:val="24"/>
          <w:szCs w:val="36"/>
        </w:rPr>
        <w:sectPr w:rsidR="006A5DB3" w:rsidRPr="0012635E" w:rsidSect="006A5DB3">
          <w:pgSz w:w="16838" w:h="11906" w:orient="landscape"/>
          <w:pgMar w:top="1440" w:right="1134" w:bottom="1440" w:left="1440" w:header="709" w:footer="709" w:gutter="0"/>
          <w:cols w:space="708"/>
          <w:docGrid w:linePitch="360"/>
        </w:sectPr>
      </w:pPr>
      <w:bookmarkStart w:id="72" w:name="_Toc305166541"/>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18</w:t>
      </w:r>
      <w:r w:rsidR="000963F3" w:rsidRPr="0012635E">
        <w:rPr>
          <w:color w:val="FFFFFF" w:themeColor="background1"/>
        </w:rPr>
        <w:fldChar w:fldCharType="end"/>
      </w:r>
      <w:r w:rsidRPr="0012635E">
        <w:rPr>
          <w:color w:val="FFFFFF" w:themeColor="background1"/>
        </w:rPr>
        <w:t xml:space="preserve"> - Correlation Matrix for All Equally Weighted Two-Way Sorted Independent Variables</w:t>
      </w:r>
      <w:bookmarkEnd w:id="72"/>
    </w:p>
    <w:p w:rsidR="00C35140" w:rsidRDefault="00C35140" w:rsidP="005A2B86">
      <w:pPr>
        <w:pStyle w:val="ListParagraph"/>
        <w:spacing w:line="360" w:lineRule="auto"/>
        <w:ind w:left="0"/>
        <w:jc w:val="both"/>
        <w:rPr>
          <w:rFonts w:ascii="Times New Roman" w:hAnsi="Times New Roman" w:cs="Times New Roman"/>
          <w:sz w:val="24"/>
          <w:szCs w:val="36"/>
        </w:rPr>
      </w:pPr>
    </w:p>
    <w:p w:rsidR="004B1D0B" w:rsidRDefault="00C35140"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BM-CP3 negative coefficient is statistically significant at the 5% level, whereas the BM-DP3 and BM-EP3 portfolios do not have statistical significant coefficients. The coefficient on the BM-DP2 portfolio is 0.23404 and statistically significant at the 1% level. The BM-EP2 portfolio has a positive coefficient of 0.11745 and is statistically significant at the 10% level. This positive relationship between the portfolios sorted on low BTM, high </w:t>
      </w:r>
      <w:r w:rsidR="001104CB">
        <w:rPr>
          <w:rFonts w:ascii="Times New Roman" w:hAnsi="Times New Roman" w:cs="Times New Roman"/>
          <w:sz w:val="24"/>
          <w:szCs w:val="36"/>
        </w:rPr>
        <w:t xml:space="preserve">C/P (or E/P or D/P) stocks and the large value dependent variable is rationalised as the dependent portfolio includes high BTM stocks. The positive relationship must arise from the relationship between the high BTM stocks of the dependent variable and the high C/P (or D/P or E/P) stocks of the independent variable. The large value dependent variable consists of growth and value stocks, thus the relationship it has with the extreme value (denoted by the number 1) and extreme growth (denoted by the number 4) portfolios is expected to be ambiguous. </w:t>
      </w:r>
    </w:p>
    <w:p w:rsidR="004B1D0B" w:rsidRDefault="004B1D0B" w:rsidP="005A2B86">
      <w:pPr>
        <w:pStyle w:val="ListParagraph"/>
        <w:spacing w:line="360" w:lineRule="auto"/>
        <w:ind w:left="0"/>
        <w:jc w:val="both"/>
        <w:rPr>
          <w:rFonts w:ascii="Times New Roman" w:hAnsi="Times New Roman" w:cs="Times New Roman"/>
          <w:sz w:val="24"/>
          <w:szCs w:val="36"/>
        </w:rPr>
      </w:pPr>
    </w:p>
    <w:p w:rsidR="00C35140" w:rsidRPr="005A2B86" w:rsidRDefault="001104CB" w:rsidP="005A2B86">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regression coefficients on the BM-CP1, BM-DP1, BM-DP4, BM-EP1, and BM-EP4 are all positive. The BM-CP4 coefficient is negative with a value of -0.00295, but this result is not statistically significant. The BM-DP1 coefficient of 0.14722 is statistically significant at the 1% level, while the BM-DP4 coefficient of 0.07533 is statistically significant at the 5% level. As with the BM-DP1 coefficient, the BM-EP1 coefficient of 0.30379 is statistically significant at the 1% level. The BM-EP4 coefficient of 0.30379 is statistically significant at the 1% level. The BM-EP4 coefficient, while positive, is not statistically significant. With the exception of the BM-CP4 coefficient, both the extreme growth and extreme value portfolios have a positive relationship with the dependent variable. Considering the important fact that the dependent variable contains both value and growth stocks, it can be argued that the extreme value portfolios exhibit positive relationships with the large value portfolio because the high BTM stocks in the dependent variable are positively related to the high BTM stocks and the high C/P, E/P, or D/P stocks in the extreme value portfolio. </w:t>
      </w:r>
      <w:r w:rsidR="001A4D9C">
        <w:rPr>
          <w:rFonts w:ascii="Times New Roman" w:hAnsi="Times New Roman" w:cs="Times New Roman"/>
          <w:sz w:val="24"/>
          <w:szCs w:val="36"/>
        </w:rPr>
        <w:t>The</w:t>
      </w:r>
      <w:r>
        <w:rPr>
          <w:rFonts w:ascii="Times New Roman" w:hAnsi="Times New Roman" w:cs="Times New Roman"/>
          <w:sz w:val="24"/>
          <w:szCs w:val="36"/>
        </w:rPr>
        <w:t xml:space="preserve"> positive relationship between the dependent variable </w:t>
      </w:r>
      <w:r w:rsidR="00456E32">
        <w:rPr>
          <w:rFonts w:ascii="Times New Roman" w:hAnsi="Times New Roman" w:cs="Times New Roman"/>
          <w:sz w:val="24"/>
          <w:szCs w:val="36"/>
        </w:rPr>
        <w:t xml:space="preserve">and the extreme growth portfolios can be argued as a result of the direct relationship between these low BTM, low C/P (or E/P or D/P) stocks and the large market </w:t>
      </w:r>
      <w:r w:rsidR="00610C8D">
        <w:rPr>
          <w:rFonts w:ascii="Times New Roman" w:hAnsi="Times New Roman" w:cs="Times New Roman"/>
          <w:sz w:val="24"/>
          <w:szCs w:val="36"/>
        </w:rPr>
        <w:t>capitalisation</w:t>
      </w:r>
      <w:r w:rsidR="00456E32">
        <w:rPr>
          <w:rFonts w:ascii="Times New Roman" w:hAnsi="Times New Roman" w:cs="Times New Roman"/>
          <w:sz w:val="24"/>
          <w:szCs w:val="36"/>
        </w:rPr>
        <w:t xml:space="preserve"> stocks of the dependent variable. </w:t>
      </w:r>
    </w:p>
    <w:p w:rsidR="0034705A" w:rsidRDefault="0034705A" w:rsidP="00A02570">
      <w:pPr>
        <w:pStyle w:val="ListParagraph"/>
        <w:spacing w:line="360" w:lineRule="auto"/>
        <w:ind w:left="0"/>
        <w:jc w:val="both"/>
        <w:rPr>
          <w:rFonts w:ascii="Times New Roman" w:hAnsi="Times New Roman" w:cs="Times New Roman"/>
          <w:color w:val="943634" w:themeColor="accent2" w:themeShade="BF"/>
          <w:sz w:val="24"/>
          <w:szCs w:val="36"/>
        </w:rPr>
      </w:pPr>
    </w:p>
    <w:p w:rsidR="00D15210" w:rsidRPr="004729AF" w:rsidRDefault="004729AF" w:rsidP="004729AF">
      <w:pPr>
        <w:spacing w:line="360" w:lineRule="auto"/>
        <w:jc w:val="both"/>
        <w:rPr>
          <w:rFonts w:ascii="Times New Roman" w:hAnsi="Times New Roman" w:cs="Times New Roman"/>
          <w:bCs/>
          <w:color w:val="000000"/>
          <w:sz w:val="24"/>
        </w:rPr>
      </w:pPr>
      <w:r w:rsidRPr="004729AF">
        <w:rPr>
          <w:rFonts w:ascii="Times New Roman" w:hAnsi="Times New Roman" w:cs="Times New Roman"/>
          <w:bCs/>
          <w:color w:val="000000"/>
          <w:sz w:val="24"/>
        </w:rPr>
        <w:t xml:space="preserve">The dependent variable in Table 21 contains small market </w:t>
      </w:r>
      <w:r w:rsidR="00610C8D">
        <w:rPr>
          <w:rFonts w:ascii="Times New Roman" w:hAnsi="Times New Roman" w:cs="Times New Roman"/>
          <w:bCs/>
          <w:color w:val="000000"/>
          <w:sz w:val="24"/>
        </w:rPr>
        <w:t>capitalisation</w:t>
      </w:r>
      <w:r w:rsidRPr="004729AF">
        <w:rPr>
          <w:rFonts w:ascii="Times New Roman" w:hAnsi="Times New Roman" w:cs="Times New Roman"/>
          <w:bCs/>
          <w:color w:val="000000"/>
          <w:sz w:val="24"/>
        </w:rPr>
        <w:t xml:space="preserve"> stocks that are also low BTM stocks. Here, as in Table 19, the explanation of the relationships exhibited by the extreme value and extreme growth portfolios can be debated as the dependent variable includes both value and growth stocks. The portfolios denoted by the numbers 2 and 3 should </w:t>
      </w:r>
      <w:r w:rsidRPr="004729AF">
        <w:rPr>
          <w:rFonts w:ascii="Times New Roman" w:hAnsi="Times New Roman" w:cs="Times New Roman"/>
          <w:bCs/>
          <w:color w:val="000000"/>
          <w:sz w:val="24"/>
        </w:rPr>
        <w:lastRenderedPageBreak/>
        <w:t>exhibit positive coefficients as these portfolios are a combination of growth and value stocks. BM-CP2 and BM-DP2 have negative coefficients of -0.14749 and -0.26416 respectively, while the BM-EP2 portfolio has a positive coefficient of 0.42439 and is statistically significant at the 1% level. BM-CP2, BM-DP2, and BM-EP2 consist of low BTM, high cash flow-to-price, dividend-to-price, or earnings-to-price stocks respectively, thus the negative coefficients on the BM-CP2 and BM-DP2 portfolios are surprising. The latter portfolio coefficient is statistically significant at the 5% level. The forecasted positive coefficient on the BM-EP2 portfolio is statistically significant at the 1% level, signifying a positive relationship between BM-EP2 and the dependent variable.</w:t>
      </w:r>
    </w:p>
    <w:p w:rsidR="004B1D0B" w:rsidRDefault="004B1D0B" w:rsidP="00D15210">
      <w:pPr>
        <w:spacing w:line="360" w:lineRule="auto"/>
        <w:rPr>
          <w:rFonts w:ascii="Times New Roman" w:hAnsi="Times New Roman" w:cs="Times New Roman"/>
          <w:bCs/>
          <w:sz w:val="24"/>
        </w:rPr>
      </w:pPr>
    </w:p>
    <w:p w:rsidR="004B1D0B" w:rsidRDefault="004B1D0B" w:rsidP="004B1D0B">
      <w:pPr>
        <w:spacing w:line="360" w:lineRule="auto"/>
        <w:jc w:val="both"/>
        <w:rPr>
          <w:rFonts w:ascii="Times New Roman" w:hAnsi="Times New Roman" w:cs="Times New Roman"/>
          <w:sz w:val="24"/>
        </w:rPr>
      </w:pPr>
      <w:r w:rsidRPr="00037DC4">
        <w:rPr>
          <w:rFonts w:ascii="Times New Roman" w:hAnsi="Times New Roman" w:cs="Times New Roman"/>
          <w:sz w:val="24"/>
        </w:rPr>
        <w:t>Each of the portfolios denoted by the number 3 exhibit positive coefficients,</w:t>
      </w:r>
      <w:r>
        <w:rPr>
          <w:rFonts w:ascii="Times New Roman" w:hAnsi="Times New Roman" w:cs="Times New Roman"/>
          <w:sz w:val="24"/>
        </w:rPr>
        <w:t xml:space="preserve"> which</w:t>
      </w:r>
      <w:r w:rsidRPr="00037DC4">
        <w:rPr>
          <w:rFonts w:ascii="Times New Roman" w:hAnsi="Times New Roman" w:cs="Times New Roman"/>
          <w:sz w:val="24"/>
        </w:rPr>
        <w:t xml:space="preserve"> impl</w:t>
      </w:r>
      <w:r>
        <w:rPr>
          <w:rFonts w:ascii="Times New Roman" w:hAnsi="Times New Roman" w:cs="Times New Roman"/>
          <w:sz w:val="24"/>
        </w:rPr>
        <w:t>ies</w:t>
      </w:r>
      <w:r w:rsidRPr="00037DC4">
        <w:rPr>
          <w:rFonts w:ascii="Times New Roman" w:hAnsi="Times New Roman" w:cs="Times New Roman"/>
          <w:sz w:val="24"/>
        </w:rPr>
        <w:t xml:space="preserve"> a direct relationship with the dependent variable. The BM-EP3 coefficient of 0.60977 is the only statistically significant high BTM, low fundamental-to-price portfolio, with a test statistic of 11.69. The high BTM, low E/P portfolio is positively related to the small </w:t>
      </w:r>
      <w:r>
        <w:rPr>
          <w:rFonts w:ascii="Times New Roman" w:hAnsi="Times New Roman" w:cs="Times New Roman"/>
          <w:sz w:val="24"/>
        </w:rPr>
        <w:t>capitalisation</w:t>
      </w:r>
      <w:r w:rsidRPr="00037DC4">
        <w:rPr>
          <w:rFonts w:ascii="Times New Roman" w:hAnsi="Times New Roman" w:cs="Times New Roman"/>
          <w:sz w:val="24"/>
        </w:rPr>
        <w:t>, low BTM portfolio. The positive relationship must thus exist between the low BTM stocks in the dependent variable and low E/P stocks in the independent variable. The extreme value portfolios denoted by the number 1 are all statistically significant, although the coefficients are not uniform. The BM-CP1 coefficient is negative at -1.03217 and statistically significant at the 1% level.</w:t>
      </w:r>
      <w:r>
        <w:rPr>
          <w:rFonts w:ascii="Times New Roman" w:hAnsi="Times New Roman" w:cs="Times New Roman"/>
          <w:sz w:val="24"/>
        </w:rPr>
        <w:t xml:space="preserve"> The BM-DP1 coefficient is 0.1878 and statistically significant at the 10% level. The positive coefficient on the BM-EP1 of 0.52994 is statistically significant at the 1% level. If the market capitalisation portion of the dependent variable plays a larger role then the positive relationships of BM-DP1 and BM-EP1 are accurate. The small capitalisation stocks in the small growth dependent portfolio will be positively related to the high BTM, high D/P or high E/P stocks in the independent portfolios as these variables are all, by definition, value variables. The negative relationship exhibited between the dependent variable and the BM-CP1 portfolio is explained by the large effect the high BTM, high C/P stocks have on the low BTM stocks in the dependent variable.  </w:t>
      </w:r>
    </w:p>
    <w:p w:rsidR="004B1D0B" w:rsidRPr="00D15210" w:rsidRDefault="004B1D0B" w:rsidP="00D15210">
      <w:pPr>
        <w:spacing w:line="360" w:lineRule="auto"/>
        <w:rPr>
          <w:rFonts w:ascii="Times New Roman" w:hAnsi="Times New Roman" w:cs="Times New Roman"/>
          <w:bCs/>
          <w:sz w:val="24"/>
        </w:rPr>
        <w:sectPr w:rsidR="004B1D0B" w:rsidRPr="00D15210" w:rsidSect="00905FD2">
          <w:pgSz w:w="11906" w:h="16838"/>
          <w:pgMar w:top="1134" w:right="1440" w:bottom="1440" w:left="1440" w:header="708" w:footer="708" w:gutter="0"/>
          <w:cols w:space="708"/>
          <w:docGrid w:linePitch="360"/>
        </w:sectPr>
      </w:pPr>
    </w:p>
    <w:tbl>
      <w:tblPr>
        <w:tblStyle w:val="TableGrid"/>
        <w:tblW w:w="5000" w:type="pct"/>
        <w:tblLook w:val="04A0"/>
      </w:tblPr>
      <w:tblGrid>
        <w:gridCol w:w="1051"/>
        <w:gridCol w:w="1085"/>
        <w:gridCol w:w="1085"/>
        <w:gridCol w:w="1086"/>
        <w:gridCol w:w="1165"/>
        <w:gridCol w:w="1086"/>
        <w:gridCol w:w="1086"/>
        <w:gridCol w:w="1086"/>
        <w:gridCol w:w="1089"/>
        <w:gridCol w:w="1086"/>
        <w:gridCol w:w="1086"/>
        <w:gridCol w:w="1086"/>
        <w:gridCol w:w="1097"/>
      </w:tblGrid>
      <w:tr w:rsidR="00D0149F" w:rsidRPr="001556D5" w:rsidTr="009976E7">
        <w:tc>
          <w:tcPr>
            <w:tcW w:w="5000" w:type="pct"/>
            <w:gridSpan w:val="13"/>
            <w:tcBorders>
              <w:bottom w:val="single" w:sz="4" w:space="0" w:color="auto"/>
            </w:tcBorders>
            <w:vAlign w:val="center"/>
          </w:tcPr>
          <w:p w:rsidR="00D0149F" w:rsidRPr="00AB03F1" w:rsidRDefault="008E2032" w:rsidP="00CA5181">
            <w:pPr>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Table 1</w:t>
            </w:r>
            <w:r w:rsidR="00F20CD4">
              <w:rPr>
                <w:rFonts w:ascii="Times New Roman" w:hAnsi="Times New Roman" w:cs="Times New Roman"/>
                <w:b/>
                <w:bCs/>
                <w:color w:val="000000"/>
                <w:sz w:val="24"/>
              </w:rPr>
              <w:t>9</w:t>
            </w:r>
          </w:p>
        </w:tc>
      </w:tr>
      <w:tr w:rsidR="00D0149F" w:rsidRPr="001556D5" w:rsidTr="009976E7">
        <w:tc>
          <w:tcPr>
            <w:tcW w:w="5000" w:type="pct"/>
            <w:gridSpan w:val="13"/>
            <w:tcBorders>
              <w:top w:val="single" w:sz="4" w:space="0" w:color="auto"/>
              <w:left w:val="single" w:sz="4" w:space="0" w:color="auto"/>
              <w:bottom w:val="nil"/>
              <w:right w:val="single" w:sz="4" w:space="0" w:color="auto"/>
            </w:tcBorders>
            <w:vAlign w:val="center"/>
          </w:tcPr>
          <w:p w:rsidR="00D0149F" w:rsidRPr="00AB03F1" w:rsidRDefault="00D0149F" w:rsidP="00CA5181">
            <w:pPr>
              <w:jc w:val="center"/>
              <w:rPr>
                <w:rFonts w:ascii="Times New Roman" w:hAnsi="Times New Roman" w:cs="Times New Roman"/>
                <w:b/>
                <w:bCs/>
                <w:color w:val="000000"/>
                <w:sz w:val="24"/>
              </w:rPr>
            </w:pPr>
            <w:r w:rsidRPr="00AB03F1">
              <w:rPr>
                <w:rFonts w:ascii="Times New Roman" w:hAnsi="Times New Roman" w:cs="Times New Roman"/>
                <w:b/>
                <w:bCs/>
                <w:color w:val="000000"/>
                <w:sz w:val="24"/>
              </w:rPr>
              <w:t>Regression Results for All Two-Way Sorted Independent Variables Regressed on Large Growth Dependent Variable</w:t>
            </w:r>
          </w:p>
        </w:tc>
      </w:tr>
      <w:tr w:rsidR="00D0149F" w:rsidRPr="006236E4" w:rsidTr="009976E7">
        <w:tc>
          <w:tcPr>
            <w:tcW w:w="5000" w:type="pct"/>
            <w:gridSpan w:val="13"/>
            <w:tcBorders>
              <w:top w:val="nil"/>
            </w:tcBorders>
            <w:vAlign w:val="center"/>
          </w:tcPr>
          <w:p w:rsidR="00D0149F" w:rsidRPr="00AB03F1" w:rsidRDefault="00D0149F" w:rsidP="00FB61A7">
            <w:pPr>
              <w:jc w:val="center"/>
              <w:rPr>
                <w:rFonts w:ascii="Times New Roman" w:hAnsi="Times New Roman" w:cs="Times New Roman"/>
                <w:color w:val="000000"/>
                <w:sz w:val="20"/>
                <w:highlight w:val="yellow"/>
              </w:rPr>
            </w:pPr>
            <w:r w:rsidRPr="00AB03F1">
              <w:rPr>
                <w:rFonts w:ascii="Times New Roman" w:hAnsi="Times New Roman" w:cs="Times New Roman"/>
                <w:color w:val="000000"/>
                <w:sz w:val="20"/>
              </w:rPr>
              <w:t>Over the period 1990 to 2009 monthly returns are calculated for each equ</w:t>
            </w:r>
            <w:r w:rsidR="00850D6E" w:rsidRPr="00AB03F1">
              <w:rPr>
                <w:rFonts w:ascii="Times New Roman" w:hAnsi="Times New Roman" w:cs="Times New Roman"/>
                <w:color w:val="000000"/>
                <w:sz w:val="20"/>
              </w:rPr>
              <w:t>ally weighted portfolio</w:t>
            </w:r>
            <w:r w:rsidRPr="00AB03F1">
              <w:rPr>
                <w:rFonts w:ascii="Times New Roman" w:hAnsi="Times New Roman" w:cs="Times New Roman"/>
                <w:color w:val="000000"/>
                <w:sz w:val="20"/>
              </w:rPr>
              <w:t xml:space="preserve">. Below are the coefficients and the t-statistics (in parentheses). </w:t>
            </w:r>
            <w:r w:rsidR="00850D6E" w:rsidRPr="00AB03F1">
              <w:rPr>
                <w:rFonts w:ascii="Times New Roman" w:hAnsi="Times New Roman" w:cs="Times New Roman"/>
                <w:sz w:val="20"/>
              </w:rPr>
              <w:t>BTM-CP1 is the portfolio sorted initially on the book-to-market ratio, and then on the cash flow-to-price ratio. The number 1 indicates that this is an extreme value portfolio as the BTM ratio is high and the C/P ratio is high. BTM-DP2 is the portfolio sorted initially on the book-to-market ratio and then on the dividend-to-price ratio. The number 2 indicates that the BTM ratio is low, while the C/P ratio is high. BTM-EP3 is the portfolio sorted initially on the book-to-market ratio and then on the earnings-to-price ratio. The number 3 indicates that the BTM ratio is high, while the C/P ratio is low. The number 4 indicates an extreme growth portfolio as the BTM ratio is low, as too is the C/P ratio.</w:t>
            </w:r>
            <w:r w:rsidR="00254678">
              <w:rPr>
                <w:rFonts w:ascii="Times New Roman" w:hAnsi="Times New Roman" w:cs="Times New Roman"/>
                <w:sz w:val="20"/>
              </w:rPr>
              <w:t xml:space="preserve"> The large growth dependent variable is sorted two</w:t>
            </w:r>
            <w:r w:rsidR="004D125D">
              <w:rPr>
                <w:rFonts w:ascii="Times New Roman" w:hAnsi="Times New Roman" w:cs="Times New Roman"/>
                <w:sz w:val="20"/>
              </w:rPr>
              <w:t xml:space="preserve"> </w:t>
            </w:r>
            <w:r w:rsidR="00254678">
              <w:rPr>
                <w:rFonts w:ascii="Times New Roman" w:hAnsi="Times New Roman" w:cs="Times New Roman"/>
                <w:sz w:val="20"/>
              </w:rPr>
              <w:t xml:space="preserve">ways. First it is sorted on the market </w:t>
            </w:r>
            <w:r w:rsidR="00610C8D">
              <w:rPr>
                <w:rFonts w:ascii="Times New Roman" w:hAnsi="Times New Roman" w:cs="Times New Roman"/>
                <w:sz w:val="20"/>
              </w:rPr>
              <w:t>capitalisation</w:t>
            </w:r>
            <w:r w:rsidR="00254678">
              <w:rPr>
                <w:rFonts w:ascii="Times New Roman" w:hAnsi="Times New Roman" w:cs="Times New Roman"/>
                <w:sz w:val="20"/>
              </w:rPr>
              <w:t xml:space="preserve"> ratio, taking the top 50% median split of stocks. Then it is sorted on the book-to-market ratio, taking the </w:t>
            </w:r>
            <w:r w:rsidR="00FB61A7">
              <w:rPr>
                <w:rFonts w:ascii="Times New Roman" w:hAnsi="Times New Roman" w:cs="Times New Roman"/>
                <w:sz w:val="20"/>
              </w:rPr>
              <w:t>bottom</w:t>
            </w:r>
            <w:r w:rsidR="00254678">
              <w:rPr>
                <w:rFonts w:ascii="Times New Roman" w:hAnsi="Times New Roman" w:cs="Times New Roman"/>
                <w:sz w:val="20"/>
              </w:rPr>
              <w:t xml:space="preserve"> 50% median split of stocks.</w:t>
            </w:r>
          </w:p>
        </w:tc>
      </w:tr>
      <w:tr w:rsidR="00D0149F" w:rsidRPr="00AB03F1" w:rsidTr="009976E7">
        <w:tc>
          <w:tcPr>
            <w:tcW w:w="371" w:type="pct"/>
            <w:tcBorders>
              <w:bottom w:val="single" w:sz="4" w:space="0" w:color="auto"/>
              <w:right w:val="single" w:sz="4" w:space="0" w:color="auto"/>
            </w:tcBorders>
            <w:vAlign w:val="bottom"/>
          </w:tcPr>
          <w:p w:rsidR="00D0149F" w:rsidRPr="00AB03F1" w:rsidRDefault="00D0149F" w:rsidP="00CA5181">
            <w:pPr>
              <w:jc w:val="center"/>
              <w:rPr>
                <w:rFonts w:ascii="Times New Roman" w:hAnsi="Times New Roman" w:cs="Times New Roman"/>
                <w:b/>
                <w:color w:val="000000"/>
                <w:sz w:val="18"/>
                <w:szCs w:val="18"/>
              </w:rPr>
            </w:pPr>
            <w:r w:rsidRPr="00AB03F1">
              <w:rPr>
                <w:rFonts w:ascii="Times New Roman" w:hAnsi="Times New Roman" w:cs="Times New Roman"/>
                <w:b/>
                <w:color w:val="000000"/>
                <w:sz w:val="18"/>
                <w:szCs w:val="20"/>
              </w:rPr>
              <w:t> </w:t>
            </w:r>
          </w:p>
        </w:tc>
        <w:tc>
          <w:tcPr>
            <w:tcW w:w="383" w:type="pct"/>
            <w:tcBorders>
              <w:top w:val="single" w:sz="4" w:space="0" w:color="auto"/>
              <w:left w:val="single" w:sz="4" w:space="0" w:color="auto"/>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2</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3</w:t>
            </w:r>
          </w:p>
        </w:tc>
        <w:tc>
          <w:tcPr>
            <w:tcW w:w="411"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4"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3" w:type="pct"/>
            <w:tcBorders>
              <w:top w:val="single" w:sz="4" w:space="0" w:color="auto"/>
              <w:left w:val="nil"/>
              <w:bottom w:val="single" w:sz="4" w:space="0" w:color="auto"/>
              <w:right w:val="nil"/>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4" w:type="pct"/>
            <w:tcBorders>
              <w:top w:val="single" w:sz="4" w:space="0" w:color="auto"/>
              <w:left w:val="nil"/>
              <w:bottom w:val="single" w:sz="4" w:space="0" w:color="auto"/>
              <w:right w:val="single" w:sz="4" w:space="0" w:color="auto"/>
            </w:tcBorders>
            <w:vAlign w:val="center"/>
          </w:tcPr>
          <w:p w:rsidR="00D0149F" w:rsidRPr="00AB03F1" w:rsidRDefault="00D0149F"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4</w:t>
            </w:r>
          </w:p>
        </w:tc>
      </w:tr>
      <w:tr w:rsidR="009976E7" w:rsidRPr="00AB03F1" w:rsidTr="009976E7">
        <w:tc>
          <w:tcPr>
            <w:tcW w:w="371" w:type="pct"/>
            <w:tcBorders>
              <w:top w:val="single" w:sz="4" w:space="0" w:color="auto"/>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3" w:type="pct"/>
            <w:tcBorders>
              <w:top w:val="single" w:sz="4" w:space="0" w:color="auto"/>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-0.00</w:t>
            </w: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single" w:sz="4" w:space="0" w:color="auto"/>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single" w:sz="4" w:space="0" w:color="auto"/>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(-0.08)</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2</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0.11</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1.73</w:t>
            </w:r>
            <w:r>
              <w:rPr>
                <w:rFonts w:ascii="Times New Roman" w:hAnsi="Times New Roman" w:cs="Times New Roman"/>
                <w:color w:val="000000"/>
                <w:sz w:val="20"/>
                <w:szCs w:val="20"/>
              </w:rPr>
              <w:t>)</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3</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0.00</w:t>
            </w: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0.50</w:t>
            </w:r>
            <w:r>
              <w:rPr>
                <w:rFonts w:ascii="Times New Roman" w:hAnsi="Times New Roman" w:cs="Times New Roman"/>
                <w:color w:val="000000"/>
                <w:sz w:val="20"/>
                <w:szCs w:val="20"/>
              </w:rPr>
              <w:t>)</w:t>
            </w: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0.00</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0.29</w:t>
            </w:r>
            <w:r>
              <w:rPr>
                <w:rFonts w:ascii="Times New Roman" w:hAnsi="Times New Roman" w:cs="Times New Roman"/>
                <w:color w:val="000000"/>
                <w:sz w:val="20"/>
                <w:szCs w:val="20"/>
              </w:rPr>
              <w:t>)</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0.04</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0.74</w:t>
            </w:r>
            <w:r>
              <w:rPr>
                <w:rFonts w:ascii="Times New Roman" w:hAnsi="Times New Roman" w:cs="Times New Roman"/>
                <w:color w:val="000000"/>
                <w:sz w:val="20"/>
                <w:szCs w:val="20"/>
              </w:rPr>
              <w:t>)</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0.13</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(2.32)*</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-0.00</w:t>
            </w: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(-0.11)</w:t>
            </w: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0.15</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hAnsi="Times New Roman" w:cs="Times New Roman"/>
                <w:b/>
                <w:color w:val="000000"/>
                <w:sz w:val="18"/>
                <w:szCs w:val="18"/>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(3.91)**</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0.08</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hAnsi="Times New Roman" w:cs="Times New Roman"/>
                <w:b/>
                <w:color w:val="000000"/>
                <w:sz w:val="18"/>
                <w:szCs w:val="18"/>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1.16</w:t>
            </w:r>
            <w:r>
              <w:rPr>
                <w:rFonts w:ascii="Times New Roman" w:hAnsi="Times New Roman" w:cs="Times New Roman"/>
                <w:color w:val="000000"/>
                <w:sz w:val="20"/>
                <w:szCs w:val="20"/>
              </w:rPr>
              <w:t>)</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0.03</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hAnsi="Times New Roman" w:cs="Times New Roman"/>
                <w:b/>
                <w:color w:val="000000"/>
                <w:sz w:val="18"/>
                <w:szCs w:val="18"/>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0.38</w:t>
            </w:r>
            <w:r>
              <w:rPr>
                <w:rFonts w:ascii="Times New Roman" w:hAnsi="Times New Roman" w:cs="Times New Roman"/>
                <w:color w:val="000000"/>
                <w:sz w:val="20"/>
                <w:szCs w:val="20"/>
              </w:rPr>
              <w:t>)</w:t>
            </w: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0.02</w:t>
            </w: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hAnsi="Times New Roman" w:cs="Times New Roman"/>
                <w:b/>
                <w:color w:val="000000"/>
                <w:sz w:val="18"/>
                <w:szCs w:val="18"/>
              </w:rPr>
            </w:pP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DC122C" w:rsidP="009976E7">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009976E7" w:rsidRPr="009976E7">
              <w:rPr>
                <w:rFonts w:ascii="Times New Roman" w:hAnsi="Times New Roman" w:cs="Times New Roman"/>
                <w:color w:val="000000"/>
                <w:sz w:val="20"/>
                <w:szCs w:val="20"/>
              </w:rPr>
              <w:t>0.85</w:t>
            </w:r>
            <w:r>
              <w:rPr>
                <w:rFonts w:ascii="Times New Roman" w:hAnsi="Times New Roman" w:cs="Times New Roman"/>
                <w:color w:val="000000"/>
                <w:sz w:val="20"/>
                <w:szCs w:val="20"/>
              </w:rPr>
              <w:t>)</w:t>
            </w: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p>
        </w:tc>
      </w:tr>
      <w:tr w:rsidR="009976E7" w:rsidRPr="00AB03F1" w:rsidTr="009976E7">
        <w:tc>
          <w:tcPr>
            <w:tcW w:w="371" w:type="pct"/>
            <w:tcBorders>
              <w:top w:val="nil"/>
              <w:left w:val="single" w:sz="4" w:space="0" w:color="auto"/>
              <w:bottom w:val="nil"/>
              <w:right w:val="single" w:sz="4" w:space="0" w:color="auto"/>
            </w:tcBorders>
            <w:vAlign w:val="center"/>
          </w:tcPr>
          <w:p w:rsidR="009976E7" w:rsidRPr="00AB03F1" w:rsidRDefault="009976E7" w:rsidP="00AB03F1">
            <w:pPr>
              <w:jc w:val="center"/>
              <w:rPr>
                <w:rFonts w:ascii="Times New Roman" w:hAnsi="Times New Roman" w:cs="Times New Roman"/>
                <w:color w:val="000000"/>
                <w:sz w:val="18"/>
                <w:szCs w:val="18"/>
              </w:rPr>
            </w:pPr>
            <w:r w:rsidRPr="00AB03F1">
              <w:rPr>
                <w:rFonts w:ascii="Times New Roman" w:eastAsia="Times New Roman" w:hAnsi="Times New Roman" w:cs="Times New Roman"/>
                <w:b/>
                <w:bCs/>
                <w:sz w:val="20"/>
                <w:szCs w:val="20"/>
              </w:rPr>
              <w:t>BM-EP 4</w:t>
            </w:r>
          </w:p>
        </w:tc>
        <w:tc>
          <w:tcPr>
            <w:tcW w:w="383" w:type="pct"/>
            <w:tcBorders>
              <w:top w:val="nil"/>
              <w:left w:val="single" w:sz="4" w:space="0" w:color="auto"/>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nil"/>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nil"/>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0.17</w:t>
            </w:r>
          </w:p>
        </w:tc>
      </w:tr>
      <w:tr w:rsidR="009976E7" w:rsidRPr="00AB03F1" w:rsidTr="009976E7">
        <w:tc>
          <w:tcPr>
            <w:tcW w:w="371" w:type="pct"/>
            <w:tcBorders>
              <w:top w:val="nil"/>
              <w:left w:val="single" w:sz="4" w:space="0" w:color="auto"/>
              <w:bottom w:val="single" w:sz="4" w:space="0" w:color="auto"/>
              <w:right w:val="single" w:sz="4" w:space="0" w:color="auto"/>
            </w:tcBorders>
            <w:vAlign w:val="center"/>
          </w:tcPr>
          <w:p w:rsidR="009976E7" w:rsidRPr="00AB03F1" w:rsidRDefault="009976E7" w:rsidP="00AB03F1">
            <w:pPr>
              <w:jc w:val="center"/>
              <w:rPr>
                <w:rFonts w:ascii="Times New Roman" w:eastAsia="Times New Roman" w:hAnsi="Times New Roman" w:cs="Times New Roman"/>
                <w:b/>
                <w:bCs/>
                <w:sz w:val="20"/>
                <w:szCs w:val="20"/>
              </w:rPr>
            </w:pPr>
          </w:p>
        </w:tc>
        <w:tc>
          <w:tcPr>
            <w:tcW w:w="383" w:type="pct"/>
            <w:tcBorders>
              <w:top w:val="nil"/>
              <w:left w:val="single" w:sz="4" w:space="0" w:color="auto"/>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411"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3" w:type="pct"/>
            <w:tcBorders>
              <w:top w:val="nil"/>
              <w:left w:val="nil"/>
              <w:bottom w:val="single" w:sz="4" w:space="0" w:color="auto"/>
              <w:right w:val="nil"/>
            </w:tcBorders>
            <w:vAlign w:val="center"/>
          </w:tcPr>
          <w:p w:rsidR="009976E7" w:rsidRPr="009976E7" w:rsidRDefault="009976E7" w:rsidP="009976E7">
            <w:pPr>
              <w:jc w:val="center"/>
              <w:rPr>
                <w:rFonts w:ascii="Times New Roman" w:hAnsi="Times New Roman" w:cs="Times New Roman"/>
                <w:color w:val="000000"/>
                <w:sz w:val="20"/>
                <w:szCs w:val="20"/>
              </w:rPr>
            </w:pPr>
          </w:p>
        </w:tc>
        <w:tc>
          <w:tcPr>
            <w:tcW w:w="384" w:type="pct"/>
            <w:tcBorders>
              <w:top w:val="nil"/>
              <w:left w:val="nil"/>
              <w:bottom w:val="single" w:sz="4" w:space="0" w:color="auto"/>
              <w:right w:val="single" w:sz="4" w:space="0" w:color="auto"/>
            </w:tcBorders>
            <w:vAlign w:val="center"/>
          </w:tcPr>
          <w:p w:rsidR="009976E7" w:rsidRPr="009976E7" w:rsidRDefault="009976E7" w:rsidP="009976E7">
            <w:pPr>
              <w:jc w:val="center"/>
              <w:rPr>
                <w:rFonts w:ascii="Times New Roman" w:hAnsi="Times New Roman" w:cs="Times New Roman"/>
                <w:color w:val="000000"/>
                <w:sz w:val="20"/>
                <w:szCs w:val="20"/>
              </w:rPr>
            </w:pPr>
            <w:r w:rsidRPr="009976E7">
              <w:rPr>
                <w:rFonts w:ascii="Times New Roman" w:hAnsi="Times New Roman" w:cs="Times New Roman"/>
                <w:color w:val="000000"/>
                <w:sz w:val="20"/>
                <w:szCs w:val="20"/>
              </w:rPr>
              <w:t>(4.48)**</w:t>
            </w:r>
          </w:p>
        </w:tc>
      </w:tr>
      <w:tr w:rsidR="00D16576" w:rsidTr="009976E7">
        <w:tc>
          <w:tcPr>
            <w:tcW w:w="5000" w:type="pct"/>
            <w:gridSpan w:val="13"/>
            <w:tcBorders>
              <w:top w:val="single" w:sz="4" w:space="0" w:color="auto"/>
              <w:left w:val="single" w:sz="4" w:space="0" w:color="auto"/>
              <w:bottom w:val="single" w:sz="4" w:space="0" w:color="auto"/>
              <w:right w:val="single" w:sz="4" w:space="0" w:color="auto"/>
            </w:tcBorders>
            <w:vAlign w:val="center"/>
          </w:tcPr>
          <w:p w:rsidR="00D16576" w:rsidRPr="00AB03F1" w:rsidRDefault="00D16576" w:rsidP="00F47E3A">
            <w:pPr>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5% level</w:t>
            </w:r>
          </w:p>
          <w:p w:rsidR="00D16576" w:rsidRPr="00AB03F1" w:rsidRDefault="00D16576" w:rsidP="0012635E">
            <w:pPr>
              <w:keepNext/>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1% level</w:t>
            </w:r>
          </w:p>
        </w:tc>
      </w:tr>
    </w:tbl>
    <w:p w:rsidR="00D0149F" w:rsidRPr="0012635E" w:rsidRDefault="0012635E" w:rsidP="0012635E">
      <w:pPr>
        <w:pStyle w:val="Caption"/>
        <w:rPr>
          <w:rFonts w:ascii="Times New Roman" w:hAnsi="Times New Roman" w:cs="Times New Roman"/>
          <w:color w:val="FFFFFF" w:themeColor="background1"/>
          <w:sz w:val="24"/>
          <w:szCs w:val="36"/>
        </w:rPr>
      </w:pPr>
      <w:bookmarkStart w:id="73" w:name="_Toc305166542"/>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19</w:t>
      </w:r>
      <w:r w:rsidR="000963F3" w:rsidRPr="0012635E">
        <w:rPr>
          <w:color w:val="FFFFFF" w:themeColor="background1"/>
        </w:rPr>
        <w:fldChar w:fldCharType="end"/>
      </w:r>
      <w:r w:rsidRPr="0012635E">
        <w:rPr>
          <w:color w:val="FFFFFF" w:themeColor="background1"/>
        </w:rPr>
        <w:t xml:space="preserve"> - Regression Results for All Two-Way Sorted Independent Variables Regressed on Large Growth Dependent Variable</w:t>
      </w:r>
      <w:bookmarkEnd w:id="73"/>
    </w:p>
    <w:tbl>
      <w:tblPr>
        <w:tblStyle w:val="TableGrid"/>
        <w:tblW w:w="5000" w:type="pct"/>
        <w:tblLook w:val="04A0"/>
      </w:tblPr>
      <w:tblGrid>
        <w:gridCol w:w="1024"/>
        <w:gridCol w:w="1095"/>
        <w:gridCol w:w="1095"/>
        <w:gridCol w:w="1094"/>
        <w:gridCol w:w="1094"/>
        <w:gridCol w:w="1094"/>
        <w:gridCol w:w="1094"/>
        <w:gridCol w:w="1094"/>
        <w:gridCol w:w="1094"/>
        <w:gridCol w:w="1094"/>
        <w:gridCol w:w="1094"/>
        <w:gridCol w:w="1094"/>
        <w:gridCol w:w="1097"/>
        <w:gridCol w:w="17"/>
      </w:tblGrid>
      <w:tr w:rsidR="00850D6E" w:rsidRPr="001556D5" w:rsidTr="009976E7">
        <w:tc>
          <w:tcPr>
            <w:tcW w:w="5000" w:type="pct"/>
            <w:gridSpan w:val="14"/>
            <w:tcBorders>
              <w:bottom w:val="single" w:sz="4" w:space="0" w:color="auto"/>
            </w:tcBorders>
            <w:vAlign w:val="center"/>
          </w:tcPr>
          <w:p w:rsidR="00850D6E" w:rsidRPr="00AB03F1" w:rsidRDefault="008E2032" w:rsidP="00850D6E">
            <w:pPr>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 xml:space="preserve">Table </w:t>
            </w:r>
            <w:r w:rsidR="00F20CD4">
              <w:rPr>
                <w:rFonts w:ascii="Times New Roman" w:hAnsi="Times New Roman" w:cs="Times New Roman"/>
                <w:b/>
                <w:bCs/>
                <w:color w:val="000000"/>
                <w:sz w:val="24"/>
              </w:rPr>
              <w:t>20</w:t>
            </w:r>
          </w:p>
        </w:tc>
      </w:tr>
      <w:tr w:rsidR="00850D6E" w:rsidRPr="001556D5" w:rsidTr="009976E7">
        <w:tc>
          <w:tcPr>
            <w:tcW w:w="5000" w:type="pct"/>
            <w:gridSpan w:val="14"/>
            <w:tcBorders>
              <w:top w:val="single" w:sz="4" w:space="0" w:color="auto"/>
              <w:left w:val="single" w:sz="4" w:space="0" w:color="auto"/>
              <w:bottom w:val="nil"/>
              <w:right w:val="single" w:sz="4" w:space="0" w:color="auto"/>
            </w:tcBorders>
            <w:vAlign w:val="center"/>
          </w:tcPr>
          <w:p w:rsidR="00850D6E" w:rsidRPr="00AB03F1" w:rsidRDefault="00850D6E" w:rsidP="00850D6E">
            <w:pPr>
              <w:jc w:val="center"/>
              <w:rPr>
                <w:rFonts w:ascii="Times New Roman" w:hAnsi="Times New Roman" w:cs="Times New Roman"/>
                <w:b/>
                <w:bCs/>
                <w:color w:val="000000"/>
                <w:sz w:val="24"/>
              </w:rPr>
            </w:pPr>
            <w:r w:rsidRPr="00AB03F1">
              <w:rPr>
                <w:rFonts w:ascii="Times New Roman" w:hAnsi="Times New Roman" w:cs="Times New Roman"/>
                <w:b/>
                <w:bCs/>
                <w:color w:val="000000"/>
                <w:sz w:val="24"/>
              </w:rPr>
              <w:t>Regression Results for All Two-Way Sorted Independent Variables Regressed on Large Value Dependent Variable</w:t>
            </w:r>
          </w:p>
        </w:tc>
      </w:tr>
      <w:tr w:rsidR="00850D6E" w:rsidRPr="006236E4" w:rsidTr="009976E7">
        <w:tc>
          <w:tcPr>
            <w:tcW w:w="5000" w:type="pct"/>
            <w:gridSpan w:val="14"/>
            <w:tcBorders>
              <w:top w:val="nil"/>
            </w:tcBorders>
            <w:vAlign w:val="center"/>
          </w:tcPr>
          <w:p w:rsidR="00850D6E" w:rsidRPr="00AB03F1" w:rsidRDefault="00850D6E" w:rsidP="00FB61A7">
            <w:pPr>
              <w:jc w:val="center"/>
              <w:rPr>
                <w:rFonts w:ascii="Times New Roman" w:hAnsi="Times New Roman" w:cs="Times New Roman"/>
                <w:color w:val="000000"/>
                <w:sz w:val="20"/>
              </w:rPr>
            </w:pPr>
            <w:r w:rsidRPr="00AB03F1">
              <w:rPr>
                <w:rFonts w:ascii="Times New Roman" w:hAnsi="Times New Roman" w:cs="Times New Roman"/>
                <w:color w:val="000000"/>
                <w:sz w:val="20"/>
              </w:rPr>
              <w:t xml:space="preserve">Over the period 1990 to 2009 monthly returns are calculated for each equally weighted portfolio. Below are the coefficients and the t-statistics (in parentheses). </w:t>
            </w:r>
            <w:r w:rsidRPr="00AB03F1">
              <w:rPr>
                <w:rFonts w:ascii="Times New Roman" w:hAnsi="Times New Roman" w:cs="Times New Roman"/>
                <w:sz w:val="20"/>
              </w:rPr>
              <w:t>BTM-CP1 is the portfolio sorted initially on the book-to-market ratio, and then on the cash flow-to-price ratio. The number 1 indicates that this is an extreme value portfolio as the BTM ratio is high and the C/P ratio is high. BTM-DP2 is the portfolio sorted initially on the book-to-market ratio and then on the dividend-to-price ratio. The number 2 indicates that the BTM ratio is low, while the C/P ratio is high. BTM-EP3 is the portfolio sorted initially on the book-to-market ratio and then on the earnings-to-price ratio. The number 3 indicates that the BTM ratio is high, while the C/P ratio is low. The number 4 indicates an extreme growth portfolio as the BTM ratio is low, as too is the C/P ratio.</w:t>
            </w:r>
            <w:r w:rsidR="004D125D">
              <w:rPr>
                <w:rFonts w:ascii="Times New Roman" w:hAnsi="Times New Roman" w:cs="Times New Roman"/>
                <w:sz w:val="20"/>
              </w:rPr>
              <w:t xml:space="preserve"> The large value dependent variable is sorted two ways. First it is sorted on the market </w:t>
            </w:r>
            <w:r w:rsidR="00610C8D">
              <w:rPr>
                <w:rFonts w:ascii="Times New Roman" w:hAnsi="Times New Roman" w:cs="Times New Roman"/>
                <w:sz w:val="20"/>
              </w:rPr>
              <w:t>capitalisation</w:t>
            </w:r>
            <w:r w:rsidR="004D125D">
              <w:rPr>
                <w:rFonts w:ascii="Times New Roman" w:hAnsi="Times New Roman" w:cs="Times New Roman"/>
                <w:sz w:val="20"/>
              </w:rPr>
              <w:t xml:space="preserve"> ratio, taking the top 50% median split of stocks. Then it is sorted on the book-to-market ratio, taking the </w:t>
            </w:r>
            <w:r w:rsidR="00FB61A7">
              <w:rPr>
                <w:rFonts w:ascii="Times New Roman" w:hAnsi="Times New Roman" w:cs="Times New Roman"/>
                <w:sz w:val="20"/>
              </w:rPr>
              <w:t>top</w:t>
            </w:r>
            <w:r w:rsidR="004D125D">
              <w:rPr>
                <w:rFonts w:ascii="Times New Roman" w:hAnsi="Times New Roman" w:cs="Times New Roman"/>
                <w:sz w:val="20"/>
              </w:rPr>
              <w:t xml:space="preserve"> 50% median split of stocks.</w:t>
            </w:r>
          </w:p>
        </w:tc>
      </w:tr>
      <w:tr w:rsidR="00850D6E" w:rsidRPr="00AB03F1" w:rsidTr="009976E7">
        <w:trPr>
          <w:gridAfter w:val="1"/>
          <w:wAfter w:w="6" w:type="pct"/>
        </w:trPr>
        <w:tc>
          <w:tcPr>
            <w:tcW w:w="361" w:type="pct"/>
            <w:tcBorders>
              <w:bottom w:val="single" w:sz="4" w:space="0" w:color="auto"/>
              <w:right w:val="single" w:sz="4" w:space="0" w:color="auto"/>
            </w:tcBorders>
            <w:vAlign w:val="center"/>
          </w:tcPr>
          <w:p w:rsidR="00850D6E" w:rsidRPr="00AB03F1" w:rsidRDefault="00850D6E" w:rsidP="00AB03F1">
            <w:pPr>
              <w:jc w:val="center"/>
              <w:rPr>
                <w:rFonts w:ascii="Times New Roman" w:hAnsi="Times New Roman" w:cs="Times New Roman"/>
                <w:b/>
                <w:color w:val="000000"/>
                <w:sz w:val="18"/>
                <w:szCs w:val="18"/>
              </w:rPr>
            </w:pPr>
          </w:p>
        </w:tc>
        <w:tc>
          <w:tcPr>
            <w:tcW w:w="386" w:type="pct"/>
            <w:tcBorders>
              <w:top w:val="single" w:sz="4" w:space="0" w:color="auto"/>
              <w:left w:val="single" w:sz="4" w:space="0" w:color="auto"/>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7" w:type="pct"/>
            <w:tcBorders>
              <w:top w:val="single" w:sz="4" w:space="0" w:color="auto"/>
              <w:left w:val="nil"/>
              <w:bottom w:val="single" w:sz="4" w:space="0" w:color="auto"/>
              <w:right w:val="single" w:sz="4" w:space="0" w:color="auto"/>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4</w:t>
            </w:r>
          </w:p>
        </w:tc>
      </w:tr>
      <w:tr w:rsidR="00DC122C" w:rsidRPr="00AB03F1" w:rsidTr="00DC122C">
        <w:trPr>
          <w:gridAfter w:val="1"/>
          <w:wAfter w:w="6" w:type="pct"/>
        </w:trPr>
        <w:tc>
          <w:tcPr>
            <w:tcW w:w="361" w:type="pct"/>
            <w:tcBorders>
              <w:top w:val="single" w:sz="4" w:space="0" w:color="auto"/>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6" w:type="pct"/>
            <w:tcBorders>
              <w:top w:val="single" w:sz="4" w:space="0" w:color="auto"/>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0.02</w:t>
            </w: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single" w:sz="4" w:space="0" w:color="auto"/>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0.42</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0.07</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1.16</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-0.01</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(-2.30)*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(-1.35)</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0.15</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(2.88)**</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0.23</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(4.63)**</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-0.02</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(-0.77)</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0.08</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(2.20)*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0.30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(4.75)**</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0.12</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1.77</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-0.01</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(-0.50)</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color w:val="000000"/>
                <w:sz w:val="18"/>
                <w:szCs w:val="18"/>
              </w:rPr>
            </w:pPr>
            <w:r w:rsidRPr="00AB03F1">
              <w:rPr>
                <w:rFonts w:ascii="Times New Roman" w:eastAsia="Times New Roman" w:hAnsi="Times New Roman" w:cs="Times New Roman"/>
                <w:b/>
                <w:bCs/>
                <w:sz w:val="20"/>
                <w:szCs w:val="20"/>
              </w:rPr>
              <w:t>BM-EP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0.03</w:t>
            </w:r>
          </w:p>
        </w:tc>
      </w:tr>
      <w:tr w:rsidR="00DC122C" w:rsidRPr="00AB03F1" w:rsidTr="00DC122C">
        <w:trPr>
          <w:gridAfter w:val="1"/>
          <w:wAfter w:w="6" w:type="pct"/>
        </w:trPr>
        <w:tc>
          <w:tcPr>
            <w:tcW w:w="361" w:type="pct"/>
            <w:tcBorders>
              <w:top w:val="nil"/>
              <w:left w:val="single" w:sz="4" w:space="0" w:color="auto"/>
              <w:bottom w:val="single" w:sz="4" w:space="0" w:color="auto"/>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single" w:sz="4" w:space="0" w:color="auto"/>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1.00</w:t>
            </w:r>
            <w:r>
              <w:rPr>
                <w:rFonts w:ascii="Times New Roman" w:hAnsi="Times New Roman" w:cs="Times New Roman"/>
                <w:color w:val="000000"/>
                <w:sz w:val="20"/>
                <w:szCs w:val="20"/>
              </w:rPr>
              <w:t>)</w:t>
            </w:r>
          </w:p>
        </w:tc>
      </w:tr>
      <w:tr w:rsidR="00C30CCB" w:rsidTr="009976E7">
        <w:tc>
          <w:tcPr>
            <w:tcW w:w="5000" w:type="pct"/>
            <w:gridSpan w:val="14"/>
            <w:tcBorders>
              <w:top w:val="single" w:sz="4" w:space="0" w:color="auto"/>
              <w:left w:val="single" w:sz="4" w:space="0" w:color="auto"/>
              <w:bottom w:val="single" w:sz="4" w:space="0" w:color="auto"/>
              <w:right w:val="single" w:sz="4" w:space="0" w:color="auto"/>
            </w:tcBorders>
            <w:vAlign w:val="center"/>
          </w:tcPr>
          <w:p w:rsidR="00C30CCB" w:rsidRPr="00AB03F1" w:rsidRDefault="00C30CCB" w:rsidP="00F47E3A">
            <w:pPr>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5% level</w:t>
            </w:r>
          </w:p>
          <w:p w:rsidR="00C30CCB" w:rsidRPr="00AB03F1" w:rsidRDefault="00C30CCB" w:rsidP="0012635E">
            <w:pPr>
              <w:keepNext/>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1% level</w:t>
            </w:r>
          </w:p>
        </w:tc>
      </w:tr>
    </w:tbl>
    <w:p w:rsidR="00680A0A" w:rsidRPr="0012635E" w:rsidRDefault="0012635E" w:rsidP="0012635E">
      <w:pPr>
        <w:pStyle w:val="Caption"/>
        <w:rPr>
          <w:rFonts w:ascii="Times New Roman" w:hAnsi="Times New Roman" w:cs="Times New Roman"/>
          <w:color w:val="FFFFFF" w:themeColor="background1"/>
          <w:sz w:val="24"/>
          <w:szCs w:val="36"/>
        </w:rPr>
      </w:pPr>
      <w:bookmarkStart w:id="74" w:name="_Toc305166543"/>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20</w:t>
      </w:r>
      <w:r w:rsidR="000963F3" w:rsidRPr="0012635E">
        <w:rPr>
          <w:color w:val="FFFFFF" w:themeColor="background1"/>
        </w:rPr>
        <w:fldChar w:fldCharType="end"/>
      </w:r>
      <w:r w:rsidRPr="0012635E">
        <w:rPr>
          <w:color w:val="FFFFFF" w:themeColor="background1"/>
        </w:rPr>
        <w:t xml:space="preserve"> - Regression Results for All Two-Way Sorted Independent Variables Regressed on Large Value Dependent Variable</w:t>
      </w:r>
      <w:bookmarkEnd w:id="74"/>
    </w:p>
    <w:tbl>
      <w:tblPr>
        <w:tblStyle w:val="TableGrid"/>
        <w:tblW w:w="5000" w:type="pct"/>
        <w:tblLook w:val="04A0"/>
      </w:tblPr>
      <w:tblGrid>
        <w:gridCol w:w="1024"/>
        <w:gridCol w:w="1211"/>
        <w:gridCol w:w="1061"/>
        <w:gridCol w:w="1015"/>
        <w:gridCol w:w="1094"/>
        <w:gridCol w:w="1094"/>
        <w:gridCol w:w="1094"/>
        <w:gridCol w:w="1094"/>
        <w:gridCol w:w="1094"/>
        <w:gridCol w:w="1094"/>
        <w:gridCol w:w="1094"/>
        <w:gridCol w:w="1094"/>
        <w:gridCol w:w="1097"/>
        <w:gridCol w:w="14"/>
      </w:tblGrid>
      <w:tr w:rsidR="00850D6E" w:rsidRPr="001556D5" w:rsidTr="009976E7">
        <w:tc>
          <w:tcPr>
            <w:tcW w:w="5000" w:type="pct"/>
            <w:gridSpan w:val="14"/>
            <w:tcBorders>
              <w:bottom w:val="single" w:sz="4" w:space="0" w:color="auto"/>
            </w:tcBorders>
            <w:vAlign w:val="center"/>
          </w:tcPr>
          <w:p w:rsidR="00850D6E" w:rsidRPr="00AB03F1" w:rsidRDefault="008E2032" w:rsidP="00850D6E">
            <w:pPr>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 xml:space="preserve">Table </w:t>
            </w:r>
            <w:r w:rsidR="008E6F94">
              <w:rPr>
                <w:rFonts w:ascii="Times New Roman" w:hAnsi="Times New Roman" w:cs="Times New Roman"/>
                <w:b/>
                <w:bCs/>
                <w:color w:val="000000"/>
                <w:sz w:val="24"/>
              </w:rPr>
              <w:t>2</w:t>
            </w:r>
            <w:r w:rsidR="00F20CD4">
              <w:rPr>
                <w:rFonts w:ascii="Times New Roman" w:hAnsi="Times New Roman" w:cs="Times New Roman"/>
                <w:b/>
                <w:bCs/>
                <w:color w:val="000000"/>
                <w:sz w:val="24"/>
              </w:rPr>
              <w:t>1</w:t>
            </w:r>
          </w:p>
        </w:tc>
      </w:tr>
      <w:tr w:rsidR="00850D6E" w:rsidRPr="001556D5" w:rsidTr="009976E7">
        <w:tc>
          <w:tcPr>
            <w:tcW w:w="5000" w:type="pct"/>
            <w:gridSpan w:val="14"/>
            <w:tcBorders>
              <w:top w:val="single" w:sz="4" w:space="0" w:color="auto"/>
              <w:left w:val="single" w:sz="4" w:space="0" w:color="auto"/>
              <w:bottom w:val="nil"/>
              <w:right w:val="single" w:sz="4" w:space="0" w:color="auto"/>
            </w:tcBorders>
            <w:vAlign w:val="center"/>
          </w:tcPr>
          <w:p w:rsidR="00850D6E" w:rsidRPr="00AB03F1" w:rsidRDefault="00850D6E" w:rsidP="00850D6E">
            <w:pPr>
              <w:jc w:val="center"/>
              <w:rPr>
                <w:rFonts w:ascii="Times New Roman" w:hAnsi="Times New Roman" w:cs="Times New Roman"/>
                <w:b/>
                <w:bCs/>
                <w:color w:val="000000"/>
                <w:sz w:val="24"/>
              </w:rPr>
            </w:pPr>
            <w:r w:rsidRPr="00AB03F1">
              <w:rPr>
                <w:rFonts w:ascii="Times New Roman" w:hAnsi="Times New Roman" w:cs="Times New Roman"/>
                <w:b/>
                <w:bCs/>
                <w:color w:val="000000"/>
                <w:sz w:val="24"/>
              </w:rPr>
              <w:t>Regression Results for All Two-Way Sorted Independent Variables Regressed on Small Growth Dependent Variable</w:t>
            </w:r>
          </w:p>
        </w:tc>
      </w:tr>
      <w:tr w:rsidR="00850D6E" w:rsidRPr="006236E4" w:rsidTr="009976E7">
        <w:tc>
          <w:tcPr>
            <w:tcW w:w="5000" w:type="pct"/>
            <w:gridSpan w:val="14"/>
            <w:tcBorders>
              <w:top w:val="nil"/>
            </w:tcBorders>
            <w:vAlign w:val="center"/>
          </w:tcPr>
          <w:p w:rsidR="00850D6E" w:rsidRPr="00AB03F1" w:rsidRDefault="00850D6E" w:rsidP="00180575">
            <w:pPr>
              <w:jc w:val="center"/>
              <w:rPr>
                <w:rFonts w:ascii="Times New Roman" w:hAnsi="Times New Roman" w:cs="Times New Roman"/>
                <w:color w:val="000000"/>
                <w:sz w:val="20"/>
              </w:rPr>
            </w:pPr>
            <w:r w:rsidRPr="00AB03F1">
              <w:rPr>
                <w:rFonts w:ascii="Times New Roman" w:hAnsi="Times New Roman" w:cs="Times New Roman"/>
                <w:color w:val="000000"/>
                <w:sz w:val="20"/>
              </w:rPr>
              <w:t xml:space="preserve">Over the period 1990 to 2009 monthly returns are calculated for each equally weighted portfolio. Below are the coefficients and the t-statistics (in parentheses). </w:t>
            </w:r>
            <w:r w:rsidRPr="00AB03F1">
              <w:rPr>
                <w:rFonts w:ascii="Times New Roman" w:hAnsi="Times New Roman" w:cs="Times New Roman"/>
                <w:sz w:val="20"/>
              </w:rPr>
              <w:t>BTM-CP1 is the portfolio sorted initially on the book-to-market ratio, and then on the cash flow-to-price ratio. The number 1 indicates that this is an extreme value portfolio as the BTM ratio is high and the C/P ratio is high. BTM-DP2 is the portfolio sorted initially on the book-to-market ratio and then on the dividend-to-price ratio. The number 2 indicates that the BTM ratio is low, while the C/P ratio is high. BTM-EP3 is the portfolio sorted initially on the book-to-market ratio and then on the earnings-to-price ratio. The number 3 indicates that the BTM ratio is high, while the C/P ratio is low. The number 4 indicates an extreme growth portfolio as the BTM ratio is low, as too is the C/P ratio.</w:t>
            </w:r>
            <w:r w:rsidR="00180575">
              <w:rPr>
                <w:rFonts w:ascii="Times New Roman" w:hAnsi="Times New Roman" w:cs="Times New Roman"/>
                <w:sz w:val="20"/>
              </w:rPr>
              <w:t xml:space="preserve"> The small growth dependent variable is sorted two ways. First it is sorted on the market </w:t>
            </w:r>
            <w:r w:rsidR="00610C8D">
              <w:rPr>
                <w:rFonts w:ascii="Times New Roman" w:hAnsi="Times New Roman" w:cs="Times New Roman"/>
                <w:sz w:val="20"/>
              </w:rPr>
              <w:t>capitalisation</w:t>
            </w:r>
            <w:r w:rsidR="00180575">
              <w:rPr>
                <w:rFonts w:ascii="Times New Roman" w:hAnsi="Times New Roman" w:cs="Times New Roman"/>
                <w:sz w:val="20"/>
              </w:rPr>
              <w:t xml:space="preserve"> ratio, taking the bottom 50% median split of stocks. Then it is sorted on the book-to-market ratio, taking the bottom 50% median split of stocks.</w:t>
            </w:r>
          </w:p>
        </w:tc>
      </w:tr>
      <w:tr w:rsidR="00850D6E" w:rsidRPr="00AB03F1" w:rsidTr="009976E7">
        <w:trPr>
          <w:gridAfter w:val="1"/>
          <w:wAfter w:w="5" w:type="pct"/>
        </w:trPr>
        <w:tc>
          <w:tcPr>
            <w:tcW w:w="361" w:type="pct"/>
            <w:tcBorders>
              <w:bottom w:val="single" w:sz="4" w:space="0" w:color="auto"/>
              <w:right w:val="single" w:sz="4" w:space="0" w:color="auto"/>
            </w:tcBorders>
            <w:vAlign w:val="center"/>
          </w:tcPr>
          <w:p w:rsidR="00850D6E" w:rsidRPr="00AB03F1" w:rsidRDefault="00850D6E" w:rsidP="00AB03F1">
            <w:pPr>
              <w:jc w:val="center"/>
              <w:rPr>
                <w:rFonts w:ascii="Times New Roman" w:hAnsi="Times New Roman" w:cs="Times New Roman"/>
                <w:b/>
                <w:color w:val="000000"/>
                <w:sz w:val="18"/>
                <w:szCs w:val="18"/>
              </w:rPr>
            </w:pPr>
          </w:p>
        </w:tc>
        <w:tc>
          <w:tcPr>
            <w:tcW w:w="427" w:type="pct"/>
            <w:tcBorders>
              <w:top w:val="single" w:sz="4" w:space="0" w:color="auto"/>
              <w:left w:val="single" w:sz="4" w:space="0" w:color="auto"/>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74"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2</w:t>
            </w:r>
          </w:p>
        </w:tc>
        <w:tc>
          <w:tcPr>
            <w:tcW w:w="358"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7" w:type="pct"/>
            <w:tcBorders>
              <w:top w:val="single" w:sz="4" w:space="0" w:color="auto"/>
              <w:left w:val="nil"/>
              <w:bottom w:val="single" w:sz="4" w:space="0" w:color="auto"/>
              <w:right w:val="single" w:sz="4" w:space="0" w:color="auto"/>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4</w:t>
            </w:r>
          </w:p>
        </w:tc>
      </w:tr>
      <w:tr w:rsidR="00DC122C" w:rsidRPr="00AB03F1" w:rsidTr="00DC122C">
        <w:trPr>
          <w:gridAfter w:val="1"/>
          <w:wAfter w:w="5" w:type="pct"/>
        </w:trPr>
        <w:tc>
          <w:tcPr>
            <w:tcW w:w="361" w:type="pct"/>
            <w:tcBorders>
              <w:top w:val="single" w:sz="4" w:space="0" w:color="auto"/>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427" w:type="pct"/>
            <w:tcBorders>
              <w:top w:val="single" w:sz="4" w:space="0" w:color="auto"/>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-1.03</w:t>
            </w:r>
          </w:p>
        </w:tc>
        <w:tc>
          <w:tcPr>
            <w:tcW w:w="374"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single" w:sz="4" w:space="0" w:color="auto"/>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(-10.43)**</w:t>
            </w: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2</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-0.15</w:t>
            </w: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(-1.26)</w:t>
            </w: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3</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0.53</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0.26</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0.19</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1.77</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-0.26</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(-2.52)*</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0.04</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0.66</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-0.25</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(-3.46)**</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0.53</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(4.00)**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0.42</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(3.09)**</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0.61</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(11.69)**</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5"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color w:val="000000"/>
                <w:sz w:val="18"/>
                <w:szCs w:val="18"/>
              </w:rPr>
            </w:pPr>
            <w:r w:rsidRPr="00AB03F1">
              <w:rPr>
                <w:rFonts w:ascii="Times New Roman" w:eastAsia="Times New Roman" w:hAnsi="Times New Roman" w:cs="Times New Roman"/>
                <w:b/>
                <w:bCs/>
                <w:sz w:val="20"/>
                <w:szCs w:val="20"/>
              </w:rPr>
              <w:t>BM-EP 4</w:t>
            </w:r>
          </w:p>
        </w:tc>
        <w:tc>
          <w:tcPr>
            <w:tcW w:w="427"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1.26</w:t>
            </w:r>
          </w:p>
        </w:tc>
      </w:tr>
      <w:tr w:rsidR="00DC122C" w:rsidRPr="00AB03F1" w:rsidTr="00DC122C">
        <w:trPr>
          <w:gridAfter w:val="1"/>
          <w:wAfter w:w="5" w:type="pct"/>
        </w:trPr>
        <w:tc>
          <w:tcPr>
            <w:tcW w:w="361" w:type="pct"/>
            <w:tcBorders>
              <w:top w:val="nil"/>
              <w:left w:val="single" w:sz="4" w:space="0" w:color="auto"/>
              <w:bottom w:val="single" w:sz="4" w:space="0" w:color="auto"/>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427" w:type="pct"/>
            <w:tcBorders>
              <w:top w:val="nil"/>
              <w:left w:val="single" w:sz="4" w:space="0" w:color="auto"/>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74"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58"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single" w:sz="4" w:space="0" w:color="auto"/>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(18.24)**</w:t>
            </w:r>
          </w:p>
        </w:tc>
      </w:tr>
      <w:tr w:rsidR="00645758" w:rsidTr="009976E7">
        <w:tc>
          <w:tcPr>
            <w:tcW w:w="5000" w:type="pct"/>
            <w:gridSpan w:val="14"/>
            <w:tcBorders>
              <w:top w:val="single" w:sz="4" w:space="0" w:color="auto"/>
              <w:left w:val="single" w:sz="4" w:space="0" w:color="auto"/>
              <w:bottom w:val="single" w:sz="4" w:space="0" w:color="auto"/>
              <w:right w:val="single" w:sz="4" w:space="0" w:color="auto"/>
            </w:tcBorders>
            <w:vAlign w:val="center"/>
          </w:tcPr>
          <w:p w:rsidR="00645758" w:rsidRPr="00AB03F1" w:rsidRDefault="00645758" w:rsidP="00F47E3A">
            <w:pPr>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5% level</w:t>
            </w:r>
          </w:p>
          <w:p w:rsidR="00645758" w:rsidRPr="00AB03F1" w:rsidRDefault="00645758" w:rsidP="0012635E">
            <w:pPr>
              <w:keepNext/>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1% level</w:t>
            </w:r>
          </w:p>
        </w:tc>
      </w:tr>
    </w:tbl>
    <w:p w:rsidR="00850D6E" w:rsidRPr="0012635E" w:rsidRDefault="0012635E" w:rsidP="0012635E">
      <w:pPr>
        <w:pStyle w:val="Caption"/>
        <w:rPr>
          <w:rFonts w:ascii="Times New Roman" w:hAnsi="Times New Roman" w:cs="Times New Roman"/>
          <w:color w:val="FFFFFF" w:themeColor="background1"/>
          <w:sz w:val="24"/>
          <w:szCs w:val="36"/>
        </w:rPr>
      </w:pPr>
      <w:bookmarkStart w:id="75" w:name="_Toc305166544"/>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21</w:t>
      </w:r>
      <w:r w:rsidR="000963F3" w:rsidRPr="0012635E">
        <w:rPr>
          <w:color w:val="FFFFFF" w:themeColor="background1"/>
        </w:rPr>
        <w:fldChar w:fldCharType="end"/>
      </w:r>
      <w:r w:rsidRPr="0012635E">
        <w:rPr>
          <w:color w:val="FFFFFF" w:themeColor="background1"/>
        </w:rPr>
        <w:t xml:space="preserve"> - Regression Results for All Two-Way Sorted Independent Variables Regressed on Small Growth Dependent Variable</w:t>
      </w:r>
      <w:bookmarkEnd w:id="75"/>
    </w:p>
    <w:tbl>
      <w:tblPr>
        <w:tblStyle w:val="TableGrid"/>
        <w:tblW w:w="5000" w:type="pct"/>
        <w:tblLook w:val="04A0"/>
      </w:tblPr>
      <w:tblGrid>
        <w:gridCol w:w="1024"/>
        <w:gridCol w:w="1095"/>
        <w:gridCol w:w="1095"/>
        <w:gridCol w:w="1094"/>
        <w:gridCol w:w="1094"/>
        <w:gridCol w:w="1094"/>
        <w:gridCol w:w="1094"/>
        <w:gridCol w:w="1094"/>
        <w:gridCol w:w="1094"/>
        <w:gridCol w:w="1094"/>
        <w:gridCol w:w="1094"/>
        <w:gridCol w:w="1094"/>
        <w:gridCol w:w="1097"/>
        <w:gridCol w:w="17"/>
      </w:tblGrid>
      <w:tr w:rsidR="00850D6E" w:rsidRPr="001556D5" w:rsidTr="009976E7">
        <w:tc>
          <w:tcPr>
            <w:tcW w:w="5000" w:type="pct"/>
            <w:gridSpan w:val="14"/>
            <w:tcBorders>
              <w:bottom w:val="single" w:sz="4" w:space="0" w:color="auto"/>
            </w:tcBorders>
            <w:vAlign w:val="center"/>
          </w:tcPr>
          <w:p w:rsidR="00850D6E" w:rsidRPr="00AB03F1" w:rsidRDefault="00396A4E" w:rsidP="00850D6E">
            <w:pPr>
              <w:jc w:val="center"/>
              <w:rPr>
                <w:rFonts w:ascii="Times New Roman" w:hAnsi="Times New Roman" w:cs="Times New Roman"/>
                <w:b/>
                <w:bCs/>
                <w:color w:val="000000"/>
                <w:sz w:val="24"/>
              </w:rPr>
            </w:pPr>
            <w:r>
              <w:rPr>
                <w:rFonts w:ascii="Times New Roman" w:hAnsi="Times New Roman" w:cs="Times New Roman"/>
                <w:b/>
                <w:bCs/>
                <w:color w:val="000000"/>
                <w:sz w:val="24"/>
              </w:rPr>
              <w:lastRenderedPageBreak/>
              <w:t>Table 2</w:t>
            </w:r>
            <w:r w:rsidR="00F20CD4">
              <w:rPr>
                <w:rFonts w:ascii="Times New Roman" w:hAnsi="Times New Roman" w:cs="Times New Roman"/>
                <w:b/>
                <w:bCs/>
                <w:color w:val="000000"/>
                <w:sz w:val="24"/>
              </w:rPr>
              <w:t>2</w:t>
            </w:r>
          </w:p>
        </w:tc>
      </w:tr>
      <w:tr w:rsidR="00850D6E" w:rsidRPr="001556D5" w:rsidTr="009976E7">
        <w:tc>
          <w:tcPr>
            <w:tcW w:w="5000" w:type="pct"/>
            <w:gridSpan w:val="14"/>
            <w:tcBorders>
              <w:top w:val="single" w:sz="4" w:space="0" w:color="auto"/>
              <w:left w:val="single" w:sz="4" w:space="0" w:color="auto"/>
              <w:bottom w:val="nil"/>
              <w:right w:val="single" w:sz="4" w:space="0" w:color="auto"/>
            </w:tcBorders>
            <w:vAlign w:val="center"/>
          </w:tcPr>
          <w:p w:rsidR="00850D6E" w:rsidRPr="00AB03F1" w:rsidRDefault="00850D6E" w:rsidP="00850D6E">
            <w:pPr>
              <w:jc w:val="center"/>
              <w:rPr>
                <w:rFonts w:ascii="Times New Roman" w:hAnsi="Times New Roman" w:cs="Times New Roman"/>
                <w:b/>
                <w:bCs/>
                <w:color w:val="000000"/>
                <w:sz w:val="24"/>
              </w:rPr>
            </w:pPr>
            <w:r w:rsidRPr="00AB03F1">
              <w:rPr>
                <w:rFonts w:ascii="Times New Roman" w:hAnsi="Times New Roman" w:cs="Times New Roman"/>
                <w:b/>
                <w:bCs/>
                <w:color w:val="000000"/>
                <w:sz w:val="24"/>
              </w:rPr>
              <w:t>Regression Results for All Two-Way Sorted Independent Variables Regressed on Small Value Dependent Variable</w:t>
            </w:r>
          </w:p>
        </w:tc>
      </w:tr>
      <w:tr w:rsidR="00850D6E" w:rsidRPr="006236E4" w:rsidTr="009976E7">
        <w:tc>
          <w:tcPr>
            <w:tcW w:w="5000" w:type="pct"/>
            <w:gridSpan w:val="14"/>
            <w:tcBorders>
              <w:top w:val="nil"/>
            </w:tcBorders>
            <w:vAlign w:val="center"/>
          </w:tcPr>
          <w:p w:rsidR="00850D6E" w:rsidRPr="00AB03F1" w:rsidRDefault="00850D6E" w:rsidP="008D7C91">
            <w:pPr>
              <w:jc w:val="center"/>
              <w:rPr>
                <w:rFonts w:ascii="Times New Roman" w:hAnsi="Times New Roman" w:cs="Times New Roman"/>
                <w:color w:val="000000"/>
                <w:sz w:val="20"/>
              </w:rPr>
            </w:pPr>
            <w:r w:rsidRPr="00AB03F1">
              <w:rPr>
                <w:rFonts w:ascii="Times New Roman" w:hAnsi="Times New Roman" w:cs="Times New Roman"/>
                <w:color w:val="000000"/>
                <w:sz w:val="20"/>
              </w:rPr>
              <w:t xml:space="preserve">Over the period 1990 to 2009 monthly returns are calculated for each equally weighted portfolio. Below are the coefficients and the t-statistics (in parentheses). </w:t>
            </w:r>
            <w:r w:rsidRPr="00AB03F1">
              <w:rPr>
                <w:rFonts w:ascii="Times New Roman" w:hAnsi="Times New Roman" w:cs="Times New Roman"/>
                <w:sz w:val="20"/>
              </w:rPr>
              <w:t>BTM-CP1 is the portfolio sorted initially on the book-to-market ratio, and then on the cash flow-to-price ratio. The number 1 indicates that this is an extreme value portfolio as the BTM ratio is high and the C/P ratio is high. BTM-DP2 is the portfolio sorted initially on the book-to-market ratio and then on the dividend-to-price ratio. The number 2 indicates that the BTM ratio is low, while the C/P ratio is high. BTM-EP3 is the portfolio sorted initially on the book-to-market ratio and then on the earnings-to-price ratio. The number 3 indicates that the BTM ratio is high, while the C/P ratio is low. The number 4 indicates an extreme growth portfolio as the BTM ratio is low, as too is the C/P ratio.</w:t>
            </w:r>
            <w:r w:rsidR="008D7C91">
              <w:rPr>
                <w:rFonts w:ascii="Times New Roman" w:hAnsi="Times New Roman" w:cs="Times New Roman"/>
                <w:sz w:val="20"/>
              </w:rPr>
              <w:t xml:space="preserve"> The small value dependent variable is sorted two ways. First it is sorted on the market </w:t>
            </w:r>
            <w:r w:rsidR="00610C8D">
              <w:rPr>
                <w:rFonts w:ascii="Times New Roman" w:hAnsi="Times New Roman" w:cs="Times New Roman"/>
                <w:sz w:val="20"/>
              </w:rPr>
              <w:t>capitalisation</w:t>
            </w:r>
            <w:r w:rsidR="008D7C91">
              <w:rPr>
                <w:rFonts w:ascii="Times New Roman" w:hAnsi="Times New Roman" w:cs="Times New Roman"/>
                <w:sz w:val="20"/>
              </w:rPr>
              <w:t xml:space="preserve"> ratio, taking the bottom 50% median split of stocks. Then it is sorted on the book-to-market ratio, taking the top 50% median split of stocks.</w:t>
            </w:r>
          </w:p>
        </w:tc>
      </w:tr>
      <w:tr w:rsidR="00850D6E" w:rsidRPr="00AB03F1" w:rsidTr="009976E7">
        <w:trPr>
          <w:gridAfter w:val="1"/>
          <w:wAfter w:w="6" w:type="pct"/>
        </w:trPr>
        <w:tc>
          <w:tcPr>
            <w:tcW w:w="361" w:type="pct"/>
            <w:tcBorders>
              <w:bottom w:val="single" w:sz="4" w:space="0" w:color="auto"/>
              <w:right w:val="single" w:sz="4" w:space="0" w:color="auto"/>
            </w:tcBorders>
            <w:vAlign w:val="bottom"/>
          </w:tcPr>
          <w:p w:rsidR="00850D6E" w:rsidRPr="00AB03F1" w:rsidRDefault="00850D6E" w:rsidP="00850D6E">
            <w:pPr>
              <w:jc w:val="center"/>
              <w:rPr>
                <w:rFonts w:ascii="Times New Roman" w:hAnsi="Times New Roman" w:cs="Times New Roman"/>
                <w:b/>
                <w:color w:val="000000"/>
                <w:sz w:val="18"/>
                <w:szCs w:val="18"/>
              </w:rPr>
            </w:pPr>
            <w:r w:rsidRPr="00AB03F1">
              <w:rPr>
                <w:rFonts w:ascii="Times New Roman" w:hAnsi="Times New Roman" w:cs="Times New Roman"/>
                <w:b/>
                <w:color w:val="000000"/>
                <w:sz w:val="18"/>
                <w:szCs w:val="20"/>
              </w:rPr>
              <w:t> </w:t>
            </w:r>
          </w:p>
        </w:tc>
        <w:tc>
          <w:tcPr>
            <w:tcW w:w="386" w:type="pct"/>
            <w:tcBorders>
              <w:top w:val="single" w:sz="4" w:space="0" w:color="auto"/>
              <w:left w:val="single" w:sz="4" w:space="0" w:color="auto"/>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hAnsi="Times New Roman" w:cs="Times New Roman"/>
                <w:b/>
                <w:color w:val="000000"/>
                <w:sz w:val="18"/>
                <w:szCs w:val="18"/>
              </w:rPr>
            </w:pPr>
            <w:r w:rsidRPr="00AB03F1">
              <w:rPr>
                <w:rFonts w:ascii="Times New Roman" w:eastAsia="Times New Roman" w:hAnsi="Times New Roman" w:cs="Times New Roman"/>
                <w:b/>
                <w:bCs/>
                <w:sz w:val="20"/>
                <w:szCs w:val="20"/>
              </w:rPr>
              <w:t>BM-CP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6" w:type="pct"/>
            <w:tcBorders>
              <w:top w:val="single" w:sz="4" w:space="0" w:color="auto"/>
              <w:left w:val="nil"/>
              <w:bottom w:val="single" w:sz="4" w:space="0" w:color="auto"/>
              <w:right w:val="nil"/>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7" w:type="pct"/>
            <w:tcBorders>
              <w:top w:val="single" w:sz="4" w:space="0" w:color="auto"/>
              <w:left w:val="nil"/>
              <w:bottom w:val="single" w:sz="4" w:space="0" w:color="auto"/>
              <w:right w:val="single" w:sz="4" w:space="0" w:color="auto"/>
            </w:tcBorders>
            <w:vAlign w:val="center"/>
          </w:tcPr>
          <w:p w:rsidR="00850D6E" w:rsidRPr="00AB03F1" w:rsidRDefault="00850D6E"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4</w:t>
            </w:r>
          </w:p>
        </w:tc>
      </w:tr>
      <w:tr w:rsidR="00DC122C" w:rsidRPr="00AB03F1" w:rsidTr="00DC122C">
        <w:trPr>
          <w:gridAfter w:val="1"/>
          <w:wAfter w:w="6" w:type="pct"/>
        </w:trPr>
        <w:tc>
          <w:tcPr>
            <w:tcW w:w="361" w:type="pct"/>
            <w:tcBorders>
              <w:top w:val="single" w:sz="4" w:space="0" w:color="auto"/>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1</w:t>
            </w:r>
          </w:p>
        </w:tc>
        <w:tc>
          <w:tcPr>
            <w:tcW w:w="386" w:type="pct"/>
            <w:tcBorders>
              <w:top w:val="single" w:sz="4" w:space="0" w:color="auto"/>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0.81</w:t>
            </w: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single" w:sz="4" w:space="0" w:color="auto"/>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single" w:sz="4" w:space="0" w:color="auto"/>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(13.74)**</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-0.08</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(-1.21)</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0.73</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BM-CP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0.41</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1</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-0.28</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(-4.48)**</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-0.13</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(-2.14)*</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0.02</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0.59</w:t>
            </w:r>
            <w:r>
              <w:rPr>
                <w:rFonts w:ascii="Times New Roman" w:hAnsi="Times New Roman" w:cs="Times New Roman"/>
                <w:color w:val="000000"/>
                <w:sz w:val="20"/>
                <w:szCs w:val="20"/>
              </w:rPr>
              <w:t>)</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BM-DP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-0.04</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(-0.86)</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1</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0.29</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(3.69)**</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2</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0.31</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(3.80)**</w:t>
            </w: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r w:rsidRPr="00AB03F1">
              <w:rPr>
                <w:rFonts w:ascii="Times New Roman" w:eastAsia="Times New Roman" w:hAnsi="Times New Roman" w:cs="Times New Roman"/>
                <w:b/>
                <w:bCs/>
                <w:sz w:val="20"/>
                <w:szCs w:val="20"/>
              </w:rPr>
              <w:t>BM-EP 3</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0.14</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b/>
                <w:color w:val="000000"/>
                <w:sz w:val="18"/>
                <w:szCs w:val="18"/>
              </w:rPr>
            </w:pP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(4.60)**</w:t>
            </w: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18"/>
                <w:szCs w:val="18"/>
              </w:rPr>
            </w:pPr>
          </w:p>
        </w:tc>
      </w:tr>
      <w:tr w:rsidR="00DC122C" w:rsidRPr="00AB03F1" w:rsidTr="00DC122C">
        <w:trPr>
          <w:gridAfter w:val="1"/>
          <w:wAfter w:w="6" w:type="pct"/>
        </w:trPr>
        <w:tc>
          <w:tcPr>
            <w:tcW w:w="361" w:type="pct"/>
            <w:tcBorders>
              <w:top w:val="nil"/>
              <w:left w:val="single" w:sz="4" w:space="0" w:color="auto"/>
              <w:bottom w:val="nil"/>
              <w:right w:val="single" w:sz="4" w:space="0" w:color="auto"/>
            </w:tcBorders>
            <w:vAlign w:val="center"/>
          </w:tcPr>
          <w:p w:rsidR="00DC122C" w:rsidRPr="00AB03F1" w:rsidRDefault="00DC122C" w:rsidP="00AB03F1">
            <w:pPr>
              <w:jc w:val="center"/>
              <w:rPr>
                <w:rFonts w:ascii="Times New Roman" w:hAnsi="Times New Roman" w:cs="Times New Roman"/>
                <w:color w:val="000000"/>
                <w:sz w:val="18"/>
                <w:szCs w:val="18"/>
              </w:rPr>
            </w:pPr>
            <w:r w:rsidRPr="00AB03F1">
              <w:rPr>
                <w:rFonts w:ascii="Times New Roman" w:eastAsia="Times New Roman" w:hAnsi="Times New Roman" w:cs="Times New Roman"/>
                <w:b/>
                <w:bCs/>
                <w:sz w:val="20"/>
                <w:szCs w:val="20"/>
              </w:rPr>
              <w:t>BM-EP 4</w:t>
            </w:r>
          </w:p>
        </w:tc>
        <w:tc>
          <w:tcPr>
            <w:tcW w:w="386" w:type="pct"/>
            <w:tcBorders>
              <w:top w:val="nil"/>
              <w:left w:val="single" w:sz="4" w:space="0" w:color="auto"/>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nil"/>
              <w:right w:val="nil"/>
            </w:tcBorders>
            <w:vAlign w:val="center"/>
          </w:tcPr>
          <w:p w:rsidR="00DC122C" w:rsidRPr="00DC122C" w:rsidRDefault="00DC122C" w:rsidP="00DC122C">
            <w:pPr>
              <w:jc w:val="center"/>
              <w:rPr>
                <w:rFonts w:ascii="Times New Roman" w:hAnsi="Times New Roman" w:cs="Times New Roman"/>
                <w:color w:val="000000"/>
                <w:sz w:val="20"/>
                <w:szCs w:val="20"/>
              </w:rPr>
            </w:pPr>
          </w:p>
        </w:tc>
        <w:tc>
          <w:tcPr>
            <w:tcW w:w="387" w:type="pct"/>
            <w:tcBorders>
              <w:top w:val="nil"/>
              <w:left w:val="nil"/>
              <w:bottom w:val="nil"/>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sidRPr="00DC122C">
              <w:rPr>
                <w:rFonts w:ascii="Times New Roman" w:hAnsi="Times New Roman" w:cs="Times New Roman"/>
                <w:color w:val="000000"/>
                <w:sz w:val="20"/>
                <w:szCs w:val="20"/>
              </w:rPr>
              <w:t>0.00</w:t>
            </w:r>
          </w:p>
        </w:tc>
      </w:tr>
      <w:tr w:rsidR="00DC122C" w:rsidRPr="00AB03F1" w:rsidTr="00DC122C">
        <w:trPr>
          <w:gridAfter w:val="1"/>
          <w:wAfter w:w="6" w:type="pct"/>
        </w:trPr>
        <w:tc>
          <w:tcPr>
            <w:tcW w:w="361" w:type="pct"/>
            <w:tcBorders>
              <w:top w:val="nil"/>
              <w:left w:val="single" w:sz="4" w:space="0" w:color="auto"/>
              <w:bottom w:val="single" w:sz="4" w:space="0" w:color="auto"/>
              <w:right w:val="single" w:sz="4" w:space="0" w:color="auto"/>
            </w:tcBorders>
            <w:vAlign w:val="center"/>
          </w:tcPr>
          <w:p w:rsidR="00DC122C" w:rsidRPr="00AB03F1" w:rsidRDefault="00DC122C" w:rsidP="00AB03F1">
            <w:pPr>
              <w:jc w:val="center"/>
              <w:rPr>
                <w:rFonts w:ascii="Times New Roman" w:eastAsia="Times New Roman" w:hAnsi="Times New Roman" w:cs="Times New Roman"/>
                <w:b/>
                <w:bCs/>
                <w:sz w:val="20"/>
                <w:szCs w:val="20"/>
              </w:rPr>
            </w:pPr>
          </w:p>
        </w:tc>
        <w:tc>
          <w:tcPr>
            <w:tcW w:w="386" w:type="pct"/>
            <w:tcBorders>
              <w:top w:val="nil"/>
              <w:left w:val="single" w:sz="4" w:space="0" w:color="auto"/>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6" w:type="pct"/>
            <w:tcBorders>
              <w:top w:val="nil"/>
              <w:left w:val="nil"/>
              <w:bottom w:val="single" w:sz="4" w:space="0" w:color="auto"/>
              <w:right w:val="nil"/>
            </w:tcBorders>
            <w:vAlign w:val="center"/>
          </w:tcPr>
          <w:p w:rsidR="00DC122C" w:rsidRPr="00DC122C" w:rsidRDefault="00DC122C" w:rsidP="00DC122C">
            <w:pPr>
              <w:jc w:val="center"/>
              <w:rPr>
                <w:rFonts w:ascii="Times New Roman" w:hAnsi="Times New Roman" w:cs="Times New Roman"/>
                <w:color w:val="000000"/>
                <w:sz w:val="18"/>
                <w:szCs w:val="18"/>
              </w:rPr>
            </w:pPr>
          </w:p>
        </w:tc>
        <w:tc>
          <w:tcPr>
            <w:tcW w:w="387" w:type="pct"/>
            <w:tcBorders>
              <w:top w:val="nil"/>
              <w:left w:val="nil"/>
              <w:bottom w:val="single" w:sz="4" w:space="0" w:color="auto"/>
              <w:right w:val="single" w:sz="4" w:space="0" w:color="auto"/>
            </w:tcBorders>
            <w:vAlign w:val="center"/>
          </w:tcPr>
          <w:p w:rsidR="00DC122C" w:rsidRPr="00DC122C" w:rsidRDefault="00DC122C" w:rsidP="00DC122C">
            <w:pPr>
              <w:jc w:val="center"/>
              <w:rPr>
                <w:rFonts w:ascii="Times New Roman" w:hAnsi="Times New Roman" w:cs="Times New Roman"/>
                <w:color w:val="000000"/>
                <w:sz w:val="20"/>
                <w:szCs w:val="20"/>
              </w:rPr>
            </w:pPr>
            <w:r>
              <w:rPr>
                <w:rFonts w:ascii="Times New Roman" w:hAnsi="Times New Roman" w:cs="Times New Roman"/>
                <w:color w:val="000000"/>
                <w:sz w:val="20"/>
                <w:szCs w:val="20"/>
              </w:rPr>
              <w:t>(</w:t>
            </w:r>
            <w:r w:rsidRPr="00DC122C">
              <w:rPr>
                <w:rFonts w:ascii="Times New Roman" w:hAnsi="Times New Roman" w:cs="Times New Roman"/>
                <w:color w:val="000000"/>
                <w:sz w:val="20"/>
                <w:szCs w:val="20"/>
              </w:rPr>
              <w:t>0.06</w:t>
            </w:r>
            <w:r>
              <w:rPr>
                <w:rFonts w:ascii="Times New Roman" w:hAnsi="Times New Roman" w:cs="Times New Roman"/>
                <w:color w:val="000000"/>
                <w:sz w:val="20"/>
                <w:szCs w:val="20"/>
              </w:rPr>
              <w:t>)</w:t>
            </w:r>
          </w:p>
        </w:tc>
      </w:tr>
      <w:tr w:rsidR="0007190E" w:rsidTr="009976E7">
        <w:tc>
          <w:tcPr>
            <w:tcW w:w="5000" w:type="pct"/>
            <w:gridSpan w:val="14"/>
            <w:tcBorders>
              <w:top w:val="single" w:sz="4" w:space="0" w:color="auto"/>
              <w:left w:val="single" w:sz="4" w:space="0" w:color="auto"/>
              <w:bottom w:val="single" w:sz="4" w:space="0" w:color="auto"/>
              <w:right w:val="single" w:sz="4" w:space="0" w:color="auto"/>
            </w:tcBorders>
            <w:vAlign w:val="center"/>
          </w:tcPr>
          <w:p w:rsidR="0007190E" w:rsidRPr="00AB03F1" w:rsidRDefault="0007190E" w:rsidP="00F47E3A">
            <w:pPr>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5% level</w:t>
            </w:r>
          </w:p>
          <w:p w:rsidR="0007190E" w:rsidRPr="00AB03F1" w:rsidRDefault="0007190E" w:rsidP="0012635E">
            <w:pPr>
              <w:keepNext/>
              <w:rPr>
                <w:rFonts w:ascii="Times New Roman" w:hAnsi="Times New Roman" w:cs="Times New Roman"/>
                <w:color w:val="000000"/>
                <w:sz w:val="20"/>
                <w:szCs w:val="20"/>
              </w:rPr>
            </w:pPr>
            <w:r w:rsidRPr="00AB03F1">
              <w:rPr>
                <w:rFonts w:ascii="Times New Roman" w:hAnsi="Times New Roman" w:cs="Times New Roman"/>
                <w:color w:val="000000"/>
                <w:sz w:val="20"/>
                <w:szCs w:val="20"/>
              </w:rPr>
              <w:t>**Significant at the 1% level</w:t>
            </w:r>
          </w:p>
        </w:tc>
      </w:tr>
    </w:tbl>
    <w:p w:rsidR="00850D6E" w:rsidRPr="0012635E" w:rsidRDefault="0012635E" w:rsidP="0012635E">
      <w:pPr>
        <w:pStyle w:val="Caption"/>
        <w:rPr>
          <w:rFonts w:ascii="Times New Roman" w:hAnsi="Times New Roman" w:cs="Times New Roman"/>
          <w:color w:val="FFFFFF" w:themeColor="background1"/>
          <w:sz w:val="24"/>
          <w:szCs w:val="36"/>
        </w:rPr>
        <w:sectPr w:rsidR="00850D6E" w:rsidRPr="0012635E" w:rsidSect="00D0149F">
          <w:pgSz w:w="16838" w:h="11906" w:orient="landscape"/>
          <w:pgMar w:top="1440" w:right="1440" w:bottom="1440" w:left="1440" w:header="709" w:footer="709" w:gutter="0"/>
          <w:cols w:space="708"/>
          <w:docGrid w:linePitch="360"/>
        </w:sectPr>
      </w:pPr>
      <w:bookmarkStart w:id="76" w:name="_Toc305166545"/>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22</w:t>
      </w:r>
      <w:r w:rsidR="000963F3" w:rsidRPr="0012635E">
        <w:rPr>
          <w:color w:val="FFFFFF" w:themeColor="background1"/>
        </w:rPr>
        <w:fldChar w:fldCharType="end"/>
      </w:r>
      <w:r w:rsidRPr="0012635E">
        <w:rPr>
          <w:color w:val="FFFFFF" w:themeColor="background1"/>
        </w:rPr>
        <w:t xml:space="preserve"> - Regression Results for All Two-Way Sorted Independent Variables Regressed on Small Value Dependent Variable</w:t>
      </w:r>
      <w:bookmarkEnd w:id="76"/>
    </w:p>
    <w:p w:rsidR="00916558" w:rsidRDefault="00037DC4" w:rsidP="00037DC4">
      <w:pPr>
        <w:spacing w:line="360" w:lineRule="auto"/>
        <w:jc w:val="both"/>
        <w:rPr>
          <w:rFonts w:ascii="Times New Roman" w:hAnsi="Times New Roman" w:cs="Times New Roman"/>
          <w:sz w:val="24"/>
        </w:rPr>
      </w:pPr>
      <w:r>
        <w:rPr>
          <w:rFonts w:ascii="Times New Roman" w:hAnsi="Times New Roman" w:cs="Times New Roman"/>
          <w:sz w:val="24"/>
        </w:rPr>
        <w:lastRenderedPageBreak/>
        <w:t>There is an inverse relationship between the value stocks of the independent portfolio and the growth (low) BTM stocks of the dependent variable. The assumption that the C/P stocks must have a greater impact on the dependent varia</w:t>
      </w:r>
      <w:r w:rsidR="00C95E4F">
        <w:rPr>
          <w:rFonts w:ascii="Times New Roman" w:hAnsi="Times New Roman" w:cs="Times New Roman"/>
          <w:sz w:val="24"/>
        </w:rPr>
        <w:t>ble is due to the fact that the</w:t>
      </w:r>
      <w:r>
        <w:rPr>
          <w:rFonts w:ascii="Times New Roman" w:hAnsi="Times New Roman" w:cs="Times New Roman"/>
          <w:sz w:val="24"/>
        </w:rPr>
        <w:t xml:space="preserve"> other two extreme value portfolios based on E/P and D/P stocks are not negatively related to the small growth portfolio. Further illustrating this point is the positive relationship of the BM-CP4 and BM-EP4 portfolios with the small growth portfolio. </w:t>
      </w:r>
      <w:r w:rsidR="00C95E4F">
        <w:rPr>
          <w:rFonts w:ascii="Times New Roman" w:hAnsi="Times New Roman" w:cs="Times New Roman"/>
          <w:sz w:val="24"/>
        </w:rPr>
        <w:t>As</w:t>
      </w:r>
      <w:r>
        <w:rPr>
          <w:rFonts w:ascii="Times New Roman" w:hAnsi="Times New Roman" w:cs="Times New Roman"/>
          <w:sz w:val="24"/>
        </w:rPr>
        <w:t xml:space="preserve"> these independent variables are extreme growth, their low BTM and low C/P or low E/P stocks produce a direct relationship with the low BTM stocks of the small growth portfolio. </w:t>
      </w:r>
    </w:p>
    <w:p w:rsidR="00916558" w:rsidRDefault="00916558" w:rsidP="00037DC4">
      <w:pPr>
        <w:spacing w:line="360" w:lineRule="auto"/>
        <w:jc w:val="both"/>
        <w:rPr>
          <w:rFonts w:ascii="Times New Roman" w:hAnsi="Times New Roman" w:cs="Times New Roman"/>
          <w:sz w:val="24"/>
        </w:rPr>
      </w:pPr>
    </w:p>
    <w:p w:rsidR="00037DC4" w:rsidRDefault="00C95E4F" w:rsidP="00037DC4">
      <w:pPr>
        <w:spacing w:line="360" w:lineRule="auto"/>
        <w:jc w:val="both"/>
        <w:rPr>
          <w:rFonts w:ascii="Times New Roman" w:hAnsi="Times New Roman" w:cs="Times New Roman"/>
          <w:sz w:val="24"/>
        </w:rPr>
      </w:pPr>
      <w:r>
        <w:rPr>
          <w:rFonts w:ascii="Times New Roman" w:hAnsi="Times New Roman" w:cs="Times New Roman"/>
          <w:sz w:val="24"/>
        </w:rPr>
        <w:t>The</w:t>
      </w:r>
      <w:r w:rsidR="00037DC4">
        <w:rPr>
          <w:rFonts w:ascii="Times New Roman" w:hAnsi="Times New Roman" w:cs="Times New Roman"/>
          <w:sz w:val="24"/>
        </w:rPr>
        <w:t xml:space="preserve"> BM-EP4 coefficient of 1.26419 is statistically significant at the 1% level. The BM-DP4 portfolio has a negative coefficient of -0.24527 and is statistically significant at the 1% level. This extreme growth portfolio exhibits an inverse relationship with the small growth portfolio, suggesting the low D/P stocks have a greater negative impact on the small </w:t>
      </w:r>
      <w:r w:rsidR="00610C8D">
        <w:rPr>
          <w:rFonts w:ascii="Times New Roman" w:hAnsi="Times New Roman" w:cs="Times New Roman"/>
          <w:sz w:val="24"/>
        </w:rPr>
        <w:t>capitalisation</w:t>
      </w:r>
      <w:r w:rsidR="00037DC4">
        <w:rPr>
          <w:rFonts w:ascii="Times New Roman" w:hAnsi="Times New Roman" w:cs="Times New Roman"/>
          <w:sz w:val="24"/>
        </w:rPr>
        <w:t xml:space="preserve"> stocks in the dependent portfolio. </w:t>
      </w:r>
    </w:p>
    <w:p w:rsidR="000663B0" w:rsidRDefault="000663B0" w:rsidP="00D4658C">
      <w:pPr>
        <w:spacing w:line="360" w:lineRule="auto"/>
        <w:jc w:val="both"/>
        <w:rPr>
          <w:rFonts w:ascii="Times New Roman" w:hAnsi="Times New Roman" w:cs="Times New Roman"/>
          <w:sz w:val="24"/>
        </w:rPr>
      </w:pPr>
    </w:p>
    <w:p w:rsidR="00BA41BA" w:rsidRDefault="000663B0" w:rsidP="00BA41BA">
      <w:pPr>
        <w:spacing w:line="360" w:lineRule="auto"/>
        <w:jc w:val="both"/>
        <w:rPr>
          <w:rFonts w:ascii="Times New Roman" w:hAnsi="Times New Roman" w:cs="Times New Roman"/>
          <w:sz w:val="24"/>
        </w:rPr>
      </w:pPr>
      <w:r>
        <w:rPr>
          <w:rFonts w:ascii="Times New Roman" w:hAnsi="Times New Roman" w:cs="Times New Roman"/>
          <w:sz w:val="24"/>
        </w:rPr>
        <w:t>In Table 2</w:t>
      </w:r>
      <w:r w:rsidR="00F20CD4">
        <w:rPr>
          <w:rFonts w:ascii="Times New Roman" w:hAnsi="Times New Roman" w:cs="Times New Roman"/>
          <w:sz w:val="24"/>
        </w:rPr>
        <w:t>2</w:t>
      </w:r>
      <w:r>
        <w:rPr>
          <w:rFonts w:ascii="Times New Roman" w:hAnsi="Times New Roman" w:cs="Times New Roman"/>
          <w:sz w:val="24"/>
        </w:rPr>
        <w:t xml:space="preserve"> the regression results for the two-way sorted independent variables regressed on the small value dependent variable are presented. In this case the dependent variable is an extreme value portfolio as, by definition, small </w:t>
      </w:r>
      <w:r w:rsidR="00610C8D">
        <w:rPr>
          <w:rFonts w:ascii="Times New Roman" w:hAnsi="Times New Roman" w:cs="Times New Roman"/>
          <w:sz w:val="24"/>
        </w:rPr>
        <w:t>capitalisation</w:t>
      </w:r>
      <w:r>
        <w:rPr>
          <w:rFonts w:ascii="Times New Roman" w:hAnsi="Times New Roman" w:cs="Times New Roman"/>
          <w:sz w:val="24"/>
        </w:rPr>
        <w:t xml:space="preserve"> stocks and stocks with high fundamental-to-price ratios are value stocks. The positive coefficients on the extreme value portfolios </w:t>
      </w:r>
      <w:r w:rsidR="00C95E4F">
        <w:rPr>
          <w:rFonts w:ascii="Times New Roman" w:hAnsi="Times New Roman" w:cs="Times New Roman"/>
          <w:sz w:val="24"/>
        </w:rPr>
        <w:t>and</w:t>
      </w:r>
      <w:r>
        <w:rPr>
          <w:rFonts w:ascii="Times New Roman" w:hAnsi="Times New Roman" w:cs="Times New Roman"/>
          <w:sz w:val="24"/>
        </w:rPr>
        <w:t xml:space="preserve"> negative coefficients on the extreme growth portfolios are anticipated. The two extreme value portfolios of BM-CP1 and BM-EP1 have positive coefficients of 0.81142 and 0.29173 respectively, and both are statistically significant at the 1% level. The BM-DP1 extreme value portfolio, on the other hand, exhibits a negative coefficient of -0.28345 and is statistically significant at the 1% level. The extreme growth portfolio of BM-DP4 also has a negative coefficient of -0.03635 but is not statistically significant. These results imply that BTM and dividend yield sorted stocks, whether classified as value or growth, demonstrate an inverse relationship with small market </w:t>
      </w:r>
      <w:r w:rsidR="00610C8D">
        <w:rPr>
          <w:rFonts w:ascii="Times New Roman" w:hAnsi="Times New Roman" w:cs="Times New Roman"/>
          <w:sz w:val="24"/>
        </w:rPr>
        <w:t>capitalisation</w:t>
      </w:r>
      <w:r>
        <w:rPr>
          <w:rFonts w:ascii="Times New Roman" w:hAnsi="Times New Roman" w:cs="Times New Roman"/>
          <w:sz w:val="24"/>
        </w:rPr>
        <w:t xml:space="preserve"> and high BTM stocks. The BM-DP2 portfolio, which contains low BTM, high D/P stocks</w:t>
      </w:r>
      <w:r w:rsidR="00C95E4F">
        <w:rPr>
          <w:rFonts w:ascii="Times New Roman" w:hAnsi="Times New Roman" w:cs="Times New Roman"/>
          <w:sz w:val="24"/>
        </w:rPr>
        <w:t>,</w:t>
      </w:r>
      <w:r>
        <w:rPr>
          <w:rFonts w:ascii="Times New Roman" w:hAnsi="Times New Roman" w:cs="Times New Roman"/>
          <w:sz w:val="24"/>
        </w:rPr>
        <w:t xml:space="preserve"> also has a statistically significant negative coefficient of -0.1334 and a test statistic of -2.14. What does not fit into this explanation is the positive coefficient on the portfolio sorted on high BTM, low D/P stocks. However, the coefficient for this BM-DP3 variable is not statistically significant. The extreme growth portfolios of BM-CP4 and BM-EP4 have the respective coefficients of </w:t>
      </w:r>
      <w:r>
        <w:rPr>
          <w:rFonts w:ascii="Times New Roman" w:hAnsi="Times New Roman" w:cs="Times New Roman"/>
          <w:sz w:val="24"/>
        </w:rPr>
        <w:lastRenderedPageBreak/>
        <w:t xml:space="preserve">0.0011 and 0.00232. Neither of these coefficients </w:t>
      </w:r>
      <w:r w:rsidR="00C95E4F">
        <w:rPr>
          <w:rFonts w:ascii="Times New Roman" w:hAnsi="Times New Roman" w:cs="Times New Roman"/>
          <w:sz w:val="24"/>
        </w:rPr>
        <w:t>is</w:t>
      </w:r>
      <w:r>
        <w:rPr>
          <w:rFonts w:ascii="Times New Roman" w:hAnsi="Times New Roman" w:cs="Times New Roman"/>
          <w:sz w:val="24"/>
        </w:rPr>
        <w:t xml:space="preserve"> statistically significant. While the BM-CP2 portfolio has a negative coefficient of -0.08495 and is not statistically significant, the BM-EP2 portfolio has a positive coefficient of 0.31188 and is statistically significant at the 1% level. This latter variable thus exhibits a positive relationship with the small value portfolio. This is due to the high E/P stocks in BM-EP2 and the high BTM stocks in the dependent variable. BM-CP3 and BM-EP3 both indicate positive relationships with the small value portfolio, but only the BM-EP3 coefficient of 0.1431 is statistically significant (at the 1% level). The high BTM stocks in the small value portfolio are responsible for this direct relationship. </w:t>
      </w:r>
    </w:p>
    <w:p w:rsidR="00535C72" w:rsidRDefault="00535C72" w:rsidP="00BA41BA">
      <w:pPr>
        <w:spacing w:line="360" w:lineRule="auto"/>
        <w:jc w:val="both"/>
        <w:rPr>
          <w:rFonts w:ascii="Times New Roman" w:hAnsi="Times New Roman" w:cs="Times New Roman"/>
          <w:sz w:val="24"/>
        </w:rPr>
      </w:pPr>
    </w:p>
    <w:p w:rsidR="009976E7" w:rsidRDefault="00535C72" w:rsidP="004B1D0B">
      <w:pPr>
        <w:spacing w:line="360" w:lineRule="auto"/>
        <w:jc w:val="both"/>
      </w:pPr>
      <w:r>
        <w:rPr>
          <w:rFonts w:ascii="Times New Roman" w:hAnsi="Times New Roman" w:cs="Times New Roman"/>
          <w:sz w:val="24"/>
        </w:rPr>
        <w:t xml:space="preserve">The lack of explanatory power of the E/P ratio continues into the regressions performed with two way sorted independent variables. Here, with the combination of the BTM ratio and E/P ratio the growth portfolio still outperforms the value portfolio. However, when the portfolio is created so as to hold value stocks (high BTM) and growth stocks (low E/P) the performance is greater than both the extreme value and extreme growth portfolios. The combination of BTM and C/P produces a value portfolio with a greater return than the growth portfolio. This result, taken alone, is good. However, when the BM-CP3 portfolio is considered the result does not look exceptional. The BM-CP3, like the BM-EP3 portfolio produces the highest return. This </w:t>
      </w:r>
      <w:r w:rsidR="00AD66F9">
        <w:rPr>
          <w:rFonts w:ascii="Times New Roman" w:hAnsi="Times New Roman" w:cs="Times New Roman"/>
          <w:sz w:val="24"/>
        </w:rPr>
        <w:t xml:space="preserve">suggests </w:t>
      </w:r>
      <w:r>
        <w:rPr>
          <w:rFonts w:ascii="Times New Roman" w:hAnsi="Times New Roman" w:cs="Times New Roman"/>
          <w:sz w:val="24"/>
        </w:rPr>
        <w:t>that the BTM ratio subsumes the C/P and E/P ratios in terms of how well the variable can explain stock returns. The extreme value portfolio, BM-DP1, does not produce any better results than the BM-EP sorting, leaving the clear conclusion that the dual sorted portfolios in this case will no</w:t>
      </w:r>
      <w:r w:rsidR="00265FB5">
        <w:rPr>
          <w:rFonts w:ascii="Times New Roman" w:hAnsi="Times New Roman" w:cs="Times New Roman"/>
          <w:sz w:val="24"/>
        </w:rPr>
        <w:t>t</w:t>
      </w:r>
      <w:r>
        <w:rPr>
          <w:rFonts w:ascii="Times New Roman" w:hAnsi="Times New Roman" w:cs="Times New Roman"/>
          <w:sz w:val="24"/>
        </w:rPr>
        <w:t xml:space="preserve"> result in value outperforming growth on a consistent basis. </w:t>
      </w:r>
      <w:r w:rsidR="00265FB5">
        <w:rPr>
          <w:rFonts w:ascii="Times New Roman" w:hAnsi="Times New Roman" w:cs="Times New Roman"/>
          <w:sz w:val="24"/>
        </w:rPr>
        <w:t xml:space="preserve">The dual sorted portfolios regressed on large growth display statistically significant results for the BM-DP and BM-EP sorts. When the dependent variable is large value, the statistically significant variables include all three combinations of BTM with E/P, C/P, and D/P. In this case, the dependent variable consists of high BTM and large market </w:t>
      </w:r>
      <w:r w:rsidR="00610C8D">
        <w:rPr>
          <w:rFonts w:ascii="Times New Roman" w:hAnsi="Times New Roman" w:cs="Times New Roman"/>
          <w:sz w:val="24"/>
        </w:rPr>
        <w:t>capitalisation</w:t>
      </w:r>
      <w:r w:rsidR="00265FB5">
        <w:rPr>
          <w:rFonts w:ascii="Times New Roman" w:hAnsi="Times New Roman" w:cs="Times New Roman"/>
          <w:sz w:val="24"/>
        </w:rPr>
        <w:t xml:space="preserve"> stocks. The small growth regression demonstrates that the combination of BTM with E/P will explain stock returns better than the combination of BTM with C/P or D/P. Again, the combination of BTM and E/P prove to explain stock returns better than BM-CP and BM-DP when the dual sorted portfolios are regressed on the small value dependent variable. In the last two instances it appears that the combination of BTM and E/P can explain small market </w:t>
      </w:r>
      <w:r w:rsidR="00610C8D">
        <w:rPr>
          <w:rFonts w:ascii="Times New Roman" w:hAnsi="Times New Roman" w:cs="Times New Roman"/>
          <w:sz w:val="24"/>
        </w:rPr>
        <w:t>capitalisation</w:t>
      </w:r>
      <w:r w:rsidR="00265FB5">
        <w:rPr>
          <w:rFonts w:ascii="Times New Roman" w:hAnsi="Times New Roman" w:cs="Times New Roman"/>
          <w:sz w:val="24"/>
        </w:rPr>
        <w:t xml:space="preserve"> stocks, regardless of whether these small stocks are considered value or growth (as determined by their E/P ratios).</w:t>
      </w:r>
    </w:p>
    <w:p w:rsidR="0034705A" w:rsidRPr="00FA42D8" w:rsidRDefault="00D310D8" w:rsidP="00FF500C">
      <w:pPr>
        <w:pStyle w:val="ListParagraph"/>
        <w:numPr>
          <w:ilvl w:val="1"/>
          <w:numId w:val="18"/>
        </w:numPr>
        <w:spacing w:line="360" w:lineRule="auto"/>
        <w:jc w:val="both"/>
        <w:outlineLvl w:val="1"/>
        <w:rPr>
          <w:rFonts w:ascii="Times New Roman" w:hAnsi="Times New Roman" w:cs="Times New Roman"/>
          <w:b/>
          <w:sz w:val="32"/>
          <w:szCs w:val="36"/>
        </w:rPr>
      </w:pPr>
      <w:bookmarkStart w:id="77" w:name="_Toc305166521"/>
      <w:r>
        <w:rPr>
          <w:rFonts w:ascii="Times New Roman" w:hAnsi="Times New Roman" w:cs="Times New Roman"/>
          <w:b/>
          <w:sz w:val="32"/>
          <w:szCs w:val="36"/>
        </w:rPr>
        <w:lastRenderedPageBreak/>
        <w:t>Three Factor Regression Results</w:t>
      </w:r>
      <w:bookmarkEnd w:id="77"/>
    </w:p>
    <w:p w:rsidR="0034705A" w:rsidRDefault="0034705A" w:rsidP="00A02570">
      <w:pPr>
        <w:pStyle w:val="ListParagraph"/>
        <w:spacing w:line="360" w:lineRule="auto"/>
        <w:ind w:left="0"/>
        <w:jc w:val="both"/>
        <w:rPr>
          <w:rFonts w:ascii="Times New Roman" w:hAnsi="Times New Roman" w:cs="Times New Roman"/>
          <w:color w:val="943634" w:themeColor="accent2" w:themeShade="BF"/>
          <w:sz w:val="24"/>
          <w:szCs w:val="36"/>
        </w:rPr>
      </w:pPr>
    </w:p>
    <w:p w:rsidR="0018602F" w:rsidRDefault="0018602F"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Fama and French (1993) three factor model is employed in this section. Using the following equation:</w:t>
      </w:r>
    </w:p>
    <w:p w:rsidR="0018602F" w:rsidRDefault="0018602F" w:rsidP="00A02570">
      <w:pPr>
        <w:pStyle w:val="ListParagraph"/>
        <w:spacing w:line="360" w:lineRule="auto"/>
        <w:ind w:left="0"/>
        <w:jc w:val="both"/>
        <w:rPr>
          <w:rFonts w:ascii="Times New Roman" w:hAnsi="Times New Roman" w:cs="Times New Roman"/>
          <w:sz w:val="24"/>
          <w:szCs w:val="3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4"/>
        <w:gridCol w:w="6932"/>
        <w:gridCol w:w="926"/>
      </w:tblGrid>
      <w:tr w:rsidR="0018602F" w:rsidTr="0018602F">
        <w:tc>
          <w:tcPr>
            <w:tcW w:w="749" w:type="pct"/>
            <w:vAlign w:val="center"/>
          </w:tcPr>
          <w:p w:rsidR="0018602F" w:rsidRDefault="0018602F" w:rsidP="00A02570">
            <w:pPr>
              <w:pStyle w:val="ListParagraph"/>
              <w:spacing w:line="360" w:lineRule="auto"/>
              <w:ind w:left="0"/>
              <w:jc w:val="both"/>
              <w:rPr>
                <w:rFonts w:ascii="Times New Roman" w:hAnsi="Times New Roman" w:cs="Times New Roman"/>
                <w:sz w:val="24"/>
                <w:szCs w:val="36"/>
              </w:rPr>
            </w:pPr>
          </w:p>
        </w:tc>
        <w:tc>
          <w:tcPr>
            <w:tcW w:w="3750" w:type="pct"/>
          </w:tcPr>
          <w:p w:rsidR="0018602F" w:rsidRDefault="000963F3" w:rsidP="0018602F">
            <w:pPr>
              <w:pStyle w:val="ListParagraph"/>
              <w:spacing w:line="360" w:lineRule="auto"/>
              <w:ind w:left="0"/>
              <w:jc w:val="both"/>
              <w:rPr>
                <w:rFonts w:ascii="Times New Roman" w:hAnsi="Times New Roman" w:cs="Times New Roman"/>
                <w:sz w:val="24"/>
                <w:szCs w:val="36"/>
              </w:rPr>
            </w:pPr>
            <m:oMathPara>
              <m:oMath>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i</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i</m:t>
                    </m:r>
                  </m:sub>
                </m:sSub>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m</m:t>
                        </m:r>
                      </m:sub>
                    </m:sSub>
                    <m:r>
                      <w:rPr>
                        <w:rFonts w:ascii="Cambria Math" w:hAnsi="Cambria Math" w:cs="Times New Roman"/>
                        <w:sz w:val="24"/>
                        <w:szCs w:val="24"/>
                      </w:rPr>
                      <m:t>-</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f</m:t>
                        </m:r>
                      </m:sub>
                    </m:sSub>
                  </m:e>
                </m:d>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w:rPr>
                    <w:rFonts w:ascii="Cambria Math" w:hAnsi="Cambria Math" w:cs="Times New Roman"/>
                    <w:sz w:val="24"/>
                    <w:szCs w:val="24"/>
                  </w:rPr>
                  <m:t>SMB</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i</m:t>
                    </m:r>
                  </m:sub>
                </m:sSub>
                <m:r>
                  <w:rPr>
                    <w:rFonts w:ascii="Cambria Math" w:hAnsi="Cambria Math" w:cs="Times New Roman"/>
                    <w:sz w:val="24"/>
                    <w:szCs w:val="24"/>
                  </w:rPr>
                  <m:t>HML</m:t>
                </m:r>
                <m:r>
                  <w:rPr>
                    <w:rFonts w:ascii="Cambria Math" w:hAnsi="Times New Roman"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i</m:t>
                    </m:r>
                  </m:sub>
                </m:sSub>
              </m:oMath>
            </m:oMathPara>
          </w:p>
        </w:tc>
        <w:tc>
          <w:tcPr>
            <w:tcW w:w="750" w:type="pct"/>
            <w:vAlign w:val="center"/>
          </w:tcPr>
          <w:p w:rsidR="0018602F" w:rsidRDefault="00F35CE5" w:rsidP="00F35CE5">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(2</w:t>
            </w:r>
            <w:r w:rsidR="00FE4B4D">
              <w:rPr>
                <w:rFonts w:ascii="Times New Roman" w:hAnsi="Times New Roman" w:cs="Times New Roman"/>
                <w:sz w:val="24"/>
                <w:szCs w:val="36"/>
              </w:rPr>
              <w:t>2</w:t>
            </w:r>
            <w:r w:rsidR="0018602F">
              <w:rPr>
                <w:rFonts w:ascii="Times New Roman" w:hAnsi="Times New Roman" w:cs="Times New Roman"/>
                <w:sz w:val="24"/>
                <w:szCs w:val="36"/>
              </w:rPr>
              <w:t>)</w:t>
            </w:r>
          </w:p>
        </w:tc>
      </w:tr>
    </w:tbl>
    <w:p w:rsidR="0018602F" w:rsidRDefault="0018602F" w:rsidP="00A02570">
      <w:pPr>
        <w:pStyle w:val="ListParagraph"/>
        <w:spacing w:line="360" w:lineRule="auto"/>
        <w:ind w:left="0"/>
        <w:jc w:val="both"/>
        <w:rPr>
          <w:rFonts w:ascii="Times New Roman" w:hAnsi="Times New Roman" w:cs="Times New Roman"/>
          <w:sz w:val="24"/>
          <w:szCs w:val="36"/>
        </w:rPr>
      </w:pPr>
    </w:p>
    <w:p w:rsidR="00DD60C4" w:rsidRPr="00DD60C4" w:rsidRDefault="00DD60C4"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R</w:t>
      </w:r>
      <w:r>
        <w:rPr>
          <w:rFonts w:ascii="Times New Roman" w:hAnsi="Times New Roman" w:cs="Times New Roman"/>
          <w:sz w:val="24"/>
          <w:szCs w:val="36"/>
          <w:vertAlign w:val="subscript"/>
        </w:rPr>
        <w:t>i</w:t>
      </w:r>
      <w:r>
        <w:rPr>
          <w:rFonts w:ascii="Times New Roman" w:hAnsi="Times New Roman" w:cs="Times New Roman"/>
          <w:sz w:val="24"/>
          <w:szCs w:val="36"/>
        </w:rPr>
        <w:t xml:space="preserve"> is the return on the dependent portfolio i, Rf is the risk-free rate as given by the one month return on the 90-day bankers’ acceptance rate. R</w:t>
      </w:r>
      <w:r>
        <w:rPr>
          <w:rFonts w:ascii="Times New Roman" w:hAnsi="Times New Roman" w:cs="Times New Roman"/>
          <w:sz w:val="24"/>
          <w:szCs w:val="36"/>
          <w:vertAlign w:val="subscript"/>
        </w:rPr>
        <w:t>m</w:t>
      </w:r>
      <w:r>
        <w:rPr>
          <w:rFonts w:ascii="Times New Roman" w:hAnsi="Times New Roman" w:cs="Times New Roman"/>
          <w:sz w:val="24"/>
          <w:szCs w:val="36"/>
        </w:rPr>
        <w:t xml:space="preserve"> is the monthly return on the market, while SMB and HML are the returns on the small minus big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and high minus low book-to-market factors. </w:t>
      </w:r>
    </w:p>
    <w:p w:rsidR="00DD60C4" w:rsidRDefault="00DD60C4" w:rsidP="00A02570">
      <w:pPr>
        <w:pStyle w:val="ListParagraph"/>
        <w:spacing w:line="360" w:lineRule="auto"/>
        <w:ind w:left="0"/>
        <w:jc w:val="both"/>
        <w:rPr>
          <w:rFonts w:ascii="Times New Roman" w:hAnsi="Times New Roman" w:cs="Times New Roman"/>
          <w:sz w:val="24"/>
          <w:szCs w:val="36"/>
        </w:rPr>
      </w:pPr>
    </w:p>
    <w:p w:rsidR="00FA42D8" w:rsidRDefault="00FA42D8"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correlations of the three factors for the Fama and French (1993) three factor</w:t>
      </w:r>
      <w:r w:rsidR="008E2032">
        <w:rPr>
          <w:rFonts w:ascii="Times New Roman" w:hAnsi="Times New Roman" w:cs="Times New Roman"/>
          <w:sz w:val="24"/>
          <w:szCs w:val="36"/>
        </w:rPr>
        <w:t xml:space="preserve"> model are presented in Table 2</w:t>
      </w:r>
      <w:r w:rsidR="00F20CD4">
        <w:rPr>
          <w:rFonts w:ascii="Times New Roman" w:hAnsi="Times New Roman" w:cs="Times New Roman"/>
          <w:sz w:val="24"/>
          <w:szCs w:val="36"/>
        </w:rPr>
        <w:t>3</w:t>
      </w:r>
      <w:r>
        <w:rPr>
          <w:rFonts w:ascii="Times New Roman" w:hAnsi="Times New Roman" w:cs="Times New Roman"/>
          <w:sz w:val="24"/>
          <w:szCs w:val="36"/>
        </w:rPr>
        <w:t xml:space="preserve">. The SMB factor consists of small minus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The HML factor contains high minus low book-to-market stock. This is essentially the value factor as a positive return on this factor will indicate value outperforms growth.</w:t>
      </w:r>
      <w:r w:rsidR="0070482E">
        <w:rPr>
          <w:rFonts w:ascii="Times New Roman" w:hAnsi="Times New Roman" w:cs="Times New Roman"/>
          <w:sz w:val="24"/>
          <w:szCs w:val="36"/>
        </w:rPr>
        <w:t xml:space="preserve"> As described by Fama and French (1993), the HML factor is designed to capture risks inherent in the returns associated with BTM.</w:t>
      </w:r>
      <w:r>
        <w:rPr>
          <w:rFonts w:ascii="Times New Roman" w:hAnsi="Times New Roman" w:cs="Times New Roman"/>
          <w:sz w:val="24"/>
          <w:szCs w:val="36"/>
        </w:rPr>
        <w:t xml:space="preserve"> The MRP, which is the market factor, is the monthly market return on the JSE All Share Index minus the one month 90-day bankers’ acceptance rate. There exists a </w:t>
      </w:r>
      <w:r w:rsidR="00B9336D">
        <w:rPr>
          <w:rFonts w:ascii="Times New Roman" w:hAnsi="Times New Roman" w:cs="Times New Roman"/>
          <w:sz w:val="24"/>
          <w:szCs w:val="36"/>
        </w:rPr>
        <w:t>positive</w:t>
      </w:r>
      <w:r>
        <w:rPr>
          <w:rFonts w:ascii="Times New Roman" w:hAnsi="Times New Roman" w:cs="Times New Roman"/>
          <w:sz w:val="24"/>
          <w:szCs w:val="36"/>
        </w:rPr>
        <w:t xml:space="preserve"> correlation of </w:t>
      </w:r>
      <w:r w:rsidR="001A5585">
        <w:rPr>
          <w:rFonts w:ascii="Times New Roman" w:hAnsi="Times New Roman" w:cs="Times New Roman"/>
          <w:sz w:val="24"/>
          <w:szCs w:val="36"/>
        </w:rPr>
        <w:t>0.29</w:t>
      </w:r>
      <w:r w:rsidR="00B9336D">
        <w:rPr>
          <w:rFonts w:ascii="Times New Roman" w:hAnsi="Times New Roman" w:cs="Times New Roman"/>
          <w:sz w:val="24"/>
          <w:szCs w:val="36"/>
        </w:rPr>
        <w:t>28</w:t>
      </w:r>
      <w:r>
        <w:rPr>
          <w:rFonts w:ascii="Times New Roman" w:hAnsi="Times New Roman" w:cs="Times New Roman"/>
          <w:sz w:val="24"/>
          <w:szCs w:val="36"/>
        </w:rPr>
        <w:t xml:space="preserve"> between the market factor and the size factor. The market factor is negatively correlated with the value factor, with a correlation value of -0.0</w:t>
      </w:r>
      <w:r w:rsidR="00B9336D">
        <w:rPr>
          <w:rFonts w:ascii="Times New Roman" w:hAnsi="Times New Roman" w:cs="Times New Roman"/>
          <w:sz w:val="24"/>
          <w:szCs w:val="36"/>
        </w:rPr>
        <w:t>345</w:t>
      </w:r>
      <w:r>
        <w:rPr>
          <w:rFonts w:ascii="Times New Roman" w:hAnsi="Times New Roman" w:cs="Times New Roman"/>
          <w:sz w:val="24"/>
          <w:szCs w:val="36"/>
        </w:rPr>
        <w:t xml:space="preserve">. This negative correlation is very small. The size and value factors exhibit a large </w:t>
      </w:r>
      <w:r w:rsidR="00B9336D">
        <w:rPr>
          <w:rFonts w:ascii="Times New Roman" w:hAnsi="Times New Roman" w:cs="Times New Roman"/>
          <w:sz w:val="24"/>
          <w:szCs w:val="36"/>
        </w:rPr>
        <w:t>negative</w:t>
      </w:r>
      <w:r>
        <w:rPr>
          <w:rFonts w:ascii="Times New Roman" w:hAnsi="Times New Roman" w:cs="Times New Roman"/>
          <w:sz w:val="24"/>
          <w:szCs w:val="36"/>
        </w:rPr>
        <w:t xml:space="preserve"> correlation of </w:t>
      </w:r>
      <w:r w:rsidR="00B9336D">
        <w:rPr>
          <w:rFonts w:ascii="Times New Roman" w:hAnsi="Times New Roman" w:cs="Times New Roman"/>
          <w:sz w:val="24"/>
          <w:szCs w:val="36"/>
        </w:rPr>
        <w:t>-</w:t>
      </w:r>
      <w:r w:rsidR="001A5585">
        <w:rPr>
          <w:rFonts w:ascii="Times New Roman" w:hAnsi="Times New Roman" w:cs="Times New Roman"/>
          <w:sz w:val="24"/>
          <w:szCs w:val="36"/>
        </w:rPr>
        <w:t>0.58</w:t>
      </w:r>
      <w:r w:rsidR="00B9336D">
        <w:rPr>
          <w:rFonts w:ascii="Times New Roman" w:hAnsi="Times New Roman" w:cs="Times New Roman"/>
          <w:sz w:val="24"/>
          <w:szCs w:val="36"/>
        </w:rPr>
        <w:t>11</w:t>
      </w:r>
      <w:r>
        <w:rPr>
          <w:rFonts w:ascii="Times New Roman" w:hAnsi="Times New Roman" w:cs="Times New Roman"/>
          <w:sz w:val="24"/>
          <w:szCs w:val="36"/>
        </w:rPr>
        <w:t xml:space="preserve">. This value is in complete contrast to the correlation coefficient of Fama and French (1993). The authors find a negative correlation of -0.08 over the 1963 to 1991 period of monthly returns. The authors also note the correlation between the market factor and size factor is positive (0.32). </w:t>
      </w:r>
      <w:r w:rsidR="00AD153F">
        <w:rPr>
          <w:rFonts w:ascii="Times New Roman" w:hAnsi="Times New Roman" w:cs="Times New Roman"/>
          <w:sz w:val="24"/>
          <w:szCs w:val="36"/>
        </w:rPr>
        <w:t>The</w:t>
      </w:r>
      <w:r>
        <w:rPr>
          <w:rFonts w:ascii="Times New Roman" w:hAnsi="Times New Roman" w:cs="Times New Roman"/>
          <w:sz w:val="24"/>
          <w:szCs w:val="36"/>
        </w:rPr>
        <w:t xml:space="preserve"> correlation between the market factor and the value factor is -0.38 in Fama and French (1993). </w:t>
      </w:r>
      <w:r w:rsidR="00AD153F">
        <w:rPr>
          <w:rFonts w:ascii="Times New Roman" w:hAnsi="Times New Roman" w:cs="Times New Roman"/>
          <w:sz w:val="24"/>
          <w:szCs w:val="36"/>
        </w:rPr>
        <w:t>The correlation between the market factor and value factor in this dissertation is -0.0</w:t>
      </w:r>
      <w:r w:rsidR="001A5585">
        <w:rPr>
          <w:rFonts w:ascii="Times New Roman" w:hAnsi="Times New Roman" w:cs="Times New Roman"/>
          <w:sz w:val="24"/>
          <w:szCs w:val="36"/>
        </w:rPr>
        <w:t>421</w:t>
      </w:r>
      <w:r w:rsidR="00AD153F">
        <w:rPr>
          <w:rFonts w:ascii="Times New Roman" w:hAnsi="Times New Roman" w:cs="Times New Roman"/>
          <w:sz w:val="24"/>
          <w:szCs w:val="36"/>
        </w:rPr>
        <w:t>, which is a lot smaller than that in Fama and French (1993). The expectation is that the SMB and HML factors would be positively correlated</w:t>
      </w:r>
      <w:r w:rsidR="00D34133">
        <w:rPr>
          <w:rFonts w:ascii="Times New Roman" w:hAnsi="Times New Roman" w:cs="Times New Roman"/>
          <w:sz w:val="24"/>
          <w:szCs w:val="36"/>
        </w:rPr>
        <w:t xml:space="preserve"> and the results </w:t>
      </w:r>
      <w:r w:rsidR="00B9336D">
        <w:rPr>
          <w:rFonts w:ascii="Times New Roman" w:hAnsi="Times New Roman" w:cs="Times New Roman"/>
          <w:sz w:val="24"/>
          <w:szCs w:val="36"/>
        </w:rPr>
        <w:t>app</w:t>
      </w:r>
      <w:r w:rsidR="00D34133">
        <w:rPr>
          <w:rFonts w:ascii="Times New Roman" w:hAnsi="Times New Roman" w:cs="Times New Roman"/>
          <w:sz w:val="24"/>
          <w:szCs w:val="36"/>
        </w:rPr>
        <w:t xml:space="preserve">ear to </w:t>
      </w:r>
      <w:r w:rsidR="00B9336D">
        <w:rPr>
          <w:rFonts w:ascii="Times New Roman" w:hAnsi="Times New Roman" w:cs="Times New Roman"/>
          <w:sz w:val="24"/>
          <w:szCs w:val="36"/>
        </w:rPr>
        <w:t>oppose</w:t>
      </w:r>
      <w:r w:rsidR="00AD153F">
        <w:rPr>
          <w:rFonts w:ascii="Times New Roman" w:hAnsi="Times New Roman" w:cs="Times New Roman"/>
          <w:sz w:val="24"/>
          <w:szCs w:val="36"/>
        </w:rPr>
        <w:t xml:space="preserve"> this theory. </w:t>
      </w:r>
    </w:p>
    <w:p w:rsidR="00D90AA0" w:rsidRDefault="00D90AA0" w:rsidP="00A02570">
      <w:pPr>
        <w:pStyle w:val="ListParagraph"/>
        <w:spacing w:line="360" w:lineRule="auto"/>
        <w:ind w:left="0"/>
        <w:jc w:val="both"/>
        <w:rPr>
          <w:rFonts w:ascii="Times New Roman" w:hAnsi="Times New Roman" w:cs="Times New Roman"/>
          <w:sz w:val="24"/>
          <w:szCs w:val="36"/>
        </w:rPr>
      </w:pPr>
    </w:p>
    <w:p w:rsidR="00D90AA0" w:rsidRDefault="00D90AA0"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One reason for these opposing results is that the three small stock portfolios and three large stock portfolios used in Fama and French (1993) to create the SMB and HML factors greatly </w:t>
      </w:r>
      <w:r>
        <w:rPr>
          <w:rFonts w:ascii="Times New Roman" w:hAnsi="Times New Roman" w:cs="Times New Roman"/>
          <w:sz w:val="24"/>
          <w:szCs w:val="36"/>
        </w:rPr>
        <w:lastRenderedPageBreak/>
        <w:t xml:space="preserve">differs from the two small stock portfolios and two large stocks portfolios used in this study.  While it is acknowledged that this difference in factor calculation may have an effect on the results, it is also noted that the results would be distorted if a top 30%, middle 40%, and bottom 30% sort was used. </w:t>
      </w:r>
      <w:r w:rsidR="009E435C">
        <w:rPr>
          <w:rFonts w:ascii="Times New Roman" w:hAnsi="Times New Roman" w:cs="Times New Roman"/>
          <w:sz w:val="24"/>
          <w:szCs w:val="36"/>
        </w:rPr>
        <w:t xml:space="preserve">Not only do Fama and French (1993) use 6 portfolios to create the independent portfolios, they use 25 portfolios as the dependent portfolios, whereas this study uses only four. </w:t>
      </w:r>
    </w:p>
    <w:p w:rsidR="009976E7" w:rsidRDefault="009976E7" w:rsidP="00A02570">
      <w:pPr>
        <w:pStyle w:val="ListParagraph"/>
        <w:spacing w:line="360" w:lineRule="auto"/>
        <w:ind w:left="0"/>
        <w:jc w:val="both"/>
        <w:rPr>
          <w:rFonts w:ascii="Times New Roman" w:hAnsi="Times New Roman" w:cs="Times New Roman"/>
          <w:sz w:val="24"/>
          <w:szCs w:val="36"/>
        </w:rPr>
      </w:pPr>
    </w:p>
    <w:tbl>
      <w:tblPr>
        <w:tblStyle w:val="TableGrid"/>
        <w:tblW w:w="0" w:type="auto"/>
        <w:tblLook w:val="04A0"/>
      </w:tblPr>
      <w:tblGrid>
        <w:gridCol w:w="2310"/>
        <w:gridCol w:w="2310"/>
        <w:gridCol w:w="2311"/>
        <w:gridCol w:w="2311"/>
      </w:tblGrid>
      <w:tr w:rsidR="00F85ACC" w:rsidRPr="00E65530" w:rsidTr="007A30EA">
        <w:tc>
          <w:tcPr>
            <w:tcW w:w="9242" w:type="dxa"/>
            <w:gridSpan w:val="4"/>
            <w:tcBorders>
              <w:bottom w:val="single" w:sz="4" w:space="0" w:color="auto"/>
            </w:tcBorders>
            <w:vAlign w:val="center"/>
          </w:tcPr>
          <w:p w:rsidR="00F85ACC" w:rsidRPr="00E65530" w:rsidRDefault="00F85ACC" w:rsidP="007A30EA">
            <w:pPr>
              <w:jc w:val="center"/>
              <w:rPr>
                <w:rFonts w:ascii="Times New Roman" w:hAnsi="Times New Roman" w:cs="Times New Roman"/>
                <w:b/>
                <w:sz w:val="24"/>
              </w:rPr>
            </w:pPr>
            <w:r>
              <w:rPr>
                <w:rFonts w:ascii="Times New Roman" w:hAnsi="Times New Roman" w:cs="Times New Roman"/>
                <w:b/>
                <w:sz w:val="24"/>
              </w:rPr>
              <w:t>Table 2</w:t>
            </w:r>
            <w:r w:rsidR="00F20CD4">
              <w:rPr>
                <w:rFonts w:ascii="Times New Roman" w:hAnsi="Times New Roman" w:cs="Times New Roman"/>
                <w:b/>
                <w:sz w:val="24"/>
              </w:rPr>
              <w:t>3</w:t>
            </w:r>
          </w:p>
        </w:tc>
      </w:tr>
      <w:tr w:rsidR="00F85ACC" w:rsidRPr="00E65530" w:rsidTr="007A30EA">
        <w:tc>
          <w:tcPr>
            <w:tcW w:w="9242" w:type="dxa"/>
            <w:gridSpan w:val="4"/>
            <w:tcBorders>
              <w:top w:val="single" w:sz="4" w:space="0" w:color="auto"/>
              <w:left w:val="single" w:sz="4" w:space="0" w:color="auto"/>
              <w:bottom w:val="nil"/>
              <w:right w:val="single" w:sz="4" w:space="0" w:color="auto"/>
            </w:tcBorders>
            <w:vAlign w:val="center"/>
          </w:tcPr>
          <w:p w:rsidR="00F85ACC" w:rsidRPr="00E65530" w:rsidRDefault="00F85ACC" w:rsidP="007A30EA">
            <w:pPr>
              <w:jc w:val="center"/>
              <w:rPr>
                <w:rFonts w:ascii="Times New Roman" w:hAnsi="Times New Roman" w:cs="Times New Roman"/>
                <w:b/>
                <w:sz w:val="24"/>
              </w:rPr>
            </w:pPr>
            <w:r w:rsidRPr="00E65530">
              <w:rPr>
                <w:rFonts w:ascii="Times New Roman" w:hAnsi="Times New Roman" w:cs="Times New Roman"/>
                <w:b/>
                <w:sz w:val="24"/>
              </w:rPr>
              <w:t>Correlation Estimates of Three Factors</w:t>
            </w:r>
          </w:p>
        </w:tc>
      </w:tr>
      <w:tr w:rsidR="00F85ACC" w:rsidRPr="004577B4" w:rsidTr="007A30EA">
        <w:tc>
          <w:tcPr>
            <w:tcW w:w="9242" w:type="dxa"/>
            <w:gridSpan w:val="4"/>
            <w:tcBorders>
              <w:top w:val="nil"/>
            </w:tcBorders>
            <w:vAlign w:val="center"/>
          </w:tcPr>
          <w:p w:rsidR="00F85ACC" w:rsidRPr="00BD5258" w:rsidRDefault="00F85ACC" w:rsidP="007A30EA">
            <w:pPr>
              <w:jc w:val="center"/>
              <w:rPr>
                <w:rFonts w:ascii="Times New Roman" w:hAnsi="Times New Roman" w:cs="Times New Roman"/>
              </w:rPr>
            </w:pPr>
            <w:r>
              <w:rPr>
                <w:rFonts w:ascii="Times New Roman" w:hAnsi="Times New Roman" w:cs="Times New Roman"/>
                <w:sz w:val="20"/>
                <w:szCs w:val="20"/>
              </w:rPr>
              <w:t xml:space="preserve">The correlation estimates for the three factors in the three factor regression are presented below. </w:t>
            </w:r>
            <w:r w:rsidRPr="00123822">
              <w:rPr>
                <w:rFonts w:ascii="Times New Roman" w:hAnsi="Times New Roman" w:cs="Times New Roman"/>
                <w:sz w:val="20"/>
                <w:szCs w:val="20"/>
              </w:rPr>
              <w:t xml:space="preserve">MRP is the market risk premium, which is the monthly market return less the monthly risk free rate. The market return is the ALSI total shareholder return while the risk free rate is the one month 90-day banker’s acceptance rate. SMB is the small market </w:t>
            </w:r>
            <w:r w:rsidR="00610C8D">
              <w:rPr>
                <w:rFonts w:ascii="Times New Roman" w:hAnsi="Times New Roman" w:cs="Times New Roman"/>
                <w:sz w:val="20"/>
                <w:szCs w:val="20"/>
              </w:rPr>
              <w:t>capitalisation</w:t>
            </w:r>
            <w:r w:rsidRPr="00123822">
              <w:rPr>
                <w:rFonts w:ascii="Times New Roman" w:hAnsi="Times New Roman" w:cs="Times New Roman"/>
                <w:sz w:val="20"/>
                <w:szCs w:val="20"/>
              </w:rPr>
              <w:t xml:space="preserve"> portfolio less the big market </w:t>
            </w:r>
            <w:r w:rsidR="00610C8D">
              <w:rPr>
                <w:rFonts w:ascii="Times New Roman" w:hAnsi="Times New Roman" w:cs="Times New Roman"/>
                <w:sz w:val="20"/>
                <w:szCs w:val="20"/>
              </w:rPr>
              <w:t>capitalisation</w:t>
            </w:r>
            <w:r w:rsidRPr="00123822">
              <w:rPr>
                <w:rFonts w:ascii="Times New Roman" w:hAnsi="Times New Roman" w:cs="Times New Roman"/>
                <w:sz w:val="20"/>
                <w:szCs w:val="20"/>
              </w:rPr>
              <w:t xml:space="preserve"> portfolio. HML is the high book-to-market portfolio less the low book-to-market portfolio.</w:t>
            </w:r>
          </w:p>
        </w:tc>
      </w:tr>
      <w:tr w:rsidR="00F85ACC" w:rsidRPr="00E65530" w:rsidTr="00DC122C">
        <w:tc>
          <w:tcPr>
            <w:tcW w:w="2310" w:type="dxa"/>
            <w:tcBorders>
              <w:bottom w:val="single" w:sz="4" w:space="0" w:color="auto"/>
              <w:right w:val="single" w:sz="4" w:space="0" w:color="auto"/>
            </w:tcBorders>
          </w:tcPr>
          <w:p w:rsidR="00F85ACC" w:rsidRPr="00E65530" w:rsidRDefault="00F85ACC" w:rsidP="007A30EA">
            <w:pPr>
              <w:rPr>
                <w:rFonts w:ascii="Times New Roman" w:hAnsi="Times New Roman" w:cs="Times New Roman"/>
                <w:b/>
              </w:rPr>
            </w:pPr>
          </w:p>
        </w:tc>
        <w:tc>
          <w:tcPr>
            <w:tcW w:w="2310" w:type="dxa"/>
            <w:tcBorders>
              <w:top w:val="single" w:sz="4" w:space="0" w:color="auto"/>
              <w:left w:val="single" w:sz="4" w:space="0" w:color="auto"/>
              <w:bottom w:val="single" w:sz="4" w:space="0" w:color="auto"/>
              <w:right w:val="nil"/>
            </w:tcBorders>
            <w:vAlign w:val="center"/>
          </w:tcPr>
          <w:p w:rsidR="00F85ACC" w:rsidRPr="00E65530" w:rsidRDefault="00F85ACC" w:rsidP="00DC122C">
            <w:pPr>
              <w:jc w:val="center"/>
              <w:rPr>
                <w:rFonts w:ascii="Times New Roman" w:hAnsi="Times New Roman" w:cs="Times New Roman"/>
                <w:b/>
              </w:rPr>
            </w:pPr>
            <w:r w:rsidRPr="00E65530">
              <w:rPr>
                <w:rFonts w:ascii="Times New Roman" w:hAnsi="Times New Roman" w:cs="Times New Roman"/>
                <w:b/>
              </w:rPr>
              <w:t>MRP</w:t>
            </w:r>
          </w:p>
        </w:tc>
        <w:tc>
          <w:tcPr>
            <w:tcW w:w="2311" w:type="dxa"/>
            <w:tcBorders>
              <w:top w:val="single" w:sz="4" w:space="0" w:color="auto"/>
              <w:left w:val="nil"/>
              <w:bottom w:val="single" w:sz="4" w:space="0" w:color="auto"/>
              <w:right w:val="nil"/>
            </w:tcBorders>
            <w:vAlign w:val="center"/>
          </w:tcPr>
          <w:p w:rsidR="00F85ACC" w:rsidRPr="00E65530" w:rsidRDefault="00F85ACC" w:rsidP="00DC122C">
            <w:pPr>
              <w:jc w:val="center"/>
              <w:rPr>
                <w:rFonts w:ascii="Times New Roman" w:hAnsi="Times New Roman" w:cs="Times New Roman"/>
                <w:b/>
              </w:rPr>
            </w:pPr>
            <w:r w:rsidRPr="00E65530">
              <w:rPr>
                <w:rFonts w:ascii="Times New Roman" w:hAnsi="Times New Roman" w:cs="Times New Roman"/>
                <w:b/>
              </w:rPr>
              <w:t>SMB</w:t>
            </w:r>
          </w:p>
        </w:tc>
        <w:tc>
          <w:tcPr>
            <w:tcW w:w="2311" w:type="dxa"/>
            <w:tcBorders>
              <w:top w:val="single" w:sz="4" w:space="0" w:color="auto"/>
              <w:left w:val="nil"/>
              <w:bottom w:val="single" w:sz="4" w:space="0" w:color="auto"/>
              <w:right w:val="single" w:sz="4" w:space="0" w:color="auto"/>
            </w:tcBorders>
            <w:vAlign w:val="center"/>
          </w:tcPr>
          <w:p w:rsidR="00F85ACC" w:rsidRPr="00E65530" w:rsidRDefault="00F85ACC" w:rsidP="00DC122C">
            <w:pPr>
              <w:jc w:val="center"/>
              <w:rPr>
                <w:rFonts w:ascii="Times New Roman" w:hAnsi="Times New Roman" w:cs="Times New Roman"/>
                <w:b/>
              </w:rPr>
            </w:pPr>
            <w:r w:rsidRPr="00E65530">
              <w:rPr>
                <w:rFonts w:ascii="Times New Roman" w:hAnsi="Times New Roman" w:cs="Times New Roman"/>
                <w:b/>
              </w:rPr>
              <w:t>HML</w:t>
            </w:r>
          </w:p>
        </w:tc>
      </w:tr>
      <w:tr w:rsidR="00F85ACC" w:rsidTr="00DC122C">
        <w:tc>
          <w:tcPr>
            <w:tcW w:w="2310" w:type="dxa"/>
            <w:tcBorders>
              <w:top w:val="single" w:sz="4" w:space="0" w:color="auto"/>
              <w:left w:val="single" w:sz="4" w:space="0" w:color="auto"/>
              <w:bottom w:val="nil"/>
              <w:right w:val="single" w:sz="4" w:space="0" w:color="auto"/>
            </w:tcBorders>
          </w:tcPr>
          <w:p w:rsidR="00F85ACC" w:rsidRPr="00E65530" w:rsidRDefault="00F85ACC" w:rsidP="007A30EA">
            <w:pPr>
              <w:rPr>
                <w:rFonts w:ascii="Times New Roman" w:hAnsi="Times New Roman" w:cs="Times New Roman"/>
                <w:b/>
              </w:rPr>
            </w:pPr>
            <w:r w:rsidRPr="00E65530">
              <w:rPr>
                <w:rFonts w:ascii="Times New Roman" w:hAnsi="Times New Roman" w:cs="Times New Roman"/>
                <w:b/>
              </w:rPr>
              <w:t>MRP</w:t>
            </w:r>
          </w:p>
        </w:tc>
        <w:tc>
          <w:tcPr>
            <w:tcW w:w="2310" w:type="dxa"/>
            <w:tcBorders>
              <w:top w:val="single" w:sz="4" w:space="0" w:color="auto"/>
              <w:left w:val="single" w:sz="4" w:space="0" w:color="auto"/>
              <w:bottom w:val="nil"/>
              <w:right w:val="nil"/>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1.0000</w:t>
            </w:r>
          </w:p>
        </w:tc>
        <w:tc>
          <w:tcPr>
            <w:tcW w:w="2311" w:type="dxa"/>
            <w:tcBorders>
              <w:top w:val="single" w:sz="4" w:space="0" w:color="auto"/>
              <w:left w:val="nil"/>
              <w:bottom w:val="nil"/>
              <w:right w:val="nil"/>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0.2</w:t>
            </w:r>
            <w:r w:rsidR="00D34133">
              <w:rPr>
                <w:rFonts w:ascii="Times New Roman" w:eastAsia="Times New Roman" w:hAnsi="Times New Roman" w:cs="Times New Roman"/>
                <w:sz w:val="20"/>
                <w:szCs w:val="20"/>
              </w:rPr>
              <w:t>9</w:t>
            </w:r>
            <w:r w:rsidR="00B9336D">
              <w:rPr>
                <w:rFonts w:ascii="Times New Roman" w:eastAsia="Times New Roman" w:hAnsi="Times New Roman" w:cs="Times New Roman"/>
                <w:sz w:val="20"/>
                <w:szCs w:val="20"/>
              </w:rPr>
              <w:t>28</w:t>
            </w:r>
          </w:p>
        </w:tc>
        <w:tc>
          <w:tcPr>
            <w:tcW w:w="2311" w:type="dxa"/>
            <w:tcBorders>
              <w:top w:val="single" w:sz="4" w:space="0" w:color="auto"/>
              <w:left w:val="nil"/>
              <w:bottom w:val="nil"/>
              <w:right w:val="single" w:sz="4" w:space="0" w:color="auto"/>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-0.0</w:t>
            </w:r>
            <w:r w:rsidR="00B9336D">
              <w:rPr>
                <w:rFonts w:ascii="Times New Roman" w:eastAsia="Times New Roman" w:hAnsi="Times New Roman" w:cs="Times New Roman"/>
                <w:sz w:val="20"/>
                <w:szCs w:val="20"/>
              </w:rPr>
              <w:t>345</w:t>
            </w:r>
          </w:p>
        </w:tc>
      </w:tr>
      <w:tr w:rsidR="00F85ACC" w:rsidTr="00DC122C">
        <w:tc>
          <w:tcPr>
            <w:tcW w:w="2310" w:type="dxa"/>
            <w:tcBorders>
              <w:top w:val="nil"/>
              <w:left w:val="single" w:sz="4" w:space="0" w:color="auto"/>
              <w:bottom w:val="nil"/>
              <w:right w:val="single" w:sz="4" w:space="0" w:color="auto"/>
            </w:tcBorders>
          </w:tcPr>
          <w:p w:rsidR="00F85ACC" w:rsidRPr="00E65530" w:rsidRDefault="00F85ACC" w:rsidP="007A30EA">
            <w:pPr>
              <w:rPr>
                <w:rFonts w:ascii="Times New Roman" w:hAnsi="Times New Roman" w:cs="Times New Roman"/>
                <w:b/>
              </w:rPr>
            </w:pPr>
            <w:r w:rsidRPr="00E65530">
              <w:rPr>
                <w:rFonts w:ascii="Times New Roman" w:hAnsi="Times New Roman" w:cs="Times New Roman"/>
                <w:b/>
              </w:rPr>
              <w:t>SMB</w:t>
            </w:r>
          </w:p>
        </w:tc>
        <w:tc>
          <w:tcPr>
            <w:tcW w:w="2310" w:type="dxa"/>
            <w:tcBorders>
              <w:top w:val="nil"/>
              <w:left w:val="single" w:sz="4" w:space="0" w:color="auto"/>
              <w:bottom w:val="nil"/>
              <w:right w:val="nil"/>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0.2</w:t>
            </w:r>
            <w:r w:rsidR="00D34133">
              <w:rPr>
                <w:rFonts w:ascii="Times New Roman" w:eastAsia="Times New Roman" w:hAnsi="Times New Roman" w:cs="Times New Roman"/>
                <w:sz w:val="20"/>
                <w:szCs w:val="20"/>
              </w:rPr>
              <w:t>9</w:t>
            </w:r>
            <w:r w:rsidR="00B9336D">
              <w:rPr>
                <w:rFonts w:ascii="Times New Roman" w:eastAsia="Times New Roman" w:hAnsi="Times New Roman" w:cs="Times New Roman"/>
                <w:sz w:val="20"/>
                <w:szCs w:val="20"/>
              </w:rPr>
              <w:t>28</w:t>
            </w:r>
          </w:p>
        </w:tc>
        <w:tc>
          <w:tcPr>
            <w:tcW w:w="2311" w:type="dxa"/>
            <w:tcBorders>
              <w:top w:val="nil"/>
              <w:left w:val="nil"/>
              <w:bottom w:val="nil"/>
              <w:right w:val="nil"/>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1.0000</w:t>
            </w:r>
          </w:p>
        </w:tc>
        <w:tc>
          <w:tcPr>
            <w:tcW w:w="2311" w:type="dxa"/>
            <w:tcBorders>
              <w:top w:val="nil"/>
              <w:left w:val="nil"/>
              <w:bottom w:val="nil"/>
              <w:right w:val="single" w:sz="4" w:space="0" w:color="auto"/>
            </w:tcBorders>
            <w:vAlign w:val="center"/>
          </w:tcPr>
          <w:p w:rsidR="00F85ACC" w:rsidRPr="00BD5258" w:rsidRDefault="00B9336D"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sidR="00F85ACC" w:rsidRPr="00BD5258">
              <w:rPr>
                <w:rFonts w:ascii="Times New Roman" w:eastAsia="Times New Roman" w:hAnsi="Times New Roman" w:cs="Times New Roman"/>
                <w:sz w:val="20"/>
                <w:szCs w:val="20"/>
              </w:rPr>
              <w:t>0.5</w:t>
            </w:r>
            <w:r>
              <w:rPr>
                <w:rFonts w:ascii="Times New Roman" w:eastAsia="Times New Roman" w:hAnsi="Times New Roman" w:cs="Times New Roman"/>
                <w:sz w:val="20"/>
                <w:szCs w:val="20"/>
              </w:rPr>
              <w:t>811</w:t>
            </w:r>
          </w:p>
        </w:tc>
      </w:tr>
      <w:tr w:rsidR="00F85ACC" w:rsidTr="00DC122C">
        <w:tc>
          <w:tcPr>
            <w:tcW w:w="2310" w:type="dxa"/>
            <w:tcBorders>
              <w:top w:val="nil"/>
              <w:left w:val="single" w:sz="4" w:space="0" w:color="auto"/>
              <w:bottom w:val="single" w:sz="4" w:space="0" w:color="auto"/>
              <w:right w:val="single" w:sz="4" w:space="0" w:color="auto"/>
            </w:tcBorders>
          </w:tcPr>
          <w:p w:rsidR="00F85ACC" w:rsidRPr="00E65530" w:rsidRDefault="00F85ACC" w:rsidP="007A30EA">
            <w:pPr>
              <w:rPr>
                <w:rFonts w:ascii="Times New Roman" w:hAnsi="Times New Roman" w:cs="Times New Roman"/>
                <w:b/>
              </w:rPr>
            </w:pPr>
            <w:r w:rsidRPr="00E65530">
              <w:rPr>
                <w:rFonts w:ascii="Times New Roman" w:hAnsi="Times New Roman" w:cs="Times New Roman"/>
                <w:b/>
              </w:rPr>
              <w:t>HML</w:t>
            </w:r>
          </w:p>
        </w:tc>
        <w:tc>
          <w:tcPr>
            <w:tcW w:w="2310" w:type="dxa"/>
            <w:tcBorders>
              <w:top w:val="nil"/>
              <w:left w:val="single" w:sz="4" w:space="0" w:color="auto"/>
              <w:bottom w:val="single" w:sz="4" w:space="0" w:color="auto"/>
              <w:right w:val="nil"/>
            </w:tcBorders>
            <w:vAlign w:val="center"/>
          </w:tcPr>
          <w:p w:rsidR="00F85ACC" w:rsidRPr="00BD5258" w:rsidRDefault="00F85ACC" w:rsidP="00DC122C">
            <w:pPr>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-0.0</w:t>
            </w:r>
            <w:r w:rsidR="00B9336D">
              <w:rPr>
                <w:rFonts w:ascii="Times New Roman" w:eastAsia="Times New Roman" w:hAnsi="Times New Roman" w:cs="Times New Roman"/>
                <w:sz w:val="20"/>
                <w:szCs w:val="20"/>
              </w:rPr>
              <w:t>345</w:t>
            </w:r>
          </w:p>
        </w:tc>
        <w:tc>
          <w:tcPr>
            <w:tcW w:w="2311" w:type="dxa"/>
            <w:tcBorders>
              <w:top w:val="nil"/>
              <w:left w:val="nil"/>
              <w:bottom w:val="single" w:sz="4" w:space="0" w:color="auto"/>
              <w:right w:val="nil"/>
            </w:tcBorders>
            <w:vAlign w:val="center"/>
          </w:tcPr>
          <w:p w:rsidR="00F85ACC" w:rsidRPr="00BD5258" w:rsidRDefault="00B9336D"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-0.5811</w:t>
            </w:r>
          </w:p>
        </w:tc>
        <w:tc>
          <w:tcPr>
            <w:tcW w:w="2311" w:type="dxa"/>
            <w:tcBorders>
              <w:top w:val="nil"/>
              <w:left w:val="nil"/>
              <w:bottom w:val="single" w:sz="4" w:space="0" w:color="auto"/>
              <w:right w:val="single" w:sz="4" w:space="0" w:color="auto"/>
            </w:tcBorders>
            <w:vAlign w:val="center"/>
          </w:tcPr>
          <w:p w:rsidR="00F85ACC" w:rsidRPr="00BD5258" w:rsidRDefault="00F85ACC" w:rsidP="0012635E">
            <w:pPr>
              <w:keepNext/>
              <w:jc w:val="center"/>
              <w:rPr>
                <w:rFonts w:ascii="Times New Roman" w:eastAsia="Times New Roman" w:hAnsi="Times New Roman" w:cs="Times New Roman"/>
                <w:sz w:val="20"/>
                <w:szCs w:val="20"/>
              </w:rPr>
            </w:pPr>
            <w:r w:rsidRPr="00BD5258">
              <w:rPr>
                <w:rFonts w:ascii="Times New Roman" w:eastAsia="Times New Roman" w:hAnsi="Times New Roman" w:cs="Times New Roman"/>
                <w:sz w:val="20"/>
                <w:szCs w:val="20"/>
              </w:rPr>
              <w:t>1.0000</w:t>
            </w:r>
          </w:p>
        </w:tc>
      </w:tr>
    </w:tbl>
    <w:p w:rsidR="00F85ACC" w:rsidRPr="0012635E" w:rsidRDefault="0012635E" w:rsidP="0012635E">
      <w:pPr>
        <w:pStyle w:val="Caption"/>
        <w:rPr>
          <w:rFonts w:ascii="Times New Roman" w:hAnsi="Times New Roman" w:cs="Times New Roman"/>
          <w:color w:val="FFFFFF" w:themeColor="background1"/>
          <w:sz w:val="24"/>
          <w:szCs w:val="36"/>
        </w:rPr>
      </w:pPr>
      <w:bookmarkStart w:id="78" w:name="_Toc305166546"/>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23</w:t>
      </w:r>
      <w:r w:rsidR="000963F3" w:rsidRPr="0012635E">
        <w:rPr>
          <w:color w:val="FFFFFF" w:themeColor="background1"/>
        </w:rPr>
        <w:fldChar w:fldCharType="end"/>
      </w:r>
      <w:r w:rsidRPr="0012635E">
        <w:rPr>
          <w:color w:val="FFFFFF" w:themeColor="background1"/>
        </w:rPr>
        <w:t xml:space="preserve"> - Correlation Estimates of Three Factors</w:t>
      </w:r>
      <w:bookmarkEnd w:id="78"/>
    </w:p>
    <w:p w:rsidR="00F85ACC" w:rsidRDefault="00F85ACC" w:rsidP="00A02570">
      <w:pPr>
        <w:pStyle w:val="ListParagraph"/>
        <w:spacing w:line="360" w:lineRule="auto"/>
        <w:ind w:left="0"/>
        <w:jc w:val="both"/>
        <w:rPr>
          <w:rFonts w:ascii="Times New Roman" w:hAnsi="Times New Roman" w:cs="Times New Roman"/>
          <w:sz w:val="24"/>
          <w:szCs w:val="36"/>
        </w:rPr>
      </w:pPr>
    </w:p>
    <w:p w:rsidR="00D34133" w:rsidRDefault="00DB0B66"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parameter estimates of each of the factors, along with their respective test statistics and p-values are present</w:t>
      </w:r>
      <w:r w:rsidR="008E2032">
        <w:rPr>
          <w:rFonts w:ascii="Times New Roman" w:hAnsi="Times New Roman" w:cs="Times New Roman"/>
          <w:sz w:val="24"/>
          <w:szCs w:val="36"/>
        </w:rPr>
        <w:t>ed in Table 2</w:t>
      </w:r>
      <w:r w:rsidR="00F20CD4">
        <w:rPr>
          <w:rFonts w:ascii="Times New Roman" w:hAnsi="Times New Roman" w:cs="Times New Roman"/>
          <w:sz w:val="24"/>
          <w:szCs w:val="36"/>
        </w:rPr>
        <w:t>4</w:t>
      </w:r>
      <w:r>
        <w:rPr>
          <w:rFonts w:ascii="Times New Roman" w:hAnsi="Times New Roman" w:cs="Times New Roman"/>
          <w:sz w:val="24"/>
          <w:szCs w:val="36"/>
        </w:rPr>
        <w:t xml:space="preserve">. The three factor model is regressed on the large value, large growth, small value, and small growth dependent variables. </w:t>
      </w:r>
      <w:r w:rsidR="00970470">
        <w:rPr>
          <w:rFonts w:ascii="Times New Roman" w:hAnsi="Times New Roman" w:cs="Times New Roman"/>
          <w:sz w:val="24"/>
          <w:szCs w:val="36"/>
        </w:rPr>
        <w:t>The</w:t>
      </w:r>
      <w:r w:rsidR="00F85ACC">
        <w:rPr>
          <w:rFonts w:ascii="Times New Roman" w:hAnsi="Times New Roman" w:cs="Times New Roman"/>
          <w:sz w:val="24"/>
          <w:szCs w:val="36"/>
        </w:rPr>
        <w:t xml:space="preserve"> first</w:t>
      </w:r>
      <w:r w:rsidR="00970470">
        <w:rPr>
          <w:rFonts w:ascii="Times New Roman" w:hAnsi="Times New Roman" w:cs="Times New Roman"/>
          <w:sz w:val="24"/>
          <w:szCs w:val="36"/>
        </w:rPr>
        <w:t xml:space="preserve"> regression is on the large value dependent variable which consists of large market </w:t>
      </w:r>
      <w:r w:rsidR="00610C8D">
        <w:rPr>
          <w:rFonts w:ascii="Times New Roman" w:hAnsi="Times New Roman" w:cs="Times New Roman"/>
          <w:sz w:val="24"/>
          <w:szCs w:val="36"/>
        </w:rPr>
        <w:t>capitalisation</w:t>
      </w:r>
      <w:r w:rsidR="00970470">
        <w:rPr>
          <w:rFonts w:ascii="Times New Roman" w:hAnsi="Times New Roman" w:cs="Times New Roman"/>
          <w:sz w:val="24"/>
          <w:szCs w:val="36"/>
        </w:rPr>
        <w:t xml:space="preserve"> and high BTM stocks. The </w:t>
      </w:r>
      <w:r w:rsidR="00210939">
        <w:rPr>
          <w:rFonts w:ascii="Times New Roman" w:hAnsi="Times New Roman" w:cs="Times New Roman"/>
          <w:sz w:val="24"/>
          <w:szCs w:val="36"/>
        </w:rPr>
        <w:t>negative</w:t>
      </w:r>
      <w:r w:rsidR="00970470">
        <w:rPr>
          <w:rFonts w:ascii="Times New Roman" w:hAnsi="Times New Roman" w:cs="Times New Roman"/>
          <w:sz w:val="24"/>
          <w:szCs w:val="36"/>
        </w:rPr>
        <w:t xml:space="preserve"> coefficient on the SMB factor is </w:t>
      </w:r>
      <w:r w:rsidR="00210939">
        <w:rPr>
          <w:rFonts w:ascii="Times New Roman" w:hAnsi="Times New Roman" w:cs="Times New Roman"/>
          <w:sz w:val="24"/>
          <w:szCs w:val="36"/>
        </w:rPr>
        <w:t>-0.01543</w:t>
      </w:r>
      <w:r w:rsidR="00970470">
        <w:rPr>
          <w:rFonts w:ascii="Times New Roman" w:hAnsi="Times New Roman" w:cs="Times New Roman"/>
          <w:sz w:val="24"/>
          <w:szCs w:val="36"/>
        </w:rPr>
        <w:t xml:space="preserve"> and is not statistically significant. </w:t>
      </w:r>
      <w:r w:rsidR="00B63A81">
        <w:rPr>
          <w:rFonts w:ascii="Times New Roman" w:hAnsi="Times New Roman" w:cs="Times New Roman"/>
          <w:sz w:val="24"/>
          <w:szCs w:val="36"/>
        </w:rPr>
        <w:t xml:space="preserve">The dependent variable is made up of large market </w:t>
      </w:r>
      <w:r w:rsidR="00610C8D">
        <w:rPr>
          <w:rFonts w:ascii="Times New Roman" w:hAnsi="Times New Roman" w:cs="Times New Roman"/>
          <w:sz w:val="24"/>
          <w:szCs w:val="36"/>
        </w:rPr>
        <w:t>capitalisation</w:t>
      </w:r>
      <w:r w:rsidR="00B63A81">
        <w:rPr>
          <w:rFonts w:ascii="Times New Roman" w:hAnsi="Times New Roman" w:cs="Times New Roman"/>
          <w:sz w:val="24"/>
          <w:szCs w:val="36"/>
        </w:rPr>
        <w:t xml:space="preserve"> stocks</w:t>
      </w:r>
      <w:r w:rsidR="00D34133">
        <w:rPr>
          <w:rFonts w:ascii="Times New Roman" w:hAnsi="Times New Roman" w:cs="Times New Roman"/>
          <w:sz w:val="24"/>
          <w:szCs w:val="36"/>
        </w:rPr>
        <w:t xml:space="preserve"> and high (value) BTM stocks</w:t>
      </w:r>
      <w:r w:rsidR="00B63A81">
        <w:rPr>
          <w:rFonts w:ascii="Times New Roman" w:hAnsi="Times New Roman" w:cs="Times New Roman"/>
          <w:sz w:val="24"/>
          <w:szCs w:val="36"/>
        </w:rPr>
        <w:t xml:space="preserve">, so the </w:t>
      </w:r>
      <w:r w:rsidR="00210939">
        <w:rPr>
          <w:rFonts w:ascii="Times New Roman" w:hAnsi="Times New Roman" w:cs="Times New Roman"/>
          <w:sz w:val="24"/>
          <w:szCs w:val="36"/>
        </w:rPr>
        <w:t>negative</w:t>
      </w:r>
      <w:r w:rsidR="00B63A81">
        <w:rPr>
          <w:rFonts w:ascii="Times New Roman" w:hAnsi="Times New Roman" w:cs="Times New Roman"/>
          <w:sz w:val="24"/>
          <w:szCs w:val="36"/>
        </w:rPr>
        <w:t xml:space="preserve"> coefficient on the size factor, albeit </w:t>
      </w:r>
      <w:r w:rsidR="00110D10">
        <w:rPr>
          <w:rFonts w:ascii="Times New Roman" w:hAnsi="Times New Roman" w:cs="Times New Roman"/>
          <w:sz w:val="24"/>
          <w:szCs w:val="36"/>
        </w:rPr>
        <w:t>not statistically significant</w:t>
      </w:r>
      <w:r w:rsidR="00210939">
        <w:rPr>
          <w:rFonts w:ascii="Times New Roman" w:hAnsi="Times New Roman" w:cs="Times New Roman"/>
          <w:sz w:val="24"/>
          <w:szCs w:val="36"/>
        </w:rPr>
        <w:t>, is not</w:t>
      </w:r>
      <w:r w:rsidR="00D34133">
        <w:rPr>
          <w:rFonts w:ascii="Times New Roman" w:hAnsi="Times New Roman" w:cs="Times New Roman"/>
          <w:sz w:val="24"/>
          <w:szCs w:val="36"/>
        </w:rPr>
        <w:t xml:space="preserve"> </w:t>
      </w:r>
      <w:r w:rsidR="00B63A81">
        <w:rPr>
          <w:rFonts w:ascii="Times New Roman" w:hAnsi="Times New Roman" w:cs="Times New Roman"/>
          <w:sz w:val="24"/>
          <w:szCs w:val="36"/>
        </w:rPr>
        <w:t>anticipated.</w:t>
      </w:r>
      <w:r w:rsidR="00F85ACC">
        <w:rPr>
          <w:rFonts w:ascii="Times New Roman" w:hAnsi="Times New Roman" w:cs="Times New Roman"/>
          <w:sz w:val="24"/>
          <w:szCs w:val="36"/>
        </w:rPr>
        <w:t xml:space="preserve"> Drew, Naughton, and Veeraraghvan (2003) find that the size coefficient on all three of their large </w:t>
      </w:r>
      <w:r w:rsidR="00610C8D">
        <w:rPr>
          <w:rFonts w:ascii="Times New Roman" w:hAnsi="Times New Roman" w:cs="Times New Roman"/>
          <w:sz w:val="24"/>
          <w:szCs w:val="36"/>
        </w:rPr>
        <w:t>capitalisation</w:t>
      </w:r>
      <w:r w:rsidR="00F85ACC">
        <w:rPr>
          <w:rFonts w:ascii="Times New Roman" w:hAnsi="Times New Roman" w:cs="Times New Roman"/>
          <w:sz w:val="24"/>
          <w:szCs w:val="36"/>
        </w:rPr>
        <w:t xml:space="preserve"> portfolios is negative and not significant</w:t>
      </w:r>
      <w:r w:rsidR="002E6A43">
        <w:rPr>
          <w:rFonts w:ascii="Times New Roman" w:hAnsi="Times New Roman" w:cs="Times New Roman"/>
          <w:sz w:val="24"/>
          <w:szCs w:val="36"/>
        </w:rPr>
        <w:t>.</w:t>
      </w:r>
      <w:r w:rsidR="00210939">
        <w:rPr>
          <w:rFonts w:ascii="Times New Roman" w:hAnsi="Times New Roman" w:cs="Times New Roman"/>
          <w:sz w:val="24"/>
          <w:szCs w:val="36"/>
        </w:rPr>
        <w:t xml:space="preserve"> Thus the results are comparable.</w:t>
      </w:r>
      <w:r w:rsidR="00B63A81">
        <w:rPr>
          <w:rFonts w:ascii="Times New Roman" w:hAnsi="Times New Roman" w:cs="Times New Roman"/>
          <w:sz w:val="24"/>
          <w:szCs w:val="36"/>
        </w:rPr>
        <w:t xml:space="preserve"> </w:t>
      </w:r>
      <w:r w:rsidR="00210939">
        <w:rPr>
          <w:rFonts w:ascii="Times New Roman" w:hAnsi="Times New Roman" w:cs="Times New Roman"/>
          <w:sz w:val="24"/>
          <w:szCs w:val="36"/>
        </w:rPr>
        <w:t>The HML coefficient of 0.03449</w:t>
      </w:r>
      <w:r w:rsidR="00970470">
        <w:rPr>
          <w:rFonts w:ascii="Times New Roman" w:hAnsi="Times New Roman" w:cs="Times New Roman"/>
          <w:sz w:val="24"/>
          <w:szCs w:val="36"/>
        </w:rPr>
        <w:t xml:space="preserve"> is also not statistically significant.</w:t>
      </w:r>
      <w:r w:rsidR="00B63A81">
        <w:rPr>
          <w:rFonts w:ascii="Times New Roman" w:hAnsi="Times New Roman" w:cs="Times New Roman"/>
          <w:sz w:val="24"/>
          <w:szCs w:val="36"/>
        </w:rPr>
        <w:t xml:space="preserve"> This positive relationship between the value factor and the large value dependent variable is not surprising considering the latter variable contains high BTM stocks and the former variable is high-minus-low BTM stocks.</w:t>
      </w:r>
      <w:r w:rsidR="00970470">
        <w:rPr>
          <w:rFonts w:ascii="Times New Roman" w:hAnsi="Times New Roman" w:cs="Times New Roman"/>
          <w:sz w:val="24"/>
          <w:szCs w:val="36"/>
        </w:rPr>
        <w:t xml:space="preserve"> The market factor, on the other hand, is statistically significant at the 1% level, with a c</w:t>
      </w:r>
      <w:r w:rsidR="00D34133">
        <w:rPr>
          <w:rFonts w:ascii="Times New Roman" w:hAnsi="Times New Roman" w:cs="Times New Roman"/>
          <w:sz w:val="24"/>
          <w:szCs w:val="36"/>
        </w:rPr>
        <w:t>oefficient of 0.6</w:t>
      </w:r>
      <w:r w:rsidR="00210939">
        <w:rPr>
          <w:rFonts w:ascii="Times New Roman" w:hAnsi="Times New Roman" w:cs="Times New Roman"/>
          <w:sz w:val="24"/>
          <w:szCs w:val="36"/>
        </w:rPr>
        <w:t>4046</w:t>
      </w:r>
      <w:r w:rsidR="00970470">
        <w:rPr>
          <w:rFonts w:ascii="Times New Roman" w:hAnsi="Times New Roman" w:cs="Times New Roman"/>
          <w:sz w:val="24"/>
          <w:szCs w:val="36"/>
        </w:rPr>
        <w:t xml:space="preserve">. </w:t>
      </w:r>
      <w:r w:rsidR="0076367D">
        <w:rPr>
          <w:rFonts w:ascii="Times New Roman" w:hAnsi="Times New Roman" w:cs="Times New Roman"/>
          <w:sz w:val="24"/>
          <w:szCs w:val="36"/>
        </w:rPr>
        <w:t>As Fama and French (1993) find all the</w:t>
      </w:r>
      <w:r w:rsidR="00D34133">
        <w:rPr>
          <w:rFonts w:ascii="Times New Roman" w:hAnsi="Times New Roman" w:cs="Times New Roman"/>
          <w:sz w:val="24"/>
          <w:szCs w:val="36"/>
        </w:rPr>
        <w:t>ir</w:t>
      </w:r>
      <w:r w:rsidR="0076367D">
        <w:rPr>
          <w:rFonts w:ascii="Times New Roman" w:hAnsi="Times New Roman" w:cs="Times New Roman"/>
          <w:sz w:val="24"/>
          <w:szCs w:val="36"/>
        </w:rPr>
        <w:t xml:space="preserve"> market factor slopes to be positive and statistically significant, the expectation is of positive </w:t>
      </w:r>
      <w:r w:rsidR="00D34133">
        <w:rPr>
          <w:rFonts w:ascii="Times New Roman" w:hAnsi="Times New Roman" w:cs="Times New Roman"/>
          <w:sz w:val="24"/>
          <w:szCs w:val="36"/>
        </w:rPr>
        <w:t xml:space="preserve">slope </w:t>
      </w:r>
      <w:r w:rsidR="0076367D">
        <w:rPr>
          <w:rFonts w:ascii="Times New Roman" w:hAnsi="Times New Roman" w:cs="Times New Roman"/>
          <w:sz w:val="24"/>
          <w:szCs w:val="36"/>
        </w:rPr>
        <w:t xml:space="preserve">coefficients on the MRP factor. </w:t>
      </w:r>
    </w:p>
    <w:p w:rsidR="00D34133" w:rsidRDefault="00D34133" w:rsidP="00A02570">
      <w:pPr>
        <w:pStyle w:val="ListParagraph"/>
        <w:spacing w:line="360" w:lineRule="auto"/>
        <w:ind w:left="0"/>
        <w:jc w:val="both"/>
        <w:rPr>
          <w:rFonts w:ascii="Times New Roman" w:hAnsi="Times New Roman" w:cs="Times New Roman"/>
          <w:sz w:val="24"/>
          <w:szCs w:val="36"/>
        </w:rPr>
      </w:pPr>
    </w:p>
    <w:p w:rsidR="00DB0B66" w:rsidRDefault="00B63A81"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lastRenderedPageBreak/>
        <w:t>The three factors regressed on the large growth dependent variable exhibit somewhat gre</w:t>
      </w:r>
      <w:r w:rsidR="00110D10">
        <w:rPr>
          <w:rFonts w:ascii="Times New Roman" w:hAnsi="Times New Roman" w:cs="Times New Roman"/>
          <w:sz w:val="24"/>
          <w:szCs w:val="36"/>
        </w:rPr>
        <w:t>ater</w:t>
      </w:r>
      <w:r>
        <w:rPr>
          <w:rFonts w:ascii="Times New Roman" w:hAnsi="Times New Roman" w:cs="Times New Roman"/>
          <w:sz w:val="24"/>
          <w:szCs w:val="36"/>
        </w:rPr>
        <w:t xml:space="preserve"> statistical</w:t>
      </w:r>
      <w:r w:rsidR="00110D10">
        <w:rPr>
          <w:rFonts w:ascii="Times New Roman" w:hAnsi="Times New Roman" w:cs="Times New Roman"/>
          <w:sz w:val="24"/>
          <w:szCs w:val="36"/>
        </w:rPr>
        <w:t xml:space="preserve"> significance than</w:t>
      </w:r>
      <w:r>
        <w:rPr>
          <w:rFonts w:ascii="Times New Roman" w:hAnsi="Times New Roman" w:cs="Times New Roman"/>
          <w:sz w:val="24"/>
          <w:szCs w:val="36"/>
        </w:rPr>
        <w:t xml:space="preserve"> that of the factors regressed on the large value dependent variable.</w:t>
      </w:r>
      <w:r w:rsidR="0076367D">
        <w:rPr>
          <w:rFonts w:ascii="Times New Roman" w:hAnsi="Times New Roman" w:cs="Times New Roman"/>
          <w:sz w:val="24"/>
          <w:szCs w:val="36"/>
        </w:rPr>
        <w:t xml:space="preserve"> This is not unlike the Fama and French (1993) results.</w:t>
      </w:r>
      <w:r>
        <w:rPr>
          <w:rFonts w:ascii="Times New Roman" w:hAnsi="Times New Roman" w:cs="Times New Roman"/>
          <w:sz w:val="24"/>
          <w:szCs w:val="36"/>
        </w:rPr>
        <w:t xml:space="preserve"> The size </w:t>
      </w:r>
      <w:r w:rsidR="00D34133">
        <w:rPr>
          <w:rFonts w:ascii="Times New Roman" w:hAnsi="Times New Roman" w:cs="Times New Roman"/>
          <w:sz w:val="24"/>
          <w:szCs w:val="36"/>
        </w:rPr>
        <w:t xml:space="preserve">factor has a coefficient of </w:t>
      </w:r>
      <w:r w:rsidR="00261D46">
        <w:rPr>
          <w:rFonts w:ascii="Times New Roman" w:hAnsi="Times New Roman" w:cs="Times New Roman"/>
          <w:sz w:val="24"/>
          <w:szCs w:val="36"/>
        </w:rPr>
        <w:t>0.01638</w:t>
      </w:r>
      <w:r>
        <w:rPr>
          <w:rFonts w:ascii="Times New Roman" w:hAnsi="Times New Roman" w:cs="Times New Roman"/>
          <w:sz w:val="24"/>
          <w:szCs w:val="36"/>
        </w:rPr>
        <w:t xml:space="preserve"> and is not statistically significant. </w:t>
      </w:r>
      <w:r w:rsidR="00110D10">
        <w:rPr>
          <w:rFonts w:ascii="Times New Roman" w:hAnsi="Times New Roman" w:cs="Times New Roman"/>
          <w:sz w:val="24"/>
          <w:szCs w:val="36"/>
        </w:rPr>
        <w:t xml:space="preserve">This result is surprising as the variable is regressed a portfolio containing large market </w:t>
      </w:r>
      <w:r w:rsidR="00610C8D">
        <w:rPr>
          <w:rFonts w:ascii="Times New Roman" w:hAnsi="Times New Roman" w:cs="Times New Roman"/>
          <w:sz w:val="24"/>
          <w:szCs w:val="36"/>
        </w:rPr>
        <w:t>capitalisation</w:t>
      </w:r>
      <w:r w:rsidR="00110D10">
        <w:rPr>
          <w:rFonts w:ascii="Times New Roman" w:hAnsi="Times New Roman" w:cs="Times New Roman"/>
          <w:sz w:val="24"/>
          <w:szCs w:val="36"/>
        </w:rPr>
        <w:t>, low BTM stocks. There is the belief that the SMB factor would be negatively related to the large growth dependent variable.</w:t>
      </w:r>
      <w:r w:rsidR="0076367D">
        <w:rPr>
          <w:rFonts w:ascii="Times New Roman" w:hAnsi="Times New Roman" w:cs="Times New Roman"/>
          <w:sz w:val="24"/>
          <w:szCs w:val="36"/>
        </w:rPr>
        <w:t xml:space="preserve"> Fama and French (1993) find their SMB factor has a negative slope on all the large sized portfolios, regardless of whether they are sorted on low or high BTM stocks. </w:t>
      </w:r>
      <w:r w:rsidR="00110D10">
        <w:rPr>
          <w:rFonts w:ascii="Times New Roman" w:hAnsi="Times New Roman" w:cs="Times New Roman"/>
          <w:sz w:val="24"/>
          <w:szCs w:val="36"/>
        </w:rPr>
        <w:t xml:space="preserve"> </w:t>
      </w:r>
      <w:r>
        <w:rPr>
          <w:rFonts w:ascii="Times New Roman" w:hAnsi="Times New Roman" w:cs="Times New Roman"/>
          <w:sz w:val="24"/>
          <w:szCs w:val="36"/>
        </w:rPr>
        <w:t>Furthermore, the HML factor exhibits a negative coefficient of -0.0</w:t>
      </w:r>
      <w:r w:rsidR="00261D46">
        <w:rPr>
          <w:rFonts w:ascii="Times New Roman" w:hAnsi="Times New Roman" w:cs="Times New Roman"/>
          <w:sz w:val="24"/>
          <w:szCs w:val="36"/>
        </w:rPr>
        <w:t>8665</w:t>
      </w:r>
      <w:r>
        <w:rPr>
          <w:rFonts w:ascii="Times New Roman" w:hAnsi="Times New Roman" w:cs="Times New Roman"/>
          <w:sz w:val="24"/>
          <w:szCs w:val="36"/>
        </w:rPr>
        <w:t xml:space="preserve"> and is st</w:t>
      </w:r>
      <w:r w:rsidR="00D34133">
        <w:rPr>
          <w:rFonts w:ascii="Times New Roman" w:hAnsi="Times New Roman" w:cs="Times New Roman"/>
          <w:sz w:val="24"/>
          <w:szCs w:val="36"/>
        </w:rPr>
        <w:t>atistically significant</w:t>
      </w:r>
      <w:r w:rsidR="00261D46">
        <w:rPr>
          <w:rFonts w:ascii="Times New Roman" w:hAnsi="Times New Roman" w:cs="Times New Roman"/>
          <w:sz w:val="24"/>
          <w:szCs w:val="36"/>
        </w:rPr>
        <w:t xml:space="preserve"> at the 10% level</w:t>
      </w:r>
      <w:r>
        <w:rPr>
          <w:rFonts w:ascii="Times New Roman" w:hAnsi="Times New Roman" w:cs="Times New Roman"/>
          <w:sz w:val="24"/>
          <w:szCs w:val="36"/>
        </w:rPr>
        <w:t xml:space="preserve">. </w:t>
      </w:r>
      <w:r w:rsidR="00AD66F9">
        <w:rPr>
          <w:rFonts w:ascii="Times New Roman" w:hAnsi="Times New Roman" w:cs="Times New Roman"/>
          <w:sz w:val="24"/>
          <w:szCs w:val="36"/>
        </w:rPr>
        <w:t>T</w:t>
      </w:r>
      <w:r>
        <w:rPr>
          <w:rFonts w:ascii="Times New Roman" w:hAnsi="Times New Roman" w:cs="Times New Roman"/>
          <w:sz w:val="24"/>
          <w:szCs w:val="36"/>
        </w:rPr>
        <w:t xml:space="preserve">he value factor is </w:t>
      </w:r>
      <w:r w:rsidR="00AD66F9">
        <w:rPr>
          <w:rFonts w:ascii="Times New Roman" w:hAnsi="Times New Roman" w:cs="Times New Roman"/>
          <w:sz w:val="24"/>
          <w:szCs w:val="36"/>
        </w:rPr>
        <w:t xml:space="preserve">thus </w:t>
      </w:r>
      <w:r>
        <w:rPr>
          <w:rFonts w:ascii="Times New Roman" w:hAnsi="Times New Roman" w:cs="Times New Roman"/>
          <w:sz w:val="24"/>
          <w:szCs w:val="36"/>
        </w:rPr>
        <w:t xml:space="preserve">negatively related to the large growth portfolio. Intuitively this makes sense considering the large growth portfolio is made up of large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stocks and stocks sorted on low BTM ratios. This negative relationship is expected. The</w:t>
      </w:r>
      <w:r w:rsidR="00110D10">
        <w:rPr>
          <w:rFonts w:ascii="Times New Roman" w:hAnsi="Times New Roman" w:cs="Times New Roman"/>
          <w:sz w:val="24"/>
          <w:szCs w:val="36"/>
        </w:rPr>
        <w:t xml:space="preserve"> market factor has a positive coefficient of 0.724</w:t>
      </w:r>
      <w:r w:rsidR="00261D46">
        <w:rPr>
          <w:rFonts w:ascii="Times New Roman" w:hAnsi="Times New Roman" w:cs="Times New Roman"/>
          <w:sz w:val="24"/>
          <w:szCs w:val="36"/>
        </w:rPr>
        <w:t>94</w:t>
      </w:r>
      <w:r w:rsidR="00110D10">
        <w:rPr>
          <w:rFonts w:ascii="Times New Roman" w:hAnsi="Times New Roman" w:cs="Times New Roman"/>
          <w:sz w:val="24"/>
          <w:szCs w:val="36"/>
        </w:rPr>
        <w:t xml:space="preserve"> that is statistically significant at the 1% level. The market risk premium is positively related to the large growth dependent variable. </w:t>
      </w:r>
      <w:r w:rsidR="00485F4A" w:rsidRPr="00485F4A">
        <w:rPr>
          <w:rFonts w:ascii="Times New Roman" w:hAnsi="Times New Roman" w:cs="Times New Roman"/>
          <w:sz w:val="24"/>
        </w:rPr>
        <w:t>Fama and French (1996) expect growth firms to have negative factor sensitivities on the HML factor, while value firms are anticipated to exhibit positive slopes on the HML factor. For</w:t>
      </w:r>
      <w:r w:rsidR="00261D46">
        <w:rPr>
          <w:rFonts w:ascii="Times New Roman" w:hAnsi="Times New Roman" w:cs="Times New Roman"/>
          <w:sz w:val="24"/>
        </w:rPr>
        <w:t xml:space="preserve"> the large value regression,</w:t>
      </w:r>
      <w:r w:rsidR="00485F4A" w:rsidRPr="00485F4A">
        <w:rPr>
          <w:rFonts w:ascii="Times New Roman" w:hAnsi="Times New Roman" w:cs="Times New Roman"/>
          <w:sz w:val="24"/>
        </w:rPr>
        <w:t xml:space="preserve"> the</w:t>
      </w:r>
      <w:r w:rsidR="00261D46">
        <w:rPr>
          <w:rFonts w:ascii="Times New Roman" w:hAnsi="Times New Roman" w:cs="Times New Roman"/>
          <w:sz w:val="24"/>
        </w:rPr>
        <w:t xml:space="preserve"> positive</w:t>
      </w:r>
      <w:r w:rsidR="00485F4A" w:rsidRPr="00485F4A">
        <w:rPr>
          <w:rFonts w:ascii="Times New Roman" w:hAnsi="Times New Roman" w:cs="Times New Roman"/>
          <w:sz w:val="24"/>
        </w:rPr>
        <w:t xml:space="preserve"> slope on the HML factor is statistically significant</w:t>
      </w:r>
      <w:r w:rsidR="00261D46">
        <w:rPr>
          <w:rFonts w:ascii="Times New Roman" w:hAnsi="Times New Roman" w:cs="Times New Roman"/>
          <w:sz w:val="24"/>
        </w:rPr>
        <w:t>, opposing the results of Fama and French (1996)</w:t>
      </w:r>
      <w:r w:rsidR="00485F4A" w:rsidRPr="00485F4A">
        <w:rPr>
          <w:rFonts w:ascii="Times New Roman" w:hAnsi="Times New Roman" w:cs="Times New Roman"/>
          <w:sz w:val="24"/>
        </w:rPr>
        <w:t>.</w:t>
      </w:r>
      <w:r w:rsidR="0088143C">
        <w:rPr>
          <w:rFonts w:ascii="Times New Roman" w:hAnsi="Times New Roman" w:cs="Times New Roman"/>
          <w:sz w:val="24"/>
        </w:rPr>
        <w:t xml:space="preserve"> It may be the case that the large value portfolio exhibits a positive coefficient as the HML factor correctly explains the returns based on the value portion of the large value dependent portfolio. What this </w:t>
      </w:r>
      <w:r w:rsidR="00AD66F9">
        <w:rPr>
          <w:rFonts w:ascii="Times New Roman" w:hAnsi="Times New Roman" w:cs="Times New Roman"/>
          <w:sz w:val="24"/>
        </w:rPr>
        <w:t>points to</w:t>
      </w:r>
      <w:r w:rsidR="0088143C">
        <w:rPr>
          <w:rFonts w:ascii="Times New Roman" w:hAnsi="Times New Roman" w:cs="Times New Roman"/>
          <w:sz w:val="24"/>
        </w:rPr>
        <w:t xml:space="preserve"> is that the large market </w:t>
      </w:r>
      <w:r w:rsidR="00610C8D">
        <w:rPr>
          <w:rFonts w:ascii="Times New Roman" w:hAnsi="Times New Roman" w:cs="Times New Roman"/>
          <w:sz w:val="24"/>
        </w:rPr>
        <w:t>capitalisation</w:t>
      </w:r>
      <w:r w:rsidR="0088143C">
        <w:rPr>
          <w:rFonts w:ascii="Times New Roman" w:hAnsi="Times New Roman" w:cs="Times New Roman"/>
          <w:sz w:val="24"/>
        </w:rPr>
        <w:t xml:space="preserve"> stock returns contained in the dependent variable are not explained by the HML factor. The high BTM stock returns contained in this dependent variable are explained by the HML factor, and thus the positive slope on the HML factor. </w:t>
      </w:r>
      <w:r w:rsidR="00485F4A" w:rsidRPr="00485F4A">
        <w:rPr>
          <w:rFonts w:ascii="Times New Roman" w:hAnsi="Times New Roman" w:cs="Times New Roman"/>
          <w:sz w:val="24"/>
        </w:rPr>
        <w:t>As predicted by Fama and French (1996) the slope on the HML factor for the large growth re</w:t>
      </w:r>
      <w:r w:rsidR="00D34133">
        <w:rPr>
          <w:rFonts w:ascii="Times New Roman" w:hAnsi="Times New Roman" w:cs="Times New Roman"/>
          <w:sz w:val="24"/>
        </w:rPr>
        <w:t>gression is negative.</w:t>
      </w:r>
    </w:p>
    <w:p w:rsidR="00110D10" w:rsidRDefault="00110D10" w:rsidP="00A02570">
      <w:pPr>
        <w:pStyle w:val="ListParagraph"/>
        <w:spacing w:line="360" w:lineRule="auto"/>
        <w:ind w:left="0"/>
        <w:jc w:val="both"/>
        <w:rPr>
          <w:rFonts w:ascii="Times New Roman" w:hAnsi="Times New Roman" w:cs="Times New Roman"/>
          <w:sz w:val="24"/>
          <w:szCs w:val="36"/>
        </w:rPr>
      </w:pPr>
    </w:p>
    <w:p w:rsidR="00261D46" w:rsidRDefault="00110D10" w:rsidP="00261D46">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The two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portfolios combined with either high BTM (value) or low (growth) BTM stocks are the last two dependent variables the three factors are run against. </w:t>
      </w:r>
      <w:r w:rsidR="0076367D">
        <w:rPr>
          <w:rFonts w:ascii="Times New Roman" w:hAnsi="Times New Roman" w:cs="Times New Roman"/>
          <w:sz w:val="24"/>
          <w:szCs w:val="36"/>
        </w:rPr>
        <w:t xml:space="preserve">The expectation, based on the findings in Fama and French (1993) is that the SMB factor will exhibit a positive coefficient and be statistically significant, while the HML factor will exhibit a positive coefficient on the small value portfolio, and a negative coefficient on the small growth portfolio. </w:t>
      </w:r>
      <w:r>
        <w:rPr>
          <w:rFonts w:ascii="Times New Roman" w:hAnsi="Times New Roman" w:cs="Times New Roman"/>
          <w:sz w:val="24"/>
          <w:szCs w:val="36"/>
        </w:rPr>
        <w:t>In the panel containing the results for the small value dependent variable all three factors are statistically significant at the 1% level. The parameter</w:t>
      </w:r>
      <w:r w:rsidR="00D6731B">
        <w:rPr>
          <w:rFonts w:ascii="Times New Roman" w:hAnsi="Times New Roman" w:cs="Times New Roman"/>
          <w:sz w:val="24"/>
          <w:szCs w:val="36"/>
        </w:rPr>
        <w:t xml:space="preserve"> esti</w:t>
      </w:r>
      <w:r w:rsidR="00261D46">
        <w:rPr>
          <w:rFonts w:ascii="Times New Roman" w:hAnsi="Times New Roman" w:cs="Times New Roman"/>
          <w:sz w:val="24"/>
          <w:szCs w:val="36"/>
        </w:rPr>
        <w:t xml:space="preserve">mate </w:t>
      </w:r>
      <w:r w:rsidR="00261D46">
        <w:rPr>
          <w:rFonts w:ascii="Times New Roman" w:hAnsi="Times New Roman" w:cs="Times New Roman"/>
          <w:sz w:val="24"/>
          <w:szCs w:val="36"/>
        </w:rPr>
        <w:lastRenderedPageBreak/>
        <w:t>on the SMB factor is 0.91171</w:t>
      </w:r>
      <w:r>
        <w:rPr>
          <w:rFonts w:ascii="Times New Roman" w:hAnsi="Times New Roman" w:cs="Times New Roman"/>
          <w:sz w:val="24"/>
          <w:szCs w:val="36"/>
        </w:rPr>
        <w:t>, which indicates a positive relationship between the size factor and the small value dependent variable. This likely result is easily accepted as the dependent variable is an extreme value portfolio, thus this expectation is the size factor would exhibit a direct relationship with the dependent variable.</w:t>
      </w:r>
      <w:r w:rsidR="00F85ACC">
        <w:rPr>
          <w:rFonts w:ascii="Times New Roman" w:hAnsi="Times New Roman" w:cs="Times New Roman"/>
          <w:sz w:val="24"/>
          <w:szCs w:val="36"/>
        </w:rPr>
        <w:t xml:space="preserve"> Drew, Naughton, and Veeraraghvan (2003) also note, in only their small </w:t>
      </w:r>
      <w:r w:rsidR="00610C8D">
        <w:rPr>
          <w:rFonts w:ascii="Times New Roman" w:hAnsi="Times New Roman" w:cs="Times New Roman"/>
          <w:sz w:val="24"/>
          <w:szCs w:val="36"/>
        </w:rPr>
        <w:t>capitalisation</w:t>
      </w:r>
      <w:r w:rsidR="00F85ACC">
        <w:rPr>
          <w:rFonts w:ascii="Times New Roman" w:hAnsi="Times New Roman" w:cs="Times New Roman"/>
          <w:sz w:val="24"/>
          <w:szCs w:val="36"/>
        </w:rPr>
        <w:t xml:space="preserve"> portfolios are their size coefficients positive and significant at the 1% level.</w:t>
      </w:r>
      <w:r>
        <w:rPr>
          <w:rFonts w:ascii="Times New Roman" w:hAnsi="Times New Roman" w:cs="Times New Roman"/>
          <w:sz w:val="24"/>
          <w:szCs w:val="36"/>
        </w:rPr>
        <w:t xml:space="preserve"> </w:t>
      </w:r>
      <w:r w:rsidR="00D6731B">
        <w:rPr>
          <w:rFonts w:ascii="Times New Roman" w:hAnsi="Times New Roman" w:cs="Times New Roman"/>
          <w:sz w:val="24"/>
          <w:szCs w:val="36"/>
        </w:rPr>
        <w:t>The HML factor displays a positive coefficient of 0.51</w:t>
      </w:r>
      <w:r w:rsidR="00261D46">
        <w:rPr>
          <w:rFonts w:ascii="Times New Roman" w:hAnsi="Times New Roman" w:cs="Times New Roman"/>
          <w:sz w:val="24"/>
          <w:szCs w:val="36"/>
        </w:rPr>
        <w:t>597, with a test statistic of 7.94</w:t>
      </w:r>
      <w:r w:rsidR="00D6731B">
        <w:rPr>
          <w:rFonts w:ascii="Times New Roman" w:hAnsi="Times New Roman" w:cs="Times New Roman"/>
          <w:sz w:val="24"/>
          <w:szCs w:val="36"/>
        </w:rPr>
        <w:t>. This positive coefficient is evidence of a positive relationship with the dependent variable. The extreme value dependent variable is expected to have a positive relationship with the value factor as the value factor is high minus low book-to-market stocks. The market factor also exhibits a statistically significa</w:t>
      </w:r>
      <w:r w:rsidR="00261D46">
        <w:rPr>
          <w:rFonts w:ascii="Times New Roman" w:hAnsi="Times New Roman" w:cs="Times New Roman"/>
          <w:sz w:val="24"/>
          <w:szCs w:val="36"/>
        </w:rPr>
        <w:t>nt positive coefficient of 0.66311</w:t>
      </w:r>
      <w:r w:rsidR="00D6731B">
        <w:rPr>
          <w:rFonts w:ascii="Times New Roman" w:hAnsi="Times New Roman" w:cs="Times New Roman"/>
          <w:sz w:val="24"/>
          <w:szCs w:val="36"/>
        </w:rPr>
        <w:t xml:space="preserve">. </w:t>
      </w:r>
    </w:p>
    <w:p w:rsidR="00261D46" w:rsidRDefault="00261D46" w:rsidP="00261D46">
      <w:pPr>
        <w:spacing w:line="360" w:lineRule="auto"/>
        <w:jc w:val="both"/>
        <w:rPr>
          <w:rFonts w:ascii="Times New Roman" w:hAnsi="Times New Roman" w:cs="Times New Roman"/>
          <w:sz w:val="24"/>
          <w:szCs w:val="36"/>
        </w:rPr>
      </w:pPr>
    </w:p>
    <w:p w:rsidR="00110D10" w:rsidRDefault="00B80E2D" w:rsidP="00261D46">
      <w:pPr>
        <w:spacing w:line="360" w:lineRule="auto"/>
        <w:jc w:val="both"/>
        <w:rPr>
          <w:rFonts w:ascii="Times New Roman" w:hAnsi="Times New Roman" w:cs="Times New Roman"/>
          <w:sz w:val="24"/>
          <w:szCs w:val="36"/>
        </w:rPr>
      </w:pPr>
      <w:r>
        <w:rPr>
          <w:rFonts w:ascii="Times New Roman" w:hAnsi="Times New Roman" w:cs="Times New Roman"/>
          <w:sz w:val="24"/>
          <w:szCs w:val="36"/>
        </w:rPr>
        <w:t xml:space="preserve">All three factors regressed on the small growth dependent variable do, as expected, exhibit </w:t>
      </w:r>
      <w:r w:rsidR="00261D46">
        <w:rPr>
          <w:rFonts w:ascii="Times New Roman" w:hAnsi="Times New Roman" w:cs="Times New Roman"/>
          <w:sz w:val="24"/>
          <w:szCs w:val="36"/>
        </w:rPr>
        <w:t xml:space="preserve">statistically significant </w:t>
      </w:r>
      <w:r>
        <w:rPr>
          <w:rFonts w:ascii="Times New Roman" w:hAnsi="Times New Roman" w:cs="Times New Roman"/>
          <w:sz w:val="24"/>
          <w:szCs w:val="36"/>
        </w:rPr>
        <w:t>coefficients. The HML factor displays a negative coe</w:t>
      </w:r>
      <w:r w:rsidR="008E2032">
        <w:rPr>
          <w:rFonts w:ascii="Times New Roman" w:hAnsi="Times New Roman" w:cs="Times New Roman"/>
          <w:sz w:val="24"/>
          <w:szCs w:val="36"/>
        </w:rPr>
        <w:t>fficient of -0.</w:t>
      </w:r>
      <w:r w:rsidR="00261D46">
        <w:rPr>
          <w:rFonts w:ascii="Times New Roman" w:hAnsi="Times New Roman" w:cs="Times New Roman"/>
          <w:sz w:val="24"/>
          <w:szCs w:val="36"/>
        </w:rPr>
        <w:t>91755</w:t>
      </w:r>
      <w:r w:rsidR="008E2032">
        <w:rPr>
          <w:rFonts w:ascii="Times New Roman" w:hAnsi="Times New Roman" w:cs="Times New Roman"/>
          <w:sz w:val="24"/>
          <w:szCs w:val="36"/>
        </w:rPr>
        <w:t xml:space="preserve"> in Table 2</w:t>
      </w:r>
      <w:r w:rsidR="00F20CD4">
        <w:rPr>
          <w:rFonts w:ascii="Times New Roman" w:hAnsi="Times New Roman" w:cs="Times New Roman"/>
          <w:sz w:val="24"/>
          <w:szCs w:val="36"/>
        </w:rPr>
        <w:t>3</w:t>
      </w:r>
      <w:r>
        <w:rPr>
          <w:rFonts w:ascii="Times New Roman" w:hAnsi="Times New Roman" w:cs="Times New Roman"/>
          <w:sz w:val="24"/>
          <w:szCs w:val="36"/>
        </w:rPr>
        <w:t xml:space="preserve">. This result is statistically significant at the 1% level. The value factor is designed so the return is a result of high (value) BTM stocks less low (growth) BTM stocks. The small growth dependent variable consists of growth stocks as determined by their low BTM ratios, hence the negative relationship between the dependent variable and the value factor is </w:t>
      </w:r>
      <w:r w:rsidR="00261D46">
        <w:rPr>
          <w:rFonts w:ascii="Times New Roman" w:hAnsi="Times New Roman" w:cs="Times New Roman"/>
          <w:sz w:val="24"/>
          <w:szCs w:val="36"/>
        </w:rPr>
        <w:t>established</w:t>
      </w:r>
      <w:r>
        <w:rPr>
          <w:rFonts w:ascii="Times New Roman" w:hAnsi="Times New Roman" w:cs="Times New Roman"/>
          <w:sz w:val="24"/>
          <w:szCs w:val="36"/>
        </w:rPr>
        <w:t xml:space="preserve">. The SMB factor </w:t>
      </w:r>
      <w:r w:rsidR="00BE20EE">
        <w:rPr>
          <w:rFonts w:ascii="Times New Roman" w:hAnsi="Times New Roman" w:cs="Times New Roman"/>
          <w:sz w:val="24"/>
          <w:szCs w:val="36"/>
        </w:rPr>
        <w:t>reveals</w:t>
      </w:r>
      <w:r>
        <w:rPr>
          <w:rFonts w:ascii="Times New Roman" w:hAnsi="Times New Roman" w:cs="Times New Roman"/>
          <w:sz w:val="24"/>
          <w:szCs w:val="36"/>
        </w:rPr>
        <w:t xml:space="preserve"> a coefficient</w:t>
      </w:r>
      <w:r w:rsidR="00BE20EE">
        <w:rPr>
          <w:rFonts w:ascii="Times New Roman" w:hAnsi="Times New Roman" w:cs="Times New Roman"/>
          <w:sz w:val="24"/>
          <w:szCs w:val="36"/>
        </w:rPr>
        <w:t xml:space="preserve"> of 1.</w:t>
      </w:r>
      <w:r w:rsidR="00261D46">
        <w:rPr>
          <w:rFonts w:ascii="Times New Roman" w:hAnsi="Times New Roman" w:cs="Times New Roman"/>
          <w:sz w:val="24"/>
          <w:szCs w:val="36"/>
        </w:rPr>
        <w:t>33674</w:t>
      </w:r>
      <w:r w:rsidR="00BE20EE">
        <w:rPr>
          <w:rFonts w:ascii="Times New Roman" w:hAnsi="Times New Roman" w:cs="Times New Roman"/>
          <w:sz w:val="24"/>
          <w:szCs w:val="36"/>
        </w:rPr>
        <w:t xml:space="preserve"> with a t-statistic </w:t>
      </w:r>
      <w:r w:rsidR="00261D46">
        <w:rPr>
          <w:rFonts w:ascii="Times New Roman" w:hAnsi="Times New Roman" w:cs="Times New Roman"/>
          <w:sz w:val="24"/>
          <w:szCs w:val="36"/>
        </w:rPr>
        <w:t>of 14.84</w:t>
      </w:r>
      <w:r w:rsidR="00BE20EE">
        <w:rPr>
          <w:rFonts w:ascii="Times New Roman" w:hAnsi="Times New Roman" w:cs="Times New Roman"/>
          <w:sz w:val="24"/>
          <w:szCs w:val="36"/>
        </w:rPr>
        <w:t xml:space="preserve">. This statistically significant factor demonstrates a positive relationship between the size factor and the small growth dependent variable. As the dependent variable still contains small market </w:t>
      </w:r>
      <w:r w:rsidR="00610C8D">
        <w:rPr>
          <w:rFonts w:ascii="Times New Roman" w:hAnsi="Times New Roman" w:cs="Times New Roman"/>
          <w:sz w:val="24"/>
          <w:szCs w:val="36"/>
        </w:rPr>
        <w:t>capitalisation</w:t>
      </w:r>
      <w:r w:rsidR="00BE20EE">
        <w:rPr>
          <w:rFonts w:ascii="Times New Roman" w:hAnsi="Times New Roman" w:cs="Times New Roman"/>
          <w:sz w:val="24"/>
          <w:szCs w:val="36"/>
        </w:rPr>
        <w:t xml:space="preserve"> stocks this direct relationship is anticipated. As in the three previous regressions, the market factor is posit</w:t>
      </w:r>
      <w:r w:rsidR="00261D46">
        <w:rPr>
          <w:rFonts w:ascii="Times New Roman" w:hAnsi="Times New Roman" w:cs="Times New Roman"/>
          <w:sz w:val="24"/>
          <w:szCs w:val="36"/>
        </w:rPr>
        <w:t>ive, with a coefficient of 0.73328 and a t-statistic of 12.24</w:t>
      </w:r>
      <w:r w:rsidR="00BE20EE">
        <w:rPr>
          <w:rFonts w:ascii="Times New Roman" w:hAnsi="Times New Roman" w:cs="Times New Roman"/>
          <w:sz w:val="24"/>
          <w:szCs w:val="36"/>
        </w:rPr>
        <w:t xml:space="preserve">. </w:t>
      </w:r>
    </w:p>
    <w:p w:rsidR="00110D10" w:rsidRDefault="00110D10" w:rsidP="00A02570">
      <w:pPr>
        <w:pStyle w:val="ListParagraph"/>
        <w:spacing w:line="360" w:lineRule="auto"/>
        <w:ind w:left="0"/>
        <w:jc w:val="both"/>
        <w:rPr>
          <w:rFonts w:ascii="Times New Roman" w:hAnsi="Times New Roman" w:cs="Times New Roman"/>
          <w:sz w:val="24"/>
          <w:szCs w:val="36"/>
        </w:rPr>
      </w:pPr>
    </w:p>
    <w:p w:rsidR="00915376" w:rsidRDefault="00F65795"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In Fama and French (1993) the coefficients are very small, never reaching 2. However, in this dissertation there are some coefficients that are much larger. The MRP coefficients are very large in all four regressions, while the SMB and HML coefficients are high in only the small growth and small value regressions.</w:t>
      </w:r>
      <w:r w:rsidR="009C550C">
        <w:rPr>
          <w:rFonts w:ascii="Times New Roman" w:hAnsi="Times New Roman" w:cs="Times New Roman"/>
          <w:sz w:val="24"/>
          <w:szCs w:val="36"/>
        </w:rPr>
        <w:t xml:space="preserve"> The authors find in their study that the MRP does not explain the variation in returns as well as the SMB and HML factors.</w:t>
      </w:r>
      <w:r>
        <w:rPr>
          <w:rFonts w:ascii="Times New Roman" w:hAnsi="Times New Roman" w:cs="Times New Roman"/>
          <w:sz w:val="24"/>
          <w:szCs w:val="36"/>
        </w:rPr>
        <w:t xml:space="preserve"> </w:t>
      </w:r>
      <w:r w:rsidR="00915376" w:rsidRPr="00566BF3">
        <w:rPr>
          <w:rFonts w:ascii="Times New Roman" w:hAnsi="Times New Roman" w:cs="Times New Roman"/>
          <w:sz w:val="24"/>
          <w:szCs w:val="36"/>
        </w:rPr>
        <w:t>Fama and French (1995) find the t-statistic for all the SMB slopes in the small or val</w:t>
      </w:r>
      <w:r w:rsidR="005A0D5F">
        <w:rPr>
          <w:rFonts w:ascii="Times New Roman" w:hAnsi="Times New Roman" w:cs="Times New Roman"/>
          <w:sz w:val="24"/>
          <w:szCs w:val="36"/>
        </w:rPr>
        <w:t>u</w:t>
      </w:r>
      <w:r w:rsidR="00915376" w:rsidRPr="00566BF3">
        <w:rPr>
          <w:rFonts w:ascii="Times New Roman" w:hAnsi="Times New Roman" w:cs="Times New Roman"/>
          <w:sz w:val="24"/>
          <w:szCs w:val="36"/>
        </w:rPr>
        <w:t>e stock</w:t>
      </w:r>
      <w:r>
        <w:rPr>
          <w:rFonts w:ascii="Times New Roman" w:hAnsi="Times New Roman" w:cs="Times New Roman"/>
          <w:sz w:val="24"/>
          <w:szCs w:val="36"/>
        </w:rPr>
        <w:t xml:space="preserve"> portfolios are greater than 35, implying statistical significance at the 1% level.</w:t>
      </w:r>
      <w:r w:rsidR="00915376" w:rsidRPr="00566BF3">
        <w:rPr>
          <w:rFonts w:ascii="Times New Roman" w:hAnsi="Times New Roman" w:cs="Times New Roman"/>
          <w:sz w:val="24"/>
          <w:szCs w:val="36"/>
        </w:rPr>
        <w:t xml:space="preserve"> </w:t>
      </w:r>
      <w:r w:rsidR="007A30EA">
        <w:rPr>
          <w:rFonts w:ascii="Times New Roman" w:hAnsi="Times New Roman" w:cs="Times New Roman"/>
          <w:sz w:val="24"/>
          <w:szCs w:val="36"/>
        </w:rPr>
        <w:t xml:space="preserve">As demonstrated in Fama </w:t>
      </w:r>
      <w:r w:rsidR="007A30EA">
        <w:rPr>
          <w:rFonts w:ascii="Times New Roman" w:hAnsi="Times New Roman" w:cs="Times New Roman"/>
          <w:sz w:val="24"/>
          <w:szCs w:val="36"/>
        </w:rPr>
        <w:lastRenderedPageBreak/>
        <w:t>and French (1993), i</w:t>
      </w:r>
      <w:r w:rsidR="0035026C">
        <w:rPr>
          <w:rFonts w:ascii="Times New Roman" w:hAnsi="Times New Roman" w:cs="Times New Roman"/>
          <w:sz w:val="24"/>
          <w:szCs w:val="36"/>
        </w:rPr>
        <w:t xml:space="preserve">f the three factor model describes the difference in returns adequately, then </w:t>
      </w:r>
      <w:r w:rsidR="0035026C" w:rsidRPr="007A30EA">
        <w:rPr>
          <w:rFonts w:ascii="Times New Roman" w:hAnsi="Times New Roman" w:cs="Times New Roman"/>
          <w:sz w:val="24"/>
          <w:szCs w:val="36"/>
        </w:rPr>
        <w:t>the intercepts of the three factor regression should be indistinguishable from zero.</w:t>
      </w:r>
      <w:r w:rsidR="007A30EA">
        <w:rPr>
          <w:rFonts w:ascii="Times New Roman" w:hAnsi="Times New Roman" w:cs="Times New Roman"/>
          <w:sz w:val="24"/>
          <w:szCs w:val="36"/>
        </w:rPr>
        <w:t xml:space="preserve"> In this dissertation the only </w:t>
      </w:r>
      <w:r w:rsidR="00261D46">
        <w:rPr>
          <w:rFonts w:ascii="Times New Roman" w:hAnsi="Times New Roman" w:cs="Times New Roman"/>
          <w:sz w:val="24"/>
          <w:szCs w:val="36"/>
        </w:rPr>
        <w:t xml:space="preserve">two </w:t>
      </w:r>
      <w:r w:rsidR="007A30EA">
        <w:rPr>
          <w:rFonts w:ascii="Times New Roman" w:hAnsi="Times New Roman" w:cs="Times New Roman"/>
          <w:sz w:val="24"/>
          <w:szCs w:val="36"/>
        </w:rPr>
        <w:t>interce</w:t>
      </w:r>
      <w:r w:rsidR="00222AD2">
        <w:rPr>
          <w:rFonts w:ascii="Times New Roman" w:hAnsi="Times New Roman" w:cs="Times New Roman"/>
          <w:sz w:val="24"/>
          <w:szCs w:val="36"/>
        </w:rPr>
        <w:t>pt</w:t>
      </w:r>
      <w:r w:rsidR="00261D46">
        <w:rPr>
          <w:rFonts w:ascii="Times New Roman" w:hAnsi="Times New Roman" w:cs="Times New Roman"/>
          <w:sz w:val="24"/>
          <w:szCs w:val="36"/>
        </w:rPr>
        <w:t>s</w:t>
      </w:r>
      <w:r w:rsidR="00222AD2">
        <w:rPr>
          <w:rFonts w:ascii="Times New Roman" w:hAnsi="Times New Roman" w:cs="Times New Roman"/>
          <w:sz w:val="24"/>
          <w:szCs w:val="36"/>
        </w:rPr>
        <w:t xml:space="preserve"> that </w:t>
      </w:r>
      <w:r w:rsidR="00261D46">
        <w:rPr>
          <w:rFonts w:ascii="Times New Roman" w:hAnsi="Times New Roman" w:cs="Times New Roman"/>
          <w:sz w:val="24"/>
          <w:szCs w:val="36"/>
        </w:rPr>
        <w:t>are</w:t>
      </w:r>
      <w:r w:rsidR="00222AD2">
        <w:rPr>
          <w:rFonts w:ascii="Times New Roman" w:hAnsi="Times New Roman" w:cs="Times New Roman"/>
          <w:sz w:val="24"/>
          <w:szCs w:val="36"/>
        </w:rPr>
        <w:t xml:space="preserve"> statistical</w:t>
      </w:r>
      <w:r w:rsidR="00261D46">
        <w:rPr>
          <w:rFonts w:ascii="Times New Roman" w:hAnsi="Times New Roman" w:cs="Times New Roman"/>
          <w:sz w:val="24"/>
          <w:szCs w:val="36"/>
        </w:rPr>
        <w:t xml:space="preserve">ly distinguishable from zero are </w:t>
      </w:r>
      <w:r w:rsidR="00222AD2">
        <w:rPr>
          <w:rFonts w:ascii="Times New Roman" w:hAnsi="Times New Roman" w:cs="Times New Roman"/>
          <w:sz w:val="24"/>
          <w:szCs w:val="36"/>
        </w:rPr>
        <w:t>the large value regression intercept, which has a t</w:t>
      </w:r>
      <w:r w:rsidR="00261D46">
        <w:rPr>
          <w:rFonts w:ascii="Times New Roman" w:hAnsi="Times New Roman" w:cs="Times New Roman"/>
          <w:sz w:val="24"/>
          <w:szCs w:val="36"/>
        </w:rPr>
        <w:t xml:space="preserve">est </w:t>
      </w:r>
      <w:r w:rsidR="00222AD2">
        <w:rPr>
          <w:rFonts w:ascii="Times New Roman" w:hAnsi="Times New Roman" w:cs="Times New Roman"/>
          <w:sz w:val="24"/>
          <w:szCs w:val="36"/>
        </w:rPr>
        <w:t>stat</w:t>
      </w:r>
      <w:r w:rsidR="00261D46">
        <w:rPr>
          <w:rFonts w:ascii="Times New Roman" w:hAnsi="Times New Roman" w:cs="Times New Roman"/>
          <w:sz w:val="24"/>
          <w:szCs w:val="36"/>
        </w:rPr>
        <w:t>istic</w:t>
      </w:r>
      <w:r w:rsidR="00222AD2">
        <w:rPr>
          <w:rFonts w:ascii="Times New Roman" w:hAnsi="Times New Roman" w:cs="Times New Roman"/>
          <w:sz w:val="24"/>
          <w:szCs w:val="36"/>
        </w:rPr>
        <w:t xml:space="preserve"> of 2.</w:t>
      </w:r>
      <w:r w:rsidR="00261D46">
        <w:rPr>
          <w:rFonts w:ascii="Times New Roman" w:hAnsi="Times New Roman" w:cs="Times New Roman"/>
          <w:sz w:val="24"/>
          <w:szCs w:val="36"/>
        </w:rPr>
        <w:t xml:space="preserve">83, and the small growth regression intercept with a test statistic of 1.8. The large growth </w:t>
      </w:r>
      <w:r w:rsidR="00222AD2">
        <w:rPr>
          <w:rFonts w:ascii="Times New Roman" w:hAnsi="Times New Roman" w:cs="Times New Roman"/>
          <w:sz w:val="24"/>
          <w:szCs w:val="36"/>
        </w:rPr>
        <w:t>and small value regressions have intercepts that are indistinguishable from zero.</w:t>
      </w:r>
      <w:r w:rsidR="000663B0">
        <w:rPr>
          <w:rFonts w:ascii="Times New Roman" w:hAnsi="Times New Roman" w:cs="Times New Roman"/>
          <w:sz w:val="24"/>
          <w:szCs w:val="36"/>
        </w:rPr>
        <w:t xml:space="preserve"> </w:t>
      </w:r>
      <w:r w:rsidR="002E6A43">
        <w:rPr>
          <w:rFonts w:ascii="Times New Roman" w:hAnsi="Times New Roman" w:cs="Times New Roman"/>
          <w:sz w:val="24"/>
          <w:szCs w:val="36"/>
        </w:rPr>
        <w:t xml:space="preserve">While the HML coefficients in this dissertation are negative for the </w:t>
      </w:r>
      <w:r w:rsidR="00A27F51">
        <w:rPr>
          <w:rFonts w:ascii="Times New Roman" w:hAnsi="Times New Roman" w:cs="Times New Roman"/>
          <w:sz w:val="24"/>
          <w:szCs w:val="36"/>
        </w:rPr>
        <w:t>large growth</w:t>
      </w:r>
      <w:r w:rsidR="002E6A43">
        <w:rPr>
          <w:rFonts w:ascii="Times New Roman" w:hAnsi="Times New Roman" w:cs="Times New Roman"/>
          <w:sz w:val="24"/>
          <w:szCs w:val="36"/>
        </w:rPr>
        <w:t xml:space="preserve"> and small growth portfolios, and positive for the large value and small value portfolios, Drew, Naughton, and Veeraraghvan (2003) find their value coefficients are negative for each of their 6 dependent variables. Their explanation for this is that value and growth firms appear to bear similar risks in China. </w:t>
      </w:r>
    </w:p>
    <w:p w:rsidR="000D2C09" w:rsidRPr="00566BF3" w:rsidRDefault="000D2C09" w:rsidP="00A02570">
      <w:pPr>
        <w:pStyle w:val="ListParagraph"/>
        <w:spacing w:line="360" w:lineRule="auto"/>
        <w:ind w:left="0"/>
        <w:jc w:val="both"/>
        <w:rPr>
          <w:rFonts w:ascii="Times New Roman" w:hAnsi="Times New Roman" w:cs="Times New Roman"/>
          <w:sz w:val="24"/>
          <w:szCs w:val="36"/>
        </w:rPr>
      </w:pPr>
    </w:p>
    <w:tbl>
      <w:tblPr>
        <w:tblStyle w:val="TableGrid"/>
        <w:tblW w:w="9242" w:type="dxa"/>
        <w:tblLook w:val="04A0"/>
      </w:tblPr>
      <w:tblGrid>
        <w:gridCol w:w="2310"/>
        <w:gridCol w:w="2310"/>
        <w:gridCol w:w="2311"/>
        <w:gridCol w:w="2311"/>
      </w:tblGrid>
      <w:tr w:rsidR="00E65530" w:rsidRPr="00E65530" w:rsidTr="00F47E3A">
        <w:tc>
          <w:tcPr>
            <w:tcW w:w="9242" w:type="dxa"/>
            <w:gridSpan w:val="4"/>
            <w:tcBorders>
              <w:bottom w:val="single" w:sz="4" w:space="0" w:color="auto"/>
            </w:tcBorders>
            <w:vAlign w:val="center"/>
          </w:tcPr>
          <w:p w:rsidR="00E65530" w:rsidRPr="00E65530" w:rsidRDefault="00E65530" w:rsidP="008E2032">
            <w:pPr>
              <w:jc w:val="center"/>
              <w:rPr>
                <w:rFonts w:ascii="Times New Roman" w:hAnsi="Times New Roman" w:cs="Times New Roman"/>
                <w:b/>
                <w:sz w:val="24"/>
              </w:rPr>
            </w:pPr>
            <w:r w:rsidRPr="00E65530">
              <w:rPr>
                <w:rFonts w:ascii="Times New Roman" w:hAnsi="Times New Roman" w:cs="Times New Roman"/>
                <w:b/>
                <w:sz w:val="24"/>
              </w:rPr>
              <w:t xml:space="preserve">Table </w:t>
            </w:r>
            <w:r w:rsidR="008E2032">
              <w:rPr>
                <w:rFonts w:ascii="Times New Roman" w:hAnsi="Times New Roman" w:cs="Times New Roman"/>
                <w:b/>
                <w:sz w:val="24"/>
              </w:rPr>
              <w:t>2</w:t>
            </w:r>
            <w:r w:rsidR="00F20CD4">
              <w:rPr>
                <w:rFonts w:ascii="Times New Roman" w:hAnsi="Times New Roman" w:cs="Times New Roman"/>
                <w:b/>
                <w:sz w:val="24"/>
              </w:rPr>
              <w:t>4</w:t>
            </w:r>
          </w:p>
        </w:tc>
      </w:tr>
      <w:tr w:rsidR="00E65530" w:rsidRPr="00E65530" w:rsidTr="00F47E3A">
        <w:tc>
          <w:tcPr>
            <w:tcW w:w="9242" w:type="dxa"/>
            <w:gridSpan w:val="4"/>
            <w:tcBorders>
              <w:top w:val="single" w:sz="4" w:space="0" w:color="auto"/>
              <w:left w:val="single" w:sz="4" w:space="0" w:color="auto"/>
              <w:bottom w:val="nil"/>
              <w:right w:val="single" w:sz="4" w:space="0" w:color="auto"/>
            </w:tcBorders>
            <w:vAlign w:val="center"/>
          </w:tcPr>
          <w:p w:rsidR="00E65530" w:rsidRPr="00E65530" w:rsidRDefault="00E65530" w:rsidP="00CA5181">
            <w:pPr>
              <w:jc w:val="center"/>
              <w:rPr>
                <w:rFonts w:ascii="Times New Roman" w:hAnsi="Times New Roman" w:cs="Times New Roman"/>
                <w:b/>
                <w:sz w:val="24"/>
              </w:rPr>
            </w:pPr>
            <w:r w:rsidRPr="00E65530">
              <w:rPr>
                <w:rFonts w:ascii="Times New Roman" w:hAnsi="Times New Roman" w:cs="Times New Roman"/>
                <w:b/>
                <w:sz w:val="24"/>
              </w:rPr>
              <w:t>Three Factor Regression</w:t>
            </w:r>
          </w:p>
        </w:tc>
      </w:tr>
      <w:tr w:rsidR="00E65530" w:rsidRPr="008B1F77" w:rsidTr="00F47E3A">
        <w:tc>
          <w:tcPr>
            <w:tcW w:w="9242" w:type="dxa"/>
            <w:gridSpan w:val="4"/>
            <w:tcBorders>
              <w:top w:val="nil"/>
            </w:tcBorders>
            <w:vAlign w:val="center"/>
          </w:tcPr>
          <w:p w:rsidR="00E65530" w:rsidRPr="00123822" w:rsidRDefault="00E65530" w:rsidP="00DB0B66">
            <w:pPr>
              <w:jc w:val="center"/>
              <w:rPr>
                <w:rFonts w:ascii="Times New Roman" w:hAnsi="Times New Roman" w:cs="Times New Roman"/>
                <w:sz w:val="20"/>
                <w:szCs w:val="20"/>
              </w:rPr>
            </w:pPr>
            <w:r w:rsidRPr="00123822">
              <w:rPr>
                <w:rFonts w:ascii="Times New Roman" w:hAnsi="Times New Roman" w:cs="Times New Roman"/>
                <w:sz w:val="20"/>
                <w:szCs w:val="20"/>
              </w:rPr>
              <w:t xml:space="preserve">The three factors are MRP, SMB, and HML. MRP is the market risk premium, which is the monthly market return less the monthly risk free rate. The market return is the ALSI total shareholder return while the risk free rate is the one month 90-day banker’s acceptance rate. SMB is the small market </w:t>
            </w:r>
            <w:r w:rsidR="00610C8D">
              <w:rPr>
                <w:rFonts w:ascii="Times New Roman" w:hAnsi="Times New Roman" w:cs="Times New Roman"/>
                <w:sz w:val="20"/>
                <w:szCs w:val="20"/>
              </w:rPr>
              <w:t>capitalisation</w:t>
            </w:r>
            <w:r w:rsidRPr="00123822">
              <w:rPr>
                <w:rFonts w:ascii="Times New Roman" w:hAnsi="Times New Roman" w:cs="Times New Roman"/>
                <w:sz w:val="20"/>
                <w:szCs w:val="20"/>
              </w:rPr>
              <w:t xml:space="preserve"> portfolio less the big market </w:t>
            </w:r>
            <w:r w:rsidR="00610C8D">
              <w:rPr>
                <w:rFonts w:ascii="Times New Roman" w:hAnsi="Times New Roman" w:cs="Times New Roman"/>
                <w:sz w:val="20"/>
                <w:szCs w:val="20"/>
              </w:rPr>
              <w:t>capitalisation</w:t>
            </w:r>
            <w:r w:rsidRPr="00123822">
              <w:rPr>
                <w:rFonts w:ascii="Times New Roman" w:hAnsi="Times New Roman" w:cs="Times New Roman"/>
                <w:sz w:val="20"/>
                <w:szCs w:val="20"/>
              </w:rPr>
              <w:t xml:space="preserve"> portfolio. HML is the high book-to-market portfolio less the low book-to-market portfolio. </w:t>
            </w:r>
            <w:r w:rsidR="00FA42D8">
              <w:rPr>
                <w:rFonts w:ascii="Times New Roman" w:hAnsi="Times New Roman" w:cs="Times New Roman"/>
                <w:sz w:val="20"/>
                <w:szCs w:val="20"/>
              </w:rPr>
              <w:t xml:space="preserve">The dependent variables are large value, large growth, small value, and small growth. </w:t>
            </w:r>
            <w:r w:rsidR="00DB0B66">
              <w:rPr>
                <w:rFonts w:ascii="Times New Roman" w:hAnsi="Times New Roman" w:cs="Times New Roman"/>
                <w:sz w:val="20"/>
                <w:szCs w:val="20"/>
              </w:rPr>
              <w:t xml:space="preserve">These two dimensional portfolios are sorted on market </w:t>
            </w:r>
            <w:r w:rsidR="00610C8D">
              <w:rPr>
                <w:rFonts w:ascii="Times New Roman" w:hAnsi="Times New Roman" w:cs="Times New Roman"/>
                <w:sz w:val="20"/>
                <w:szCs w:val="20"/>
              </w:rPr>
              <w:t>capitalisation</w:t>
            </w:r>
            <w:r w:rsidR="00DB0B66">
              <w:rPr>
                <w:rFonts w:ascii="Times New Roman" w:hAnsi="Times New Roman" w:cs="Times New Roman"/>
                <w:sz w:val="20"/>
                <w:szCs w:val="20"/>
              </w:rPr>
              <w:t xml:space="preserve"> and the book-to-market ratio. Large value is the top 50% median split of market </w:t>
            </w:r>
            <w:r w:rsidR="00610C8D">
              <w:rPr>
                <w:rFonts w:ascii="Times New Roman" w:hAnsi="Times New Roman" w:cs="Times New Roman"/>
                <w:sz w:val="20"/>
                <w:szCs w:val="20"/>
              </w:rPr>
              <w:t>capitalisation</w:t>
            </w:r>
            <w:r w:rsidR="00DB0B66">
              <w:rPr>
                <w:rFonts w:ascii="Times New Roman" w:hAnsi="Times New Roman" w:cs="Times New Roman"/>
                <w:sz w:val="20"/>
                <w:szCs w:val="20"/>
              </w:rPr>
              <w:t xml:space="preserve"> and top 50% median split of book-to-market stocks. Large growth is the top 50% median split of market </w:t>
            </w:r>
            <w:r w:rsidR="00610C8D">
              <w:rPr>
                <w:rFonts w:ascii="Times New Roman" w:hAnsi="Times New Roman" w:cs="Times New Roman"/>
                <w:sz w:val="20"/>
                <w:szCs w:val="20"/>
              </w:rPr>
              <w:t>capitalisation</w:t>
            </w:r>
            <w:r w:rsidR="00DB0B66">
              <w:rPr>
                <w:rFonts w:ascii="Times New Roman" w:hAnsi="Times New Roman" w:cs="Times New Roman"/>
                <w:sz w:val="20"/>
                <w:szCs w:val="20"/>
              </w:rPr>
              <w:t xml:space="preserve"> and bottom 50% median split of book-to-market stocks. Small value is the bottom 50% median split of market </w:t>
            </w:r>
            <w:r w:rsidR="00610C8D">
              <w:rPr>
                <w:rFonts w:ascii="Times New Roman" w:hAnsi="Times New Roman" w:cs="Times New Roman"/>
                <w:sz w:val="20"/>
                <w:szCs w:val="20"/>
              </w:rPr>
              <w:t>capitalisation</w:t>
            </w:r>
            <w:r w:rsidR="00DB0B66">
              <w:rPr>
                <w:rFonts w:ascii="Times New Roman" w:hAnsi="Times New Roman" w:cs="Times New Roman"/>
                <w:sz w:val="20"/>
                <w:szCs w:val="20"/>
              </w:rPr>
              <w:t xml:space="preserve"> and top 50% median split of book-to-market stocks. Small growth is the bottom 50% median split of market </w:t>
            </w:r>
            <w:r w:rsidR="00610C8D">
              <w:rPr>
                <w:rFonts w:ascii="Times New Roman" w:hAnsi="Times New Roman" w:cs="Times New Roman"/>
                <w:sz w:val="20"/>
                <w:szCs w:val="20"/>
              </w:rPr>
              <w:t>capitalisation</w:t>
            </w:r>
            <w:r w:rsidR="00DB0B66">
              <w:rPr>
                <w:rFonts w:ascii="Times New Roman" w:hAnsi="Times New Roman" w:cs="Times New Roman"/>
                <w:sz w:val="20"/>
                <w:szCs w:val="20"/>
              </w:rPr>
              <w:t xml:space="preserve"> and bottom 50% median split of book-to-market stocks. </w:t>
            </w:r>
          </w:p>
        </w:tc>
      </w:tr>
      <w:tr w:rsidR="00E65530" w:rsidRPr="008B1F77" w:rsidTr="000D2C09">
        <w:tc>
          <w:tcPr>
            <w:tcW w:w="2310" w:type="dxa"/>
            <w:tcBorders>
              <w:bottom w:val="single" w:sz="4" w:space="0" w:color="auto"/>
              <w:right w:val="single" w:sz="4" w:space="0" w:color="auto"/>
            </w:tcBorders>
          </w:tcPr>
          <w:p w:rsidR="00E65530" w:rsidRPr="00E65530" w:rsidRDefault="00E65530" w:rsidP="00CA5181">
            <w:pPr>
              <w:rPr>
                <w:rFonts w:ascii="Times New Roman" w:hAnsi="Times New Roman" w:cs="Times New Roman"/>
                <w:b/>
                <w:sz w:val="20"/>
                <w:szCs w:val="20"/>
              </w:rPr>
            </w:pPr>
            <w:r w:rsidRPr="00E65530">
              <w:rPr>
                <w:rFonts w:ascii="Times New Roman" w:hAnsi="Times New Roman" w:cs="Times New Roman"/>
                <w:b/>
                <w:sz w:val="20"/>
                <w:szCs w:val="20"/>
              </w:rPr>
              <w:t>Dependent Variable: Large Value</w:t>
            </w:r>
          </w:p>
        </w:tc>
        <w:tc>
          <w:tcPr>
            <w:tcW w:w="2310" w:type="dxa"/>
            <w:tcBorders>
              <w:top w:val="single" w:sz="4" w:space="0" w:color="auto"/>
              <w:left w:val="single" w:sz="4" w:space="0" w:color="auto"/>
              <w:bottom w:val="single" w:sz="4" w:space="0" w:color="auto"/>
              <w:right w:val="nil"/>
            </w:tcBorders>
            <w:vAlign w:val="center"/>
          </w:tcPr>
          <w:p w:rsidR="00E65530" w:rsidRPr="00123822" w:rsidRDefault="00E65530" w:rsidP="00CA5181">
            <w:pPr>
              <w:jc w:val="center"/>
              <w:rPr>
                <w:rFonts w:ascii="Times New Roman" w:hAnsi="Times New Roman" w:cs="Times New Roman"/>
                <w:b/>
                <w:sz w:val="20"/>
                <w:szCs w:val="20"/>
              </w:rPr>
            </w:pPr>
            <w:r w:rsidRPr="00123822">
              <w:rPr>
                <w:rFonts w:ascii="Times New Roman" w:hAnsi="Times New Roman" w:cs="Times New Roman"/>
                <w:b/>
                <w:sz w:val="20"/>
                <w:szCs w:val="20"/>
              </w:rPr>
              <w:t>Coefficient</w:t>
            </w:r>
          </w:p>
        </w:tc>
        <w:tc>
          <w:tcPr>
            <w:tcW w:w="2311" w:type="dxa"/>
            <w:tcBorders>
              <w:top w:val="single" w:sz="4" w:space="0" w:color="auto"/>
              <w:left w:val="nil"/>
              <w:bottom w:val="single" w:sz="4" w:space="0" w:color="auto"/>
              <w:right w:val="nil"/>
            </w:tcBorders>
            <w:vAlign w:val="center"/>
          </w:tcPr>
          <w:p w:rsidR="00E65530" w:rsidRPr="00123822" w:rsidRDefault="00E65530" w:rsidP="00CA5181">
            <w:pPr>
              <w:jc w:val="center"/>
              <w:rPr>
                <w:rFonts w:ascii="Times New Roman" w:hAnsi="Times New Roman" w:cs="Times New Roman"/>
                <w:b/>
                <w:sz w:val="20"/>
                <w:szCs w:val="20"/>
              </w:rPr>
            </w:pPr>
            <w:r w:rsidRPr="00123822">
              <w:rPr>
                <w:rFonts w:ascii="Times New Roman" w:hAnsi="Times New Roman" w:cs="Times New Roman"/>
                <w:b/>
                <w:sz w:val="20"/>
                <w:szCs w:val="20"/>
              </w:rPr>
              <w:t>t-Value</w:t>
            </w:r>
          </w:p>
        </w:tc>
        <w:tc>
          <w:tcPr>
            <w:tcW w:w="2311" w:type="dxa"/>
            <w:tcBorders>
              <w:top w:val="single" w:sz="4" w:space="0" w:color="auto"/>
              <w:left w:val="nil"/>
              <w:bottom w:val="single" w:sz="4" w:space="0" w:color="auto"/>
              <w:right w:val="single" w:sz="4" w:space="0" w:color="auto"/>
            </w:tcBorders>
            <w:vAlign w:val="center"/>
          </w:tcPr>
          <w:p w:rsidR="00E65530" w:rsidRPr="00123822" w:rsidRDefault="00E65530" w:rsidP="00CA5181">
            <w:pPr>
              <w:jc w:val="center"/>
              <w:rPr>
                <w:rFonts w:ascii="Times New Roman" w:hAnsi="Times New Roman" w:cs="Times New Roman"/>
                <w:b/>
                <w:sz w:val="20"/>
                <w:szCs w:val="20"/>
              </w:rPr>
            </w:pPr>
            <w:r w:rsidRPr="00123822">
              <w:rPr>
                <w:rFonts w:ascii="Times New Roman" w:hAnsi="Times New Roman" w:cs="Times New Roman"/>
                <w:b/>
                <w:sz w:val="20"/>
                <w:szCs w:val="20"/>
              </w:rPr>
              <w:t>Pr&gt;|t|</w:t>
            </w:r>
          </w:p>
        </w:tc>
      </w:tr>
      <w:tr w:rsidR="00E65530" w:rsidRPr="008B1F77" w:rsidTr="000D2C09">
        <w:tc>
          <w:tcPr>
            <w:tcW w:w="2310" w:type="dxa"/>
            <w:tcBorders>
              <w:top w:val="nil"/>
              <w:left w:val="single" w:sz="4" w:space="0" w:color="auto"/>
              <w:bottom w:val="nil"/>
              <w:right w:val="single" w:sz="4" w:space="0" w:color="auto"/>
            </w:tcBorders>
          </w:tcPr>
          <w:p w:rsidR="00E65530" w:rsidRPr="00E65530" w:rsidRDefault="00E65530" w:rsidP="00CA5181">
            <w:pPr>
              <w:rPr>
                <w:rFonts w:ascii="Times New Roman" w:hAnsi="Times New Roman" w:cs="Times New Roman"/>
                <w:sz w:val="20"/>
                <w:szCs w:val="20"/>
              </w:rPr>
            </w:pPr>
            <w:r w:rsidRPr="00E65530">
              <w:rPr>
                <w:rFonts w:ascii="Times New Roman" w:hAnsi="Times New Roman" w:cs="Times New Roman"/>
                <w:sz w:val="20"/>
                <w:szCs w:val="20"/>
              </w:rPr>
              <w:t>MRP</w:t>
            </w:r>
          </w:p>
        </w:tc>
        <w:tc>
          <w:tcPr>
            <w:tcW w:w="2310" w:type="dxa"/>
            <w:tcBorders>
              <w:top w:val="nil"/>
              <w:left w:val="single" w:sz="4" w:space="0" w:color="auto"/>
              <w:bottom w:val="nil"/>
              <w:right w:val="nil"/>
            </w:tcBorders>
            <w:vAlign w:val="center"/>
          </w:tcPr>
          <w:p w:rsidR="00E65530" w:rsidRPr="00123822" w:rsidRDefault="00E65530"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sidR="00224CB5">
              <w:rPr>
                <w:rFonts w:ascii="Times New Roman" w:eastAsia="Times New Roman" w:hAnsi="Times New Roman" w:cs="Times New Roman"/>
                <w:sz w:val="20"/>
                <w:szCs w:val="20"/>
              </w:rPr>
              <w:t>64046</w:t>
            </w:r>
          </w:p>
        </w:tc>
        <w:tc>
          <w:tcPr>
            <w:tcW w:w="2311" w:type="dxa"/>
            <w:tcBorders>
              <w:top w:val="nil"/>
              <w:left w:val="nil"/>
              <w:bottom w:val="nil"/>
              <w:right w:val="nil"/>
            </w:tcBorders>
            <w:vAlign w:val="center"/>
          </w:tcPr>
          <w:p w:rsidR="00E65530" w:rsidRPr="00123822" w:rsidRDefault="00DC122C"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FA42D8">
              <w:rPr>
                <w:rFonts w:ascii="Times New Roman" w:eastAsia="Times New Roman" w:hAnsi="Times New Roman" w:cs="Times New Roman"/>
                <w:sz w:val="20"/>
                <w:szCs w:val="20"/>
              </w:rPr>
              <w:t>16.</w:t>
            </w:r>
            <w:r w:rsidR="00224CB5">
              <w:rPr>
                <w:rFonts w:ascii="Times New Roman" w:eastAsia="Times New Roman" w:hAnsi="Times New Roman" w:cs="Times New Roman"/>
                <w:sz w:val="20"/>
                <w:szCs w:val="20"/>
              </w:rPr>
              <w:t>87</w:t>
            </w:r>
            <w:r w:rsidR="00FA42D8">
              <w:rPr>
                <w:rFonts w:ascii="Times New Roman" w:eastAsia="Times New Roman" w:hAnsi="Times New Roman" w:cs="Times New Roman"/>
                <w:sz w:val="20"/>
                <w:szCs w:val="20"/>
              </w:rPr>
              <w:t>**</w:t>
            </w:r>
          </w:p>
        </w:tc>
        <w:tc>
          <w:tcPr>
            <w:tcW w:w="2311" w:type="dxa"/>
            <w:tcBorders>
              <w:top w:val="nil"/>
              <w:left w:val="nil"/>
              <w:bottom w:val="nil"/>
              <w:right w:val="single" w:sz="4" w:space="0" w:color="auto"/>
            </w:tcBorders>
            <w:vAlign w:val="center"/>
          </w:tcPr>
          <w:p w:rsidR="00E65530" w:rsidRPr="00123822" w:rsidRDefault="00FA42D8" w:rsidP="00FA42D8">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&lt;.0001</w:t>
            </w:r>
          </w:p>
        </w:tc>
      </w:tr>
      <w:tr w:rsidR="00E65530" w:rsidRPr="008B1F77" w:rsidTr="00DC122C">
        <w:tc>
          <w:tcPr>
            <w:tcW w:w="2310" w:type="dxa"/>
            <w:tcBorders>
              <w:top w:val="nil"/>
              <w:left w:val="single" w:sz="4" w:space="0" w:color="auto"/>
              <w:bottom w:val="nil"/>
              <w:right w:val="single" w:sz="4" w:space="0" w:color="auto"/>
            </w:tcBorders>
          </w:tcPr>
          <w:p w:rsidR="00E65530" w:rsidRPr="00E65530" w:rsidRDefault="00E65530" w:rsidP="00CA5181">
            <w:pPr>
              <w:rPr>
                <w:rFonts w:ascii="Times New Roman" w:hAnsi="Times New Roman" w:cs="Times New Roman"/>
                <w:sz w:val="20"/>
                <w:szCs w:val="20"/>
              </w:rPr>
            </w:pPr>
            <w:r w:rsidRPr="00E65530">
              <w:rPr>
                <w:rFonts w:ascii="Times New Roman" w:hAnsi="Times New Roman" w:cs="Times New Roman"/>
                <w:sz w:val="20"/>
                <w:szCs w:val="20"/>
              </w:rPr>
              <w:t>SMB</w:t>
            </w:r>
          </w:p>
        </w:tc>
        <w:tc>
          <w:tcPr>
            <w:tcW w:w="2310" w:type="dxa"/>
            <w:tcBorders>
              <w:top w:val="nil"/>
              <w:left w:val="single" w:sz="4" w:space="0" w:color="auto"/>
              <w:bottom w:val="nil"/>
              <w:right w:val="nil"/>
            </w:tcBorders>
            <w:vAlign w:val="center"/>
          </w:tcPr>
          <w:p w:rsidR="00E65530" w:rsidRPr="00123822" w:rsidRDefault="00FA42D8" w:rsidP="00224C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r w:rsidR="00224CB5">
              <w:rPr>
                <w:rFonts w:ascii="Times New Roman" w:eastAsia="Times New Roman" w:hAnsi="Times New Roman" w:cs="Times New Roman"/>
                <w:sz w:val="20"/>
                <w:szCs w:val="20"/>
              </w:rPr>
              <w:t>1543</w:t>
            </w:r>
          </w:p>
        </w:tc>
        <w:tc>
          <w:tcPr>
            <w:tcW w:w="2311" w:type="dxa"/>
            <w:tcBorders>
              <w:top w:val="nil"/>
              <w:left w:val="nil"/>
              <w:bottom w:val="nil"/>
              <w:right w:val="nil"/>
            </w:tcBorders>
            <w:vAlign w:val="center"/>
          </w:tcPr>
          <w:p w:rsidR="00E65530" w:rsidRPr="00123822" w:rsidRDefault="00FA42D8"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w:t>
            </w:r>
            <w:r w:rsidR="00224CB5">
              <w:rPr>
                <w:rFonts w:ascii="Times New Roman" w:eastAsia="Times New Roman" w:hAnsi="Times New Roman" w:cs="Times New Roman"/>
                <w:sz w:val="20"/>
                <w:szCs w:val="20"/>
              </w:rPr>
              <w:t>27</w:t>
            </w:r>
          </w:p>
        </w:tc>
        <w:tc>
          <w:tcPr>
            <w:tcW w:w="2311" w:type="dxa"/>
            <w:tcBorders>
              <w:top w:val="nil"/>
              <w:left w:val="nil"/>
              <w:bottom w:val="nil"/>
              <w:right w:val="single" w:sz="4" w:space="0" w:color="auto"/>
            </w:tcBorders>
            <w:vAlign w:val="center"/>
          </w:tcPr>
          <w:p w:rsidR="00E65530" w:rsidRPr="00123822" w:rsidRDefault="00E65530"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sidR="00224CB5">
              <w:rPr>
                <w:rFonts w:ascii="Times New Roman" w:eastAsia="Times New Roman" w:hAnsi="Times New Roman" w:cs="Times New Roman"/>
                <w:sz w:val="20"/>
                <w:szCs w:val="20"/>
              </w:rPr>
              <w:t>7871</w:t>
            </w:r>
          </w:p>
        </w:tc>
      </w:tr>
      <w:tr w:rsidR="00E65530" w:rsidRPr="008B1F77" w:rsidTr="00DC122C">
        <w:tc>
          <w:tcPr>
            <w:tcW w:w="2310" w:type="dxa"/>
            <w:tcBorders>
              <w:top w:val="nil"/>
              <w:left w:val="single" w:sz="4" w:space="0" w:color="auto"/>
              <w:bottom w:val="single" w:sz="4" w:space="0" w:color="auto"/>
              <w:right w:val="single" w:sz="4" w:space="0" w:color="auto"/>
            </w:tcBorders>
          </w:tcPr>
          <w:p w:rsidR="00E65530" w:rsidRPr="00E65530" w:rsidRDefault="00E65530" w:rsidP="00CA5181">
            <w:pPr>
              <w:rPr>
                <w:rFonts w:ascii="Times New Roman" w:hAnsi="Times New Roman" w:cs="Times New Roman"/>
                <w:sz w:val="20"/>
                <w:szCs w:val="20"/>
              </w:rPr>
            </w:pPr>
            <w:r w:rsidRPr="00E65530">
              <w:rPr>
                <w:rFonts w:ascii="Times New Roman" w:hAnsi="Times New Roman" w:cs="Times New Roman"/>
                <w:sz w:val="20"/>
                <w:szCs w:val="20"/>
              </w:rPr>
              <w:t>HML</w:t>
            </w:r>
          </w:p>
        </w:tc>
        <w:tc>
          <w:tcPr>
            <w:tcW w:w="2310" w:type="dxa"/>
            <w:tcBorders>
              <w:top w:val="nil"/>
              <w:left w:val="single" w:sz="4" w:space="0" w:color="auto"/>
              <w:bottom w:val="nil"/>
              <w:right w:val="nil"/>
            </w:tcBorders>
            <w:vAlign w:val="center"/>
          </w:tcPr>
          <w:p w:rsidR="00E65530" w:rsidRPr="00123822" w:rsidRDefault="00224CB5" w:rsidP="00224C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0.03449</w:t>
            </w:r>
          </w:p>
        </w:tc>
        <w:tc>
          <w:tcPr>
            <w:tcW w:w="2311" w:type="dxa"/>
            <w:tcBorders>
              <w:top w:val="nil"/>
              <w:left w:val="nil"/>
              <w:bottom w:val="nil"/>
              <w:right w:val="nil"/>
            </w:tcBorders>
            <w:vAlign w:val="center"/>
          </w:tcPr>
          <w:p w:rsidR="00E65530" w:rsidRPr="00123822" w:rsidRDefault="00E65530" w:rsidP="00DC122C">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sidR="00224CB5">
              <w:rPr>
                <w:rFonts w:ascii="Times New Roman" w:eastAsia="Times New Roman" w:hAnsi="Times New Roman" w:cs="Times New Roman"/>
                <w:sz w:val="20"/>
                <w:szCs w:val="20"/>
              </w:rPr>
              <w:t>67</w:t>
            </w:r>
          </w:p>
        </w:tc>
        <w:tc>
          <w:tcPr>
            <w:tcW w:w="2311" w:type="dxa"/>
            <w:tcBorders>
              <w:top w:val="nil"/>
              <w:left w:val="nil"/>
              <w:bottom w:val="nil"/>
              <w:right w:val="single" w:sz="4" w:space="0" w:color="auto"/>
            </w:tcBorders>
            <w:vAlign w:val="center"/>
          </w:tcPr>
          <w:p w:rsidR="00E65530" w:rsidRPr="00123822" w:rsidRDefault="00E65530"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sidR="00224CB5">
              <w:rPr>
                <w:rFonts w:ascii="Times New Roman" w:eastAsia="Times New Roman" w:hAnsi="Times New Roman" w:cs="Times New Roman"/>
                <w:sz w:val="20"/>
                <w:szCs w:val="20"/>
              </w:rPr>
              <w:t>5007</w:t>
            </w:r>
          </w:p>
        </w:tc>
      </w:tr>
      <w:tr w:rsidR="00E65530" w:rsidRPr="008B1F77" w:rsidTr="000D2C09">
        <w:tc>
          <w:tcPr>
            <w:tcW w:w="2310" w:type="dxa"/>
            <w:tcBorders>
              <w:top w:val="single" w:sz="4" w:space="0" w:color="auto"/>
              <w:left w:val="single" w:sz="4" w:space="0" w:color="auto"/>
              <w:bottom w:val="single" w:sz="4" w:space="0" w:color="auto"/>
              <w:right w:val="single" w:sz="4" w:space="0" w:color="auto"/>
            </w:tcBorders>
          </w:tcPr>
          <w:p w:rsidR="00E65530" w:rsidRPr="00E65530" w:rsidRDefault="00E65530" w:rsidP="00CA5181">
            <w:pPr>
              <w:rPr>
                <w:rFonts w:ascii="Times New Roman" w:hAnsi="Times New Roman" w:cs="Times New Roman"/>
                <w:b/>
                <w:sz w:val="20"/>
                <w:szCs w:val="20"/>
              </w:rPr>
            </w:pPr>
            <w:r w:rsidRPr="00E65530">
              <w:rPr>
                <w:rFonts w:ascii="Times New Roman" w:hAnsi="Times New Roman" w:cs="Times New Roman"/>
                <w:b/>
                <w:sz w:val="20"/>
                <w:szCs w:val="20"/>
              </w:rPr>
              <w:t>Dependent Variable: Large Growth</w:t>
            </w:r>
          </w:p>
        </w:tc>
        <w:tc>
          <w:tcPr>
            <w:tcW w:w="2310" w:type="dxa"/>
            <w:tcBorders>
              <w:top w:val="nil"/>
              <w:left w:val="single" w:sz="4" w:space="0" w:color="auto"/>
              <w:bottom w:val="single" w:sz="4" w:space="0" w:color="auto"/>
              <w:right w:val="nil"/>
            </w:tcBorders>
            <w:vAlign w:val="center"/>
          </w:tcPr>
          <w:p w:rsidR="00E65530" w:rsidRPr="00123822" w:rsidRDefault="00E65530" w:rsidP="00E65530">
            <w:pPr>
              <w:jc w:val="center"/>
              <w:rPr>
                <w:rFonts w:ascii="Times New Roman" w:hAnsi="Times New Roman" w:cs="Times New Roman"/>
                <w:sz w:val="20"/>
                <w:szCs w:val="20"/>
              </w:rPr>
            </w:pPr>
          </w:p>
        </w:tc>
        <w:tc>
          <w:tcPr>
            <w:tcW w:w="2311" w:type="dxa"/>
            <w:tcBorders>
              <w:top w:val="nil"/>
              <w:left w:val="nil"/>
              <w:bottom w:val="single" w:sz="4" w:space="0" w:color="auto"/>
              <w:right w:val="nil"/>
            </w:tcBorders>
            <w:vAlign w:val="center"/>
          </w:tcPr>
          <w:p w:rsidR="00E65530" w:rsidRPr="00123822" w:rsidRDefault="00E65530" w:rsidP="00DC122C">
            <w:pPr>
              <w:jc w:val="center"/>
              <w:rPr>
                <w:rFonts w:ascii="Times New Roman" w:hAnsi="Times New Roman" w:cs="Times New Roman"/>
                <w:sz w:val="20"/>
                <w:szCs w:val="20"/>
              </w:rPr>
            </w:pPr>
          </w:p>
        </w:tc>
        <w:tc>
          <w:tcPr>
            <w:tcW w:w="2311" w:type="dxa"/>
            <w:tcBorders>
              <w:top w:val="nil"/>
              <w:left w:val="nil"/>
              <w:bottom w:val="single" w:sz="4" w:space="0" w:color="auto"/>
              <w:right w:val="single" w:sz="4" w:space="0" w:color="auto"/>
            </w:tcBorders>
            <w:vAlign w:val="center"/>
          </w:tcPr>
          <w:p w:rsidR="00E65530" w:rsidRPr="00123822" w:rsidRDefault="00E65530" w:rsidP="00E65530">
            <w:pPr>
              <w:jc w:val="center"/>
              <w:rPr>
                <w:rFonts w:ascii="Times New Roman" w:hAnsi="Times New Roman" w:cs="Times New Roman"/>
                <w:sz w:val="20"/>
                <w:szCs w:val="20"/>
              </w:rPr>
            </w:pPr>
          </w:p>
        </w:tc>
      </w:tr>
      <w:tr w:rsidR="000D2C09" w:rsidRPr="008B1F77" w:rsidTr="000D2C09">
        <w:tc>
          <w:tcPr>
            <w:tcW w:w="2310" w:type="dxa"/>
            <w:tcBorders>
              <w:top w:val="nil"/>
              <w:left w:val="single" w:sz="4" w:space="0" w:color="auto"/>
              <w:bottom w:val="nil"/>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MRP</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0.72494</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21.2**</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DC122C">
        <w:tc>
          <w:tcPr>
            <w:tcW w:w="2310" w:type="dxa"/>
            <w:tcBorders>
              <w:top w:val="nil"/>
              <w:left w:val="single" w:sz="4" w:space="0" w:color="auto"/>
              <w:bottom w:val="nil"/>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SMB</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0.0</w:t>
            </w:r>
            <w:r>
              <w:rPr>
                <w:rFonts w:ascii="Times New Roman" w:eastAsia="Times New Roman" w:hAnsi="Times New Roman" w:cs="Times New Roman"/>
                <w:sz w:val="20"/>
                <w:szCs w:val="20"/>
              </w:rPr>
              <w:t>1638</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32</w:t>
            </w:r>
          </w:p>
        </w:tc>
        <w:tc>
          <w:tcPr>
            <w:tcW w:w="2311" w:type="dxa"/>
            <w:tcBorders>
              <w:top w:val="nil"/>
              <w:left w:val="nil"/>
              <w:bottom w:val="nil"/>
              <w:right w:val="single" w:sz="4" w:space="0" w:color="auto"/>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7503</w:t>
            </w:r>
          </w:p>
        </w:tc>
      </w:tr>
      <w:tr w:rsidR="000D2C09" w:rsidRPr="008B1F77" w:rsidTr="00DC122C">
        <w:tc>
          <w:tcPr>
            <w:tcW w:w="2310" w:type="dxa"/>
            <w:tcBorders>
              <w:top w:val="nil"/>
              <w:left w:val="single" w:sz="4" w:space="0" w:color="auto"/>
              <w:bottom w:val="single" w:sz="4" w:space="0" w:color="auto"/>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HML</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-0.08</w:t>
            </w:r>
            <w:r>
              <w:rPr>
                <w:rFonts w:ascii="Times New Roman" w:eastAsia="Times New Roman" w:hAnsi="Times New Roman" w:cs="Times New Roman"/>
                <w:sz w:val="20"/>
                <w:szCs w:val="20"/>
              </w:rPr>
              <w:t>665</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-1.</w:t>
            </w:r>
            <w:r>
              <w:rPr>
                <w:rFonts w:ascii="Times New Roman" w:eastAsia="Times New Roman" w:hAnsi="Times New Roman" w:cs="Times New Roman"/>
                <w:sz w:val="20"/>
                <w:szCs w:val="20"/>
              </w:rPr>
              <w:t>88</w:t>
            </w:r>
          </w:p>
        </w:tc>
        <w:tc>
          <w:tcPr>
            <w:tcW w:w="2311" w:type="dxa"/>
            <w:tcBorders>
              <w:top w:val="nil"/>
              <w:left w:val="nil"/>
              <w:bottom w:val="nil"/>
              <w:right w:val="single" w:sz="4" w:space="0" w:color="auto"/>
            </w:tcBorders>
            <w:vAlign w:val="center"/>
          </w:tcPr>
          <w:p w:rsidR="000D2C09" w:rsidRPr="00123822" w:rsidRDefault="000D2C09" w:rsidP="00224C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0.0</w:t>
            </w:r>
            <w:r w:rsidRPr="00123822">
              <w:rPr>
                <w:rFonts w:ascii="Times New Roman" w:eastAsia="Times New Roman" w:hAnsi="Times New Roman" w:cs="Times New Roman"/>
                <w:sz w:val="20"/>
                <w:szCs w:val="20"/>
              </w:rPr>
              <w:t>6</w:t>
            </w:r>
            <w:r>
              <w:rPr>
                <w:rFonts w:ascii="Times New Roman" w:eastAsia="Times New Roman" w:hAnsi="Times New Roman" w:cs="Times New Roman"/>
                <w:sz w:val="20"/>
                <w:szCs w:val="20"/>
              </w:rPr>
              <w:t>13</w:t>
            </w:r>
          </w:p>
        </w:tc>
      </w:tr>
      <w:tr w:rsidR="000D2C09" w:rsidRPr="008B1F77" w:rsidTr="000D2C09">
        <w:tc>
          <w:tcPr>
            <w:tcW w:w="2310" w:type="dxa"/>
            <w:tcBorders>
              <w:top w:val="single" w:sz="4" w:space="0" w:color="auto"/>
              <w:left w:val="single" w:sz="4" w:space="0" w:color="auto"/>
              <w:bottom w:val="single" w:sz="4" w:space="0" w:color="auto"/>
              <w:right w:val="single" w:sz="4" w:space="0" w:color="auto"/>
            </w:tcBorders>
          </w:tcPr>
          <w:p w:rsidR="000D2C09" w:rsidRPr="00E65530" w:rsidRDefault="000D2C09" w:rsidP="00CA5181">
            <w:pPr>
              <w:rPr>
                <w:rFonts w:ascii="Times New Roman" w:hAnsi="Times New Roman" w:cs="Times New Roman"/>
                <w:b/>
                <w:sz w:val="20"/>
                <w:szCs w:val="20"/>
              </w:rPr>
            </w:pPr>
            <w:r w:rsidRPr="00E65530">
              <w:rPr>
                <w:rFonts w:ascii="Times New Roman" w:hAnsi="Times New Roman" w:cs="Times New Roman"/>
                <w:b/>
                <w:sz w:val="20"/>
                <w:szCs w:val="20"/>
              </w:rPr>
              <w:t>Dependent Variable: Small Value</w:t>
            </w:r>
          </w:p>
        </w:tc>
        <w:tc>
          <w:tcPr>
            <w:tcW w:w="2310" w:type="dxa"/>
            <w:tcBorders>
              <w:top w:val="nil"/>
              <w:left w:val="single" w:sz="4" w:space="0" w:color="auto"/>
              <w:bottom w:val="single" w:sz="4" w:space="0" w:color="auto"/>
              <w:right w:val="nil"/>
            </w:tcBorders>
            <w:vAlign w:val="center"/>
          </w:tcPr>
          <w:p w:rsidR="000D2C09" w:rsidRPr="00123822" w:rsidRDefault="000D2C09" w:rsidP="00E65530">
            <w:pPr>
              <w:jc w:val="center"/>
              <w:rPr>
                <w:rFonts w:ascii="Times New Roman" w:hAnsi="Times New Roman" w:cs="Times New Roman"/>
                <w:sz w:val="20"/>
                <w:szCs w:val="20"/>
              </w:rPr>
            </w:pPr>
          </w:p>
        </w:tc>
        <w:tc>
          <w:tcPr>
            <w:tcW w:w="2311" w:type="dxa"/>
            <w:tcBorders>
              <w:top w:val="nil"/>
              <w:left w:val="nil"/>
              <w:bottom w:val="single" w:sz="4" w:space="0" w:color="auto"/>
              <w:right w:val="nil"/>
            </w:tcBorders>
            <w:vAlign w:val="center"/>
          </w:tcPr>
          <w:p w:rsidR="000D2C09" w:rsidRPr="00123822" w:rsidRDefault="000D2C09" w:rsidP="00DC122C">
            <w:pPr>
              <w:jc w:val="center"/>
              <w:rPr>
                <w:rFonts w:ascii="Times New Roman" w:hAnsi="Times New Roman" w:cs="Times New Roman"/>
                <w:sz w:val="20"/>
                <w:szCs w:val="20"/>
              </w:rPr>
            </w:pPr>
          </w:p>
        </w:tc>
        <w:tc>
          <w:tcPr>
            <w:tcW w:w="2311" w:type="dxa"/>
            <w:tcBorders>
              <w:top w:val="nil"/>
              <w:left w:val="nil"/>
              <w:bottom w:val="single" w:sz="4" w:space="0" w:color="auto"/>
              <w:right w:val="single" w:sz="4" w:space="0" w:color="auto"/>
            </w:tcBorders>
            <w:vAlign w:val="center"/>
          </w:tcPr>
          <w:p w:rsidR="000D2C09" w:rsidRPr="00123822" w:rsidRDefault="000D2C09" w:rsidP="00E65530">
            <w:pPr>
              <w:jc w:val="center"/>
              <w:rPr>
                <w:rFonts w:ascii="Times New Roman" w:hAnsi="Times New Roman" w:cs="Times New Roman"/>
                <w:sz w:val="20"/>
                <w:szCs w:val="20"/>
              </w:rPr>
            </w:pPr>
          </w:p>
        </w:tc>
      </w:tr>
      <w:tr w:rsidR="000D2C09" w:rsidRPr="008B1F77" w:rsidTr="000D2C09">
        <w:tc>
          <w:tcPr>
            <w:tcW w:w="2310" w:type="dxa"/>
            <w:tcBorders>
              <w:top w:val="nil"/>
              <w:left w:val="single" w:sz="4" w:space="0" w:color="auto"/>
              <w:bottom w:val="nil"/>
              <w:right w:val="nil"/>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MRP</w:t>
            </w:r>
          </w:p>
        </w:tc>
        <w:tc>
          <w:tcPr>
            <w:tcW w:w="2310" w:type="dxa"/>
            <w:tcBorders>
              <w:top w:val="nil"/>
              <w:left w:val="nil"/>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0.66311</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13.74**</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DC122C">
        <w:tc>
          <w:tcPr>
            <w:tcW w:w="2310" w:type="dxa"/>
            <w:tcBorders>
              <w:top w:val="nil"/>
              <w:left w:val="single" w:sz="4" w:space="0" w:color="auto"/>
              <w:bottom w:val="nil"/>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SMB</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91171</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12.57**</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DC122C">
        <w:tc>
          <w:tcPr>
            <w:tcW w:w="2310" w:type="dxa"/>
            <w:tcBorders>
              <w:top w:val="nil"/>
              <w:left w:val="single" w:sz="4" w:space="0" w:color="auto"/>
              <w:bottom w:val="single" w:sz="4" w:space="0" w:color="auto"/>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HML</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51597</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7.94**</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0D2C09">
        <w:tc>
          <w:tcPr>
            <w:tcW w:w="2310" w:type="dxa"/>
            <w:tcBorders>
              <w:top w:val="single" w:sz="4" w:space="0" w:color="auto"/>
              <w:left w:val="single" w:sz="4" w:space="0" w:color="auto"/>
              <w:bottom w:val="single" w:sz="4" w:space="0" w:color="auto"/>
              <w:right w:val="single" w:sz="4" w:space="0" w:color="auto"/>
            </w:tcBorders>
          </w:tcPr>
          <w:p w:rsidR="000D2C09" w:rsidRPr="00E65530" w:rsidRDefault="000D2C09" w:rsidP="00CA5181">
            <w:pPr>
              <w:rPr>
                <w:rFonts w:ascii="Times New Roman" w:hAnsi="Times New Roman" w:cs="Times New Roman"/>
                <w:b/>
                <w:sz w:val="20"/>
                <w:szCs w:val="20"/>
              </w:rPr>
            </w:pPr>
            <w:r w:rsidRPr="00E65530">
              <w:rPr>
                <w:rFonts w:ascii="Times New Roman" w:hAnsi="Times New Roman" w:cs="Times New Roman"/>
                <w:b/>
                <w:sz w:val="20"/>
                <w:szCs w:val="20"/>
              </w:rPr>
              <w:t>Dependent Variable: Small Growth</w:t>
            </w:r>
          </w:p>
        </w:tc>
        <w:tc>
          <w:tcPr>
            <w:tcW w:w="2310" w:type="dxa"/>
            <w:tcBorders>
              <w:top w:val="nil"/>
              <w:left w:val="single" w:sz="4" w:space="0" w:color="auto"/>
              <w:bottom w:val="single" w:sz="4" w:space="0" w:color="auto"/>
              <w:right w:val="nil"/>
            </w:tcBorders>
            <w:vAlign w:val="center"/>
          </w:tcPr>
          <w:p w:rsidR="000D2C09" w:rsidRPr="00123822" w:rsidRDefault="000D2C09" w:rsidP="00E65530">
            <w:pPr>
              <w:jc w:val="center"/>
              <w:rPr>
                <w:rFonts w:ascii="Times New Roman" w:hAnsi="Times New Roman" w:cs="Times New Roman"/>
                <w:sz w:val="20"/>
                <w:szCs w:val="20"/>
              </w:rPr>
            </w:pPr>
          </w:p>
        </w:tc>
        <w:tc>
          <w:tcPr>
            <w:tcW w:w="2311" w:type="dxa"/>
            <w:tcBorders>
              <w:top w:val="nil"/>
              <w:left w:val="nil"/>
              <w:bottom w:val="single" w:sz="4" w:space="0" w:color="auto"/>
              <w:right w:val="nil"/>
            </w:tcBorders>
            <w:vAlign w:val="center"/>
          </w:tcPr>
          <w:p w:rsidR="000D2C09" w:rsidRPr="00123822" w:rsidRDefault="000D2C09" w:rsidP="00DC122C">
            <w:pPr>
              <w:jc w:val="center"/>
              <w:rPr>
                <w:rFonts w:ascii="Times New Roman" w:hAnsi="Times New Roman" w:cs="Times New Roman"/>
                <w:sz w:val="20"/>
                <w:szCs w:val="20"/>
              </w:rPr>
            </w:pPr>
          </w:p>
        </w:tc>
        <w:tc>
          <w:tcPr>
            <w:tcW w:w="2311" w:type="dxa"/>
            <w:tcBorders>
              <w:top w:val="nil"/>
              <w:left w:val="nil"/>
              <w:bottom w:val="single" w:sz="4" w:space="0" w:color="auto"/>
              <w:right w:val="single" w:sz="4" w:space="0" w:color="auto"/>
            </w:tcBorders>
            <w:vAlign w:val="center"/>
          </w:tcPr>
          <w:p w:rsidR="000D2C09" w:rsidRPr="00123822" w:rsidRDefault="000D2C09" w:rsidP="00E65530">
            <w:pPr>
              <w:jc w:val="center"/>
              <w:rPr>
                <w:rFonts w:ascii="Times New Roman" w:hAnsi="Times New Roman" w:cs="Times New Roman"/>
                <w:sz w:val="20"/>
                <w:szCs w:val="20"/>
              </w:rPr>
            </w:pPr>
          </w:p>
        </w:tc>
      </w:tr>
      <w:tr w:rsidR="000D2C09" w:rsidRPr="008B1F77" w:rsidTr="000D2C09">
        <w:tc>
          <w:tcPr>
            <w:tcW w:w="2310" w:type="dxa"/>
            <w:tcBorders>
              <w:top w:val="nil"/>
              <w:left w:val="single" w:sz="4" w:space="0" w:color="auto"/>
              <w:bottom w:val="nil"/>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MRP</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.73328</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1</w:t>
            </w:r>
            <w:r>
              <w:rPr>
                <w:rFonts w:ascii="Times New Roman" w:eastAsia="Times New Roman" w:hAnsi="Times New Roman" w:cs="Times New Roman"/>
                <w:sz w:val="20"/>
                <w:szCs w:val="20"/>
              </w:rPr>
              <w:t>2.24**</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DC122C">
        <w:tc>
          <w:tcPr>
            <w:tcW w:w="2310" w:type="dxa"/>
            <w:tcBorders>
              <w:top w:val="nil"/>
              <w:left w:val="single" w:sz="4" w:space="0" w:color="auto"/>
              <w:bottom w:val="nil"/>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SMB</w:t>
            </w:r>
          </w:p>
        </w:tc>
        <w:tc>
          <w:tcPr>
            <w:tcW w:w="2310" w:type="dxa"/>
            <w:tcBorders>
              <w:top w:val="nil"/>
              <w:left w:val="single" w:sz="4" w:space="0" w:color="auto"/>
              <w:bottom w:val="nil"/>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1.</w:t>
            </w:r>
            <w:r>
              <w:rPr>
                <w:rFonts w:ascii="Times New Roman" w:eastAsia="Times New Roman" w:hAnsi="Times New Roman" w:cs="Times New Roman"/>
                <w:sz w:val="20"/>
                <w:szCs w:val="20"/>
              </w:rPr>
              <w:t>33674</w:t>
            </w:r>
          </w:p>
        </w:tc>
        <w:tc>
          <w:tcPr>
            <w:tcW w:w="2311" w:type="dxa"/>
            <w:tcBorders>
              <w:top w:val="nil"/>
              <w:left w:val="nil"/>
              <w:bottom w:val="nil"/>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Pr="00123822">
              <w:rPr>
                <w:rFonts w:ascii="Times New Roman" w:eastAsia="Times New Roman" w:hAnsi="Times New Roman" w:cs="Times New Roman"/>
                <w:sz w:val="20"/>
                <w:szCs w:val="20"/>
              </w:rPr>
              <w:t>.</w:t>
            </w:r>
            <w:r>
              <w:rPr>
                <w:rFonts w:ascii="Times New Roman" w:eastAsia="Times New Roman" w:hAnsi="Times New Roman" w:cs="Times New Roman"/>
                <w:sz w:val="20"/>
                <w:szCs w:val="20"/>
              </w:rPr>
              <w:t>84**</w:t>
            </w:r>
          </w:p>
        </w:tc>
        <w:tc>
          <w:tcPr>
            <w:tcW w:w="2311" w:type="dxa"/>
            <w:tcBorders>
              <w:top w:val="nil"/>
              <w:left w:val="nil"/>
              <w:bottom w:val="nil"/>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RPr="008B1F77" w:rsidTr="00DC122C">
        <w:tc>
          <w:tcPr>
            <w:tcW w:w="2310" w:type="dxa"/>
            <w:tcBorders>
              <w:top w:val="nil"/>
              <w:left w:val="single" w:sz="4" w:space="0" w:color="auto"/>
              <w:bottom w:val="single" w:sz="4" w:space="0" w:color="auto"/>
              <w:right w:val="single" w:sz="4" w:space="0" w:color="auto"/>
            </w:tcBorders>
          </w:tcPr>
          <w:p w:rsidR="000D2C09" w:rsidRPr="00E65530" w:rsidRDefault="000D2C09" w:rsidP="00CA5181">
            <w:pPr>
              <w:rPr>
                <w:rFonts w:ascii="Times New Roman" w:hAnsi="Times New Roman" w:cs="Times New Roman"/>
                <w:sz w:val="20"/>
                <w:szCs w:val="20"/>
              </w:rPr>
            </w:pPr>
            <w:r w:rsidRPr="00E65530">
              <w:rPr>
                <w:rFonts w:ascii="Times New Roman" w:hAnsi="Times New Roman" w:cs="Times New Roman"/>
                <w:sz w:val="20"/>
                <w:szCs w:val="20"/>
              </w:rPr>
              <w:t>HML</w:t>
            </w:r>
          </w:p>
        </w:tc>
        <w:tc>
          <w:tcPr>
            <w:tcW w:w="2310" w:type="dxa"/>
            <w:tcBorders>
              <w:top w:val="nil"/>
              <w:left w:val="single" w:sz="4" w:space="0" w:color="auto"/>
              <w:bottom w:val="single" w:sz="4" w:space="0" w:color="auto"/>
              <w:right w:val="nil"/>
            </w:tcBorders>
            <w:vAlign w:val="center"/>
          </w:tcPr>
          <w:p w:rsidR="000D2C09" w:rsidRPr="00123822" w:rsidRDefault="000D2C09" w:rsidP="00224CB5">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-0.</w:t>
            </w:r>
            <w:r>
              <w:rPr>
                <w:rFonts w:ascii="Times New Roman" w:eastAsia="Times New Roman" w:hAnsi="Times New Roman" w:cs="Times New Roman"/>
                <w:sz w:val="20"/>
                <w:szCs w:val="20"/>
              </w:rPr>
              <w:t>91755</w:t>
            </w:r>
          </w:p>
        </w:tc>
        <w:tc>
          <w:tcPr>
            <w:tcW w:w="2311" w:type="dxa"/>
            <w:tcBorders>
              <w:top w:val="nil"/>
              <w:left w:val="nil"/>
              <w:bottom w:val="single" w:sz="4" w:space="0" w:color="auto"/>
              <w:right w:val="nil"/>
            </w:tcBorders>
            <w:vAlign w:val="center"/>
          </w:tcPr>
          <w:p w:rsidR="000D2C09" w:rsidRPr="00123822" w:rsidRDefault="000D2C09" w:rsidP="00DC122C">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-1</w:t>
            </w:r>
            <w:r>
              <w:rPr>
                <w:rFonts w:ascii="Times New Roman" w:eastAsia="Times New Roman" w:hAnsi="Times New Roman" w:cs="Times New Roman"/>
                <w:sz w:val="20"/>
                <w:szCs w:val="20"/>
              </w:rPr>
              <w:t>1.37**</w:t>
            </w:r>
          </w:p>
        </w:tc>
        <w:tc>
          <w:tcPr>
            <w:tcW w:w="2311" w:type="dxa"/>
            <w:tcBorders>
              <w:top w:val="nil"/>
              <w:left w:val="nil"/>
              <w:bottom w:val="single" w:sz="4" w:space="0" w:color="auto"/>
              <w:right w:val="single" w:sz="4" w:space="0" w:color="auto"/>
            </w:tcBorders>
            <w:vAlign w:val="center"/>
          </w:tcPr>
          <w:p w:rsidR="000D2C09" w:rsidRPr="00123822" w:rsidRDefault="000D2C09" w:rsidP="00E65530">
            <w:pPr>
              <w:jc w:val="center"/>
              <w:rPr>
                <w:rFonts w:ascii="Times New Roman" w:eastAsia="Times New Roman" w:hAnsi="Times New Roman" w:cs="Times New Roman"/>
                <w:sz w:val="20"/>
                <w:szCs w:val="20"/>
              </w:rPr>
            </w:pPr>
            <w:r w:rsidRPr="00123822">
              <w:rPr>
                <w:rFonts w:ascii="Times New Roman" w:eastAsia="Times New Roman" w:hAnsi="Times New Roman" w:cs="Times New Roman"/>
                <w:sz w:val="20"/>
                <w:szCs w:val="20"/>
              </w:rPr>
              <w:t>&lt;.0001</w:t>
            </w:r>
          </w:p>
        </w:tc>
      </w:tr>
      <w:tr w:rsidR="000D2C09" w:rsidTr="000D2C09">
        <w:tc>
          <w:tcPr>
            <w:tcW w:w="9242" w:type="dxa"/>
            <w:gridSpan w:val="4"/>
            <w:tcBorders>
              <w:top w:val="single" w:sz="4" w:space="0" w:color="auto"/>
              <w:left w:val="single" w:sz="4" w:space="0" w:color="auto"/>
              <w:bottom w:val="single" w:sz="4" w:space="0" w:color="auto"/>
              <w:right w:val="single" w:sz="4" w:space="0" w:color="auto"/>
            </w:tcBorders>
            <w:vAlign w:val="center"/>
          </w:tcPr>
          <w:p w:rsidR="000D2C09" w:rsidRDefault="000D2C09" w:rsidP="00F47E3A">
            <w:pPr>
              <w:rPr>
                <w:rFonts w:ascii="Times New Roman" w:hAnsi="Times New Roman" w:cs="Times New Roman"/>
                <w:color w:val="000000"/>
                <w:sz w:val="20"/>
                <w:szCs w:val="20"/>
              </w:rPr>
            </w:pPr>
            <w:r>
              <w:rPr>
                <w:rFonts w:ascii="Times New Roman" w:hAnsi="Times New Roman" w:cs="Times New Roman"/>
                <w:color w:val="000000"/>
                <w:sz w:val="20"/>
                <w:szCs w:val="20"/>
              </w:rPr>
              <w:t>*Significant at the 5% level</w:t>
            </w:r>
          </w:p>
          <w:p w:rsidR="000D2C09" w:rsidRPr="00F47E3A" w:rsidRDefault="000D2C09" w:rsidP="0012635E">
            <w:pPr>
              <w:keepNext/>
              <w:rPr>
                <w:rFonts w:ascii="Times New Roman" w:hAnsi="Times New Roman" w:cs="Times New Roman"/>
                <w:color w:val="000000"/>
                <w:sz w:val="20"/>
                <w:szCs w:val="20"/>
              </w:rPr>
            </w:pPr>
            <w:r>
              <w:rPr>
                <w:rFonts w:ascii="Times New Roman" w:hAnsi="Times New Roman" w:cs="Times New Roman"/>
                <w:color w:val="000000"/>
                <w:sz w:val="20"/>
                <w:szCs w:val="20"/>
              </w:rPr>
              <w:t>**Significant at the 1% level</w:t>
            </w:r>
          </w:p>
        </w:tc>
      </w:tr>
    </w:tbl>
    <w:p w:rsidR="00E65530" w:rsidRPr="0012635E" w:rsidRDefault="0012635E" w:rsidP="0012635E">
      <w:pPr>
        <w:pStyle w:val="Caption"/>
        <w:rPr>
          <w:color w:val="FFFFFF" w:themeColor="background1"/>
        </w:rPr>
      </w:pPr>
      <w:bookmarkStart w:id="79" w:name="_Toc305166547"/>
      <w:r w:rsidRPr="0012635E">
        <w:rPr>
          <w:color w:val="FFFFFF" w:themeColor="background1"/>
        </w:rPr>
        <w:t xml:space="preserve">Table </w:t>
      </w:r>
      <w:r w:rsidR="000963F3" w:rsidRPr="0012635E">
        <w:rPr>
          <w:color w:val="FFFFFF" w:themeColor="background1"/>
        </w:rPr>
        <w:fldChar w:fldCharType="begin"/>
      </w:r>
      <w:r w:rsidRPr="0012635E">
        <w:rPr>
          <w:color w:val="FFFFFF" w:themeColor="background1"/>
        </w:rPr>
        <w:instrText xml:space="preserve"> SEQ Table \* ARABIC </w:instrText>
      </w:r>
      <w:r w:rsidR="000963F3" w:rsidRPr="0012635E">
        <w:rPr>
          <w:color w:val="FFFFFF" w:themeColor="background1"/>
        </w:rPr>
        <w:fldChar w:fldCharType="separate"/>
      </w:r>
      <w:r w:rsidR="00AB32F5">
        <w:rPr>
          <w:noProof/>
          <w:color w:val="FFFFFF" w:themeColor="background1"/>
        </w:rPr>
        <w:t>24</w:t>
      </w:r>
      <w:r w:rsidR="000963F3" w:rsidRPr="0012635E">
        <w:rPr>
          <w:color w:val="FFFFFF" w:themeColor="background1"/>
        </w:rPr>
        <w:fldChar w:fldCharType="end"/>
      </w:r>
      <w:r w:rsidRPr="0012635E">
        <w:rPr>
          <w:color w:val="FFFFFF" w:themeColor="background1"/>
        </w:rPr>
        <w:t xml:space="preserve"> - Three Factor Regression</w:t>
      </w:r>
      <w:bookmarkEnd w:id="79"/>
    </w:p>
    <w:p w:rsidR="00265FB5" w:rsidRDefault="00265FB5" w:rsidP="00265FB5">
      <w:pPr>
        <w:spacing w:line="360" w:lineRule="auto"/>
        <w:jc w:val="both"/>
        <w:rPr>
          <w:rFonts w:ascii="Times New Roman" w:hAnsi="Times New Roman" w:cs="Times New Roman"/>
          <w:sz w:val="24"/>
        </w:rPr>
      </w:pPr>
      <w:r w:rsidRPr="00265FB5">
        <w:rPr>
          <w:rFonts w:ascii="Times New Roman" w:hAnsi="Times New Roman" w:cs="Times New Roman"/>
          <w:sz w:val="24"/>
        </w:rPr>
        <w:lastRenderedPageBreak/>
        <w:t xml:space="preserve">The three factors do not exhibit the predicted correlations. The SMB and HML factors are expected to have very little correlation with each other; this is to be consistent with Fama and French (1993). The value and market factors are negatively correlated, while the size and market factors are positively correlated. The small value and small growth three factor regressions show all factors to be statistically significant. The size factor in the small growth regressions is much larger than any of the factors in any of the three factor regressions performed. The coefficient on the market factor is consistently positive throughout the three factor regressions, while the size and value factors do not have a </w:t>
      </w:r>
      <w:r w:rsidR="00AB2C61" w:rsidRPr="00265FB5">
        <w:rPr>
          <w:rFonts w:ascii="Times New Roman" w:hAnsi="Times New Roman" w:cs="Times New Roman"/>
          <w:sz w:val="24"/>
        </w:rPr>
        <w:t>consistent</w:t>
      </w:r>
      <w:r w:rsidRPr="00265FB5">
        <w:rPr>
          <w:rFonts w:ascii="Times New Roman" w:hAnsi="Times New Roman" w:cs="Times New Roman"/>
          <w:sz w:val="24"/>
        </w:rPr>
        <w:t xml:space="preserve"> sign on each coefficient. The market factor also consistently explains stocks returns across the four sets of three factor regressions performed. </w:t>
      </w:r>
    </w:p>
    <w:p w:rsidR="003640C9" w:rsidRDefault="003640C9" w:rsidP="00265FB5">
      <w:pPr>
        <w:spacing w:line="360" w:lineRule="auto"/>
        <w:jc w:val="both"/>
        <w:rPr>
          <w:rFonts w:ascii="Times New Roman" w:hAnsi="Times New Roman" w:cs="Times New Roman"/>
          <w:sz w:val="24"/>
        </w:rPr>
      </w:pPr>
    </w:p>
    <w:p w:rsidR="003640C9" w:rsidRPr="00265FB5" w:rsidRDefault="003640C9" w:rsidP="00265FB5">
      <w:pPr>
        <w:spacing w:line="360" w:lineRule="auto"/>
        <w:jc w:val="both"/>
        <w:rPr>
          <w:rFonts w:ascii="Times New Roman" w:hAnsi="Times New Roman" w:cs="Times New Roman"/>
          <w:sz w:val="24"/>
        </w:rPr>
      </w:pPr>
      <w:r>
        <w:rPr>
          <w:rFonts w:ascii="Times New Roman" w:hAnsi="Times New Roman" w:cs="Times New Roman"/>
          <w:sz w:val="24"/>
        </w:rPr>
        <w:t xml:space="preserve">Bringing this section together, there is one main result: size explains the cross-section of returns and small sized stocks outperform large sized stocks. The one-dimensional sorts of variables reveals that portfolios formed on high BTM, E/P, C/P, D/P, and small market capitalisation stocks outperform portfolios sorted on low BTM, E/P, C/P, D/P, and large market capitalisation stocks. The two exceptions to this are the equally weighted D/P and E/P </w:t>
      </w:r>
      <w:r w:rsidR="00AB2C61">
        <w:rPr>
          <w:rFonts w:ascii="Times New Roman" w:hAnsi="Times New Roman" w:cs="Times New Roman"/>
          <w:sz w:val="24"/>
        </w:rPr>
        <w:t>sorted</w:t>
      </w:r>
      <w:r>
        <w:rPr>
          <w:rFonts w:ascii="Times New Roman" w:hAnsi="Times New Roman" w:cs="Times New Roman"/>
          <w:sz w:val="24"/>
        </w:rPr>
        <w:t xml:space="preserve"> portfolios, where growth outperforms value. In all cases the growth portfolios are riskier than the value portfolios, which oppose the value-is-riskier theory. The single sorted portfolio regressions indicate that size best explains stock returns. Size consistently produces statistically significant results, regardless of whether it is value weighted or equally weighted. The BTM sorted portfolios display a very insignificant relationship with stock returns, while the E/P portfolios appear to only explain large market capitalisation stock returns. The D/P value portfolio exhibits a less-than-strong relationship with stock returns. The portfolios sorted on the C/P ratio show no consistent explanation of stock returns, explaining the large value, small value, and small growth portfolios. Specifically, the equally weighted growth portfolio sorted on C/P explains the small growth dependent portfolio, while the value weighted value portfolio sorted on C/P explains the large value dependent portfolio. With regards to the two-dimensional sorts, BM-EP is not statistically significant in the regressions, with growth outperforming value. The BM-CP value portfolio outperforms the growth. On a consistent basis, the two-dimensional sort of BTM with E/P, D/P, or C/P will not produce value premia. However, the combination of BTM with E/P explains the returns of small capitalisation stocks. </w:t>
      </w:r>
      <w:r w:rsidR="00591CC3">
        <w:rPr>
          <w:rFonts w:ascii="Times New Roman" w:hAnsi="Times New Roman" w:cs="Times New Roman"/>
          <w:sz w:val="24"/>
        </w:rPr>
        <w:t>In the 3-fact</w:t>
      </w:r>
      <w:r w:rsidR="000D2C09">
        <w:rPr>
          <w:rFonts w:ascii="Times New Roman" w:hAnsi="Times New Roman" w:cs="Times New Roman"/>
          <w:sz w:val="24"/>
        </w:rPr>
        <w:t>o</w:t>
      </w:r>
      <w:r w:rsidR="00591CC3">
        <w:rPr>
          <w:rFonts w:ascii="Times New Roman" w:hAnsi="Times New Roman" w:cs="Times New Roman"/>
          <w:sz w:val="24"/>
        </w:rPr>
        <w:t xml:space="preserve">r regressions the market risk premium is positive and statistically significant for all four regressions. This indicates a positive relationship between </w:t>
      </w:r>
      <w:r w:rsidR="00591CC3">
        <w:rPr>
          <w:rFonts w:ascii="Times New Roman" w:hAnsi="Times New Roman" w:cs="Times New Roman"/>
          <w:sz w:val="24"/>
        </w:rPr>
        <w:lastRenderedPageBreak/>
        <w:t xml:space="preserve">market risk premium and stock returns. The size and value factors are only statistically significant for the two small market capitalisation portfolios. The size factor is positively related to small stock returns, which is to be expected as prior literature provides evidence of the small firm effect. The value factor is positively related to small value stocks but negatively related to small growth stocks, which implies the BTM ratio plays a larger role when combined with market capitalisation than </w:t>
      </w:r>
      <w:r w:rsidR="00971C8A">
        <w:rPr>
          <w:rFonts w:ascii="Times New Roman" w:hAnsi="Times New Roman" w:cs="Times New Roman"/>
          <w:sz w:val="24"/>
        </w:rPr>
        <w:t xml:space="preserve">the combination of BTM with size. </w:t>
      </w:r>
    </w:p>
    <w:p w:rsidR="008108D4" w:rsidRPr="00566BF3" w:rsidRDefault="008108D4" w:rsidP="00A02570">
      <w:pPr>
        <w:pStyle w:val="ListParagraph"/>
        <w:spacing w:line="360" w:lineRule="auto"/>
        <w:ind w:left="0"/>
        <w:jc w:val="both"/>
        <w:outlineLvl w:val="0"/>
        <w:rPr>
          <w:rFonts w:ascii="Times New Roman" w:hAnsi="Times New Roman" w:cs="Times New Roman"/>
          <w:b/>
          <w:sz w:val="36"/>
          <w:szCs w:val="36"/>
        </w:rPr>
      </w:pPr>
    </w:p>
    <w:p w:rsidR="009653E9" w:rsidRPr="00566BF3" w:rsidRDefault="009653E9" w:rsidP="00FF500C">
      <w:pPr>
        <w:pStyle w:val="ListParagraph"/>
        <w:numPr>
          <w:ilvl w:val="0"/>
          <w:numId w:val="18"/>
        </w:numPr>
        <w:spacing w:line="360" w:lineRule="auto"/>
        <w:ind w:left="170" w:firstLine="0"/>
        <w:jc w:val="both"/>
        <w:outlineLvl w:val="0"/>
        <w:rPr>
          <w:rFonts w:ascii="Times New Roman" w:hAnsi="Times New Roman" w:cs="Times New Roman"/>
          <w:b/>
          <w:sz w:val="36"/>
          <w:szCs w:val="36"/>
        </w:rPr>
      </w:pPr>
      <w:bookmarkStart w:id="80" w:name="_Toc281403419"/>
      <w:bookmarkStart w:id="81" w:name="_Toc305166522"/>
      <w:r w:rsidRPr="00566BF3">
        <w:rPr>
          <w:rFonts w:ascii="Times New Roman" w:hAnsi="Times New Roman" w:cs="Times New Roman"/>
          <w:b/>
          <w:sz w:val="36"/>
          <w:szCs w:val="36"/>
        </w:rPr>
        <w:t>Conclusions</w:t>
      </w:r>
      <w:bookmarkEnd w:id="80"/>
      <w:bookmarkEnd w:id="81"/>
    </w:p>
    <w:p w:rsidR="009653E9" w:rsidRDefault="009653E9" w:rsidP="004B1D0B"/>
    <w:p w:rsidR="00402F5A" w:rsidRDefault="00402F5A"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Themes covered in this dissertation range from the behavioural and risk explanations of contrarian investing, to how different markets produce different contrarian results. A contrarian investor is one who has the conviction to stick with poorly performing stocks in the belief that their prices will revert to their means and become profitable in the future. The dissertation investigated the capital asset pricing model and the role beta plays in correctly pricing stocks. It is noted that beta cannot fully capture all the risks inherent in a stock. The search for other risk proxies led to the use of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the BTM, E/P, C/P, and D/P ratios as variables in the creation and classification of portfolios. Investors, as theory states, will hold the market portfolio and will not engage in active management. However, this is not the case for most investors who, either on their own or through investment companies, actively buy or sell stocks in order to make a risk-adjusted profit. Stock prices thus fluctuate, and contrarian investing is based on theses stock prices eventually reverting to their fundamental values. The idea behind contrarian investing is that naive investors misvalue stocks or extrapolate past performance too far into the future. Stock prices not only fluctuate due to the presence of noise traders but also due to institutional investors who invest larger sums of money. </w:t>
      </w:r>
    </w:p>
    <w:p w:rsidR="00AD04F1" w:rsidRDefault="00AD04F1" w:rsidP="004B1D0B"/>
    <w:p w:rsidR="00AD04F1" w:rsidRDefault="00AD04F1"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momentum strategy is explored as it is the polar opposite to the contrarian strategy. While the contrarian strategy profits from an investor shorting growth stocks and going long in value stocks, the momentum strategy proves profitable when investors buy growth stocks and short sell value stocks. Long term contrarian profits appear to be the consensus result, while in the intermediate term the momentum strategy is profitable. This thus makes the two </w:t>
      </w:r>
      <w:r>
        <w:rPr>
          <w:rFonts w:ascii="Times New Roman" w:hAnsi="Times New Roman" w:cs="Times New Roman"/>
          <w:sz w:val="24"/>
          <w:szCs w:val="36"/>
        </w:rPr>
        <w:lastRenderedPageBreak/>
        <w:t>opposing strategies work together. The dissertation finds that there is some evidence of growth premiums, but also that there is some evidence of value premiums. The growth premiums can thus be attributed to the momentum theory.</w:t>
      </w:r>
    </w:p>
    <w:p w:rsidR="00AD04F1" w:rsidRDefault="00AD04F1" w:rsidP="004B1D0B"/>
    <w:p w:rsidR="00832A68" w:rsidRDefault="00AD04F1"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Markets such as those in the US and UK are considered in this dissertation. However, considering the South African market is not as large as the US or UK markets, countries such as New Zealand, France, Japan, Germany, Thailand, and the Netherlands are examined. Notable differences between the US and </w:t>
      </w:r>
      <w:r w:rsidR="00832A68">
        <w:rPr>
          <w:rFonts w:ascii="Times New Roman" w:hAnsi="Times New Roman" w:cs="Times New Roman"/>
          <w:sz w:val="24"/>
          <w:szCs w:val="36"/>
        </w:rPr>
        <w:t>Taiwan</w:t>
      </w:r>
      <w:r>
        <w:rPr>
          <w:rFonts w:ascii="Times New Roman" w:hAnsi="Times New Roman" w:cs="Times New Roman"/>
          <w:sz w:val="24"/>
          <w:szCs w:val="36"/>
        </w:rPr>
        <w:t xml:space="preserve"> and </w:t>
      </w:r>
      <w:r w:rsidR="00832A68">
        <w:rPr>
          <w:rFonts w:ascii="Times New Roman" w:hAnsi="Times New Roman" w:cs="Times New Roman"/>
          <w:sz w:val="24"/>
          <w:szCs w:val="36"/>
        </w:rPr>
        <w:t>Thailand</w:t>
      </w:r>
      <w:r>
        <w:rPr>
          <w:rFonts w:ascii="Times New Roman" w:hAnsi="Times New Roman" w:cs="Times New Roman"/>
          <w:sz w:val="24"/>
          <w:szCs w:val="36"/>
        </w:rPr>
        <w:t xml:space="preserve"> are that high BTM stocks (that is, value stocks) do not have superior returns in Thailand and Taiwan. Suggestions are made implying investors in </w:t>
      </w:r>
      <w:r w:rsidR="00832A68">
        <w:rPr>
          <w:rFonts w:ascii="Times New Roman" w:hAnsi="Times New Roman" w:cs="Times New Roman"/>
          <w:sz w:val="24"/>
          <w:szCs w:val="36"/>
        </w:rPr>
        <w:t>Thailand</w:t>
      </w:r>
      <w:r>
        <w:rPr>
          <w:rFonts w:ascii="Times New Roman" w:hAnsi="Times New Roman" w:cs="Times New Roman"/>
          <w:sz w:val="24"/>
          <w:szCs w:val="36"/>
        </w:rPr>
        <w:t xml:space="preserve"> and Taiwan are not as naive as those in the US. However, both the Thai and Taiwanese markets are rapidly growing, so even if stocks are considered value they benefit from the economy’s growth, effectively diminishing the value effect. On the other hand, value premiums are found in Hong Kong, Malaysia, and Japan. </w:t>
      </w:r>
    </w:p>
    <w:p w:rsidR="00832A68" w:rsidRDefault="00832A68" w:rsidP="004B1D0B"/>
    <w:p w:rsidR="00832A68" w:rsidRDefault="00832A68"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market’s efficiency is discussed as an efficient market predicts no abnormal returns can be earned. Trading rules should have no result as stocks prices should follow a random walk. Technical analysis, including momentum and contrarian investing, should not be profitable. It is noted that because information cannot always be processed and evaluated quickly enough, there lies the opportunity for some investors to earn abnormal returns through active trading. While markets are found to be weak form efficient in the short term, there is the possibility of trading rules to produce superior returns in the long term. The point made in the discussion of EMH is that institutions and any other people working in industries that rely on timing the market would be out of jobs if the EMH held in its entirety. Market frictions and trading costs play a major role in the achieving of abnormal profits. </w:t>
      </w:r>
      <w:r w:rsidR="00EB7371">
        <w:rPr>
          <w:rFonts w:ascii="Times New Roman" w:hAnsi="Times New Roman" w:cs="Times New Roman"/>
          <w:sz w:val="24"/>
          <w:szCs w:val="36"/>
        </w:rPr>
        <w:t xml:space="preserve">Essential to note in this dissertation is that liquidity and transaction costs were not taken into account. This is in contrast to other South African studies quoted which make explicit adjustments for either liquidity costs or both liquidity and transaction costs. </w:t>
      </w:r>
    </w:p>
    <w:p w:rsidR="00832A68" w:rsidRDefault="00832A68" w:rsidP="004B1D0B"/>
    <w:p w:rsidR="00832A68" w:rsidRDefault="00832A68"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One of the most debated topics on contrarian investing is the behaviour of investors. Decisions are made based on behavioural biases such as overconfidence, overreaction, and investor irrationality. Investors may make the mistake of overweighting more recent </w:t>
      </w:r>
      <w:r>
        <w:rPr>
          <w:rFonts w:ascii="Times New Roman" w:hAnsi="Times New Roman" w:cs="Times New Roman"/>
          <w:sz w:val="24"/>
          <w:szCs w:val="36"/>
        </w:rPr>
        <w:lastRenderedPageBreak/>
        <w:t xml:space="preserve">information, while underweighting older information. The contrarian strategy has a </w:t>
      </w:r>
      <w:r w:rsidR="00AB2C61">
        <w:rPr>
          <w:rFonts w:ascii="Times New Roman" w:hAnsi="Times New Roman" w:cs="Times New Roman"/>
          <w:sz w:val="24"/>
          <w:szCs w:val="36"/>
        </w:rPr>
        <w:t>very</w:t>
      </w:r>
      <w:r>
        <w:rPr>
          <w:rFonts w:ascii="Times New Roman" w:hAnsi="Times New Roman" w:cs="Times New Roman"/>
          <w:sz w:val="24"/>
          <w:szCs w:val="36"/>
        </w:rPr>
        <w:t xml:space="preserve"> strong connection to investor overreaction as naive investors may overreact to bad news about poor performing stocks or underreact to good news about poor performing stocks. Investors are not rational in their estimated of future stock prices, basing their calculations on the past performance of the stocks, reacting with extreme pessimism to value stocks. Investors who are overconfident in the abilities tend to amplify the quality of news signals. Not only are investors overconfident, they tend to focus on information that will confirm their results, while downplaying information that does not. These behavioural factors play a very important role in contrarian investing as the profits to contrarian investors would be much lower if these biases did not exist. </w:t>
      </w:r>
    </w:p>
    <w:p w:rsidR="00832A68" w:rsidRDefault="00832A68" w:rsidP="004B1D0B"/>
    <w:p w:rsidR="00832A68" w:rsidRDefault="00832A68"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Contrarian investing is aided by professional money managers. In most cases these managers are faced with the problem of investing in growth stocks because they allow the managers to appear more optimistic about the future. Investors who place their money with these managers want to hear positive things about the portfolios, such as high growth and high earnings forecasts. Managers thus invest in growth stocks rather than value stocks. Also, if there are periods of poor </w:t>
      </w:r>
      <w:r w:rsidR="00426528">
        <w:rPr>
          <w:rFonts w:ascii="Times New Roman" w:hAnsi="Times New Roman" w:cs="Times New Roman"/>
          <w:sz w:val="24"/>
          <w:szCs w:val="36"/>
        </w:rPr>
        <w:t>performance</w:t>
      </w:r>
      <w:r>
        <w:rPr>
          <w:rFonts w:ascii="Times New Roman" w:hAnsi="Times New Roman" w:cs="Times New Roman"/>
          <w:sz w:val="24"/>
          <w:szCs w:val="36"/>
        </w:rPr>
        <w:t xml:space="preserve"> a manager may be fired, so he has the incentive to invest in growth stocks. Larger stocks tend to be invested in by money managers as they are </w:t>
      </w:r>
      <w:r w:rsidR="00426528">
        <w:rPr>
          <w:rFonts w:ascii="Times New Roman" w:hAnsi="Times New Roman" w:cs="Times New Roman"/>
          <w:sz w:val="24"/>
          <w:szCs w:val="36"/>
        </w:rPr>
        <w:t>better</w:t>
      </w:r>
      <w:r>
        <w:rPr>
          <w:rFonts w:ascii="Times New Roman" w:hAnsi="Times New Roman" w:cs="Times New Roman"/>
          <w:sz w:val="24"/>
          <w:szCs w:val="36"/>
        </w:rPr>
        <w:t xml:space="preserve"> known. This leaves small stocks to be ignored by the larger institutions. If this doesn’t compound the value effect, the herding of institutional investors as well as regular investors will. </w:t>
      </w:r>
    </w:p>
    <w:p w:rsidR="00832A68" w:rsidRDefault="00832A68" w:rsidP="004B1D0B"/>
    <w:p w:rsidR="00832A68" w:rsidRDefault="00832A68"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risk of a value stocks is thought to be greater than a growth stocks. This would explain why value stocks produce superior returns to that of growth stocks. </w:t>
      </w:r>
      <w:r w:rsidR="00426528">
        <w:rPr>
          <w:rFonts w:ascii="Times New Roman" w:hAnsi="Times New Roman" w:cs="Times New Roman"/>
          <w:sz w:val="24"/>
          <w:szCs w:val="36"/>
        </w:rPr>
        <w:t xml:space="preserve">It is noted that many authors exclude financial firms from their datasets as they believe the increased leverage of these firms do not necessarily make them more risky. In this dissertation financial firms are included in the dissertation. </w:t>
      </w:r>
      <w:r>
        <w:rPr>
          <w:rFonts w:ascii="Times New Roman" w:hAnsi="Times New Roman" w:cs="Times New Roman"/>
          <w:sz w:val="24"/>
          <w:szCs w:val="36"/>
        </w:rPr>
        <w:t>While greater financial leverage is interpreted by investors as increased risk, it is noted that larger firms (thus growth stocks) have larger lev</w:t>
      </w:r>
      <w:r w:rsidR="00426528">
        <w:rPr>
          <w:rFonts w:ascii="Times New Roman" w:hAnsi="Times New Roman" w:cs="Times New Roman"/>
          <w:sz w:val="24"/>
          <w:szCs w:val="36"/>
        </w:rPr>
        <w:t xml:space="preserve">erage than small firms in the Tokyo stock market. The E/P ratio is used as a proxy for risk in one study as it is argued that earnings are uncertain and unpredictable, thus the standard deviation of this ratio should capture this risk. In Malaysia, Taiwan, and Thailand, small and large firms alike have </w:t>
      </w:r>
      <w:r w:rsidR="00EB7371">
        <w:rPr>
          <w:rFonts w:ascii="Times New Roman" w:hAnsi="Times New Roman" w:cs="Times New Roman"/>
          <w:sz w:val="24"/>
          <w:szCs w:val="36"/>
        </w:rPr>
        <w:t>similar BTM ratios, which imply</w:t>
      </w:r>
      <w:r w:rsidR="00426528">
        <w:rPr>
          <w:rFonts w:ascii="Times New Roman" w:hAnsi="Times New Roman" w:cs="Times New Roman"/>
          <w:sz w:val="24"/>
          <w:szCs w:val="36"/>
        </w:rPr>
        <w:t xml:space="preserve"> that there is no difference in risk between small </w:t>
      </w:r>
      <w:r w:rsidR="00426528">
        <w:rPr>
          <w:rFonts w:ascii="Times New Roman" w:hAnsi="Times New Roman" w:cs="Times New Roman"/>
          <w:sz w:val="24"/>
          <w:szCs w:val="36"/>
        </w:rPr>
        <w:lastRenderedPageBreak/>
        <w:t xml:space="preserve">and large </w:t>
      </w:r>
      <w:r w:rsidR="00610C8D">
        <w:rPr>
          <w:rFonts w:ascii="Times New Roman" w:hAnsi="Times New Roman" w:cs="Times New Roman"/>
          <w:sz w:val="24"/>
          <w:szCs w:val="36"/>
        </w:rPr>
        <w:t>capitalisation</w:t>
      </w:r>
      <w:r w:rsidR="00426528">
        <w:rPr>
          <w:rFonts w:ascii="Times New Roman" w:hAnsi="Times New Roman" w:cs="Times New Roman"/>
          <w:sz w:val="24"/>
          <w:szCs w:val="36"/>
        </w:rPr>
        <w:t xml:space="preserve"> firms. Value portfolios are not found to be that much riskier than growth portfolios. </w:t>
      </w:r>
    </w:p>
    <w:p w:rsidR="00AD04F1" w:rsidRDefault="00AD04F1" w:rsidP="004B1D0B"/>
    <w:p w:rsidR="00AD04F1" w:rsidRDefault="00AD04F1"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The importance of the BTM ratio as a proxy for the relative prospects of a company in the US and UK markets is also found in the South African market. BTM is a proxy for both market risk and mispricing. The book value of equity portion of the ratio has many different explanations as to why it is either high or low, thus allowing the BTM ratio to proxy for two factors.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is used as a proxy for risk as it captures certain economic risks, not to mention small sized firms are more susceptible to changes in the market. Expected future performance of firms is proxied for by their E/P and C/P ratios, along with the dividend yield. The E/P ratio is said to be more unstable than the C/P ratio as earnings are more susceptible to distortions. Therefore, one expects the C/P variable to be a better proxy and for the regression results related to this variable to be more reliable. The dividend yield is used as a measure of determining whether a stock is value or growth. This is because a low dividend payout ratio may signal to the investors that the firm has future growth opportunities that it wished to invest in. </w:t>
      </w:r>
    </w:p>
    <w:p w:rsidR="00402F5A" w:rsidRDefault="00402F5A" w:rsidP="004B1D0B"/>
    <w:p w:rsidR="00EF7DC3" w:rsidRDefault="00502579"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This dissertation takes a look at the contrarian investment strategy to determine whether it is possible to earn superior profits on value portfolios in the South African market. </w:t>
      </w:r>
      <w:r w:rsidR="00EF7DC3">
        <w:rPr>
          <w:rFonts w:ascii="Times New Roman" w:hAnsi="Times New Roman" w:cs="Times New Roman"/>
          <w:sz w:val="24"/>
          <w:szCs w:val="36"/>
        </w:rPr>
        <w:t xml:space="preserve">Reviewing all the past literature on the subject, it is apparent that there is still no solid conclusion as to whether contrarian profits are due to investor mispricing, and thus behavioural aspects, or if it is due to the increased risk of value portfolios. </w:t>
      </w:r>
      <w:r w:rsidR="00831823">
        <w:rPr>
          <w:rFonts w:ascii="Times New Roman" w:hAnsi="Times New Roman" w:cs="Times New Roman"/>
          <w:sz w:val="24"/>
          <w:szCs w:val="36"/>
        </w:rPr>
        <w:t xml:space="preserve">While there are many cases of investors overestimating their abilities, by forecasting good earnings too far into the future, and being too pessimistic about poor past performers, there is no one side that is right. Value stocks do seem to have higher standard deviations, but it is not so much to warrant higher returns. </w:t>
      </w:r>
      <w:r w:rsidR="00EF7DC3">
        <w:rPr>
          <w:rFonts w:ascii="Times New Roman" w:hAnsi="Times New Roman" w:cs="Times New Roman"/>
          <w:sz w:val="24"/>
          <w:szCs w:val="36"/>
        </w:rPr>
        <w:t xml:space="preserve">However, what has been found in this dissertation is that sorting equally weighted portfolios on the dividend yield will result in growth outperforming value. In addition to this, the equally weighted value portfolio remains riskier than the growth portfolio in this instance. In other cases however, when the growth portfolio does outperform the value portfolio on average, the riskiness of the portfolios are almost always relative. Furthermore, when value outperforms growth consistently when </w:t>
      </w:r>
      <w:r w:rsidR="00D377B8">
        <w:rPr>
          <w:rFonts w:ascii="Times New Roman" w:hAnsi="Times New Roman" w:cs="Times New Roman"/>
          <w:sz w:val="24"/>
          <w:szCs w:val="36"/>
        </w:rPr>
        <w:t>portfolios</w:t>
      </w:r>
      <w:r w:rsidR="00EF7DC3">
        <w:rPr>
          <w:rFonts w:ascii="Times New Roman" w:hAnsi="Times New Roman" w:cs="Times New Roman"/>
          <w:sz w:val="24"/>
          <w:szCs w:val="36"/>
        </w:rPr>
        <w:t xml:space="preserve"> are sorted on the BTM ratio or market </w:t>
      </w:r>
      <w:r w:rsidR="00610C8D">
        <w:rPr>
          <w:rFonts w:ascii="Times New Roman" w:hAnsi="Times New Roman" w:cs="Times New Roman"/>
          <w:sz w:val="24"/>
          <w:szCs w:val="36"/>
        </w:rPr>
        <w:t>capitalisation</w:t>
      </w:r>
      <w:r w:rsidR="00EF7DC3">
        <w:rPr>
          <w:rFonts w:ascii="Times New Roman" w:hAnsi="Times New Roman" w:cs="Times New Roman"/>
          <w:sz w:val="24"/>
          <w:szCs w:val="36"/>
        </w:rPr>
        <w:t xml:space="preserve">, the value portfolios are not riskier than the growth portfolios. The conclusion </w:t>
      </w:r>
      <w:r w:rsidR="00EF7DC3">
        <w:rPr>
          <w:rFonts w:ascii="Times New Roman" w:hAnsi="Times New Roman" w:cs="Times New Roman"/>
          <w:sz w:val="24"/>
          <w:szCs w:val="36"/>
        </w:rPr>
        <w:lastRenderedPageBreak/>
        <w:t xml:space="preserve">that can be established from this is that, while some </w:t>
      </w:r>
      <w:r w:rsidR="00D377B8">
        <w:rPr>
          <w:rFonts w:ascii="Times New Roman" w:hAnsi="Times New Roman" w:cs="Times New Roman"/>
          <w:sz w:val="24"/>
          <w:szCs w:val="36"/>
        </w:rPr>
        <w:t xml:space="preserve">variables are related to the risk of a portfolio, others are not. </w:t>
      </w:r>
    </w:p>
    <w:p w:rsidR="00EF7DC3" w:rsidRDefault="00EF7DC3" w:rsidP="004B1D0B"/>
    <w:p w:rsidR="00045313" w:rsidRPr="00566BF3" w:rsidRDefault="00502579" w:rsidP="00A02570">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Using data from the</w:t>
      </w:r>
      <w:r w:rsidR="00EF7DC3">
        <w:rPr>
          <w:rFonts w:ascii="Times New Roman" w:hAnsi="Times New Roman" w:cs="Times New Roman"/>
          <w:sz w:val="24"/>
          <w:szCs w:val="36"/>
        </w:rPr>
        <w:t xml:space="preserve"> JSE</w:t>
      </w:r>
      <w:r>
        <w:rPr>
          <w:rFonts w:ascii="Times New Roman" w:hAnsi="Times New Roman" w:cs="Times New Roman"/>
          <w:sz w:val="24"/>
          <w:szCs w:val="36"/>
        </w:rPr>
        <w:t>, multiple regressions on single sorted and two dime</w:t>
      </w:r>
      <w:r w:rsidR="00831823">
        <w:rPr>
          <w:rFonts w:ascii="Times New Roman" w:hAnsi="Times New Roman" w:cs="Times New Roman"/>
          <w:sz w:val="24"/>
          <w:szCs w:val="36"/>
        </w:rPr>
        <w:t>nsion portfolios, as well as</w:t>
      </w:r>
      <w:r>
        <w:rPr>
          <w:rFonts w:ascii="Times New Roman" w:hAnsi="Times New Roman" w:cs="Times New Roman"/>
          <w:sz w:val="24"/>
          <w:szCs w:val="36"/>
        </w:rPr>
        <w:t xml:space="preserve"> three factor regressions</w:t>
      </w:r>
      <w:r w:rsidR="00831823">
        <w:rPr>
          <w:rFonts w:ascii="Times New Roman" w:hAnsi="Times New Roman" w:cs="Times New Roman"/>
          <w:sz w:val="24"/>
          <w:szCs w:val="36"/>
        </w:rPr>
        <w:t xml:space="preserve"> were performed. T</w:t>
      </w:r>
      <w:r>
        <w:rPr>
          <w:rFonts w:ascii="Times New Roman" w:hAnsi="Times New Roman" w:cs="Times New Roman"/>
          <w:sz w:val="24"/>
          <w:szCs w:val="36"/>
        </w:rPr>
        <w:t xml:space="preserve">he results lean towards value investing. Performing regressions on four dependent variables, the independent variables are sorted individually on the E/P, C/P, D/P, BTM ratios or on size. </w:t>
      </w:r>
      <w:r w:rsidR="005E72B5" w:rsidRPr="006D0125">
        <w:rPr>
          <w:rFonts w:ascii="Times New Roman" w:hAnsi="Times New Roman" w:cs="Times New Roman"/>
          <w:sz w:val="24"/>
          <w:szCs w:val="36"/>
        </w:rPr>
        <w:t>It is</w:t>
      </w:r>
      <w:r w:rsidR="005E72B5">
        <w:rPr>
          <w:rFonts w:ascii="Times New Roman" w:hAnsi="Times New Roman" w:cs="Times New Roman"/>
          <w:sz w:val="24"/>
          <w:szCs w:val="36"/>
        </w:rPr>
        <w:t xml:space="preserve"> acknowledged that negative earnings-to-price ratios are included in this study, contrary to studies performed by authors such as Fama and French (1992). The results may be biased as a negative E/P ratio may not have the same explanation as that of a positive one. </w:t>
      </w:r>
      <w:r>
        <w:rPr>
          <w:rFonts w:ascii="Times New Roman" w:hAnsi="Times New Roman" w:cs="Times New Roman"/>
          <w:sz w:val="24"/>
          <w:szCs w:val="36"/>
        </w:rPr>
        <w:t xml:space="preserve">The results of the single sorted regressions are that high BTM and small market </w:t>
      </w:r>
      <w:r w:rsidR="00610C8D">
        <w:rPr>
          <w:rFonts w:ascii="Times New Roman" w:hAnsi="Times New Roman" w:cs="Times New Roman"/>
          <w:sz w:val="24"/>
          <w:szCs w:val="36"/>
        </w:rPr>
        <w:t>capitalisation</w:t>
      </w:r>
      <w:r>
        <w:rPr>
          <w:rFonts w:ascii="Times New Roman" w:hAnsi="Times New Roman" w:cs="Times New Roman"/>
          <w:sz w:val="24"/>
          <w:szCs w:val="36"/>
        </w:rPr>
        <w:t xml:space="preserve"> sorted portfolios produce superior returns to growth portfolios sorted on either BTM or market </w:t>
      </w:r>
      <w:r w:rsidR="00610C8D">
        <w:rPr>
          <w:rFonts w:ascii="Times New Roman" w:hAnsi="Times New Roman" w:cs="Times New Roman"/>
          <w:sz w:val="24"/>
          <w:szCs w:val="36"/>
        </w:rPr>
        <w:t>capitalisation</w:t>
      </w:r>
      <w:r>
        <w:rPr>
          <w:rFonts w:ascii="Times New Roman" w:hAnsi="Times New Roman" w:cs="Times New Roman"/>
          <w:sz w:val="24"/>
          <w:szCs w:val="36"/>
        </w:rPr>
        <w:t>. While the E/P ratio and dividend yield did not produce returns in favour of the contrarian strategy, the value weighted value portfolio sorted on the C/P r</w:t>
      </w:r>
      <w:r w:rsidR="00A30EF4">
        <w:rPr>
          <w:rFonts w:ascii="Times New Roman" w:hAnsi="Times New Roman" w:cs="Times New Roman"/>
          <w:sz w:val="24"/>
          <w:szCs w:val="36"/>
        </w:rPr>
        <w:t>atio</w:t>
      </w:r>
      <w:r w:rsidR="00831823">
        <w:rPr>
          <w:rFonts w:ascii="Times New Roman" w:hAnsi="Times New Roman" w:cs="Times New Roman"/>
          <w:sz w:val="24"/>
          <w:szCs w:val="36"/>
        </w:rPr>
        <w:t xml:space="preserve"> did. When portfolios are sorted on two dimensions, BTM and C/P, or BTM and D/P, or BTM and E/P, the combination of BTM and D/P, and BTM and E/P appear to explain returns the best</w:t>
      </w:r>
      <w:r w:rsidR="007E0794" w:rsidRPr="00566BF3">
        <w:rPr>
          <w:rFonts w:ascii="Times New Roman" w:hAnsi="Times New Roman" w:cs="Times New Roman"/>
          <w:sz w:val="24"/>
          <w:szCs w:val="36"/>
        </w:rPr>
        <w:t>.</w:t>
      </w:r>
      <w:r w:rsidR="00831823">
        <w:rPr>
          <w:rFonts w:ascii="Times New Roman" w:hAnsi="Times New Roman" w:cs="Times New Roman"/>
          <w:sz w:val="24"/>
          <w:szCs w:val="36"/>
        </w:rPr>
        <w:t xml:space="preserve"> This is not to say the combination of BTM and C/P ratios did not produce anything in the way of explaining returns simply that this combination did not perform as well or as often as the other two. </w:t>
      </w:r>
      <w:r w:rsidR="007E0794" w:rsidRPr="00566BF3">
        <w:rPr>
          <w:rFonts w:ascii="Times New Roman" w:hAnsi="Times New Roman" w:cs="Times New Roman"/>
          <w:sz w:val="24"/>
          <w:szCs w:val="36"/>
        </w:rPr>
        <w:t xml:space="preserve"> </w:t>
      </w:r>
      <w:r w:rsidR="00F81789">
        <w:rPr>
          <w:rFonts w:ascii="Times New Roman" w:hAnsi="Times New Roman" w:cs="Times New Roman"/>
          <w:sz w:val="24"/>
          <w:szCs w:val="36"/>
        </w:rPr>
        <w:t xml:space="preserve">In terms of the two dimensional portfolios, the combination of high BTM stocks and high E/P stocks is the only portfolio that produces a Sharpe ratio greater than the portfolio sorted on high BTM and low E/P, C/P, or D/P stocks. The latter portfolio clearly earns superior risk-adjusted returns based on its annual mean excess returns, and risk-adjusted measures. </w:t>
      </w:r>
    </w:p>
    <w:p w:rsidR="00A30EF4" w:rsidRPr="00A30EF4" w:rsidRDefault="00A30EF4" w:rsidP="004B1D0B"/>
    <w:p w:rsidR="00045313" w:rsidRDefault="00A77694" w:rsidP="00A77694">
      <w:pPr>
        <w:pStyle w:val="ListParagraph"/>
        <w:spacing w:line="360" w:lineRule="auto"/>
        <w:ind w:left="0"/>
        <w:jc w:val="both"/>
        <w:rPr>
          <w:rFonts w:ascii="Times New Roman" w:hAnsi="Times New Roman" w:cs="Times New Roman"/>
          <w:sz w:val="24"/>
          <w:szCs w:val="36"/>
        </w:rPr>
      </w:pPr>
      <w:r w:rsidRPr="00A77694">
        <w:rPr>
          <w:rFonts w:ascii="Times New Roman" w:hAnsi="Times New Roman" w:cs="Times New Roman"/>
          <w:sz w:val="24"/>
          <w:szCs w:val="36"/>
        </w:rPr>
        <w:t>The results of the three factor regressions modelled on Fama and French (1993) three factor model provide somewhat clearer evidence than th</w:t>
      </w:r>
      <w:r>
        <w:rPr>
          <w:rFonts w:ascii="Times New Roman" w:hAnsi="Times New Roman" w:cs="Times New Roman"/>
          <w:sz w:val="24"/>
          <w:szCs w:val="36"/>
        </w:rPr>
        <w:t>at</w:t>
      </w:r>
      <w:r w:rsidRPr="00A77694">
        <w:rPr>
          <w:rFonts w:ascii="Times New Roman" w:hAnsi="Times New Roman" w:cs="Times New Roman"/>
          <w:sz w:val="24"/>
          <w:szCs w:val="36"/>
        </w:rPr>
        <w:t xml:space="preserve"> of the dual sorted portfolios. When the dependent variables are small value or small growth the size and value factors explain the returns. These results are statistically significant. With regard to the large sized portfolios, while the size factor appears to explain the returns in the large value case, it is not statistically significant. The value factor in the large growth case explains stock returns with its negative slope that is statistically significant.  </w:t>
      </w:r>
      <w:r>
        <w:rPr>
          <w:rFonts w:ascii="Times New Roman" w:hAnsi="Times New Roman" w:cs="Times New Roman"/>
          <w:sz w:val="24"/>
          <w:szCs w:val="36"/>
        </w:rPr>
        <w:t xml:space="preserve">Again the conclusion cannot be resolutely settled as there are many open-ended questions. The dataset used in this study spanned a period of 17 years and 11 months, where a longer time span may prove to be more beneficial in providing </w:t>
      </w:r>
      <w:r>
        <w:rPr>
          <w:rFonts w:ascii="Times New Roman" w:hAnsi="Times New Roman" w:cs="Times New Roman"/>
          <w:sz w:val="24"/>
          <w:szCs w:val="36"/>
        </w:rPr>
        <w:lastRenderedPageBreak/>
        <w:t xml:space="preserve">concrete results. The other consideration is that, with the relatively small number of stocks in each portfolio (when compared to US and UK studies), there may be the option of extending time period and dataset so as to have a larger sample from which to create portfolios.  </w:t>
      </w:r>
    </w:p>
    <w:p w:rsidR="00EB7371" w:rsidRDefault="00EB7371" w:rsidP="004B1D0B"/>
    <w:p w:rsidR="00672774" w:rsidRDefault="009976E7" w:rsidP="00A77694">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 xml:space="preserve">Further investigation needs to be made into whether the value strategy remains profitable when liquidity and transaction costs are taken into account. There may also be merit in looking towards long term profits, as previous studies mentioned have done. </w:t>
      </w:r>
      <w:r w:rsidR="00AF7D4A">
        <w:rPr>
          <w:rFonts w:ascii="Times New Roman" w:hAnsi="Times New Roman" w:cs="Times New Roman"/>
          <w:sz w:val="24"/>
          <w:szCs w:val="36"/>
        </w:rPr>
        <w:t>The time period could be extended</w:t>
      </w:r>
      <w:r w:rsidR="00672774">
        <w:rPr>
          <w:rFonts w:ascii="Times New Roman" w:hAnsi="Times New Roman" w:cs="Times New Roman"/>
          <w:sz w:val="24"/>
          <w:szCs w:val="36"/>
        </w:rPr>
        <w:t>, using sufficient</w:t>
      </w:r>
      <w:r w:rsidR="00FA284D">
        <w:rPr>
          <w:rFonts w:ascii="Times New Roman" w:hAnsi="Times New Roman" w:cs="Times New Roman"/>
          <w:sz w:val="24"/>
          <w:szCs w:val="36"/>
        </w:rPr>
        <w:t>, complete</w:t>
      </w:r>
      <w:r w:rsidR="00672774">
        <w:rPr>
          <w:rFonts w:ascii="Times New Roman" w:hAnsi="Times New Roman" w:cs="Times New Roman"/>
          <w:sz w:val="24"/>
          <w:szCs w:val="36"/>
        </w:rPr>
        <w:t xml:space="preserve"> data prior to 1990. Of course this study is unable to address al</w:t>
      </w:r>
      <w:r w:rsidR="00FA284D">
        <w:rPr>
          <w:rFonts w:ascii="Times New Roman" w:hAnsi="Times New Roman" w:cs="Times New Roman"/>
          <w:sz w:val="24"/>
          <w:szCs w:val="36"/>
        </w:rPr>
        <w:t>l</w:t>
      </w:r>
      <w:r w:rsidR="00672774">
        <w:rPr>
          <w:rFonts w:ascii="Times New Roman" w:hAnsi="Times New Roman" w:cs="Times New Roman"/>
          <w:sz w:val="24"/>
          <w:szCs w:val="36"/>
        </w:rPr>
        <w:t xml:space="preserve"> the issues discussed in the literature, but an attempt has been made to discover whether a value premium exists in the South African stock market. This study made no attempt to analyse the effects of a portfolio consisting of stocks sorted on growth in sales. This study is limited by sample size as well as its methodology. In terms of the latter, portfolios of value and growth stocks should ideally be sorted into </w:t>
      </w:r>
      <w:r w:rsidR="00FA284D">
        <w:rPr>
          <w:rFonts w:ascii="Times New Roman" w:hAnsi="Times New Roman" w:cs="Times New Roman"/>
          <w:sz w:val="24"/>
          <w:szCs w:val="36"/>
        </w:rPr>
        <w:t>deciles</w:t>
      </w:r>
      <w:r w:rsidR="00672774">
        <w:rPr>
          <w:rFonts w:ascii="Times New Roman" w:hAnsi="Times New Roman" w:cs="Times New Roman"/>
          <w:sz w:val="24"/>
          <w:szCs w:val="36"/>
        </w:rPr>
        <w:t xml:space="preserve">, and the three factors </w:t>
      </w:r>
      <w:r w:rsidR="00FA284D">
        <w:rPr>
          <w:rFonts w:ascii="Times New Roman" w:hAnsi="Times New Roman" w:cs="Times New Roman"/>
          <w:sz w:val="24"/>
          <w:szCs w:val="36"/>
        </w:rPr>
        <w:t xml:space="preserve">for the three factor model should be </w:t>
      </w:r>
      <w:r w:rsidR="00672774">
        <w:rPr>
          <w:rFonts w:ascii="Times New Roman" w:hAnsi="Times New Roman" w:cs="Times New Roman"/>
          <w:sz w:val="24"/>
          <w:szCs w:val="36"/>
        </w:rPr>
        <w:t>sorted by the top 30%, middle 40%, and bottom 30% criteria. The creation of the dependent variables should also ideally follow the creation of Fama and French (1993) – by creating 25 dependent variables instead of four.</w:t>
      </w:r>
      <w:r w:rsidR="00FA284D">
        <w:rPr>
          <w:rFonts w:ascii="Times New Roman" w:hAnsi="Times New Roman" w:cs="Times New Roman"/>
          <w:sz w:val="24"/>
          <w:szCs w:val="36"/>
        </w:rPr>
        <w:t xml:space="preserve"> It was noted in this dissertation that the creation of 25 dependent variables is unreliable as the number of stocks in each portfolio are too low to warrant reliable results and discussion thereof.</w:t>
      </w:r>
      <w:r w:rsidR="00672774">
        <w:rPr>
          <w:rFonts w:ascii="Times New Roman" w:hAnsi="Times New Roman" w:cs="Times New Roman"/>
          <w:sz w:val="24"/>
          <w:szCs w:val="36"/>
        </w:rPr>
        <w:t xml:space="preserve"> In this respect the results can be better compared with previous literature.</w:t>
      </w:r>
    </w:p>
    <w:p w:rsidR="00672774" w:rsidRDefault="00672774" w:rsidP="004B1D0B"/>
    <w:p w:rsidR="009976E7" w:rsidRDefault="00672774" w:rsidP="00A77694">
      <w:pPr>
        <w:pStyle w:val="ListParagraph"/>
        <w:spacing w:line="360" w:lineRule="auto"/>
        <w:ind w:left="0"/>
        <w:jc w:val="both"/>
        <w:rPr>
          <w:rFonts w:ascii="Times New Roman" w:hAnsi="Times New Roman" w:cs="Times New Roman"/>
          <w:sz w:val="24"/>
          <w:szCs w:val="36"/>
        </w:rPr>
      </w:pPr>
      <w:r>
        <w:rPr>
          <w:rFonts w:ascii="Times New Roman" w:hAnsi="Times New Roman" w:cs="Times New Roman"/>
          <w:sz w:val="24"/>
          <w:szCs w:val="36"/>
        </w:rPr>
        <w:t>The concentration of value and growth stocks in their respective portfolios may make a large, significant difference in the results. Finding the source and correcting for the relatively large correlations found between some of the portfolios</w:t>
      </w:r>
      <w:r w:rsidR="00FA284D">
        <w:rPr>
          <w:rFonts w:ascii="Times New Roman" w:hAnsi="Times New Roman" w:cs="Times New Roman"/>
          <w:sz w:val="24"/>
          <w:szCs w:val="36"/>
        </w:rPr>
        <w:t xml:space="preserve"> may also aid</w:t>
      </w:r>
      <w:r>
        <w:rPr>
          <w:rFonts w:ascii="Times New Roman" w:hAnsi="Times New Roman" w:cs="Times New Roman"/>
          <w:sz w:val="24"/>
          <w:szCs w:val="36"/>
        </w:rPr>
        <w:t xml:space="preserve"> in better results. Furthermore, some studies have lagged financial statement data in order to avoid the look-ahead bias. This was not attempted in this study, although financial data is taken only from final Annual Financial Statements and not preliminary Financial Statements. The JSE consists of one class of stocks that could lead to portfolio bias. A predominant proportion of the stocks listed on the </w:t>
      </w:r>
      <w:r w:rsidR="0001438F">
        <w:rPr>
          <w:rFonts w:ascii="Times New Roman" w:hAnsi="Times New Roman" w:cs="Times New Roman"/>
          <w:sz w:val="24"/>
          <w:szCs w:val="36"/>
        </w:rPr>
        <w:t>J</w:t>
      </w:r>
      <w:r>
        <w:rPr>
          <w:rFonts w:ascii="Times New Roman" w:hAnsi="Times New Roman" w:cs="Times New Roman"/>
          <w:sz w:val="24"/>
          <w:szCs w:val="36"/>
        </w:rPr>
        <w:t>SE are resource stocks. It would provide an interesting analysis to remove the resource stocks from the data sample and compare the results, or to give a weighting to these stocks in order to compensate for their domination of the stock exchange.</w:t>
      </w:r>
      <w:r w:rsidR="00AF7D4A">
        <w:rPr>
          <w:rFonts w:ascii="Times New Roman" w:hAnsi="Times New Roman" w:cs="Times New Roman"/>
          <w:sz w:val="24"/>
          <w:szCs w:val="36"/>
        </w:rPr>
        <w:t xml:space="preserve"> </w:t>
      </w:r>
    </w:p>
    <w:p w:rsidR="00045313" w:rsidRPr="00566BF3" w:rsidRDefault="00045313" w:rsidP="00A02570">
      <w:pPr>
        <w:pStyle w:val="ListParagraph"/>
        <w:spacing w:line="360" w:lineRule="auto"/>
        <w:ind w:left="0"/>
        <w:jc w:val="both"/>
        <w:rPr>
          <w:rFonts w:ascii="Times New Roman" w:hAnsi="Times New Roman" w:cs="Times New Roman"/>
          <w:color w:val="943634" w:themeColor="accent2" w:themeShade="BF"/>
          <w:sz w:val="24"/>
          <w:szCs w:val="36"/>
        </w:rPr>
      </w:pPr>
    </w:p>
    <w:p w:rsidR="001E6585" w:rsidRDefault="001E6585" w:rsidP="00A02570">
      <w:pPr>
        <w:pStyle w:val="ListParagraph"/>
        <w:spacing w:line="360" w:lineRule="auto"/>
        <w:ind w:left="0"/>
        <w:jc w:val="both"/>
        <w:rPr>
          <w:rFonts w:ascii="Times New Roman" w:hAnsi="Times New Roman" w:cs="Times New Roman"/>
          <w:color w:val="943634" w:themeColor="accent2" w:themeShade="BF"/>
          <w:sz w:val="24"/>
          <w:szCs w:val="36"/>
        </w:rPr>
      </w:pPr>
    </w:p>
    <w:p w:rsidR="00BF5E79" w:rsidRDefault="00BF5E79" w:rsidP="00FF500C">
      <w:pPr>
        <w:pStyle w:val="ListParagraph"/>
        <w:numPr>
          <w:ilvl w:val="0"/>
          <w:numId w:val="18"/>
        </w:numPr>
        <w:spacing w:line="360" w:lineRule="auto"/>
        <w:jc w:val="both"/>
        <w:outlineLvl w:val="0"/>
        <w:rPr>
          <w:rFonts w:ascii="Times New Roman" w:hAnsi="Times New Roman" w:cs="Times New Roman"/>
          <w:b/>
          <w:sz w:val="36"/>
          <w:szCs w:val="36"/>
        </w:rPr>
      </w:pPr>
      <w:bookmarkStart w:id="82" w:name="_Toc281403420"/>
      <w:bookmarkStart w:id="83" w:name="_Toc305166523"/>
      <w:r w:rsidRPr="00566BF3">
        <w:rPr>
          <w:rFonts w:ascii="Times New Roman" w:hAnsi="Times New Roman" w:cs="Times New Roman"/>
          <w:b/>
          <w:sz w:val="36"/>
          <w:szCs w:val="36"/>
        </w:rPr>
        <w:lastRenderedPageBreak/>
        <w:t>References</w:t>
      </w:r>
      <w:bookmarkEnd w:id="82"/>
      <w:bookmarkEnd w:id="83"/>
    </w:p>
    <w:p w:rsidR="00BF5E79" w:rsidRPr="001265DD" w:rsidRDefault="00BF5E79" w:rsidP="00BF5E79">
      <w:pPr>
        <w:spacing w:line="360" w:lineRule="auto"/>
        <w:ind w:left="720" w:hanging="720"/>
        <w:jc w:val="both"/>
        <w:rPr>
          <w:rFonts w:ascii="Times New Roman" w:hAnsi="Times New Roman" w:cs="Times New Roman"/>
          <w:sz w:val="24"/>
          <w:szCs w:val="24"/>
        </w:rPr>
      </w:pP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Antoniou, A., Galariotis, E. C., &amp; Spyrou, S. I. (2006). Short-term contrarian strategies in the London Stock Exchange: Are they profitable? Which factors affect them? </w:t>
      </w:r>
      <w:r w:rsidRPr="001265DD">
        <w:rPr>
          <w:rFonts w:ascii="Times New Roman" w:hAnsi="Times New Roman" w:cs="Times New Roman"/>
          <w:i/>
          <w:iCs/>
          <w:noProof/>
          <w:sz w:val="24"/>
          <w:szCs w:val="24"/>
        </w:rPr>
        <w:t>Journal of Business Finance &amp; Accounting</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33</w:t>
      </w:r>
      <w:r w:rsidRPr="001265DD">
        <w:rPr>
          <w:rFonts w:ascii="Times New Roman" w:hAnsi="Times New Roman" w:cs="Times New Roman"/>
          <w:noProof/>
          <w:sz w:val="24"/>
          <w:szCs w:val="24"/>
        </w:rPr>
        <w:t xml:space="preserve"> (5 &amp; 6), 839-867.</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Asness, C. S. (1997). The interaction of value and momentum strategies.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53</w:t>
      </w:r>
      <w:r w:rsidRPr="001265DD">
        <w:rPr>
          <w:rFonts w:ascii="Times New Roman" w:hAnsi="Times New Roman" w:cs="Times New Roman"/>
          <w:noProof/>
          <w:sz w:val="24"/>
          <w:szCs w:val="24"/>
        </w:rPr>
        <w:t xml:space="preserve"> (2), 29-36.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Ball, R. (1978). Anomalies in relationships between securities' yields and yield-surrogates. </w:t>
      </w:r>
      <w:r w:rsidRPr="001265DD">
        <w:rPr>
          <w:rFonts w:ascii="Times New Roman" w:hAnsi="Times New Roman" w:cs="Times New Roman"/>
          <w:i/>
          <w:iCs/>
          <w:noProof/>
          <w:sz w:val="24"/>
          <w:szCs w:val="24"/>
        </w:rPr>
        <w:t>Journal of Financial Economics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w:t>
      </w:r>
      <w:r w:rsidRPr="001265DD">
        <w:rPr>
          <w:rFonts w:ascii="Times New Roman" w:hAnsi="Times New Roman" w:cs="Times New Roman"/>
          <w:noProof/>
          <w:sz w:val="24"/>
          <w:szCs w:val="24"/>
        </w:rPr>
        <w:t xml:space="preserve"> (2-3), 103-126.</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Ball, R. (1992). The earnings-price anomaly. </w:t>
      </w:r>
      <w:r w:rsidRPr="001265DD">
        <w:rPr>
          <w:rFonts w:ascii="Times New Roman" w:hAnsi="Times New Roman" w:cs="Times New Roman"/>
          <w:i/>
          <w:sz w:val="24"/>
          <w:szCs w:val="24"/>
        </w:rPr>
        <w:t xml:space="preserve">Journal of Accounting and Economics, </w:t>
      </w:r>
      <w:r w:rsidRPr="001265DD">
        <w:rPr>
          <w:rFonts w:ascii="Times New Roman" w:hAnsi="Times New Roman" w:cs="Times New Roman"/>
          <w:sz w:val="24"/>
          <w:szCs w:val="24"/>
        </w:rPr>
        <w:t>15, 319-345.</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Banz, R. W. (1980). The relationship between return and market value of common stocks. </w:t>
      </w:r>
      <w:r w:rsidRPr="001265DD">
        <w:rPr>
          <w:rFonts w:ascii="Times New Roman" w:hAnsi="Times New Roman" w:cs="Times New Roman"/>
          <w:i/>
          <w:sz w:val="24"/>
          <w:szCs w:val="24"/>
        </w:rPr>
        <w:t xml:space="preserve">Journal of Financial Economics, </w:t>
      </w:r>
      <w:r w:rsidRPr="001265DD">
        <w:rPr>
          <w:rFonts w:ascii="Times New Roman" w:hAnsi="Times New Roman" w:cs="Times New Roman"/>
          <w:sz w:val="24"/>
          <w:szCs w:val="24"/>
        </w:rPr>
        <w:t>9, 3-18.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Barber, B. M., &amp; Lyon, J. D. (1997). Book-to-market ratio, and security returns: A holdout sample of financial firms.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52</w:t>
      </w:r>
      <w:r w:rsidRPr="001265DD">
        <w:rPr>
          <w:rFonts w:ascii="Times New Roman" w:hAnsi="Times New Roman" w:cs="Times New Roman"/>
          <w:noProof/>
          <w:sz w:val="24"/>
          <w:szCs w:val="24"/>
        </w:rPr>
        <w:t xml:space="preserve"> (2), 875-883.</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Barber, B. M., Heath, C., &amp; Odean, T.  (2003). Good reasons sell: Reason-based choice among group and individual investors in the stock market. </w:t>
      </w:r>
      <w:r w:rsidRPr="001265DD">
        <w:rPr>
          <w:rFonts w:ascii="Times New Roman" w:hAnsi="Times New Roman" w:cs="Times New Roman"/>
          <w:i/>
          <w:iCs/>
          <w:noProof/>
          <w:sz w:val="24"/>
          <w:szCs w:val="24"/>
        </w:rPr>
        <w:t>Management Science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49</w:t>
      </w:r>
      <w:r w:rsidRPr="001265DD">
        <w:rPr>
          <w:rFonts w:ascii="Times New Roman" w:hAnsi="Times New Roman" w:cs="Times New Roman"/>
          <w:noProof/>
          <w:sz w:val="24"/>
          <w:szCs w:val="24"/>
        </w:rPr>
        <w:t xml:space="preserve"> (12), 1636-1652.</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Basiewicz, P. G., &amp; Auret, C. J. (2009). Another look at the cross-section of average returns on the JSE. </w:t>
      </w:r>
      <w:r w:rsidRPr="001265DD">
        <w:rPr>
          <w:rFonts w:ascii="Times New Roman" w:hAnsi="Times New Roman" w:cs="Times New Roman"/>
          <w:i/>
          <w:iCs/>
          <w:noProof/>
          <w:sz w:val="24"/>
          <w:szCs w:val="24"/>
        </w:rPr>
        <w:t>Investment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69</w:t>
      </w:r>
      <w:r w:rsidRPr="001265DD">
        <w:rPr>
          <w:rFonts w:ascii="Times New Roman" w:hAnsi="Times New Roman" w:cs="Times New Roman"/>
          <w:noProof/>
          <w:sz w:val="24"/>
          <w:szCs w:val="24"/>
        </w:rPr>
        <w:t>, 23-38.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Basu, S. (1977). Investment performance of common stocks in relation to their price-earnings ratios: A test of the efficient market hypothesis.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32</w:t>
      </w:r>
      <w:r w:rsidRPr="001265DD">
        <w:rPr>
          <w:rFonts w:ascii="Times New Roman" w:hAnsi="Times New Roman" w:cs="Times New Roman"/>
          <w:noProof/>
          <w:sz w:val="24"/>
          <w:szCs w:val="24"/>
        </w:rPr>
        <w:t xml:space="preserve"> (3), 663-682.</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Bauman, W. S., &amp; Miller, R. E. (1997). Investor expectations and the performance of value stocks versus growth stocks. </w:t>
      </w:r>
      <w:r w:rsidRPr="001265DD">
        <w:rPr>
          <w:rFonts w:ascii="Times New Roman" w:hAnsi="Times New Roman" w:cs="Times New Roman"/>
          <w:i/>
          <w:iCs/>
          <w:noProof/>
          <w:sz w:val="24"/>
          <w:szCs w:val="24"/>
        </w:rPr>
        <w:t>Journal of Portfolio Management</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23</w:t>
      </w:r>
      <w:r w:rsidRPr="001265DD">
        <w:rPr>
          <w:rFonts w:ascii="Times New Roman" w:hAnsi="Times New Roman" w:cs="Times New Roman"/>
          <w:noProof/>
          <w:sz w:val="24"/>
          <w:szCs w:val="24"/>
        </w:rPr>
        <w:t xml:space="preserve"> (3), 57-68.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Berk, J. B., Green, R. C., &amp; Naik, V. (1999). Optimal investment, growth options, and security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54</w:t>
      </w:r>
      <w:r w:rsidRPr="001265DD">
        <w:rPr>
          <w:rFonts w:ascii="Times New Roman" w:hAnsi="Times New Roman" w:cs="Times New Roman"/>
          <w:noProof/>
          <w:sz w:val="24"/>
          <w:szCs w:val="24"/>
        </w:rPr>
        <w:t xml:space="preserve"> (5), 1553-1607.</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lastRenderedPageBreak/>
        <w:t xml:space="preserve">Bhandari, L. C. (1988). Debt/Equity ratio and expected common stock returns: Empirical evidence. </w:t>
      </w:r>
      <w:r w:rsidRPr="001265DD">
        <w:rPr>
          <w:rFonts w:ascii="Times New Roman" w:hAnsi="Times New Roman" w:cs="Times New Roman"/>
          <w:i/>
          <w:sz w:val="24"/>
          <w:szCs w:val="24"/>
        </w:rPr>
        <w:t xml:space="preserve">The Journal of Finance, </w:t>
      </w:r>
      <w:r w:rsidRPr="001265DD">
        <w:rPr>
          <w:rFonts w:ascii="Times New Roman" w:hAnsi="Times New Roman" w:cs="Times New Roman"/>
          <w:sz w:val="24"/>
          <w:szCs w:val="24"/>
        </w:rPr>
        <w:t>43(2), 507-528.</w:t>
      </w:r>
    </w:p>
    <w:p w:rsidR="00BF5E79" w:rsidRPr="001265DD" w:rsidRDefault="00BF5E79" w:rsidP="001E6585">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Black, F. (1972). Capital Market Equilibrium with Restricted Borrowing. </w:t>
      </w:r>
      <w:r w:rsidRPr="001265DD">
        <w:rPr>
          <w:rFonts w:ascii="Times New Roman" w:hAnsi="Times New Roman" w:cs="Times New Roman"/>
          <w:i/>
          <w:sz w:val="24"/>
          <w:szCs w:val="24"/>
        </w:rPr>
        <w:t>The Journal of Business, 45(3),</w:t>
      </w:r>
      <w:r w:rsidRPr="001265DD">
        <w:rPr>
          <w:rFonts w:ascii="Times New Roman" w:hAnsi="Times New Roman" w:cs="Times New Roman"/>
          <w:sz w:val="24"/>
          <w:szCs w:val="24"/>
        </w:rPr>
        <w:t xml:space="preserve"> 444-455.</w:t>
      </w:r>
    </w:p>
    <w:p w:rsidR="00BF5E79" w:rsidRPr="00BF5E79"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Brouwer, I., van der Put, J., &amp; Veld, C. (1997). Contrarian investment strategies in a European context. </w:t>
      </w:r>
      <w:r w:rsidRPr="001265DD">
        <w:rPr>
          <w:rFonts w:ascii="Times New Roman" w:hAnsi="Times New Roman" w:cs="Times New Roman"/>
          <w:i/>
          <w:iCs/>
          <w:noProof/>
          <w:sz w:val="24"/>
          <w:szCs w:val="24"/>
        </w:rPr>
        <w:t>Journal of Business Finance &amp; Accounting</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24</w:t>
      </w:r>
      <w:r w:rsidRPr="001265DD">
        <w:rPr>
          <w:rFonts w:ascii="Times New Roman" w:hAnsi="Times New Roman" w:cs="Times New Roman"/>
          <w:noProof/>
          <w:sz w:val="24"/>
          <w:szCs w:val="24"/>
        </w:rPr>
        <w:t xml:space="preserve"> (9 &amp; 10), 1353-1366.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Capaul, C., Rowley, I., &amp; Sharpe, W. F. (1993). International value and growth stock returns.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49</w:t>
      </w:r>
      <w:r w:rsidRPr="001265DD">
        <w:rPr>
          <w:rFonts w:ascii="Times New Roman" w:hAnsi="Times New Roman" w:cs="Times New Roman"/>
          <w:noProof/>
          <w:sz w:val="24"/>
          <w:szCs w:val="24"/>
        </w:rPr>
        <w:t xml:space="preserve"> (1), 27-36.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Chan, K. C. (1988). On the contrarian investment strategy. </w:t>
      </w:r>
      <w:r w:rsidRPr="001265DD">
        <w:rPr>
          <w:rFonts w:ascii="Times New Roman" w:hAnsi="Times New Roman" w:cs="Times New Roman"/>
          <w:i/>
          <w:iCs/>
          <w:noProof/>
          <w:sz w:val="24"/>
          <w:szCs w:val="24"/>
        </w:rPr>
        <w:t>The Journal of Business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61</w:t>
      </w:r>
      <w:r w:rsidRPr="001265DD">
        <w:rPr>
          <w:rFonts w:ascii="Times New Roman" w:hAnsi="Times New Roman" w:cs="Times New Roman"/>
          <w:noProof/>
          <w:sz w:val="24"/>
          <w:szCs w:val="24"/>
        </w:rPr>
        <w:t xml:space="preserve"> (2), 147-163.</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Chan, L. K., &amp; Lakonishok, J. (2004). Value and growth investing: Review and update.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60</w:t>
      </w:r>
      <w:r w:rsidRPr="001265DD">
        <w:rPr>
          <w:rFonts w:ascii="Times New Roman" w:hAnsi="Times New Roman" w:cs="Times New Roman"/>
          <w:noProof/>
          <w:sz w:val="24"/>
          <w:szCs w:val="24"/>
        </w:rPr>
        <w:t xml:space="preserve"> (1), 71-86.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Chan, L. K., Hamao, Y., &amp; Lakonishok, J. (1991). Fundamentals and stock returns in Japan.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46</w:t>
      </w:r>
      <w:r w:rsidRPr="001265DD">
        <w:rPr>
          <w:rFonts w:ascii="Times New Roman" w:hAnsi="Times New Roman" w:cs="Times New Roman"/>
          <w:noProof/>
          <w:sz w:val="24"/>
          <w:szCs w:val="24"/>
        </w:rPr>
        <w:t xml:space="preserve"> (5), 1739-1764.</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Chan, L. K., Jegadeesh, N., &amp; Lakonishok, J. (1996). Momentum strategies. </w:t>
      </w:r>
      <w:r w:rsidRPr="001265DD">
        <w:rPr>
          <w:rFonts w:ascii="Times New Roman" w:hAnsi="Times New Roman" w:cs="Times New Roman"/>
          <w:i/>
          <w:sz w:val="24"/>
          <w:szCs w:val="24"/>
        </w:rPr>
        <w:t xml:space="preserve"> The Journal of Finance, 51</w:t>
      </w:r>
      <w:r w:rsidRPr="001265DD">
        <w:rPr>
          <w:rFonts w:ascii="Times New Roman" w:hAnsi="Times New Roman" w:cs="Times New Roman"/>
          <w:sz w:val="24"/>
          <w:szCs w:val="24"/>
        </w:rPr>
        <w:t>(5), 1681-1713.</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Chan, L. K., Karceski, J., &amp; Lakonishok, J. (2003). The level and persistence of growth rates.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58</w:t>
      </w:r>
      <w:r w:rsidRPr="001265DD">
        <w:rPr>
          <w:rFonts w:ascii="Times New Roman" w:hAnsi="Times New Roman" w:cs="Times New Roman"/>
          <w:noProof/>
          <w:sz w:val="24"/>
          <w:szCs w:val="24"/>
        </w:rPr>
        <w:t xml:space="preserve"> (2), 643-684.</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Chen, N., &amp; Zhang, F. (1998). Risk and return of value stocks. </w:t>
      </w:r>
      <w:r w:rsidRPr="001265DD">
        <w:rPr>
          <w:rFonts w:ascii="Times New Roman" w:hAnsi="Times New Roman" w:cs="Times New Roman"/>
          <w:i/>
          <w:iCs/>
          <w:noProof/>
          <w:sz w:val="24"/>
          <w:szCs w:val="24"/>
        </w:rPr>
        <w:t>The Journal of Business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71</w:t>
      </w:r>
      <w:r w:rsidRPr="001265DD">
        <w:rPr>
          <w:rFonts w:ascii="Times New Roman" w:hAnsi="Times New Roman" w:cs="Times New Roman"/>
          <w:noProof/>
          <w:sz w:val="24"/>
          <w:szCs w:val="24"/>
        </w:rPr>
        <w:t xml:space="preserve"> (4), 501-535.</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Chen, N., Roll, R., &amp; Ross, S. A. (1986). Economic forces and the stock market. </w:t>
      </w:r>
      <w:r w:rsidRPr="001265DD">
        <w:rPr>
          <w:rFonts w:ascii="Times New Roman" w:hAnsi="Times New Roman" w:cs="Times New Roman"/>
          <w:i/>
          <w:sz w:val="24"/>
          <w:szCs w:val="24"/>
        </w:rPr>
        <w:t>The Journal of Business, 59</w:t>
      </w:r>
      <w:r w:rsidRPr="001265DD">
        <w:rPr>
          <w:rFonts w:ascii="Times New Roman" w:hAnsi="Times New Roman" w:cs="Times New Roman"/>
          <w:sz w:val="24"/>
          <w:szCs w:val="24"/>
        </w:rPr>
        <w:t>(3), 383-403.</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Chen, S., Chang, T., Yu, T. H., &amp; Mayes, T. (2005). Firm size and book-to-market equity as risk proxy in investment decisions. </w:t>
      </w:r>
      <w:r w:rsidRPr="001265DD">
        <w:rPr>
          <w:rFonts w:ascii="Times New Roman" w:hAnsi="Times New Roman" w:cs="Times New Roman"/>
          <w:i/>
          <w:iCs/>
          <w:noProof/>
          <w:sz w:val="24"/>
          <w:szCs w:val="24"/>
        </w:rPr>
        <w:t>Management Research News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28</w:t>
      </w:r>
      <w:r w:rsidRPr="001265DD">
        <w:rPr>
          <w:rFonts w:ascii="Times New Roman" w:hAnsi="Times New Roman" w:cs="Times New Roman"/>
          <w:noProof/>
          <w:sz w:val="24"/>
          <w:szCs w:val="24"/>
        </w:rPr>
        <w:t xml:space="preserve"> (4), 1-24.</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Chin, J. Y., Prevost, A. K., &amp; Gottesman, A. A. (2002). Contrarian investing in a small </w:t>
      </w:r>
      <w:r w:rsidR="00610C8D">
        <w:rPr>
          <w:rFonts w:ascii="Times New Roman" w:hAnsi="Times New Roman" w:cs="Times New Roman"/>
          <w:noProof/>
          <w:sz w:val="24"/>
          <w:szCs w:val="24"/>
        </w:rPr>
        <w:t>capitalisation</w:t>
      </w:r>
      <w:r w:rsidRPr="001265DD">
        <w:rPr>
          <w:rFonts w:ascii="Times New Roman" w:hAnsi="Times New Roman" w:cs="Times New Roman"/>
          <w:noProof/>
          <w:sz w:val="24"/>
          <w:szCs w:val="24"/>
        </w:rPr>
        <w:t xml:space="preserve"> market: Evidence from New Zealand. </w:t>
      </w:r>
      <w:r w:rsidRPr="001265DD">
        <w:rPr>
          <w:rFonts w:ascii="Times New Roman" w:hAnsi="Times New Roman" w:cs="Times New Roman"/>
          <w:i/>
          <w:iCs/>
          <w:noProof/>
          <w:sz w:val="24"/>
          <w:szCs w:val="24"/>
        </w:rPr>
        <w:t>The Financial Review</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37</w:t>
      </w:r>
      <w:r w:rsidRPr="001265DD">
        <w:rPr>
          <w:rFonts w:ascii="Times New Roman" w:hAnsi="Times New Roman" w:cs="Times New Roman"/>
          <w:noProof/>
          <w:sz w:val="24"/>
          <w:szCs w:val="24"/>
        </w:rPr>
        <w:t>, 421-446.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lastRenderedPageBreak/>
        <w:t xml:space="preserve">Cohen, K. J., Hawawini, G. A., Maier, S. F., Schwartz, R. A., &amp; Whitcomb, D. K. (1980). Implications of microstructure theory for empirical research on stock price behavior.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35</w:t>
      </w:r>
      <w:r w:rsidRPr="001265DD">
        <w:rPr>
          <w:rFonts w:ascii="Times New Roman" w:hAnsi="Times New Roman" w:cs="Times New Roman"/>
          <w:noProof/>
          <w:sz w:val="24"/>
          <w:szCs w:val="24"/>
        </w:rPr>
        <w:t xml:space="preserve"> (2), 249-257.</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Conrad, J., &amp; Kaul, G. (1998). An anatomy of trading strategies. </w:t>
      </w:r>
      <w:r w:rsidRPr="001265DD">
        <w:rPr>
          <w:rFonts w:ascii="Times New Roman" w:hAnsi="Times New Roman" w:cs="Times New Roman"/>
          <w:i/>
          <w:iCs/>
          <w:noProof/>
          <w:sz w:val="24"/>
          <w:szCs w:val="24"/>
        </w:rPr>
        <w:t>The Review of Financial Studies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11</w:t>
      </w:r>
      <w:r w:rsidRPr="001265DD">
        <w:rPr>
          <w:rFonts w:ascii="Times New Roman" w:hAnsi="Times New Roman" w:cs="Times New Roman"/>
          <w:noProof/>
          <w:sz w:val="24"/>
          <w:szCs w:val="24"/>
        </w:rPr>
        <w:t xml:space="preserve"> (3), 489-519.</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Cutler, D. M., Poterba, J. M., &amp; Summers, L. H. (1990). Speculative dynamics. </w:t>
      </w:r>
      <w:r w:rsidRPr="001265DD">
        <w:rPr>
          <w:rFonts w:ascii="Times New Roman" w:hAnsi="Times New Roman" w:cs="Times New Roman"/>
          <w:i/>
          <w:sz w:val="24"/>
          <w:szCs w:val="24"/>
        </w:rPr>
        <w:t>The Review of Economic Studies, 58</w:t>
      </w:r>
      <w:r w:rsidRPr="001265DD">
        <w:rPr>
          <w:rFonts w:ascii="Times New Roman" w:hAnsi="Times New Roman" w:cs="Times New Roman"/>
          <w:sz w:val="24"/>
          <w:szCs w:val="24"/>
        </w:rPr>
        <w:t xml:space="preserve"> (3), 529-546.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Daniel, K. D., Hirshleifer, D., &amp; Subrahmanyam, A. (2001). Overconfidence, arbitrage, and equilibrium asset pricing.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56</w:t>
      </w:r>
      <w:r w:rsidRPr="001265DD">
        <w:rPr>
          <w:rFonts w:ascii="Times New Roman" w:hAnsi="Times New Roman" w:cs="Times New Roman"/>
          <w:noProof/>
          <w:sz w:val="24"/>
          <w:szCs w:val="24"/>
        </w:rPr>
        <w:t xml:space="preserve"> (3), 921-965.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Daniel, K</w:t>
      </w:r>
      <w:r w:rsidRPr="001265DD">
        <w:rPr>
          <w:rFonts w:ascii="Times New Roman" w:hAnsi="Times New Roman" w:cs="Times New Roman"/>
          <w:sz w:val="24"/>
          <w:szCs w:val="24"/>
        </w:rPr>
        <w:t xml:space="preserve">., &amp; Titman, S. </w:t>
      </w:r>
      <w:r w:rsidRPr="001265DD">
        <w:rPr>
          <w:rFonts w:ascii="Times New Roman" w:hAnsi="Times New Roman" w:cs="Times New Roman"/>
          <w:noProof/>
          <w:sz w:val="24"/>
          <w:szCs w:val="24"/>
        </w:rPr>
        <w:t xml:space="preserve">(1997). Evidence on the characteristics of cross sectional variation in stock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52</w:t>
      </w:r>
      <w:r w:rsidRPr="001265DD">
        <w:rPr>
          <w:rFonts w:ascii="Times New Roman" w:hAnsi="Times New Roman" w:cs="Times New Roman"/>
          <w:noProof/>
          <w:sz w:val="24"/>
          <w:szCs w:val="24"/>
        </w:rPr>
        <w:t xml:space="preserve"> (1), 1-33.</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Daniel, K., &amp; Titman, S. (1999). Market efficiency in an irrational world.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55</w:t>
      </w:r>
      <w:r w:rsidRPr="001265DD">
        <w:rPr>
          <w:rFonts w:ascii="Times New Roman" w:hAnsi="Times New Roman" w:cs="Times New Roman"/>
          <w:noProof/>
          <w:sz w:val="24"/>
          <w:szCs w:val="24"/>
        </w:rPr>
        <w:t xml:space="preserve"> (6), 28-40.</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Davis, J. L., Fama, E. F., &amp; French, K. R. (2000). Characteristics, covariances, and average returns: 1929 to 1997.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55</w:t>
      </w:r>
      <w:r w:rsidRPr="001265DD">
        <w:rPr>
          <w:rFonts w:ascii="Times New Roman" w:hAnsi="Times New Roman" w:cs="Times New Roman"/>
          <w:noProof/>
          <w:sz w:val="24"/>
          <w:szCs w:val="24"/>
        </w:rPr>
        <w:t xml:space="preserve"> (1), 389-406.</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De Bondt, W. F., &amp; Thaler, R. H. (1985). Does the stock market overreact? </w:t>
      </w:r>
      <w:r w:rsidRPr="001265DD">
        <w:rPr>
          <w:rFonts w:ascii="Times New Roman" w:hAnsi="Times New Roman" w:cs="Times New Roman"/>
          <w:i/>
          <w:sz w:val="24"/>
          <w:szCs w:val="24"/>
        </w:rPr>
        <w:t>Journal of Finance, 40</w:t>
      </w:r>
      <w:r w:rsidRPr="001265DD">
        <w:rPr>
          <w:rFonts w:ascii="Times New Roman" w:hAnsi="Times New Roman" w:cs="Times New Roman"/>
          <w:sz w:val="24"/>
          <w:szCs w:val="24"/>
        </w:rPr>
        <w:t>, 793-805.</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De Long, J. B., Shleifer, A., Summers, L. H., &amp; Waldmann, R. J. (1990). Noise trader risk in financial markets. </w:t>
      </w:r>
      <w:r w:rsidRPr="001265DD">
        <w:rPr>
          <w:rFonts w:ascii="Times New Roman" w:hAnsi="Times New Roman" w:cs="Times New Roman"/>
          <w:i/>
          <w:sz w:val="24"/>
          <w:szCs w:val="24"/>
        </w:rPr>
        <w:t>The Journal of Political Economy, 98</w:t>
      </w:r>
      <w:r w:rsidRPr="001265DD">
        <w:rPr>
          <w:rFonts w:ascii="Times New Roman" w:hAnsi="Times New Roman" w:cs="Times New Roman"/>
          <w:sz w:val="24"/>
          <w:szCs w:val="24"/>
        </w:rPr>
        <w:t xml:space="preserve"> (4), 703-738.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Dissanaike, G. (2002). Does the size effect explain the UK winner-loser effect? </w:t>
      </w:r>
      <w:r w:rsidRPr="001265DD">
        <w:rPr>
          <w:rFonts w:ascii="Times New Roman" w:hAnsi="Times New Roman" w:cs="Times New Roman"/>
          <w:i/>
          <w:iCs/>
          <w:noProof/>
          <w:sz w:val="24"/>
          <w:szCs w:val="24"/>
        </w:rPr>
        <w:t>Journal of Business Finance &amp; Accounting</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29</w:t>
      </w:r>
      <w:r w:rsidRPr="001265DD">
        <w:rPr>
          <w:rFonts w:ascii="Times New Roman" w:hAnsi="Times New Roman" w:cs="Times New Roman"/>
          <w:noProof/>
          <w:sz w:val="24"/>
          <w:szCs w:val="24"/>
        </w:rPr>
        <w:t xml:space="preserve"> (1 &amp; 2), 139-154.</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Dreman, D. N., &amp; Berry, M. A. (1995). Overreaction, underreaction, and the low-P/E effect.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51</w:t>
      </w:r>
      <w:r w:rsidRPr="001265DD">
        <w:rPr>
          <w:rFonts w:ascii="Times New Roman" w:hAnsi="Times New Roman" w:cs="Times New Roman"/>
          <w:noProof/>
          <w:sz w:val="24"/>
          <w:szCs w:val="24"/>
        </w:rPr>
        <w:t xml:space="preserve"> (4), 21-30.</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Drew, M. E., Naughton, T., &amp; Veeraraghvan, M. (2003). Firm size, book-to-market equity and security returns: Evidence from the Shanghai stock exchange. </w:t>
      </w:r>
      <w:r w:rsidRPr="001265DD">
        <w:rPr>
          <w:rFonts w:ascii="Times New Roman" w:hAnsi="Times New Roman" w:cs="Times New Roman"/>
          <w:i/>
          <w:sz w:val="24"/>
          <w:szCs w:val="24"/>
        </w:rPr>
        <w:t>Australian Journal of Management, 28</w:t>
      </w:r>
      <w:r w:rsidRPr="001265DD">
        <w:rPr>
          <w:rFonts w:ascii="Times New Roman" w:hAnsi="Times New Roman" w:cs="Times New Roman"/>
          <w:sz w:val="24"/>
          <w:szCs w:val="24"/>
        </w:rPr>
        <w:t>(2), 119-140.</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(1965). The behavior of stock-market prices. </w:t>
      </w:r>
      <w:r w:rsidRPr="001265DD">
        <w:rPr>
          <w:rFonts w:ascii="Times New Roman" w:hAnsi="Times New Roman" w:cs="Times New Roman"/>
          <w:i/>
          <w:iCs/>
          <w:noProof/>
          <w:sz w:val="24"/>
          <w:szCs w:val="24"/>
        </w:rPr>
        <w:t>The Journal of Business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38</w:t>
      </w:r>
      <w:r w:rsidRPr="001265DD">
        <w:rPr>
          <w:rFonts w:ascii="Times New Roman" w:hAnsi="Times New Roman" w:cs="Times New Roman"/>
          <w:noProof/>
          <w:sz w:val="24"/>
          <w:szCs w:val="24"/>
        </w:rPr>
        <w:t xml:space="preserve"> (1), 34-105.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lastRenderedPageBreak/>
        <w:t xml:space="preserve">Fama, E. F. (1970). Efficient capital markets: A review of theory and empirical work.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25</w:t>
      </w:r>
      <w:r w:rsidRPr="001265DD">
        <w:rPr>
          <w:rFonts w:ascii="Times New Roman" w:hAnsi="Times New Roman" w:cs="Times New Roman"/>
          <w:noProof/>
          <w:sz w:val="24"/>
          <w:szCs w:val="24"/>
        </w:rPr>
        <w:t xml:space="preserve"> (2), 383-417.</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(1998). Market efficiency, long-term returns, and behavioral finance. </w:t>
      </w:r>
      <w:r w:rsidRPr="001265DD">
        <w:rPr>
          <w:rFonts w:ascii="Times New Roman" w:hAnsi="Times New Roman" w:cs="Times New Roman"/>
          <w:i/>
          <w:iCs/>
          <w:noProof/>
          <w:sz w:val="24"/>
          <w:szCs w:val="24"/>
        </w:rPr>
        <w:t>Journal of Financial Economics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49</w:t>
      </w:r>
      <w:r w:rsidRPr="001265DD">
        <w:rPr>
          <w:rFonts w:ascii="Times New Roman" w:hAnsi="Times New Roman" w:cs="Times New Roman"/>
          <w:noProof/>
          <w:sz w:val="24"/>
          <w:szCs w:val="24"/>
        </w:rPr>
        <w:t>, 283-306.</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Fama, E. F., &amp; Blume, M. E. (1966). Filter rules and stock market trading. </w:t>
      </w:r>
      <w:r w:rsidRPr="001265DD">
        <w:rPr>
          <w:rFonts w:ascii="Times New Roman" w:hAnsi="Times New Roman" w:cs="Times New Roman"/>
          <w:i/>
          <w:sz w:val="24"/>
          <w:szCs w:val="24"/>
        </w:rPr>
        <w:t>The Journal of Business, 39</w:t>
      </w:r>
      <w:r w:rsidRPr="001265DD">
        <w:rPr>
          <w:rFonts w:ascii="Times New Roman" w:hAnsi="Times New Roman" w:cs="Times New Roman"/>
          <w:sz w:val="24"/>
          <w:szCs w:val="24"/>
        </w:rPr>
        <w:t>(1), 226-241.</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&amp; French, K. R. (1992). The cross-section of expected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47</w:t>
      </w:r>
      <w:r w:rsidRPr="001265DD">
        <w:rPr>
          <w:rFonts w:ascii="Times New Roman" w:hAnsi="Times New Roman" w:cs="Times New Roman"/>
          <w:noProof/>
          <w:sz w:val="24"/>
          <w:szCs w:val="24"/>
        </w:rPr>
        <w:t xml:space="preserve"> (2), 427-465.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&amp; French, K. R. (1993). Common risk factors in the returns on stocks and bonds. </w:t>
      </w:r>
      <w:r w:rsidRPr="001265DD">
        <w:rPr>
          <w:rFonts w:ascii="Times New Roman" w:hAnsi="Times New Roman" w:cs="Times New Roman"/>
          <w:i/>
          <w:iCs/>
          <w:noProof/>
          <w:sz w:val="24"/>
          <w:szCs w:val="24"/>
        </w:rPr>
        <w:t>Journal of Financial Economics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33</w:t>
      </w:r>
      <w:r w:rsidRPr="001265DD">
        <w:rPr>
          <w:rFonts w:ascii="Times New Roman" w:hAnsi="Times New Roman" w:cs="Times New Roman"/>
          <w:noProof/>
          <w:sz w:val="24"/>
          <w:szCs w:val="24"/>
        </w:rPr>
        <w:t>, 3-56.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&amp; French, K. R. (1995). Size and book-to-market factors in earnings and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50</w:t>
      </w:r>
      <w:r w:rsidRPr="001265DD">
        <w:rPr>
          <w:rFonts w:ascii="Times New Roman" w:hAnsi="Times New Roman" w:cs="Times New Roman"/>
          <w:noProof/>
          <w:sz w:val="24"/>
          <w:szCs w:val="24"/>
        </w:rPr>
        <w:t xml:space="preserve"> (1), 131-155.</w:t>
      </w:r>
    </w:p>
    <w:p w:rsidR="00BF5E79"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&amp; French, K. R. (1996). Multifactor explanations of asset pricing anomalies.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51</w:t>
      </w:r>
      <w:r w:rsidRPr="001265DD">
        <w:rPr>
          <w:rFonts w:ascii="Times New Roman" w:hAnsi="Times New Roman" w:cs="Times New Roman"/>
          <w:noProof/>
          <w:sz w:val="24"/>
          <w:szCs w:val="24"/>
        </w:rPr>
        <w:t xml:space="preserve"> (1), 55-84.</w:t>
      </w:r>
    </w:p>
    <w:p w:rsidR="00DA4901" w:rsidRPr="00DA4901" w:rsidRDefault="00DA4901" w:rsidP="00DA4901">
      <w:pPr>
        <w:ind w:left="720" w:hanging="720"/>
        <w:rPr>
          <w:rFonts w:ascii="Times New Roman" w:hAnsi="Times New Roman" w:cs="Times New Roman"/>
          <w:sz w:val="24"/>
        </w:rPr>
      </w:pPr>
      <w:r w:rsidRPr="00DA4901">
        <w:rPr>
          <w:rFonts w:ascii="Times New Roman" w:hAnsi="Times New Roman" w:cs="Times New Roman"/>
          <w:sz w:val="24"/>
        </w:rPr>
        <w:t xml:space="preserve">Fama, E. F., &amp; French, K. R. (1998). Value versus growth: The international evidence. </w:t>
      </w:r>
      <w:r w:rsidRPr="00DA4901">
        <w:rPr>
          <w:rFonts w:ascii="Times New Roman" w:hAnsi="Times New Roman" w:cs="Times New Roman"/>
          <w:i/>
          <w:sz w:val="24"/>
        </w:rPr>
        <w:t>The Journal of Finance, 53</w:t>
      </w:r>
      <w:r w:rsidRPr="00DA4901">
        <w:rPr>
          <w:rFonts w:ascii="Times New Roman" w:hAnsi="Times New Roman" w:cs="Times New Roman"/>
          <w:sz w:val="24"/>
        </w:rPr>
        <w:t xml:space="preserve"> (6), 1975-1999.</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Fama, E. F., &amp; MacBeth, J. D. (1973). Risk, return, and equilibrium: Empirical tests. </w:t>
      </w:r>
      <w:r w:rsidRPr="001265DD">
        <w:rPr>
          <w:rFonts w:ascii="Times New Roman" w:hAnsi="Times New Roman" w:cs="Times New Roman"/>
          <w:i/>
          <w:iCs/>
          <w:noProof/>
          <w:sz w:val="24"/>
          <w:szCs w:val="24"/>
        </w:rPr>
        <w:t>The Journal of Political Economy</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81</w:t>
      </w:r>
      <w:r w:rsidRPr="001265DD">
        <w:rPr>
          <w:rFonts w:ascii="Times New Roman" w:hAnsi="Times New Roman" w:cs="Times New Roman"/>
          <w:noProof/>
          <w:sz w:val="24"/>
          <w:szCs w:val="24"/>
        </w:rPr>
        <w:t xml:space="preserve"> (3), 607-636.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Forner, C., &amp; Marhuenda, J. (2003). Contrarian and momentum strategies in the Spanish stock market. </w:t>
      </w:r>
      <w:r w:rsidRPr="001265DD">
        <w:rPr>
          <w:rFonts w:ascii="Times New Roman" w:hAnsi="Times New Roman" w:cs="Times New Roman"/>
          <w:i/>
          <w:iCs/>
          <w:noProof/>
          <w:sz w:val="24"/>
          <w:szCs w:val="24"/>
        </w:rPr>
        <w:t>European Financial Management</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9</w:t>
      </w:r>
      <w:r w:rsidRPr="001265DD">
        <w:rPr>
          <w:rFonts w:ascii="Times New Roman" w:hAnsi="Times New Roman" w:cs="Times New Roman"/>
          <w:noProof/>
          <w:sz w:val="24"/>
          <w:szCs w:val="24"/>
        </w:rPr>
        <w:t xml:space="preserve"> (1), 67-88.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Garza-Gómez, X. (2001). The information content of the book-to-market ratio.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57</w:t>
      </w:r>
      <w:r w:rsidRPr="001265DD">
        <w:rPr>
          <w:rFonts w:ascii="Times New Roman" w:hAnsi="Times New Roman" w:cs="Times New Roman"/>
          <w:noProof/>
          <w:sz w:val="24"/>
          <w:szCs w:val="24"/>
        </w:rPr>
        <w:t xml:space="preserve"> (6), 78-95.</w:t>
      </w:r>
    </w:p>
    <w:p w:rsidR="00BF5E79" w:rsidRPr="001265DD" w:rsidRDefault="00BF5E79" w:rsidP="00BF5E79">
      <w:pPr>
        <w:spacing w:line="360" w:lineRule="auto"/>
        <w:ind w:left="709"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Goetzmann, W. N., &amp; Massa, M. (1999). Daily momentum and contrarian behaviour of index fund investors. </w:t>
      </w:r>
      <w:r w:rsidRPr="001265DD">
        <w:rPr>
          <w:rFonts w:ascii="Times New Roman" w:hAnsi="Times New Roman" w:cs="Times New Roman"/>
          <w:i/>
          <w:sz w:val="24"/>
          <w:szCs w:val="24"/>
        </w:rPr>
        <w:t xml:space="preserve">Working Paper, </w:t>
      </w:r>
      <w:r w:rsidRPr="001265DD">
        <w:rPr>
          <w:rFonts w:ascii="Times New Roman" w:hAnsi="Times New Roman" w:cs="Times New Roman"/>
          <w:sz w:val="24"/>
          <w:szCs w:val="24"/>
        </w:rPr>
        <w:t>1-49.</w:t>
      </w:r>
    </w:p>
    <w:p w:rsidR="00BF5E79"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Gordon, M. J., &amp; Shapiro, E. (1956). Capital equipment analysis: The required rate of profit. </w:t>
      </w:r>
      <w:r w:rsidRPr="001265DD">
        <w:rPr>
          <w:rFonts w:ascii="Times New Roman" w:hAnsi="Times New Roman" w:cs="Times New Roman"/>
          <w:i/>
          <w:sz w:val="24"/>
          <w:szCs w:val="24"/>
        </w:rPr>
        <w:t>Management Science, 3</w:t>
      </w:r>
      <w:r w:rsidRPr="001265DD">
        <w:rPr>
          <w:rFonts w:ascii="Times New Roman" w:hAnsi="Times New Roman" w:cs="Times New Roman"/>
          <w:sz w:val="24"/>
          <w:szCs w:val="24"/>
        </w:rPr>
        <w:t>(1), 102-110.</w:t>
      </w:r>
    </w:p>
    <w:p w:rsidR="00E84FCE" w:rsidRDefault="00E84FCE" w:rsidP="00BF5E79">
      <w:pPr>
        <w:spacing w:line="360" w:lineRule="auto"/>
        <w:ind w:left="720" w:hanging="720"/>
        <w:jc w:val="both"/>
        <w:rPr>
          <w:rFonts w:ascii="Times New Roman" w:hAnsi="Times New Roman" w:cs="Times New Roman"/>
          <w:sz w:val="24"/>
          <w:szCs w:val="24"/>
        </w:rPr>
      </w:pPr>
    </w:p>
    <w:p w:rsidR="00E84FCE" w:rsidRDefault="00E84FCE" w:rsidP="00BF5E79">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Graham, M., &amp; Uliana, E. (2001). Evidence of a value-growth phenomenon on the Johannesburg Stock Exchange. </w:t>
      </w:r>
      <w:r>
        <w:rPr>
          <w:rFonts w:ascii="Times New Roman" w:hAnsi="Times New Roman" w:cs="Times New Roman"/>
          <w:i/>
          <w:sz w:val="24"/>
          <w:szCs w:val="24"/>
        </w:rPr>
        <w:t>Investment Analysts Journal, 53</w:t>
      </w:r>
      <w:r>
        <w:rPr>
          <w:rFonts w:ascii="Times New Roman" w:hAnsi="Times New Roman" w:cs="Times New Roman"/>
          <w:sz w:val="24"/>
          <w:szCs w:val="24"/>
        </w:rPr>
        <w:t>, 7-18.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Gregory, A., Harris, R. D., &amp; Michou, M. (2003). Contrarian investment and macroeconomic risk. </w:t>
      </w:r>
      <w:r w:rsidRPr="001265DD">
        <w:rPr>
          <w:rFonts w:ascii="Times New Roman" w:hAnsi="Times New Roman" w:cs="Times New Roman"/>
          <w:i/>
          <w:iCs/>
          <w:noProof/>
          <w:sz w:val="24"/>
          <w:szCs w:val="24"/>
        </w:rPr>
        <w:t>Journal of Business Finance &amp; Accounting</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30</w:t>
      </w:r>
      <w:r w:rsidRPr="001265DD">
        <w:rPr>
          <w:rFonts w:ascii="Times New Roman" w:hAnsi="Times New Roman" w:cs="Times New Roman"/>
          <w:noProof/>
          <w:sz w:val="24"/>
          <w:szCs w:val="24"/>
        </w:rPr>
        <w:t xml:space="preserve"> (1 &amp; 2), 213-255.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Griffin, J. M., &amp; Lemmon, M. L. (2002). Book-to-market equity, distress risk, and stock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57</w:t>
      </w:r>
      <w:r w:rsidRPr="001265DD">
        <w:rPr>
          <w:rFonts w:ascii="Times New Roman" w:hAnsi="Times New Roman" w:cs="Times New Roman"/>
          <w:noProof/>
          <w:sz w:val="24"/>
          <w:szCs w:val="24"/>
        </w:rPr>
        <w:t xml:space="preserve"> (5), 2317-2336.</w:t>
      </w:r>
    </w:p>
    <w:p w:rsidR="00BF5E79" w:rsidRPr="001265DD" w:rsidRDefault="00BF5E79" w:rsidP="00BF5E79">
      <w:pPr>
        <w:spacing w:line="360" w:lineRule="auto"/>
        <w:ind w:left="709"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Grossman, S. J., &amp; Stiglitz, J. E. (1980). On the impossibility of informationally efficient markets. </w:t>
      </w:r>
      <w:r w:rsidRPr="001265DD">
        <w:rPr>
          <w:rFonts w:ascii="Times New Roman" w:hAnsi="Times New Roman" w:cs="Times New Roman"/>
          <w:i/>
          <w:sz w:val="24"/>
          <w:szCs w:val="24"/>
        </w:rPr>
        <w:t xml:space="preserve"> The American Economic Review</w:t>
      </w:r>
      <w:r w:rsidRPr="001265DD">
        <w:rPr>
          <w:rFonts w:ascii="Times New Roman" w:hAnsi="Times New Roman" w:cs="Times New Roman"/>
          <w:sz w:val="24"/>
          <w:szCs w:val="24"/>
        </w:rPr>
        <w:t>, 70 (3), 393-408.</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Harris, R. S., &amp; Marston, F. C. (1994). Value versus growth stocks: Book0-to-market, growth, and beta. </w:t>
      </w:r>
      <w:r w:rsidRPr="001265DD">
        <w:rPr>
          <w:rFonts w:ascii="Times New Roman" w:hAnsi="Times New Roman" w:cs="Times New Roman"/>
          <w:i/>
          <w:sz w:val="24"/>
          <w:szCs w:val="24"/>
        </w:rPr>
        <w:t>Financial Analysts Journal, 50</w:t>
      </w:r>
      <w:r w:rsidRPr="001265DD">
        <w:rPr>
          <w:rFonts w:ascii="Times New Roman" w:hAnsi="Times New Roman" w:cs="Times New Roman"/>
          <w:sz w:val="24"/>
          <w:szCs w:val="24"/>
        </w:rPr>
        <w:t>(5), 18-24.</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Jaffe, J. F., &amp; Merville, L. J. (1974). Stock price dependencies and the valuation of risky assets with discontinuous temporal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29</w:t>
      </w:r>
      <w:r w:rsidRPr="001265DD">
        <w:rPr>
          <w:rFonts w:ascii="Times New Roman" w:hAnsi="Times New Roman" w:cs="Times New Roman"/>
          <w:noProof/>
          <w:sz w:val="24"/>
          <w:szCs w:val="24"/>
        </w:rPr>
        <w:t xml:space="preserve"> (5), 1437-1448.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Jaffe, J., Keim, D. B., &amp; Westerfield, R. (1989). Earnings yields, market values, and stock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44</w:t>
      </w:r>
      <w:r w:rsidRPr="001265DD">
        <w:rPr>
          <w:rFonts w:ascii="Times New Roman" w:hAnsi="Times New Roman" w:cs="Times New Roman"/>
          <w:noProof/>
          <w:sz w:val="24"/>
          <w:szCs w:val="24"/>
        </w:rPr>
        <w:t xml:space="preserve"> (1), 135-148.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Jagannathan, R., &amp; Wang, Z. (1996). The conditional CAPM and the cross-section of expected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51</w:t>
      </w:r>
      <w:r w:rsidRPr="001265DD">
        <w:rPr>
          <w:rFonts w:ascii="Times New Roman" w:hAnsi="Times New Roman" w:cs="Times New Roman"/>
          <w:noProof/>
          <w:sz w:val="24"/>
          <w:szCs w:val="24"/>
        </w:rPr>
        <w:t xml:space="preserve"> (1), 3-53.</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Jegadeesh. N. &amp; Titman, S. (1995). Overreaction, delayed reaction, and contrarian profits. </w:t>
      </w:r>
      <w:r w:rsidRPr="001265DD">
        <w:rPr>
          <w:rFonts w:ascii="Times New Roman" w:hAnsi="Times New Roman" w:cs="Times New Roman"/>
          <w:i/>
          <w:sz w:val="24"/>
          <w:szCs w:val="24"/>
        </w:rPr>
        <w:t>Review of Financial Studies, 8</w:t>
      </w:r>
      <w:r w:rsidRPr="001265DD">
        <w:rPr>
          <w:rFonts w:ascii="Times New Roman" w:hAnsi="Times New Roman" w:cs="Times New Roman"/>
          <w:sz w:val="24"/>
          <w:szCs w:val="24"/>
        </w:rPr>
        <w:t>, 973-993.</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Jensen, M. C. (2005). Agency costs of overvalued equity. </w:t>
      </w:r>
      <w:r w:rsidRPr="001265DD">
        <w:rPr>
          <w:rFonts w:ascii="Times New Roman" w:hAnsi="Times New Roman" w:cs="Times New Roman"/>
          <w:i/>
          <w:sz w:val="24"/>
          <w:szCs w:val="24"/>
        </w:rPr>
        <w:t>Financial Management, 34</w:t>
      </w:r>
      <w:r w:rsidRPr="001265DD">
        <w:rPr>
          <w:rFonts w:ascii="Times New Roman" w:hAnsi="Times New Roman" w:cs="Times New Roman"/>
          <w:sz w:val="24"/>
          <w:szCs w:val="24"/>
        </w:rPr>
        <w:t xml:space="preserve">(1), 5-19. </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Kahneman, D., &amp; Riepe, M. W. (1998). Aspects of investor psychology. </w:t>
      </w:r>
      <w:r w:rsidRPr="001265DD">
        <w:rPr>
          <w:rFonts w:ascii="Times New Roman" w:hAnsi="Times New Roman" w:cs="Times New Roman"/>
          <w:i/>
          <w:iCs/>
          <w:noProof/>
          <w:sz w:val="24"/>
          <w:szCs w:val="24"/>
        </w:rPr>
        <w:t>Journal of Porfolio Management</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24</w:t>
      </w:r>
      <w:r w:rsidRPr="001265DD">
        <w:rPr>
          <w:rFonts w:ascii="Times New Roman" w:hAnsi="Times New Roman" w:cs="Times New Roman"/>
          <w:noProof/>
          <w:sz w:val="24"/>
          <w:szCs w:val="24"/>
        </w:rPr>
        <w:t xml:space="preserve"> (4), 52-65.</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Kahneman, D., &amp; Tversky, A. (1974). Judgement under uncertainty: Heuristics and biases. </w:t>
      </w:r>
      <w:r w:rsidRPr="001265DD">
        <w:rPr>
          <w:rFonts w:ascii="Times New Roman" w:hAnsi="Times New Roman" w:cs="Times New Roman"/>
          <w:i/>
          <w:sz w:val="24"/>
          <w:szCs w:val="24"/>
        </w:rPr>
        <w:t>Science, New Series, 185</w:t>
      </w:r>
      <w:r w:rsidRPr="001265DD">
        <w:rPr>
          <w:rFonts w:ascii="Times New Roman" w:hAnsi="Times New Roman" w:cs="Times New Roman"/>
          <w:sz w:val="24"/>
          <w:szCs w:val="24"/>
        </w:rPr>
        <w:t>(4157), 1124-1131.</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Kaplan, R. S., &amp; Roll, R. (1972). Investor evaluation of Accounting information: Some empirical evidence. </w:t>
      </w:r>
      <w:r w:rsidRPr="001265DD">
        <w:rPr>
          <w:rFonts w:ascii="Times New Roman" w:hAnsi="Times New Roman" w:cs="Times New Roman"/>
          <w:i/>
          <w:iCs/>
          <w:noProof/>
          <w:sz w:val="24"/>
          <w:szCs w:val="24"/>
        </w:rPr>
        <w:t>The Journal of Business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45</w:t>
      </w:r>
      <w:r w:rsidRPr="001265DD">
        <w:rPr>
          <w:rFonts w:ascii="Times New Roman" w:hAnsi="Times New Roman" w:cs="Times New Roman"/>
          <w:noProof/>
          <w:sz w:val="24"/>
          <w:szCs w:val="24"/>
        </w:rPr>
        <w:t xml:space="preserve"> (2), 225-257.</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lastRenderedPageBreak/>
        <w:t xml:space="preserve">La Porta, R. (1996). Expectations and the cross-section of stock returns.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51</w:t>
      </w:r>
      <w:r w:rsidRPr="001265DD">
        <w:rPr>
          <w:rFonts w:ascii="Times New Roman" w:hAnsi="Times New Roman" w:cs="Times New Roman"/>
          <w:noProof/>
          <w:sz w:val="24"/>
          <w:szCs w:val="24"/>
        </w:rPr>
        <w:t xml:space="preserve"> (5), 1715-1742.</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La Porta, R., Lakonishok, J., Shleifer, A., &amp; Vishny, R. (1997). Good news for value stocks: Further evidence of market efficiency.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52</w:t>
      </w:r>
      <w:r w:rsidRPr="001265DD">
        <w:rPr>
          <w:rFonts w:ascii="Times New Roman" w:hAnsi="Times New Roman" w:cs="Times New Roman"/>
          <w:noProof/>
          <w:sz w:val="24"/>
          <w:szCs w:val="24"/>
        </w:rPr>
        <w:t xml:space="preserve"> (2), 859-874.</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Lakonishok, J., Shleifer, A., &amp; Vishny, R. W. (1991). Do institutional investors destabiliza stock prices? Evidence on herding and feedback trading. </w:t>
      </w:r>
      <w:r w:rsidRPr="001265DD">
        <w:rPr>
          <w:rFonts w:ascii="Times New Roman" w:hAnsi="Times New Roman" w:cs="Times New Roman"/>
          <w:i/>
          <w:iCs/>
          <w:noProof/>
          <w:sz w:val="24"/>
          <w:szCs w:val="24"/>
        </w:rPr>
        <w:t>NBER Working Papers Series</w:t>
      </w:r>
      <w:r w:rsidRPr="001265DD">
        <w:rPr>
          <w:rFonts w:ascii="Times New Roman" w:hAnsi="Times New Roman" w:cs="Times New Roman"/>
          <w:noProof/>
          <w:sz w:val="24"/>
          <w:szCs w:val="24"/>
        </w:rPr>
        <w:t xml:space="preserve"> , 1-32.</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Lakonishok, J., Shleifer, A., &amp; Vishny, R. W. (1994). Contrarian investment, extrapolation, and risk.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49</w:t>
      </w:r>
      <w:r w:rsidRPr="001265DD">
        <w:rPr>
          <w:rFonts w:ascii="Times New Roman" w:hAnsi="Times New Roman" w:cs="Times New Roman"/>
          <w:noProof/>
          <w:sz w:val="24"/>
          <w:szCs w:val="24"/>
        </w:rPr>
        <w:t xml:space="preserve"> (5), 1541-1578.</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Levis, M., &amp; Liodakis, M. (2001). Contrarian strategies and investor expectations: The UK evidence.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57</w:t>
      </w:r>
      <w:r w:rsidRPr="001265DD">
        <w:rPr>
          <w:rFonts w:ascii="Times New Roman" w:hAnsi="Times New Roman" w:cs="Times New Roman"/>
          <w:noProof/>
          <w:sz w:val="24"/>
          <w:szCs w:val="24"/>
        </w:rPr>
        <w:t xml:space="preserve"> (5), 43-56.</w:t>
      </w:r>
    </w:p>
    <w:p w:rsidR="00BF5E79" w:rsidRPr="001265DD" w:rsidRDefault="00BF5E79" w:rsidP="001E6585">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Lintner, J. (1965). Security Prices, Risk, and Maximal Gains From Diversification. </w:t>
      </w:r>
      <w:r w:rsidRPr="001265DD">
        <w:rPr>
          <w:rFonts w:ascii="Times New Roman" w:hAnsi="Times New Roman" w:cs="Times New Roman"/>
          <w:i/>
          <w:sz w:val="24"/>
          <w:szCs w:val="24"/>
        </w:rPr>
        <w:t>The Journal of Finance</w:t>
      </w:r>
      <w:r w:rsidRPr="001265DD">
        <w:rPr>
          <w:rFonts w:ascii="Times New Roman" w:hAnsi="Times New Roman" w:cs="Times New Roman"/>
          <w:sz w:val="24"/>
          <w:szCs w:val="24"/>
        </w:rPr>
        <w:t>, 20,</w:t>
      </w:r>
      <w:r w:rsidRPr="001265DD">
        <w:rPr>
          <w:rFonts w:ascii="Times New Roman" w:hAnsi="Times New Roman" w:cs="Times New Roman"/>
          <w:i/>
          <w:sz w:val="24"/>
          <w:szCs w:val="24"/>
        </w:rPr>
        <w:t xml:space="preserve"> </w:t>
      </w:r>
      <w:r w:rsidRPr="001265DD">
        <w:rPr>
          <w:rFonts w:ascii="Times New Roman" w:hAnsi="Times New Roman" w:cs="Times New Roman"/>
          <w:sz w:val="24"/>
          <w:szCs w:val="24"/>
        </w:rPr>
        <w:t>587-615.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Lo, A. W., &amp; MacKinlay, A. C. (1988). Stock market prices do not follow random walks: Evidence from a simple specification test. </w:t>
      </w:r>
      <w:r w:rsidRPr="001265DD">
        <w:rPr>
          <w:rFonts w:ascii="Times New Roman" w:hAnsi="Times New Roman" w:cs="Times New Roman"/>
          <w:i/>
          <w:iCs/>
          <w:noProof/>
          <w:sz w:val="24"/>
          <w:szCs w:val="24"/>
        </w:rPr>
        <w:t>The Review of Financial Studies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1</w:t>
      </w:r>
      <w:r w:rsidRPr="001265DD">
        <w:rPr>
          <w:rFonts w:ascii="Times New Roman" w:hAnsi="Times New Roman" w:cs="Times New Roman"/>
          <w:noProof/>
          <w:sz w:val="24"/>
          <w:szCs w:val="24"/>
        </w:rPr>
        <w:t xml:space="preserve"> (1), 41-66.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Lo, A. W., &amp; MacKinlay, A. C. (1990). When are contrarian profits due to stock market overreaction? </w:t>
      </w:r>
      <w:r w:rsidRPr="001265DD">
        <w:rPr>
          <w:rFonts w:ascii="Times New Roman" w:hAnsi="Times New Roman" w:cs="Times New Roman"/>
          <w:i/>
          <w:iCs/>
          <w:noProof/>
          <w:sz w:val="24"/>
          <w:szCs w:val="24"/>
        </w:rPr>
        <w:t>The Review of Financial Studies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w:t>
      </w:r>
      <w:r w:rsidRPr="001265DD">
        <w:rPr>
          <w:rFonts w:ascii="Times New Roman" w:hAnsi="Times New Roman" w:cs="Times New Roman"/>
          <w:noProof/>
          <w:sz w:val="24"/>
          <w:szCs w:val="24"/>
        </w:rPr>
        <w:t xml:space="preserve"> (2), 175-205.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Malkiel, B. G. (2003). The efficient market hypothesis and its critics. </w:t>
      </w:r>
      <w:r w:rsidRPr="001265DD">
        <w:rPr>
          <w:rFonts w:ascii="Times New Roman" w:hAnsi="Times New Roman" w:cs="Times New Roman"/>
          <w:i/>
          <w:iCs/>
          <w:noProof/>
          <w:sz w:val="24"/>
          <w:szCs w:val="24"/>
        </w:rPr>
        <w:t>The Journal of Economic Perspectives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17</w:t>
      </w:r>
      <w:r w:rsidRPr="001265DD">
        <w:rPr>
          <w:rFonts w:ascii="Times New Roman" w:hAnsi="Times New Roman" w:cs="Times New Roman"/>
          <w:noProof/>
          <w:sz w:val="24"/>
          <w:szCs w:val="24"/>
        </w:rPr>
        <w:t xml:space="preserve"> (1), 59-82.</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Mandelbrot, B. (1966). Forecasts of future prices, unbiased markets, and "Martingale" models. </w:t>
      </w:r>
      <w:r w:rsidRPr="001265DD">
        <w:rPr>
          <w:rFonts w:ascii="Times New Roman" w:hAnsi="Times New Roman" w:cs="Times New Roman"/>
          <w:i/>
          <w:iCs/>
          <w:noProof/>
          <w:sz w:val="24"/>
          <w:szCs w:val="24"/>
        </w:rPr>
        <w:t>The Journal of Business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39</w:t>
      </w:r>
      <w:r w:rsidRPr="001265DD">
        <w:rPr>
          <w:rFonts w:ascii="Times New Roman" w:hAnsi="Times New Roman" w:cs="Times New Roman"/>
          <w:noProof/>
          <w:sz w:val="24"/>
          <w:szCs w:val="24"/>
        </w:rPr>
        <w:t xml:space="preserve"> (1), 242-255.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Markowitz, H. (1952). Portfolio selection.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7</w:t>
      </w:r>
      <w:r w:rsidRPr="001265DD">
        <w:rPr>
          <w:rFonts w:ascii="Times New Roman" w:hAnsi="Times New Roman" w:cs="Times New Roman"/>
          <w:noProof/>
          <w:sz w:val="24"/>
          <w:szCs w:val="24"/>
        </w:rPr>
        <w:t xml:space="preserve"> (1), 77-91.</w:t>
      </w:r>
    </w:p>
    <w:p w:rsidR="00BF5E79" w:rsidRPr="001265DD" w:rsidRDefault="00BF5E79" w:rsidP="001E6585">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Mauboussin, M. J. (2005). Contrarian Investing: The Psychology of Going Against the Crowd. </w:t>
      </w:r>
      <w:r w:rsidRPr="001265DD">
        <w:rPr>
          <w:rFonts w:ascii="Times New Roman" w:hAnsi="Times New Roman" w:cs="Times New Roman"/>
          <w:i/>
          <w:sz w:val="24"/>
          <w:szCs w:val="24"/>
        </w:rPr>
        <w:t>Excerpt from a presentation given to the Greenwich Roundtable</w:t>
      </w:r>
      <w:r w:rsidRPr="001265DD">
        <w:rPr>
          <w:rFonts w:ascii="Times New Roman" w:hAnsi="Times New Roman" w:cs="Times New Roman"/>
          <w:sz w:val="24"/>
          <w:szCs w:val="24"/>
        </w:rPr>
        <w:t>, February 24, 2005.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Mech, T. S. (1993). Portfolio return autocorrelation. </w:t>
      </w:r>
      <w:r w:rsidRPr="001265DD">
        <w:rPr>
          <w:rFonts w:ascii="Times New Roman" w:hAnsi="Times New Roman" w:cs="Times New Roman"/>
          <w:i/>
          <w:iCs/>
          <w:noProof/>
          <w:sz w:val="24"/>
          <w:szCs w:val="24"/>
        </w:rPr>
        <w:t>Journal of Financial Economics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34</w:t>
      </w:r>
      <w:r w:rsidRPr="001265DD">
        <w:rPr>
          <w:rFonts w:ascii="Times New Roman" w:hAnsi="Times New Roman" w:cs="Times New Roman"/>
          <w:noProof/>
          <w:sz w:val="24"/>
          <w:szCs w:val="24"/>
        </w:rPr>
        <w:t>, 307-344.</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lastRenderedPageBreak/>
        <w:t xml:space="preserve">Merton, R. C. (1973). An intertemporal capital asset pricing model. </w:t>
      </w:r>
      <w:r w:rsidRPr="001265DD">
        <w:rPr>
          <w:rFonts w:ascii="Times New Roman" w:hAnsi="Times New Roman" w:cs="Times New Roman"/>
          <w:i/>
          <w:sz w:val="24"/>
          <w:szCs w:val="24"/>
        </w:rPr>
        <w:t>Econometrica, 41</w:t>
      </w:r>
      <w:r w:rsidRPr="001265DD">
        <w:rPr>
          <w:rFonts w:ascii="Times New Roman" w:hAnsi="Times New Roman" w:cs="Times New Roman"/>
          <w:sz w:val="24"/>
          <w:szCs w:val="24"/>
        </w:rPr>
        <w:t>(5), 867-887.</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Michailidis, G., Tsopoglou, S., &amp; Papanastasiou, D. (2007). The cross-section of expected stock returns for the Athens stock exchange. </w:t>
      </w:r>
      <w:r w:rsidRPr="001265DD">
        <w:rPr>
          <w:rFonts w:ascii="Times New Roman" w:hAnsi="Times New Roman" w:cs="Times New Roman"/>
          <w:i/>
          <w:sz w:val="24"/>
          <w:szCs w:val="24"/>
        </w:rPr>
        <w:t xml:space="preserve"> International Research Journal of Finance and Economics, 8</w:t>
      </w:r>
      <w:r w:rsidRPr="001265DD">
        <w:rPr>
          <w:rFonts w:ascii="Times New Roman" w:hAnsi="Times New Roman" w:cs="Times New Roman"/>
          <w:sz w:val="24"/>
          <w:szCs w:val="24"/>
        </w:rPr>
        <w:t>, 63-96.</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Modigliani, F., &amp; Miller, M. H. (1958). The cost of capital, corporation finance and the theory of investment. </w:t>
      </w:r>
      <w:r w:rsidRPr="001265DD">
        <w:rPr>
          <w:rFonts w:ascii="Times New Roman" w:hAnsi="Times New Roman" w:cs="Times New Roman"/>
          <w:i/>
          <w:iCs/>
          <w:noProof/>
          <w:sz w:val="24"/>
          <w:szCs w:val="24"/>
        </w:rPr>
        <w:t>The American Economic Review</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48</w:t>
      </w:r>
      <w:r w:rsidRPr="001265DD">
        <w:rPr>
          <w:rFonts w:ascii="Times New Roman" w:hAnsi="Times New Roman" w:cs="Times New Roman"/>
          <w:noProof/>
          <w:sz w:val="24"/>
          <w:szCs w:val="24"/>
        </w:rPr>
        <w:t xml:space="preserve"> (3), 261-297.</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Moskowitz, T. J., &amp; Grinblatt, M. (1999). Do industries explain momentum?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54</w:t>
      </w:r>
      <w:r w:rsidRPr="001265DD">
        <w:rPr>
          <w:rFonts w:ascii="Times New Roman" w:hAnsi="Times New Roman" w:cs="Times New Roman"/>
          <w:noProof/>
          <w:sz w:val="24"/>
          <w:szCs w:val="24"/>
        </w:rPr>
        <w:t xml:space="preserve"> (4), 1249-1290.</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Nicholson, S. F. (1960). Price-earnings ratios. </w:t>
      </w:r>
      <w:r w:rsidRPr="001265DD">
        <w:rPr>
          <w:rFonts w:ascii="Times New Roman" w:hAnsi="Times New Roman" w:cs="Times New Roman"/>
          <w:i/>
          <w:iCs/>
          <w:noProof/>
          <w:sz w:val="24"/>
          <w:szCs w:val="24"/>
        </w:rPr>
        <w:t>Financial Analysts Journal</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16</w:t>
      </w:r>
      <w:r w:rsidRPr="001265DD">
        <w:rPr>
          <w:rFonts w:ascii="Times New Roman" w:hAnsi="Times New Roman" w:cs="Times New Roman"/>
          <w:noProof/>
          <w:sz w:val="24"/>
          <w:szCs w:val="24"/>
        </w:rPr>
        <w:t xml:space="preserve"> (4), 43-45.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Ross, S. A. (1976). The arbitrage theory of capital asset pricing. </w:t>
      </w:r>
      <w:r w:rsidRPr="001265DD">
        <w:rPr>
          <w:rFonts w:ascii="Times New Roman" w:hAnsi="Times New Roman" w:cs="Times New Roman"/>
          <w:i/>
          <w:iCs/>
          <w:noProof/>
          <w:sz w:val="24"/>
          <w:szCs w:val="24"/>
        </w:rPr>
        <w:t>Journal of Economic Theory</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13</w:t>
      </w:r>
      <w:r w:rsidRPr="001265DD">
        <w:rPr>
          <w:rFonts w:ascii="Times New Roman" w:hAnsi="Times New Roman" w:cs="Times New Roman"/>
          <w:noProof/>
          <w:sz w:val="24"/>
          <w:szCs w:val="24"/>
        </w:rPr>
        <w:t>, 341-360.</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Samuelson, P. A. (1965). Proof that properly anticipated prices fluctuate randomly. </w:t>
      </w:r>
      <w:r w:rsidRPr="001265DD">
        <w:rPr>
          <w:rFonts w:ascii="Times New Roman" w:hAnsi="Times New Roman" w:cs="Times New Roman"/>
          <w:i/>
          <w:iCs/>
          <w:noProof/>
          <w:sz w:val="24"/>
          <w:szCs w:val="24"/>
        </w:rPr>
        <w:t>Industrial Management Review</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w:t>
      </w:r>
      <w:r w:rsidRPr="001265DD">
        <w:rPr>
          <w:rFonts w:ascii="Times New Roman" w:hAnsi="Times New Roman" w:cs="Times New Roman"/>
          <w:noProof/>
          <w:sz w:val="24"/>
          <w:szCs w:val="24"/>
        </w:rPr>
        <w:t xml:space="preserve"> (2), 41-49.</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Saville, A. (2009). www. cannonasset.co.za/superdogs.asp. </w:t>
      </w:r>
      <w:r w:rsidRPr="001265DD">
        <w:rPr>
          <w:rFonts w:ascii="Times New Roman" w:hAnsi="Times New Roman" w:cs="Times New Roman"/>
          <w:i/>
          <w:iCs/>
          <w:noProof/>
          <w:sz w:val="24"/>
          <w:szCs w:val="24"/>
        </w:rPr>
        <w:t>Diamonds &amp; dogs: The year the dog ate my homework</w:t>
      </w:r>
      <w:r w:rsidRPr="001265DD">
        <w:rPr>
          <w:rFonts w:ascii="Times New Roman" w:hAnsi="Times New Roman" w:cs="Times New Roman"/>
          <w:noProof/>
          <w:sz w:val="24"/>
          <w:szCs w:val="24"/>
        </w:rPr>
        <w:t xml:space="preserve"> . Retrieved from http://cannonasset.co.za/.</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Schwert, G. W. (1983). Size and stock returns, and other empirical regularities. </w:t>
      </w:r>
      <w:r w:rsidRPr="001265DD">
        <w:rPr>
          <w:rFonts w:ascii="Times New Roman" w:hAnsi="Times New Roman" w:cs="Times New Roman"/>
          <w:i/>
          <w:sz w:val="24"/>
          <w:szCs w:val="24"/>
        </w:rPr>
        <w:t>Journal of Financial Economics, 12</w:t>
      </w:r>
      <w:r w:rsidRPr="001265DD">
        <w:rPr>
          <w:rFonts w:ascii="Times New Roman" w:hAnsi="Times New Roman" w:cs="Times New Roman"/>
          <w:sz w:val="24"/>
          <w:szCs w:val="24"/>
        </w:rPr>
        <w:t xml:space="preserve">, 3-12. </w:t>
      </w:r>
    </w:p>
    <w:p w:rsidR="00BF5E79" w:rsidRPr="001265DD" w:rsidRDefault="00BF5E79" w:rsidP="00BF5E79">
      <w:pPr>
        <w:spacing w:line="360" w:lineRule="auto"/>
        <w:ind w:left="720" w:hanging="720"/>
        <w:jc w:val="both"/>
        <w:rPr>
          <w:rFonts w:ascii="Times New Roman" w:hAnsi="Times New Roman" w:cs="Times New Roman"/>
          <w:sz w:val="24"/>
          <w:szCs w:val="24"/>
        </w:rPr>
      </w:pPr>
      <w:r w:rsidRPr="001265DD">
        <w:rPr>
          <w:rFonts w:ascii="Times New Roman" w:hAnsi="Times New Roman" w:cs="Times New Roman"/>
          <w:sz w:val="24"/>
          <w:szCs w:val="24"/>
        </w:rPr>
        <w:t xml:space="preserve">Sharpe, W. F. (1964). Capital asset prices: A theory of market equilibrium under conditions of risk. </w:t>
      </w:r>
      <w:r w:rsidRPr="001265DD">
        <w:rPr>
          <w:rFonts w:ascii="Times New Roman" w:hAnsi="Times New Roman" w:cs="Times New Roman"/>
          <w:i/>
          <w:sz w:val="24"/>
          <w:szCs w:val="24"/>
        </w:rPr>
        <w:t>The Journal of Finance</w:t>
      </w:r>
      <w:r w:rsidRPr="001265DD">
        <w:rPr>
          <w:rFonts w:ascii="Times New Roman" w:hAnsi="Times New Roman" w:cs="Times New Roman"/>
          <w:sz w:val="24"/>
          <w:szCs w:val="24"/>
        </w:rPr>
        <w:t xml:space="preserve">, </w:t>
      </w:r>
      <w:r w:rsidRPr="001265DD">
        <w:rPr>
          <w:rFonts w:ascii="Times New Roman" w:hAnsi="Times New Roman" w:cs="Times New Roman"/>
          <w:i/>
          <w:sz w:val="24"/>
          <w:szCs w:val="24"/>
        </w:rPr>
        <w:t>19(3),</w:t>
      </w:r>
      <w:r w:rsidRPr="001265DD">
        <w:rPr>
          <w:rFonts w:ascii="Times New Roman" w:hAnsi="Times New Roman" w:cs="Times New Roman"/>
          <w:sz w:val="24"/>
          <w:szCs w:val="24"/>
        </w:rPr>
        <w:t xml:space="preserve"> 418-420.</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Smidt, S. (1968). A new look at the random walk hypothesis. </w:t>
      </w:r>
      <w:r w:rsidRPr="001265DD">
        <w:rPr>
          <w:rFonts w:ascii="Times New Roman" w:hAnsi="Times New Roman" w:cs="Times New Roman"/>
          <w:i/>
          <w:iCs/>
          <w:noProof/>
          <w:sz w:val="24"/>
          <w:szCs w:val="24"/>
        </w:rPr>
        <w:t>The Journal of Financial and Quantitative Analysis</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3</w:t>
      </w:r>
      <w:r w:rsidRPr="001265DD">
        <w:rPr>
          <w:rFonts w:ascii="Times New Roman" w:hAnsi="Times New Roman" w:cs="Times New Roman"/>
          <w:noProof/>
          <w:sz w:val="24"/>
          <w:szCs w:val="24"/>
        </w:rPr>
        <w:t xml:space="preserve"> (3), 235-261.</w:t>
      </w:r>
    </w:p>
    <w:p w:rsidR="00BF5E79"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Strong, N., &amp; Xu, X. (1997). Explaining the cross-section of UK expected stock returns. </w:t>
      </w:r>
      <w:r w:rsidRPr="001265DD">
        <w:rPr>
          <w:rFonts w:ascii="Times New Roman" w:hAnsi="Times New Roman" w:cs="Times New Roman"/>
          <w:i/>
          <w:iCs/>
          <w:noProof/>
          <w:sz w:val="24"/>
          <w:szCs w:val="24"/>
        </w:rPr>
        <w:t>British Accounting Review</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29</w:t>
      </w:r>
      <w:r w:rsidRPr="001265DD">
        <w:rPr>
          <w:rFonts w:ascii="Times New Roman" w:hAnsi="Times New Roman" w:cs="Times New Roman"/>
          <w:noProof/>
          <w:sz w:val="24"/>
          <w:szCs w:val="24"/>
        </w:rPr>
        <w:t>, 1-23.</w:t>
      </w:r>
    </w:p>
    <w:p w:rsidR="007E7165" w:rsidRPr="00CA5E3D" w:rsidRDefault="007E7165" w:rsidP="00CA5E3D">
      <w:pPr>
        <w:ind w:left="720" w:hanging="720"/>
        <w:rPr>
          <w:rFonts w:ascii="Times New Roman" w:hAnsi="Times New Roman" w:cs="Times New Roman"/>
          <w:sz w:val="24"/>
          <w:szCs w:val="24"/>
        </w:rPr>
      </w:pPr>
      <w:r w:rsidRPr="00CA5E3D">
        <w:rPr>
          <w:rFonts w:ascii="Times New Roman" w:hAnsi="Times New Roman" w:cs="Times New Roman"/>
          <w:sz w:val="24"/>
          <w:szCs w:val="24"/>
        </w:rPr>
        <w:t xml:space="preserve">van Rensburg, P., &amp; Roberston, M. (2003). Style characteristics and the cross-section of JSE returns. </w:t>
      </w:r>
      <w:r w:rsidR="00CA5E3D" w:rsidRPr="00CA5E3D">
        <w:rPr>
          <w:rFonts w:ascii="Times New Roman" w:hAnsi="Times New Roman" w:cs="Times New Roman"/>
          <w:noProof/>
          <w:sz w:val="24"/>
          <w:szCs w:val="24"/>
        </w:rPr>
        <w:t xml:space="preserve">. </w:t>
      </w:r>
      <w:r w:rsidR="00CA5E3D" w:rsidRPr="00CA5E3D">
        <w:rPr>
          <w:rFonts w:ascii="Times New Roman" w:hAnsi="Times New Roman" w:cs="Times New Roman"/>
          <w:i/>
          <w:iCs/>
          <w:noProof/>
          <w:sz w:val="24"/>
          <w:szCs w:val="24"/>
        </w:rPr>
        <w:t>Investment Analysts Journal</w:t>
      </w:r>
      <w:r w:rsidR="00CA5E3D" w:rsidRPr="00CA5E3D">
        <w:rPr>
          <w:rFonts w:ascii="Times New Roman" w:hAnsi="Times New Roman" w:cs="Times New Roman"/>
          <w:noProof/>
          <w:sz w:val="24"/>
          <w:szCs w:val="24"/>
        </w:rPr>
        <w:t xml:space="preserve"> </w:t>
      </w:r>
      <w:r w:rsidR="00CA5E3D" w:rsidRPr="00CA5E3D">
        <w:rPr>
          <w:rFonts w:ascii="Times New Roman" w:hAnsi="Times New Roman" w:cs="Times New Roman"/>
          <w:i/>
          <w:iCs/>
          <w:noProof/>
          <w:sz w:val="24"/>
          <w:szCs w:val="24"/>
        </w:rPr>
        <w:t>, 57</w:t>
      </w:r>
      <w:r w:rsidR="00CA5E3D" w:rsidRPr="00CA5E3D">
        <w:rPr>
          <w:rFonts w:ascii="Times New Roman" w:hAnsi="Times New Roman" w:cs="Times New Roman"/>
          <w:noProof/>
          <w:sz w:val="24"/>
          <w:szCs w:val="24"/>
        </w:rPr>
        <w:t>, 7-15.</w:t>
      </w:r>
    </w:p>
    <w:p w:rsidR="00BF5E79" w:rsidRPr="001265DD" w:rsidRDefault="00BF5E79" w:rsidP="00BF5E79">
      <w:pPr>
        <w:pStyle w:val="Bibliography"/>
        <w:spacing w:line="360" w:lineRule="auto"/>
        <w:ind w:left="709" w:hanging="720"/>
        <w:jc w:val="both"/>
        <w:rPr>
          <w:rFonts w:ascii="Times New Roman" w:hAnsi="Times New Roman" w:cs="Times New Roman"/>
          <w:noProof/>
          <w:sz w:val="24"/>
          <w:szCs w:val="24"/>
        </w:rPr>
      </w:pPr>
      <w:r w:rsidRPr="001265DD">
        <w:rPr>
          <w:rFonts w:ascii="Times New Roman" w:hAnsi="Times New Roman" w:cs="Times New Roman"/>
          <w:noProof/>
          <w:sz w:val="24"/>
          <w:szCs w:val="24"/>
        </w:rPr>
        <w:t xml:space="preserve">Zhang, L. (2005). The value premium. </w:t>
      </w:r>
      <w:r w:rsidRPr="001265DD">
        <w:rPr>
          <w:rFonts w:ascii="Times New Roman" w:hAnsi="Times New Roman" w:cs="Times New Roman"/>
          <w:i/>
          <w:iCs/>
          <w:noProof/>
          <w:sz w:val="24"/>
          <w:szCs w:val="24"/>
        </w:rPr>
        <w:t>The Journal of Finance</w:t>
      </w:r>
      <w:r w:rsidRPr="001265DD">
        <w:rPr>
          <w:rFonts w:ascii="Times New Roman" w:hAnsi="Times New Roman" w:cs="Times New Roman"/>
          <w:noProof/>
          <w:sz w:val="24"/>
          <w:szCs w:val="24"/>
        </w:rPr>
        <w:t xml:space="preserve"> </w:t>
      </w:r>
      <w:r w:rsidRPr="001265DD">
        <w:rPr>
          <w:rFonts w:ascii="Times New Roman" w:hAnsi="Times New Roman" w:cs="Times New Roman"/>
          <w:i/>
          <w:iCs/>
          <w:noProof/>
          <w:sz w:val="24"/>
          <w:szCs w:val="24"/>
        </w:rPr>
        <w:t>, 60</w:t>
      </w:r>
      <w:r w:rsidRPr="001265DD">
        <w:rPr>
          <w:rFonts w:ascii="Times New Roman" w:hAnsi="Times New Roman" w:cs="Times New Roman"/>
          <w:noProof/>
          <w:sz w:val="24"/>
          <w:szCs w:val="24"/>
        </w:rPr>
        <w:t xml:space="preserve"> (1), 67-103.</w:t>
      </w:r>
    </w:p>
    <w:p w:rsidR="00706ABF" w:rsidRPr="003A1A53" w:rsidRDefault="00BF5E79" w:rsidP="003A1A53">
      <w:pPr>
        <w:spacing w:line="360" w:lineRule="auto"/>
        <w:jc w:val="both"/>
        <w:rPr>
          <w:rFonts w:ascii="Times New Roman" w:hAnsi="Times New Roman" w:cs="Times New Roman"/>
          <w:b/>
          <w:sz w:val="32"/>
          <w:szCs w:val="24"/>
        </w:rPr>
      </w:pPr>
      <w:r w:rsidRPr="001265DD">
        <w:rPr>
          <w:rFonts w:ascii="Times New Roman" w:hAnsi="Times New Roman" w:cs="Times New Roman"/>
          <w:b/>
          <w:sz w:val="32"/>
          <w:szCs w:val="24"/>
        </w:rPr>
        <w:lastRenderedPageBreak/>
        <w:t>Books</w:t>
      </w:r>
    </w:p>
    <w:p w:rsidR="00BF5E79" w:rsidRDefault="00BF5E79" w:rsidP="00BF5E79">
      <w:pPr>
        <w:spacing w:line="360" w:lineRule="auto"/>
        <w:rPr>
          <w:rFonts w:ascii="Times New Roman" w:hAnsi="Times New Roman" w:cs="Times New Roman"/>
          <w:sz w:val="24"/>
          <w:szCs w:val="24"/>
        </w:rPr>
      </w:pPr>
      <w:r>
        <w:rPr>
          <w:rFonts w:ascii="Times New Roman" w:hAnsi="Times New Roman" w:cs="Times New Roman"/>
          <w:sz w:val="24"/>
          <w:szCs w:val="24"/>
        </w:rPr>
        <w:t>Bodie, Z., Kane, A., &amp; Marcus, A. (2009</w:t>
      </w:r>
      <w:r w:rsidRPr="00BF5E79">
        <w:rPr>
          <w:rFonts w:ascii="Times New Roman" w:hAnsi="Times New Roman" w:cs="Times New Roman"/>
          <w:i/>
          <w:sz w:val="24"/>
          <w:szCs w:val="24"/>
        </w:rPr>
        <w:t>). Investments, International Edition</w:t>
      </w:r>
      <w:r>
        <w:rPr>
          <w:rFonts w:ascii="Times New Roman" w:hAnsi="Times New Roman" w:cs="Times New Roman"/>
          <w:sz w:val="24"/>
          <w:szCs w:val="24"/>
        </w:rPr>
        <w:t xml:space="preserve">. New York, NY: McGraw-Hill/Irwin. </w:t>
      </w:r>
    </w:p>
    <w:p w:rsidR="00BF5E79" w:rsidRDefault="00BF5E79" w:rsidP="00BF5E79">
      <w:pPr>
        <w:spacing w:line="360" w:lineRule="auto"/>
        <w:jc w:val="both"/>
        <w:rPr>
          <w:rFonts w:ascii="Times New Roman" w:hAnsi="Times New Roman" w:cs="Times New Roman"/>
          <w:sz w:val="24"/>
          <w:szCs w:val="24"/>
        </w:rPr>
      </w:pPr>
      <w:r w:rsidRPr="001265DD">
        <w:rPr>
          <w:rFonts w:ascii="Times New Roman" w:hAnsi="Times New Roman" w:cs="Times New Roman"/>
          <w:sz w:val="24"/>
          <w:szCs w:val="24"/>
        </w:rPr>
        <w:t xml:space="preserve">Sowden-Service, C. (2006). </w:t>
      </w:r>
      <w:r w:rsidRPr="001265DD">
        <w:rPr>
          <w:rFonts w:ascii="Times New Roman" w:hAnsi="Times New Roman" w:cs="Times New Roman"/>
          <w:i/>
          <w:sz w:val="24"/>
          <w:szCs w:val="24"/>
        </w:rPr>
        <w:t>Gripping GAAP, 2006 Edition.</w:t>
      </w:r>
      <w:r w:rsidRPr="001265DD">
        <w:rPr>
          <w:rFonts w:ascii="Times New Roman" w:hAnsi="Times New Roman" w:cs="Times New Roman"/>
          <w:sz w:val="24"/>
          <w:szCs w:val="24"/>
        </w:rPr>
        <w:t xml:space="preserve"> Interpak Books.</w:t>
      </w:r>
    </w:p>
    <w:p w:rsidR="00706ABF" w:rsidRPr="001265DD" w:rsidRDefault="00706ABF" w:rsidP="003A1A53"/>
    <w:p w:rsidR="00706ABF" w:rsidRPr="003A1A53" w:rsidRDefault="00BF5E79" w:rsidP="003A1A53">
      <w:pPr>
        <w:spacing w:line="360" w:lineRule="auto"/>
        <w:rPr>
          <w:rFonts w:ascii="Times New Roman" w:hAnsi="Times New Roman" w:cs="Times New Roman"/>
          <w:b/>
          <w:sz w:val="32"/>
          <w:szCs w:val="24"/>
        </w:rPr>
      </w:pPr>
      <w:r>
        <w:rPr>
          <w:rFonts w:ascii="Times New Roman" w:hAnsi="Times New Roman" w:cs="Times New Roman"/>
          <w:b/>
          <w:sz w:val="32"/>
          <w:szCs w:val="24"/>
        </w:rPr>
        <w:t>Websites</w:t>
      </w:r>
    </w:p>
    <w:p w:rsidR="006D442E" w:rsidRPr="001265DD" w:rsidRDefault="006D442E" w:rsidP="006D442E">
      <w:pPr>
        <w:spacing w:line="360" w:lineRule="auto"/>
        <w:jc w:val="both"/>
        <w:rPr>
          <w:rFonts w:ascii="Times New Roman" w:hAnsi="Times New Roman" w:cs="Times New Roman"/>
          <w:sz w:val="24"/>
          <w:szCs w:val="24"/>
        </w:rPr>
      </w:pPr>
      <w:r>
        <w:rPr>
          <w:rFonts w:ascii="Times New Roman" w:hAnsi="Times New Roman" w:cs="Times New Roman"/>
          <w:sz w:val="24"/>
          <w:szCs w:val="24"/>
        </w:rPr>
        <w:t>Nobletra</w:t>
      </w:r>
      <w:r w:rsidR="006660F3">
        <w:rPr>
          <w:rFonts w:ascii="Times New Roman" w:hAnsi="Times New Roman" w:cs="Times New Roman"/>
          <w:sz w:val="24"/>
          <w:szCs w:val="24"/>
        </w:rPr>
        <w:t>d</w:t>
      </w:r>
      <w:r>
        <w:rPr>
          <w:rFonts w:ascii="Times New Roman" w:hAnsi="Times New Roman" w:cs="Times New Roman"/>
          <w:sz w:val="24"/>
          <w:szCs w:val="24"/>
        </w:rPr>
        <w:t xml:space="preserve">ing. (2007, May 25). Deep value investing strategy. Retrieved from Nobletrading website: </w:t>
      </w:r>
      <w:hyperlink r:id="rId10" w:history="1">
        <w:r w:rsidRPr="001265DD">
          <w:rPr>
            <w:rStyle w:val="Hyperlink"/>
            <w:rFonts w:ascii="Times New Roman" w:hAnsi="Times New Roman" w:cs="Times New Roman"/>
            <w:sz w:val="24"/>
            <w:szCs w:val="24"/>
          </w:rPr>
          <w:t>http://blog.nobletrading.com/2007/05/deep-value-investing-strategy.html</w:t>
        </w:r>
      </w:hyperlink>
    </w:p>
    <w:p w:rsidR="00BF5E79" w:rsidRPr="001265DD" w:rsidRDefault="00BF5E79" w:rsidP="00706ABF"/>
    <w:p w:rsidR="00BF5E79" w:rsidRPr="001265DD" w:rsidRDefault="00BF5E79" w:rsidP="00BF5E79">
      <w:pPr>
        <w:spacing w:line="360" w:lineRule="auto"/>
        <w:rPr>
          <w:rFonts w:ascii="Times New Roman" w:hAnsi="Times New Roman" w:cs="Times New Roman"/>
          <w:sz w:val="24"/>
          <w:szCs w:val="24"/>
        </w:rPr>
      </w:pPr>
      <w:r>
        <w:rPr>
          <w:rFonts w:ascii="Times New Roman" w:hAnsi="Times New Roman" w:cs="Times New Roman"/>
          <w:sz w:val="24"/>
          <w:szCs w:val="24"/>
        </w:rPr>
        <w:t xml:space="preserve">Wolf, J. (2006). </w:t>
      </w:r>
      <w:r w:rsidRPr="001265DD">
        <w:rPr>
          <w:rFonts w:ascii="Times New Roman" w:hAnsi="Times New Roman" w:cs="Times New Roman"/>
          <w:sz w:val="24"/>
          <w:szCs w:val="24"/>
        </w:rPr>
        <w:t>The 1982 Recession, retrieved on Nov 11, 2010</w:t>
      </w:r>
      <w:r>
        <w:rPr>
          <w:rFonts w:ascii="Times New Roman" w:hAnsi="Times New Roman" w:cs="Times New Roman"/>
          <w:sz w:val="24"/>
          <w:szCs w:val="24"/>
        </w:rPr>
        <w:t xml:space="preserve">, from PBS website: </w:t>
      </w:r>
      <w:hyperlink r:id="rId11" w:history="1">
        <w:r w:rsidRPr="001265DD">
          <w:rPr>
            <w:rStyle w:val="Hyperlink"/>
            <w:rFonts w:ascii="Times New Roman" w:hAnsi="Times New Roman" w:cs="Times New Roman"/>
            <w:sz w:val="24"/>
            <w:szCs w:val="24"/>
          </w:rPr>
          <w:t>http://www.pbs.org/wgbh/amex/reagan/peopleevents/pande06.html</w:t>
        </w:r>
      </w:hyperlink>
      <w:r w:rsidRPr="001265DD">
        <w:rPr>
          <w:rFonts w:ascii="Times New Roman" w:hAnsi="Times New Roman" w:cs="Times New Roman"/>
          <w:sz w:val="24"/>
          <w:szCs w:val="24"/>
        </w:rPr>
        <w:t xml:space="preserve"> </w:t>
      </w:r>
    </w:p>
    <w:p w:rsidR="00BF5E79" w:rsidRPr="001265DD" w:rsidRDefault="00BF5E79" w:rsidP="00706ABF"/>
    <w:p w:rsidR="00BF5E79" w:rsidRPr="001265DD" w:rsidRDefault="000963F3" w:rsidP="00BF5E79">
      <w:pPr>
        <w:spacing w:line="360" w:lineRule="auto"/>
        <w:jc w:val="both"/>
        <w:rPr>
          <w:rFonts w:ascii="Times New Roman" w:hAnsi="Times New Roman" w:cs="Times New Roman"/>
          <w:sz w:val="24"/>
          <w:szCs w:val="24"/>
        </w:rPr>
      </w:pPr>
      <w:hyperlink r:id="rId12" w:history="1">
        <w:r w:rsidR="00BF5E79" w:rsidRPr="001265DD">
          <w:rPr>
            <w:rStyle w:val="Hyperlink"/>
            <w:rFonts w:ascii="Times New Roman" w:hAnsi="Times New Roman" w:cs="Times New Roman"/>
            <w:sz w:val="24"/>
            <w:szCs w:val="24"/>
          </w:rPr>
          <w:t>http://www.standardandpoors.com/indices/sp-500/en/us/?indexId=spusa-500-usduf--p-us-l--</w:t>
        </w:r>
      </w:hyperlink>
    </w:p>
    <w:p w:rsidR="006D442E" w:rsidRDefault="006D442E" w:rsidP="00706ABF">
      <w:pPr>
        <w:spacing w:line="360" w:lineRule="auto"/>
        <w:jc w:val="both"/>
        <w:rPr>
          <w:rFonts w:ascii="Times New Roman" w:hAnsi="Times New Roman" w:cs="Times New Roman"/>
          <w:sz w:val="24"/>
          <w:szCs w:val="24"/>
        </w:rPr>
      </w:pPr>
    </w:p>
    <w:sectPr w:rsidR="006D442E" w:rsidSect="00B8782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ABB" w:rsidRDefault="00345ABB" w:rsidP="00E47CAD">
      <w:pPr>
        <w:spacing w:after="0" w:line="240" w:lineRule="auto"/>
      </w:pPr>
      <w:r>
        <w:separator/>
      </w:r>
    </w:p>
  </w:endnote>
  <w:endnote w:type="continuationSeparator" w:id="0">
    <w:p w:rsidR="00345ABB" w:rsidRDefault="00345ABB" w:rsidP="00E47CA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03548"/>
      <w:docPartObj>
        <w:docPartGallery w:val="Page Numbers (Bottom of Page)"/>
        <w:docPartUnique/>
      </w:docPartObj>
    </w:sdtPr>
    <w:sdtContent>
      <w:p w:rsidR="00864669" w:rsidRDefault="000963F3">
        <w:pPr>
          <w:pStyle w:val="Footer"/>
          <w:jc w:val="right"/>
        </w:pPr>
        <w:r>
          <w:fldChar w:fldCharType="begin"/>
        </w:r>
        <w:r w:rsidR="00864669">
          <w:instrText xml:space="preserve"> PAGE   \* MERGEFORMAT </w:instrText>
        </w:r>
        <w:r>
          <w:fldChar w:fldCharType="separate"/>
        </w:r>
        <w:r w:rsidR="008B787A">
          <w:rPr>
            <w:noProof/>
          </w:rPr>
          <w:t>175</w:t>
        </w:r>
        <w:r>
          <w:rPr>
            <w:noProof/>
          </w:rPr>
          <w:fldChar w:fldCharType="end"/>
        </w:r>
      </w:p>
    </w:sdtContent>
  </w:sdt>
  <w:p w:rsidR="00864669" w:rsidRDefault="0086466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ABB" w:rsidRDefault="00345ABB" w:rsidP="00E47CAD">
      <w:pPr>
        <w:spacing w:after="0" w:line="240" w:lineRule="auto"/>
      </w:pPr>
      <w:r>
        <w:separator/>
      </w:r>
    </w:p>
  </w:footnote>
  <w:footnote w:type="continuationSeparator" w:id="0">
    <w:p w:rsidR="00345ABB" w:rsidRDefault="00345ABB" w:rsidP="00E47CA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pt;height:10.9pt" o:bullet="t">
        <v:imagedata r:id="rId1" o:title="mso8846"/>
      </v:shape>
    </w:pict>
  </w:numPicBullet>
  <w:abstractNum w:abstractNumId="0">
    <w:nsid w:val="FFFFFF89"/>
    <w:multiLevelType w:val="singleLevel"/>
    <w:tmpl w:val="DE94617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2B128A"/>
    <w:multiLevelType w:val="hybridMultilevel"/>
    <w:tmpl w:val="C78831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0D9B23E2"/>
    <w:multiLevelType w:val="hybridMultilevel"/>
    <w:tmpl w:val="88104F6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197423BD"/>
    <w:multiLevelType w:val="multilevel"/>
    <w:tmpl w:val="6CAA463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4">
    <w:nsid w:val="1E253364"/>
    <w:multiLevelType w:val="hybridMultilevel"/>
    <w:tmpl w:val="D67E4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2B35BC0"/>
    <w:multiLevelType w:val="multilevel"/>
    <w:tmpl w:val="1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nsid w:val="277A324C"/>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7">
    <w:nsid w:val="2A803A70"/>
    <w:multiLevelType w:val="hybridMultilevel"/>
    <w:tmpl w:val="235035B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2ACB55DF"/>
    <w:multiLevelType w:val="multilevel"/>
    <w:tmpl w:val="1C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nsid w:val="2C54470E"/>
    <w:multiLevelType w:val="hybridMultilevel"/>
    <w:tmpl w:val="4246010C"/>
    <w:lvl w:ilvl="0" w:tplc="1C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7C95C53"/>
    <w:multiLevelType w:val="multilevel"/>
    <w:tmpl w:val="C37AD8FA"/>
    <w:lvl w:ilvl="0">
      <w:start w:val="9"/>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1">
    <w:nsid w:val="3E8E0196"/>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2">
    <w:nsid w:val="43461A15"/>
    <w:multiLevelType w:val="hybridMultilevel"/>
    <w:tmpl w:val="B9B8372E"/>
    <w:lvl w:ilvl="0" w:tplc="2B9EC5EC">
      <w:start w:val="1"/>
      <w:numFmt w:val="bullet"/>
      <w:lvlText w:val=""/>
      <w:lvlJc w:val="left"/>
      <w:pPr>
        <w:ind w:left="720" w:hanging="360"/>
      </w:pPr>
      <w:rPr>
        <w:rFonts w:ascii="Symbol" w:hAnsi="Symbol" w:hint="default"/>
        <w:color w:val="FF000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53AF1F44"/>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4">
    <w:nsid w:val="680965E7"/>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5">
    <w:nsid w:val="6CF41DE6"/>
    <w:multiLevelType w:val="hybridMultilevel"/>
    <w:tmpl w:val="26E0AC28"/>
    <w:lvl w:ilvl="0" w:tplc="2B9EC5EC">
      <w:start w:val="1"/>
      <w:numFmt w:val="bullet"/>
      <w:lvlText w:val=""/>
      <w:lvlJc w:val="left"/>
      <w:pPr>
        <w:ind w:left="720" w:hanging="360"/>
      </w:pPr>
      <w:rPr>
        <w:rFonts w:ascii="Symbol" w:hAnsi="Symbol" w:hint="default"/>
        <w:color w:val="FF0000"/>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6F09741B"/>
    <w:multiLevelType w:val="hybridMultilevel"/>
    <w:tmpl w:val="DE6A405E"/>
    <w:lvl w:ilvl="0" w:tplc="1C090007">
      <w:start w:val="1"/>
      <w:numFmt w:val="bullet"/>
      <w:lvlText w:val=""/>
      <w:lvlPicBulletId w:val="0"/>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nsid w:val="718C6271"/>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18">
    <w:nsid w:val="7F4429C9"/>
    <w:multiLevelType w:val="multilevel"/>
    <w:tmpl w:val="202CA8A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600" w:hanging="180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num w:numId="1">
    <w:abstractNumId w:val="4"/>
  </w:num>
  <w:num w:numId="2">
    <w:abstractNumId w:val="13"/>
  </w:num>
  <w:num w:numId="3">
    <w:abstractNumId w:val="15"/>
  </w:num>
  <w:num w:numId="4">
    <w:abstractNumId w:val="12"/>
  </w:num>
  <w:num w:numId="5">
    <w:abstractNumId w:val="2"/>
  </w:num>
  <w:num w:numId="6">
    <w:abstractNumId w:val="9"/>
  </w:num>
  <w:num w:numId="7">
    <w:abstractNumId w:val="0"/>
  </w:num>
  <w:num w:numId="8">
    <w:abstractNumId w:val="7"/>
  </w:num>
  <w:num w:numId="9">
    <w:abstractNumId w:val="16"/>
  </w:num>
  <w:num w:numId="10">
    <w:abstractNumId w:val="3"/>
  </w:num>
  <w:num w:numId="11">
    <w:abstractNumId w:val="10"/>
  </w:num>
  <w:num w:numId="12">
    <w:abstractNumId w:val="1"/>
  </w:num>
  <w:num w:numId="13">
    <w:abstractNumId w:val="5"/>
  </w:num>
  <w:num w:numId="14">
    <w:abstractNumId w:val="8"/>
  </w:num>
  <w:num w:numId="15">
    <w:abstractNumId w:val="14"/>
  </w:num>
  <w:num w:numId="16">
    <w:abstractNumId w:val="17"/>
  </w:num>
  <w:num w:numId="17">
    <w:abstractNumId w:val="18"/>
  </w:num>
  <w:num w:numId="18">
    <w:abstractNumId w:val="11"/>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E47CAD"/>
    <w:rsid w:val="0000345C"/>
    <w:rsid w:val="00004D15"/>
    <w:rsid w:val="000066CA"/>
    <w:rsid w:val="00010488"/>
    <w:rsid w:val="0001406B"/>
    <w:rsid w:val="0001438F"/>
    <w:rsid w:val="00016344"/>
    <w:rsid w:val="00016688"/>
    <w:rsid w:val="00016E57"/>
    <w:rsid w:val="000209D9"/>
    <w:rsid w:val="00022A67"/>
    <w:rsid w:val="00024BE8"/>
    <w:rsid w:val="0002501F"/>
    <w:rsid w:val="00025C2C"/>
    <w:rsid w:val="00025E35"/>
    <w:rsid w:val="00033E5B"/>
    <w:rsid w:val="000347C4"/>
    <w:rsid w:val="00035880"/>
    <w:rsid w:val="00037DC4"/>
    <w:rsid w:val="000405EE"/>
    <w:rsid w:val="000409F6"/>
    <w:rsid w:val="00040CC4"/>
    <w:rsid w:val="00041EE0"/>
    <w:rsid w:val="00042471"/>
    <w:rsid w:val="0004281D"/>
    <w:rsid w:val="00045313"/>
    <w:rsid w:val="000458A1"/>
    <w:rsid w:val="00045B16"/>
    <w:rsid w:val="000500B6"/>
    <w:rsid w:val="000508FC"/>
    <w:rsid w:val="00050EAE"/>
    <w:rsid w:val="000527E7"/>
    <w:rsid w:val="00052855"/>
    <w:rsid w:val="00052ABD"/>
    <w:rsid w:val="000568AA"/>
    <w:rsid w:val="00056AA6"/>
    <w:rsid w:val="000576F0"/>
    <w:rsid w:val="0006020A"/>
    <w:rsid w:val="0006032E"/>
    <w:rsid w:val="00061ECE"/>
    <w:rsid w:val="0006259F"/>
    <w:rsid w:val="00062619"/>
    <w:rsid w:val="00064FD7"/>
    <w:rsid w:val="000663B0"/>
    <w:rsid w:val="0006765D"/>
    <w:rsid w:val="00070271"/>
    <w:rsid w:val="0007190E"/>
    <w:rsid w:val="000724E6"/>
    <w:rsid w:val="000743C9"/>
    <w:rsid w:val="00074799"/>
    <w:rsid w:val="000765C4"/>
    <w:rsid w:val="00076FB3"/>
    <w:rsid w:val="0007732C"/>
    <w:rsid w:val="00077B01"/>
    <w:rsid w:val="000800CC"/>
    <w:rsid w:val="00083850"/>
    <w:rsid w:val="0008460F"/>
    <w:rsid w:val="00084AB9"/>
    <w:rsid w:val="00085812"/>
    <w:rsid w:val="000858A7"/>
    <w:rsid w:val="00087BA6"/>
    <w:rsid w:val="00090512"/>
    <w:rsid w:val="00090CFE"/>
    <w:rsid w:val="00092BB9"/>
    <w:rsid w:val="00093F27"/>
    <w:rsid w:val="000963F3"/>
    <w:rsid w:val="000A2137"/>
    <w:rsid w:val="000A236D"/>
    <w:rsid w:val="000A39E8"/>
    <w:rsid w:val="000A7357"/>
    <w:rsid w:val="000B1028"/>
    <w:rsid w:val="000B1945"/>
    <w:rsid w:val="000B404B"/>
    <w:rsid w:val="000B464C"/>
    <w:rsid w:val="000B67EF"/>
    <w:rsid w:val="000C1301"/>
    <w:rsid w:val="000C1EC2"/>
    <w:rsid w:val="000C4718"/>
    <w:rsid w:val="000C47B7"/>
    <w:rsid w:val="000C6CC4"/>
    <w:rsid w:val="000D1869"/>
    <w:rsid w:val="000D25D0"/>
    <w:rsid w:val="000D2C09"/>
    <w:rsid w:val="000D32B2"/>
    <w:rsid w:val="000D5B77"/>
    <w:rsid w:val="000E0DC9"/>
    <w:rsid w:val="000E1EA7"/>
    <w:rsid w:val="000E43E3"/>
    <w:rsid w:val="000E48C1"/>
    <w:rsid w:val="000E5CC4"/>
    <w:rsid w:val="000F1ED8"/>
    <w:rsid w:val="000F3147"/>
    <w:rsid w:val="000F3B31"/>
    <w:rsid w:val="000F3B73"/>
    <w:rsid w:val="000F5010"/>
    <w:rsid w:val="000F5251"/>
    <w:rsid w:val="00106B38"/>
    <w:rsid w:val="00107933"/>
    <w:rsid w:val="001104CB"/>
    <w:rsid w:val="00110D10"/>
    <w:rsid w:val="001113B6"/>
    <w:rsid w:val="00111E4E"/>
    <w:rsid w:val="001140FD"/>
    <w:rsid w:val="00117703"/>
    <w:rsid w:val="00117CC2"/>
    <w:rsid w:val="00121EDD"/>
    <w:rsid w:val="001220AC"/>
    <w:rsid w:val="0012635E"/>
    <w:rsid w:val="001265DD"/>
    <w:rsid w:val="00126774"/>
    <w:rsid w:val="00137460"/>
    <w:rsid w:val="0013749E"/>
    <w:rsid w:val="00141A41"/>
    <w:rsid w:val="001420F6"/>
    <w:rsid w:val="00143386"/>
    <w:rsid w:val="00144120"/>
    <w:rsid w:val="00146950"/>
    <w:rsid w:val="00146A1F"/>
    <w:rsid w:val="00150C55"/>
    <w:rsid w:val="001511FD"/>
    <w:rsid w:val="00152246"/>
    <w:rsid w:val="001545A7"/>
    <w:rsid w:val="00155AB4"/>
    <w:rsid w:val="00156C7A"/>
    <w:rsid w:val="00163AB8"/>
    <w:rsid w:val="00163CDF"/>
    <w:rsid w:val="00165DAB"/>
    <w:rsid w:val="001666FA"/>
    <w:rsid w:val="001669A1"/>
    <w:rsid w:val="00171036"/>
    <w:rsid w:val="00173402"/>
    <w:rsid w:val="00174C45"/>
    <w:rsid w:val="00175679"/>
    <w:rsid w:val="00175DD9"/>
    <w:rsid w:val="0017601F"/>
    <w:rsid w:val="00176BC6"/>
    <w:rsid w:val="00177593"/>
    <w:rsid w:val="00177EFC"/>
    <w:rsid w:val="00180575"/>
    <w:rsid w:val="00180BD5"/>
    <w:rsid w:val="00181C1D"/>
    <w:rsid w:val="00181D3F"/>
    <w:rsid w:val="001839CB"/>
    <w:rsid w:val="00185077"/>
    <w:rsid w:val="0018602F"/>
    <w:rsid w:val="00186C36"/>
    <w:rsid w:val="001875AA"/>
    <w:rsid w:val="0019105B"/>
    <w:rsid w:val="00194E61"/>
    <w:rsid w:val="00196CA8"/>
    <w:rsid w:val="001972F4"/>
    <w:rsid w:val="001A0A98"/>
    <w:rsid w:val="001A38AD"/>
    <w:rsid w:val="001A4D9C"/>
    <w:rsid w:val="001A5585"/>
    <w:rsid w:val="001A673C"/>
    <w:rsid w:val="001A68B9"/>
    <w:rsid w:val="001A7225"/>
    <w:rsid w:val="001A77FB"/>
    <w:rsid w:val="001B1828"/>
    <w:rsid w:val="001B2923"/>
    <w:rsid w:val="001B30AE"/>
    <w:rsid w:val="001B3C3C"/>
    <w:rsid w:val="001B5615"/>
    <w:rsid w:val="001B6E05"/>
    <w:rsid w:val="001B70D8"/>
    <w:rsid w:val="001B7E81"/>
    <w:rsid w:val="001C3967"/>
    <w:rsid w:val="001C4CCA"/>
    <w:rsid w:val="001C650A"/>
    <w:rsid w:val="001C78B2"/>
    <w:rsid w:val="001C7E96"/>
    <w:rsid w:val="001D0AF0"/>
    <w:rsid w:val="001D1432"/>
    <w:rsid w:val="001D14E8"/>
    <w:rsid w:val="001D5001"/>
    <w:rsid w:val="001D703D"/>
    <w:rsid w:val="001E2665"/>
    <w:rsid w:val="001E3C8C"/>
    <w:rsid w:val="001E52F7"/>
    <w:rsid w:val="001E5F0F"/>
    <w:rsid w:val="001E60F8"/>
    <w:rsid w:val="001E6209"/>
    <w:rsid w:val="001E6585"/>
    <w:rsid w:val="001E69A2"/>
    <w:rsid w:val="001E76BC"/>
    <w:rsid w:val="001E7DD2"/>
    <w:rsid w:val="001F0168"/>
    <w:rsid w:val="001F032F"/>
    <w:rsid w:val="001F0DE2"/>
    <w:rsid w:val="001F1D3A"/>
    <w:rsid w:val="001F267C"/>
    <w:rsid w:val="001F4E8F"/>
    <w:rsid w:val="001F50B7"/>
    <w:rsid w:val="001F5B46"/>
    <w:rsid w:val="001F7971"/>
    <w:rsid w:val="002009D7"/>
    <w:rsid w:val="00200FA2"/>
    <w:rsid w:val="00201D40"/>
    <w:rsid w:val="002024BD"/>
    <w:rsid w:val="00202E07"/>
    <w:rsid w:val="0020349E"/>
    <w:rsid w:val="002041DC"/>
    <w:rsid w:val="002047C2"/>
    <w:rsid w:val="00204C17"/>
    <w:rsid w:val="002069DB"/>
    <w:rsid w:val="00206FE3"/>
    <w:rsid w:val="00210687"/>
    <w:rsid w:val="00210792"/>
    <w:rsid w:val="00210939"/>
    <w:rsid w:val="00210AB3"/>
    <w:rsid w:val="00213074"/>
    <w:rsid w:val="002151BF"/>
    <w:rsid w:val="00215F0F"/>
    <w:rsid w:val="00222AD2"/>
    <w:rsid w:val="00222B0A"/>
    <w:rsid w:val="0022381C"/>
    <w:rsid w:val="00224CB5"/>
    <w:rsid w:val="00231BAF"/>
    <w:rsid w:val="00231EC7"/>
    <w:rsid w:val="00235DE4"/>
    <w:rsid w:val="0023603B"/>
    <w:rsid w:val="0023704E"/>
    <w:rsid w:val="00242C01"/>
    <w:rsid w:val="0024758E"/>
    <w:rsid w:val="00251263"/>
    <w:rsid w:val="002514C3"/>
    <w:rsid w:val="00251AFD"/>
    <w:rsid w:val="00251EC5"/>
    <w:rsid w:val="00254678"/>
    <w:rsid w:val="0026005D"/>
    <w:rsid w:val="00261D46"/>
    <w:rsid w:val="00262C4E"/>
    <w:rsid w:val="00263268"/>
    <w:rsid w:val="0026436A"/>
    <w:rsid w:val="00265EE8"/>
    <w:rsid w:val="00265FB5"/>
    <w:rsid w:val="0026686D"/>
    <w:rsid w:val="00267C33"/>
    <w:rsid w:val="002708B8"/>
    <w:rsid w:val="002719A3"/>
    <w:rsid w:val="00271FF7"/>
    <w:rsid w:val="00272E81"/>
    <w:rsid w:val="0027421B"/>
    <w:rsid w:val="002769CD"/>
    <w:rsid w:val="00283425"/>
    <w:rsid w:val="0028539D"/>
    <w:rsid w:val="002857A0"/>
    <w:rsid w:val="00285E50"/>
    <w:rsid w:val="002865E6"/>
    <w:rsid w:val="00291474"/>
    <w:rsid w:val="00293210"/>
    <w:rsid w:val="002939E3"/>
    <w:rsid w:val="0029409A"/>
    <w:rsid w:val="00295C96"/>
    <w:rsid w:val="002A2283"/>
    <w:rsid w:val="002A4FCC"/>
    <w:rsid w:val="002A59DC"/>
    <w:rsid w:val="002A62D5"/>
    <w:rsid w:val="002A7859"/>
    <w:rsid w:val="002B0B41"/>
    <w:rsid w:val="002B1C5E"/>
    <w:rsid w:val="002B3E28"/>
    <w:rsid w:val="002B3EB1"/>
    <w:rsid w:val="002B493B"/>
    <w:rsid w:val="002B53D2"/>
    <w:rsid w:val="002B5C63"/>
    <w:rsid w:val="002B6CE7"/>
    <w:rsid w:val="002B747A"/>
    <w:rsid w:val="002C2F55"/>
    <w:rsid w:val="002C3742"/>
    <w:rsid w:val="002C3D08"/>
    <w:rsid w:val="002C67BB"/>
    <w:rsid w:val="002C7151"/>
    <w:rsid w:val="002C748C"/>
    <w:rsid w:val="002D0588"/>
    <w:rsid w:val="002D3347"/>
    <w:rsid w:val="002D3C83"/>
    <w:rsid w:val="002D607F"/>
    <w:rsid w:val="002E0AA1"/>
    <w:rsid w:val="002E14D9"/>
    <w:rsid w:val="002E3075"/>
    <w:rsid w:val="002E30C5"/>
    <w:rsid w:val="002E30ED"/>
    <w:rsid w:val="002E4CFE"/>
    <w:rsid w:val="002E50D2"/>
    <w:rsid w:val="002E5FCA"/>
    <w:rsid w:val="002E6A43"/>
    <w:rsid w:val="002E7371"/>
    <w:rsid w:val="002F28DF"/>
    <w:rsid w:val="002F696E"/>
    <w:rsid w:val="002F7B0D"/>
    <w:rsid w:val="0030030A"/>
    <w:rsid w:val="00300361"/>
    <w:rsid w:val="00301636"/>
    <w:rsid w:val="00303472"/>
    <w:rsid w:val="00310094"/>
    <w:rsid w:val="0031051E"/>
    <w:rsid w:val="00314403"/>
    <w:rsid w:val="00317B56"/>
    <w:rsid w:val="00320344"/>
    <w:rsid w:val="00320491"/>
    <w:rsid w:val="00321076"/>
    <w:rsid w:val="003212AA"/>
    <w:rsid w:val="003247E7"/>
    <w:rsid w:val="00324E00"/>
    <w:rsid w:val="00325F4A"/>
    <w:rsid w:val="0033024B"/>
    <w:rsid w:val="003304F5"/>
    <w:rsid w:val="00330F93"/>
    <w:rsid w:val="0033125F"/>
    <w:rsid w:val="0033151A"/>
    <w:rsid w:val="00331AC2"/>
    <w:rsid w:val="0033222E"/>
    <w:rsid w:val="00333FB3"/>
    <w:rsid w:val="00334224"/>
    <w:rsid w:val="003409A2"/>
    <w:rsid w:val="00343FA4"/>
    <w:rsid w:val="00344B14"/>
    <w:rsid w:val="00345ABB"/>
    <w:rsid w:val="0034705A"/>
    <w:rsid w:val="0035026C"/>
    <w:rsid w:val="00350482"/>
    <w:rsid w:val="00355B79"/>
    <w:rsid w:val="003570FC"/>
    <w:rsid w:val="0035736C"/>
    <w:rsid w:val="003612C8"/>
    <w:rsid w:val="003635E3"/>
    <w:rsid w:val="00363B3A"/>
    <w:rsid w:val="003640C9"/>
    <w:rsid w:val="00366390"/>
    <w:rsid w:val="00367171"/>
    <w:rsid w:val="003724C0"/>
    <w:rsid w:val="003731DA"/>
    <w:rsid w:val="00373A9C"/>
    <w:rsid w:val="00373B97"/>
    <w:rsid w:val="00374139"/>
    <w:rsid w:val="00381097"/>
    <w:rsid w:val="00386108"/>
    <w:rsid w:val="00386842"/>
    <w:rsid w:val="00391F1C"/>
    <w:rsid w:val="00392939"/>
    <w:rsid w:val="003938A2"/>
    <w:rsid w:val="003951B4"/>
    <w:rsid w:val="003953C9"/>
    <w:rsid w:val="0039551E"/>
    <w:rsid w:val="00396A4E"/>
    <w:rsid w:val="003A02F2"/>
    <w:rsid w:val="003A1A53"/>
    <w:rsid w:val="003A2678"/>
    <w:rsid w:val="003A2A9E"/>
    <w:rsid w:val="003A3029"/>
    <w:rsid w:val="003A4F77"/>
    <w:rsid w:val="003B1448"/>
    <w:rsid w:val="003B4C5D"/>
    <w:rsid w:val="003B4CDE"/>
    <w:rsid w:val="003B54A2"/>
    <w:rsid w:val="003B5C4F"/>
    <w:rsid w:val="003B5CED"/>
    <w:rsid w:val="003B74E2"/>
    <w:rsid w:val="003C151A"/>
    <w:rsid w:val="003C320A"/>
    <w:rsid w:val="003C42D1"/>
    <w:rsid w:val="003C7FB4"/>
    <w:rsid w:val="003D4902"/>
    <w:rsid w:val="003D4F24"/>
    <w:rsid w:val="003D519B"/>
    <w:rsid w:val="003D5528"/>
    <w:rsid w:val="003D555E"/>
    <w:rsid w:val="003D5A13"/>
    <w:rsid w:val="003D5E89"/>
    <w:rsid w:val="003D6A57"/>
    <w:rsid w:val="003D6D1A"/>
    <w:rsid w:val="003D76C9"/>
    <w:rsid w:val="003D7E8D"/>
    <w:rsid w:val="003E3F9E"/>
    <w:rsid w:val="003E5090"/>
    <w:rsid w:val="003F0159"/>
    <w:rsid w:val="003F0647"/>
    <w:rsid w:val="003F2282"/>
    <w:rsid w:val="003F3098"/>
    <w:rsid w:val="003F50CB"/>
    <w:rsid w:val="003F53DE"/>
    <w:rsid w:val="003F5FC8"/>
    <w:rsid w:val="003F6F24"/>
    <w:rsid w:val="004013FC"/>
    <w:rsid w:val="00402F5A"/>
    <w:rsid w:val="00403F87"/>
    <w:rsid w:val="00404932"/>
    <w:rsid w:val="0040537E"/>
    <w:rsid w:val="00410D50"/>
    <w:rsid w:val="00411186"/>
    <w:rsid w:val="004120DB"/>
    <w:rsid w:val="00414E20"/>
    <w:rsid w:val="004165A8"/>
    <w:rsid w:val="0042008E"/>
    <w:rsid w:val="00421485"/>
    <w:rsid w:val="00423103"/>
    <w:rsid w:val="0042565D"/>
    <w:rsid w:val="00425BDF"/>
    <w:rsid w:val="00426528"/>
    <w:rsid w:val="00426979"/>
    <w:rsid w:val="00426C03"/>
    <w:rsid w:val="00430446"/>
    <w:rsid w:val="00431232"/>
    <w:rsid w:val="00432D89"/>
    <w:rsid w:val="00432F9C"/>
    <w:rsid w:val="00433321"/>
    <w:rsid w:val="0043447A"/>
    <w:rsid w:val="00435D8D"/>
    <w:rsid w:val="004364F2"/>
    <w:rsid w:val="00436AC4"/>
    <w:rsid w:val="00437971"/>
    <w:rsid w:val="00440682"/>
    <w:rsid w:val="004411F4"/>
    <w:rsid w:val="00441F80"/>
    <w:rsid w:val="00442869"/>
    <w:rsid w:val="00443C95"/>
    <w:rsid w:val="00443EB8"/>
    <w:rsid w:val="00444080"/>
    <w:rsid w:val="00445897"/>
    <w:rsid w:val="0045104C"/>
    <w:rsid w:val="004513F2"/>
    <w:rsid w:val="0045399B"/>
    <w:rsid w:val="00453F4A"/>
    <w:rsid w:val="00453FF2"/>
    <w:rsid w:val="00456156"/>
    <w:rsid w:val="00456E32"/>
    <w:rsid w:val="00460ECB"/>
    <w:rsid w:val="0046197D"/>
    <w:rsid w:val="00462D7A"/>
    <w:rsid w:val="00466472"/>
    <w:rsid w:val="004678D8"/>
    <w:rsid w:val="004729AF"/>
    <w:rsid w:val="00472D33"/>
    <w:rsid w:val="00473CF6"/>
    <w:rsid w:val="004740DE"/>
    <w:rsid w:val="004741B7"/>
    <w:rsid w:val="004760BE"/>
    <w:rsid w:val="00476854"/>
    <w:rsid w:val="00477D68"/>
    <w:rsid w:val="004809A5"/>
    <w:rsid w:val="004820CA"/>
    <w:rsid w:val="00484264"/>
    <w:rsid w:val="00485F4A"/>
    <w:rsid w:val="00490DF2"/>
    <w:rsid w:val="00491855"/>
    <w:rsid w:val="00493D5D"/>
    <w:rsid w:val="00494B76"/>
    <w:rsid w:val="00494E0E"/>
    <w:rsid w:val="00494E83"/>
    <w:rsid w:val="00495200"/>
    <w:rsid w:val="00497BBF"/>
    <w:rsid w:val="00497D7D"/>
    <w:rsid w:val="004A195A"/>
    <w:rsid w:val="004A1DA2"/>
    <w:rsid w:val="004A2578"/>
    <w:rsid w:val="004A71EF"/>
    <w:rsid w:val="004B1D0B"/>
    <w:rsid w:val="004B44AC"/>
    <w:rsid w:val="004B491E"/>
    <w:rsid w:val="004B4A4B"/>
    <w:rsid w:val="004C3CD0"/>
    <w:rsid w:val="004C5E74"/>
    <w:rsid w:val="004C69B3"/>
    <w:rsid w:val="004C7045"/>
    <w:rsid w:val="004C7B7C"/>
    <w:rsid w:val="004D0D70"/>
    <w:rsid w:val="004D0ED8"/>
    <w:rsid w:val="004D125D"/>
    <w:rsid w:val="004D2667"/>
    <w:rsid w:val="004D49E9"/>
    <w:rsid w:val="004D5398"/>
    <w:rsid w:val="004D5951"/>
    <w:rsid w:val="004D5B20"/>
    <w:rsid w:val="004E0939"/>
    <w:rsid w:val="004E114F"/>
    <w:rsid w:val="004E1F36"/>
    <w:rsid w:val="004E3686"/>
    <w:rsid w:val="004F13BB"/>
    <w:rsid w:val="004F1C35"/>
    <w:rsid w:val="004F46BA"/>
    <w:rsid w:val="004F49D4"/>
    <w:rsid w:val="004F553B"/>
    <w:rsid w:val="004F58D7"/>
    <w:rsid w:val="004F6021"/>
    <w:rsid w:val="004F7799"/>
    <w:rsid w:val="005009A1"/>
    <w:rsid w:val="00502579"/>
    <w:rsid w:val="00502948"/>
    <w:rsid w:val="0050441D"/>
    <w:rsid w:val="00504713"/>
    <w:rsid w:val="005060B9"/>
    <w:rsid w:val="00506249"/>
    <w:rsid w:val="00507B8A"/>
    <w:rsid w:val="00510F27"/>
    <w:rsid w:val="00515969"/>
    <w:rsid w:val="005160B2"/>
    <w:rsid w:val="00517AA0"/>
    <w:rsid w:val="00520452"/>
    <w:rsid w:val="0052143D"/>
    <w:rsid w:val="00525F95"/>
    <w:rsid w:val="005276F9"/>
    <w:rsid w:val="00530EC6"/>
    <w:rsid w:val="00531EE8"/>
    <w:rsid w:val="00533A0A"/>
    <w:rsid w:val="005346B5"/>
    <w:rsid w:val="005357E6"/>
    <w:rsid w:val="00535C72"/>
    <w:rsid w:val="005406C7"/>
    <w:rsid w:val="005420E2"/>
    <w:rsid w:val="005443AB"/>
    <w:rsid w:val="005469BC"/>
    <w:rsid w:val="00550E41"/>
    <w:rsid w:val="0055152F"/>
    <w:rsid w:val="005515A6"/>
    <w:rsid w:val="005557E6"/>
    <w:rsid w:val="00556BE5"/>
    <w:rsid w:val="005602A5"/>
    <w:rsid w:val="0056040D"/>
    <w:rsid w:val="00560CC6"/>
    <w:rsid w:val="00561031"/>
    <w:rsid w:val="00561D65"/>
    <w:rsid w:val="00561F49"/>
    <w:rsid w:val="005636C3"/>
    <w:rsid w:val="00563DD2"/>
    <w:rsid w:val="00566BF3"/>
    <w:rsid w:val="0057039C"/>
    <w:rsid w:val="00570A61"/>
    <w:rsid w:val="00571FB3"/>
    <w:rsid w:val="005722F2"/>
    <w:rsid w:val="00572CC8"/>
    <w:rsid w:val="00573E74"/>
    <w:rsid w:val="005758AA"/>
    <w:rsid w:val="00577F5C"/>
    <w:rsid w:val="00580EFB"/>
    <w:rsid w:val="00582B53"/>
    <w:rsid w:val="005833F2"/>
    <w:rsid w:val="00583E05"/>
    <w:rsid w:val="00591CC3"/>
    <w:rsid w:val="005935B8"/>
    <w:rsid w:val="0059445F"/>
    <w:rsid w:val="00595E5C"/>
    <w:rsid w:val="00596790"/>
    <w:rsid w:val="00597D5C"/>
    <w:rsid w:val="005A0D5F"/>
    <w:rsid w:val="005A0DA0"/>
    <w:rsid w:val="005A2B86"/>
    <w:rsid w:val="005A38D4"/>
    <w:rsid w:val="005A5B72"/>
    <w:rsid w:val="005A5E9B"/>
    <w:rsid w:val="005B2A21"/>
    <w:rsid w:val="005B3D0F"/>
    <w:rsid w:val="005B611B"/>
    <w:rsid w:val="005C043B"/>
    <w:rsid w:val="005C1013"/>
    <w:rsid w:val="005C14F8"/>
    <w:rsid w:val="005C1E3E"/>
    <w:rsid w:val="005C3322"/>
    <w:rsid w:val="005C3CC2"/>
    <w:rsid w:val="005C4BEC"/>
    <w:rsid w:val="005D642B"/>
    <w:rsid w:val="005E047D"/>
    <w:rsid w:val="005E1F02"/>
    <w:rsid w:val="005E260C"/>
    <w:rsid w:val="005E6B82"/>
    <w:rsid w:val="005E71E0"/>
    <w:rsid w:val="005E72B5"/>
    <w:rsid w:val="005F2CD2"/>
    <w:rsid w:val="005F58AD"/>
    <w:rsid w:val="005F7087"/>
    <w:rsid w:val="00601B89"/>
    <w:rsid w:val="00603BF5"/>
    <w:rsid w:val="00604896"/>
    <w:rsid w:val="006052C7"/>
    <w:rsid w:val="006064D9"/>
    <w:rsid w:val="00610C8D"/>
    <w:rsid w:val="00611435"/>
    <w:rsid w:val="0061223E"/>
    <w:rsid w:val="00613297"/>
    <w:rsid w:val="006165B1"/>
    <w:rsid w:val="00616A24"/>
    <w:rsid w:val="00616BBA"/>
    <w:rsid w:val="00616FD6"/>
    <w:rsid w:val="00617611"/>
    <w:rsid w:val="006205B9"/>
    <w:rsid w:val="00621CA7"/>
    <w:rsid w:val="00626ED6"/>
    <w:rsid w:val="006270F1"/>
    <w:rsid w:val="006313FD"/>
    <w:rsid w:val="006329EE"/>
    <w:rsid w:val="0063641E"/>
    <w:rsid w:val="00637A59"/>
    <w:rsid w:val="00643485"/>
    <w:rsid w:val="006442DB"/>
    <w:rsid w:val="00645758"/>
    <w:rsid w:val="00646B24"/>
    <w:rsid w:val="006479E3"/>
    <w:rsid w:val="00651FF8"/>
    <w:rsid w:val="00653959"/>
    <w:rsid w:val="00654E4D"/>
    <w:rsid w:val="00655A7A"/>
    <w:rsid w:val="0066332C"/>
    <w:rsid w:val="00663576"/>
    <w:rsid w:val="00664ED3"/>
    <w:rsid w:val="0066535B"/>
    <w:rsid w:val="006660F3"/>
    <w:rsid w:val="0066740F"/>
    <w:rsid w:val="006674C2"/>
    <w:rsid w:val="00672774"/>
    <w:rsid w:val="00674968"/>
    <w:rsid w:val="00675242"/>
    <w:rsid w:val="00675E04"/>
    <w:rsid w:val="00680A0A"/>
    <w:rsid w:val="00681EE7"/>
    <w:rsid w:val="00682932"/>
    <w:rsid w:val="00685BDA"/>
    <w:rsid w:val="00687644"/>
    <w:rsid w:val="0069183C"/>
    <w:rsid w:val="00691CA1"/>
    <w:rsid w:val="00692E5C"/>
    <w:rsid w:val="00693174"/>
    <w:rsid w:val="00694D99"/>
    <w:rsid w:val="006961B8"/>
    <w:rsid w:val="00696CBC"/>
    <w:rsid w:val="00697CBC"/>
    <w:rsid w:val="006A0F22"/>
    <w:rsid w:val="006A1268"/>
    <w:rsid w:val="006A16A7"/>
    <w:rsid w:val="006A1707"/>
    <w:rsid w:val="006A1B56"/>
    <w:rsid w:val="006A2973"/>
    <w:rsid w:val="006A2D17"/>
    <w:rsid w:val="006A5DB3"/>
    <w:rsid w:val="006A6506"/>
    <w:rsid w:val="006B0869"/>
    <w:rsid w:val="006B0A01"/>
    <w:rsid w:val="006B4C7D"/>
    <w:rsid w:val="006B5527"/>
    <w:rsid w:val="006C40CB"/>
    <w:rsid w:val="006D0125"/>
    <w:rsid w:val="006D10B2"/>
    <w:rsid w:val="006D3C01"/>
    <w:rsid w:val="006D442E"/>
    <w:rsid w:val="006D778C"/>
    <w:rsid w:val="006E10B6"/>
    <w:rsid w:val="006E2F8D"/>
    <w:rsid w:val="006F0742"/>
    <w:rsid w:val="006F0B46"/>
    <w:rsid w:val="006F0CCD"/>
    <w:rsid w:val="006F0D04"/>
    <w:rsid w:val="006F5648"/>
    <w:rsid w:val="006F5D7F"/>
    <w:rsid w:val="006F6E06"/>
    <w:rsid w:val="00700A7C"/>
    <w:rsid w:val="00700D72"/>
    <w:rsid w:val="00703A0D"/>
    <w:rsid w:val="0070482E"/>
    <w:rsid w:val="0070573C"/>
    <w:rsid w:val="0070590F"/>
    <w:rsid w:val="00706ABF"/>
    <w:rsid w:val="00707D9E"/>
    <w:rsid w:val="00712A09"/>
    <w:rsid w:val="0071338A"/>
    <w:rsid w:val="00716CE7"/>
    <w:rsid w:val="00717547"/>
    <w:rsid w:val="007260DA"/>
    <w:rsid w:val="00727EF0"/>
    <w:rsid w:val="00730A4A"/>
    <w:rsid w:val="00732E28"/>
    <w:rsid w:val="0073684B"/>
    <w:rsid w:val="00740EAC"/>
    <w:rsid w:val="00743D24"/>
    <w:rsid w:val="00744AE8"/>
    <w:rsid w:val="00750F9D"/>
    <w:rsid w:val="00751044"/>
    <w:rsid w:val="007518D5"/>
    <w:rsid w:val="00753C71"/>
    <w:rsid w:val="00753C93"/>
    <w:rsid w:val="00754ED3"/>
    <w:rsid w:val="007556E6"/>
    <w:rsid w:val="00755A3A"/>
    <w:rsid w:val="00755CF1"/>
    <w:rsid w:val="0076195B"/>
    <w:rsid w:val="0076367D"/>
    <w:rsid w:val="007646B3"/>
    <w:rsid w:val="00765446"/>
    <w:rsid w:val="00765BFC"/>
    <w:rsid w:val="0077255B"/>
    <w:rsid w:val="007751C9"/>
    <w:rsid w:val="007773CE"/>
    <w:rsid w:val="007774AE"/>
    <w:rsid w:val="00777ED7"/>
    <w:rsid w:val="00781D5D"/>
    <w:rsid w:val="0078689C"/>
    <w:rsid w:val="00786F08"/>
    <w:rsid w:val="00790314"/>
    <w:rsid w:val="007913A3"/>
    <w:rsid w:val="007942EB"/>
    <w:rsid w:val="00795654"/>
    <w:rsid w:val="00797444"/>
    <w:rsid w:val="007A14BB"/>
    <w:rsid w:val="007A1860"/>
    <w:rsid w:val="007A1EA3"/>
    <w:rsid w:val="007A1FBB"/>
    <w:rsid w:val="007A2EC9"/>
    <w:rsid w:val="007A2F6F"/>
    <w:rsid w:val="007A30EA"/>
    <w:rsid w:val="007A352B"/>
    <w:rsid w:val="007A36EF"/>
    <w:rsid w:val="007A5A31"/>
    <w:rsid w:val="007B10A0"/>
    <w:rsid w:val="007B7E4F"/>
    <w:rsid w:val="007C1768"/>
    <w:rsid w:val="007C313D"/>
    <w:rsid w:val="007C54F9"/>
    <w:rsid w:val="007D0674"/>
    <w:rsid w:val="007D0A87"/>
    <w:rsid w:val="007D0FC6"/>
    <w:rsid w:val="007D0FF5"/>
    <w:rsid w:val="007D1045"/>
    <w:rsid w:val="007D2964"/>
    <w:rsid w:val="007D4054"/>
    <w:rsid w:val="007D40C5"/>
    <w:rsid w:val="007D5273"/>
    <w:rsid w:val="007D71B1"/>
    <w:rsid w:val="007E0794"/>
    <w:rsid w:val="007E11CA"/>
    <w:rsid w:val="007E7165"/>
    <w:rsid w:val="007F0481"/>
    <w:rsid w:val="007F2E46"/>
    <w:rsid w:val="007F3D76"/>
    <w:rsid w:val="007F4C1A"/>
    <w:rsid w:val="007F61F7"/>
    <w:rsid w:val="0080025A"/>
    <w:rsid w:val="00801888"/>
    <w:rsid w:val="008025A2"/>
    <w:rsid w:val="008038BB"/>
    <w:rsid w:val="00804FE9"/>
    <w:rsid w:val="00805ED0"/>
    <w:rsid w:val="00806783"/>
    <w:rsid w:val="00807BD0"/>
    <w:rsid w:val="008108D4"/>
    <w:rsid w:val="00813171"/>
    <w:rsid w:val="00813FE9"/>
    <w:rsid w:val="00814442"/>
    <w:rsid w:val="00814940"/>
    <w:rsid w:val="00815E45"/>
    <w:rsid w:val="00821362"/>
    <w:rsid w:val="00822847"/>
    <w:rsid w:val="00824AD8"/>
    <w:rsid w:val="00831823"/>
    <w:rsid w:val="00832A68"/>
    <w:rsid w:val="00834195"/>
    <w:rsid w:val="008370BE"/>
    <w:rsid w:val="00837215"/>
    <w:rsid w:val="00842726"/>
    <w:rsid w:val="00845530"/>
    <w:rsid w:val="00845899"/>
    <w:rsid w:val="00850B73"/>
    <w:rsid w:val="00850D6E"/>
    <w:rsid w:val="00851BAA"/>
    <w:rsid w:val="00852177"/>
    <w:rsid w:val="008528DE"/>
    <w:rsid w:val="00853677"/>
    <w:rsid w:val="00853799"/>
    <w:rsid w:val="008538B5"/>
    <w:rsid w:val="00853B93"/>
    <w:rsid w:val="0085437E"/>
    <w:rsid w:val="008560C2"/>
    <w:rsid w:val="00856836"/>
    <w:rsid w:val="0085690A"/>
    <w:rsid w:val="00860637"/>
    <w:rsid w:val="00861733"/>
    <w:rsid w:val="00862843"/>
    <w:rsid w:val="00862B06"/>
    <w:rsid w:val="00864669"/>
    <w:rsid w:val="00864ABC"/>
    <w:rsid w:val="008663A8"/>
    <w:rsid w:val="00872667"/>
    <w:rsid w:val="0087308A"/>
    <w:rsid w:val="0087597A"/>
    <w:rsid w:val="008770A4"/>
    <w:rsid w:val="0087792C"/>
    <w:rsid w:val="0088143C"/>
    <w:rsid w:val="0088188E"/>
    <w:rsid w:val="00881E44"/>
    <w:rsid w:val="0088315C"/>
    <w:rsid w:val="00884A99"/>
    <w:rsid w:val="008857F6"/>
    <w:rsid w:val="00886387"/>
    <w:rsid w:val="00891F75"/>
    <w:rsid w:val="0089390A"/>
    <w:rsid w:val="008955D8"/>
    <w:rsid w:val="00895AD6"/>
    <w:rsid w:val="00896D93"/>
    <w:rsid w:val="008A0229"/>
    <w:rsid w:val="008A2552"/>
    <w:rsid w:val="008A349A"/>
    <w:rsid w:val="008B084D"/>
    <w:rsid w:val="008B30B5"/>
    <w:rsid w:val="008B3346"/>
    <w:rsid w:val="008B39C9"/>
    <w:rsid w:val="008B5BC6"/>
    <w:rsid w:val="008B5CFC"/>
    <w:rsid w:val="008B667E"/>
    <w:rsid w:val="008B6867"/>
    <w:rsid w:val="008B7391"/>
    <w:rsid w:val="008B787A"/>
    <w:rsid w:val="008B7A17"/>
    <w:rsid w:val="008C0B5A"/>
    <w:rsid w:val="008C2909"/>
    <w:rsid w:val="008C29F4"/>
    <w:rsid w:val="008D2F88"/>
    <w:rsid w:val="008D5F1A"/>
    <w:rsid w:val="008D7C91"/>
    <w:rsid w:val="008E2032"/>
    <w:rsid w:val="008E2980"/>
    <w:rsid w:val="008E5DBF"/>
    <w:rsid w:val="008E6397"/>
    <w:rsid w:val="008E6F94"/>
    <w:rsid w:val="008F478D"/>
    <w:rsid w:val="008F5A6A"/>
    <w:rsid w:val="008F5D6A"/>
    <w:rsid w:val="00900C3B"/>
    <w:rsid w:val="00901B12"/>
    <w:rsid w:val="00903053"/>
    <w:rsid w:val="00904DA8"/>
    <w:rsid w:val="009052E5"/>
    <w:rsid w:val="00905FD2"/>
    <w:rsid w:val="009064BC"/>
    <w:rsid w:val="00912E2A"/>
    <w:rsid w:val="009137DE"/>
    <w:rsid w:val="00915149"/>
    <w:rsid w:val="00915376"/>
    <w:rsid w:val="009154A4"/>
    <w:rsid w:val="009163A7"/>
    <w:rsid w:val="00916558"/>
    <w:rsid w:val="00916784"/>
    <w:rsid w:val="009176AC"/>
    <w:rsid w:val="00920396"/>
    <w:rsid w:val="009213BF"/>
    <w:rsid w:val="00921737"/>
    <w:rsid w:val="0092177F"/>
    <w:rsid w:val="009224E1"/>
    <w:rsid w:val="00923C6D"/>
    <w:rsid w:val="00924D36"/>
    <w:rsid w:val="009311FB"/>
    <w:rsid w:val="0093448E"/>
    <w:rsid w:val="00936390"/>
    <w:rsid w:val="00940872"/>
    <w:rsid w:val="009417B1"/>
    <w:rsid w:val="00942506"/>
    <w:rsid w:val="0094370E"/>
    <w:rsid w:val="00944CBC"/>
    <w:rsid w:val="00945C5C"/>
    <w:rsid w:val="00947014"/>
    <w:rsid w:val="00950E7E"/>
    <w:rsid w:val="009512E5"/>
    <w:rsid w:val="00951856"/>
    <w:rsid w:val="00952763"/>
    <w:rsid w:val="00953B0F"/>
    <w:rsid w:val="00953D5B"/>
    <w:rsid w:val="00954057"/>
    <w:rsid w:val="0095717E"/>
    <w:rsid w:val="00957ACA"/>
    <w:rsid w:val="00960BE5"/>
    <w:rsid w:val="009614C0"/>
    <w:rsid w:val="00961638"/>
    <w:rsid w:val="00962075"/>
    <w:rsid w:val="0096207B"/>
    <w:rsid w:val="00962A60"/>
    <w:rsid w:val="00962E26"/>
    <w:rsid w:val="00963979"/>
    <w:rsid w:val="009647DC"/>
    <w:rsid w:val="00964E7B"/>
    <w:rsid w:val="009653E9"/>
    <w:rsid w:val="00970470"/>
    <w:rsid w:val="009706D5"/>
    <w:rsid w:val="0097137E"/>
    <w:rsid w:val="00971C8A"/>
    <w:rsid w:val="009725A7"/>
    <w:rsid w:val="009749BC"/>
    <w:rsid w:val="00974A77"/>
    <w:rsid w:val="009750D9"/>
    <w:rsid w:val="00976546"/>
    <w:rsid w:val="009774E1"/>
    <w:rsid w:val="00981F09"/>
    <w:rsid w:val="00983FD5"/>
    <w:rsid w:val="00984B1C"/>
    <w:rsid w:val="009858C1"/>
    <w:rsid w:val="00987828"/>
    <w:rsid w:val="00987C29"/>
    <w:rsid w:val="00993715"/>
    <w:rsid w:val="00993A88"/>
    <w:rsid w:val="00994F6A"/>
    <w:rsid w:val="0099589E"/>
    <w:rsid w:val="009976E7"/>
    <w:rsid w:val="009A1F70"/>
    <w:rsid w:val="009A4FD7"/>
    <w:rsid w:val="009A5698"/>
    <w:rsid w:val="009A607E"/>
    <w:rsid w:val="009A6465"/>
    <w:rsid w:val="009A7EF6"/>
    <w:rsid w:val="009B2BCB"/>
    <w:rsid w:val="009B7B84"/>
    <w:rsid w:val="009B7E92"/>
    <w:rsid w:val="009B7F4C"/>
    <w:rsid w:val="009C4AF4"/>
    <w:rsid w:val="009C550C"/>
    <w:rsid w:val="009C62A2"/>
    <w:rsid w:val="009C64CC"/>
    <w:rsid w:val="009C6C0C"/>
    <w:rsid w:val="009C71EB"/>
    <w:rsid w:val="009D035C"/>
    <w:rsid w:val="009D1C82"/>
    <w:rsid w:val="009D1E83"/>
    <w:rsid w:val="009D4DED"/>
    <w:rsid w:val="009D55A6"/>
    <w:rsid w:val="009E1415"/>
    <w:rsid w:val="009E3756"/>
    <w:rsid w:val="009E3AC9"/>
    <w:rsid w:val="009E435C"/>
    <w:rsid w:val="009E627E"/>
    <w:rsid w:val="009E71A3"/>
    <w:rsid w:val="009E7366"/>
    <w:rsid w:val="009E7D10"/>
    <w:rsid w:val="009F19FC"/>
    <w:rsid w:val="009F39DD"/>
    <w:rsid w:val="009F4487"/>
    <w:rsid w:val="009F45DA"/>
    <w:rsid w:val="009F4CF0"/>
    <w:rsid w:val="009F4EBE"/>
    <w:rsid w:val="00A005D7"/>
    <w:rsid w:val="00A02570"/>
    <w:rsid w:val="00A04E09"/>
    <w:rsid w:val="00A10AF3"/>
    <w:rsid w:val="00A16082"/>
    <w:rsid w:val="00A20C1F"/>
    <w:rsid w:val="00A20D1C"/>
    <w:rsid w:val="00A22076"/>
    <w:rsid w:val="00A22588"/>
    <w:rsid w:val="00A2359E"/>
    <w:rsid w:val="00A24620"/>
    <w:rsid w:val="00A246E4"/>
    <w:rsid w:val="00A26577"/>
    <w:rsid w:val="00A27953"/>
    <w:rsid w:val="00A27F51"/>
    <w:rsid w:val="00A30952"/>
    <w:rsid w:val="00A30EF4"/>
    <w:rsid w:val="00A31081"/>
    <w:rsid w:val="00A32454"/>
    <w:rsid w:val="00A33AC5"/>
    <w:rsid w:val="00A33BA1"/>
    <w:rsid w:val="00A36986"/>
    <w:rsid w:val="00A36E5B"/>
    <w:rsid w:val="00A37E33"/>
    <w:rsid w:val="00A41B7D"/>
    <w:rsid w:val="00A434F6"/>
    <w:rsid w:val="00A45F23"/>
    <w:rsid w:val="00A475E2"/>
    <w:rsid w:val="00A50C6A"/>
    <w:rsid w:val="00A53E5D"/>
    <w:rsid w:val="00A53F00"/>
    <w:rsid w:val="00A5406A"/>
    <w:rsid w:val="00A54D68"/>
    <w:rsid w:val="00A561C1"/>
    <w:rsid w:val="00A568B3"/>
    <w:rsid w:val="00A57120"/>
    <w:rsid w:val="00A60483"/>
    <w:rsid w:val="00A60A7D"/>
    <w:rsid w:val="00A610BB"/>
    <w:rsid w:val="00A660D0"/>
    <w:rsid w:val="00A6650F"/>
    <w:rsid w:val="00A67D46"/>
    <w:rsid w:val="00A71C40"/>
    <w:rsid w:val="00A71D02"/>
    <w:rsid w:val="00A72822"/>
    <w:rsid w:val="00A7409A"/>
    <w:rsid w:val="00A75F46"/>
    <w:rsid w:val="00A75F4A"/>
    <w:rsid w:val="00A773E2"/>
    <w:rsid w:val="00A77694"/>
    <w:rsid w:val="00A779D0"/>
    <w:rsid w:val="00A83D25"/>
    <w:rsid w:val="00A8454F"/>
    <w:rsid w:val="00A859BA"/>
    <w:rsid w:val="00A86AA0"/>
    <w:rsid w:val="00A90303"/>
    <w:rsid w:val="00A94B31"/>
    <w:rsid w:val="00A95EB4"/>
    <w:rsid w:val="00A97238"/>
    <w:rsid w:val="00A97AA3"/>
    <w:rsid w:val="00AA0048"/>
    <w:rsid w:val="00AA165C"/>
    <w:rsid w:val="00AA4447"/>
    <w:rsid w:val="00AA5BAF"/>
    <w:rsid w:val="00AA6871"/>
    <w:rsid w:val="00AA6927"/>
    <w:rsid w:val="00AA7216"/>
    <w:rsid w:val="00AA7794"/>
    <w:rsid w:val="00AB03F1"/>
    <w:rsid w:val="00AB2C61"/>
    <w:rsid w:val="00AB32F5"/>
    <w:rsid w:val="00AC53A8"/>
    <w:rsid w:val="00AC5466"/>
    <w:rsid w:val="00AC6A69"/>
    <w:rsid w:val="00AC715A"/>
    <w:rsid w:val="00AC74D7"/>
    <w:rsid w:val="00AD04F1"/>
    <w:rsid w:val="00AD07DE"/>
    <w:rsid w:val="00AD0F85"/>
    <w:rsid w:val="00AD0FBD"/>
    <w:rsid w:val="00AD153F"/>
    <w:rsid w:val="00AD1847"/>
    <w:rsid w:val="00AD66F9"/>
    <w:rsid w:val="00AD75D6"/>
    <w:rsid w:val="00AD7EE9"/>
    <w:rsid w:val="00AE0A2A"/>
    <w:rsid w:val="00AE3447"/>
    <w:rsid w:val="00AE4038"/>
    <w:rsid w:val="00AE43EB"/>
    <w:rsid w:val="00AE6041"/>
    <w:rsid w:val="00AE658E"/>
    <w:rsid w:val="00AF1DFF"/>
    <w:rsid w:val="00AF3323"/>
    <w:rsid w:val="00AF5B65"/>
    <w:rsid w:val="00AF6286"/>
    <w:rsid w:val="00AF698A"/>
    <w:rsid w:val="00AF7D4A"/>
    <w:rsid w:val="00B00BDA"/>
    <w:rsid w:val="00B03516"/>
    <w:rsid w:val="00B035F8"/>
    <w:rsid w:val="00B07B21"/>
    <w:rsid w:val="00B07EFD"/>
    <w:rsid w:val="00B12F12"/>
    <w:rsid w:val="00B12F74"/>
    <w:rsid w:val="00B155B5"/>
    <w:rsid w:val="00B16B23"/>
    <w:rsid w:val="00B17D7B"/>
    <w:rsid w:val="00B20C36"/>
    <w:rsid w:val="00B21730"/>
    <w:rsid w:val="00B225FE"/>
    <w:rsid w:val="00B231B0"/>
    <w:rsid w:val="00B23F37"/>
    <w:rsid w:val="00B241C2"/>
    <w:rsid w:val="00B2575D"/>
    <w:rsid w:val="00B25F76"/>
    <w:rsid w:val="00B2635D"/>
    <w:rsid w:val="00B27312"/>
    <w:rsid w:val="00B277D0"/>
    <w:rsid w:val="00B33382"/>
    <w:rsid w:val="00B33E96"/>
    <w:rsid w:val="00B3453A"/>
    <w:rsid w:val="00B35CCE"/>
    <w:rsid w:val="00B368AD"/>
    <w:rsid w:val="00B36D0E"/>
    <w:rsid w:val="00B3725B"/>
    <w:rsid w:val="00B3746E"/>
    <w:rsid w:val="00B40403"/>
    <w:rsid w:val="00B41533"/>
    <w:rsid w:val="00B4163A"/>
    <w:rsid w:val="00B41E02"/>
    <w:rsid w:val="00B43620"/>
    <w:rsid w:val="00B43A2B"/>
    <w:rsid w:val="00B469F2"/>
    <w:rsid w:val="00B47B2A"/>
    <w:rsid w:val="00B47D8F"/>
    <w:rsid w:val="00B47FFE"/>
    <w:rsid w:val="00B51226"/>
    <w:rsid w:val="00B53A76"/>
    <w:rsid w:val="00B56524"/>
    <w:rsid w:val="00B56CA2"/>
    <w:rsid w:val="00B6125F"/>
    <w:rsid w:val="00B625EF"/>
    <w:rsid w:val="00B63151"/>
    <w:rsid w:val="00B63A81"/>
    <w:rsid w:val="00B666E8"/>
    <w:rsid w:val="00B66866"/>
    <w:rsid w:val="00B67BC4"/>
    <w:rsid w:val="00B706DE"/>
    <w:rsid w:val="00B707D4"/>
    <w:rsid w:val="00B71680"/>
    <w:rsid w:val="00B73566"/>
    <w:rsid w:val="00B73EDD"/>
    <w:rsid w:val="00B746C2"/>
    <w:rsid w:val="00B75A8B"/>
    <w:rsid w:val="00B76693"/>
    <w:rsid w:val="00B771C6"/>
    <w:rsid w:val="00B772AF"/>
    <w:rsid w:val="00B80E2D"/>
    <w:rsid w:val="00B80F63"/>
    <w:rsid w:val="00B83798"/>
    <w:rsid w:val="00B83D2F"/>
    <w:rsid w:val="00B8621C"/>
    <w:rsid w:val="00B87823"/>
    <w:rsid w:val="00B879F0"/>
    <w:rsid w:val="00B87B6E"/>
    <w:rsid w:val="00B87EE3"/>
    <w:rsid w:val="00B90167"/>
    <w:rsid w:val="00B9336D"/>
    <w:rsid w:val="00B93B53"/>
    <w:rsid w:val="00B945B7"/>
    <w:rsid w:val="00B9475F"/>
    <w:rsid w:val="00B95F02"/>
    <w:rsid w:val="00B97E8E"/>
    <w:rsid w:val="00BA0816"/>
    <w:rsid w:val="00BA0B38"/>
    <w:rsid w:val="00BA117E"/>
    <w:rsid w:val="00BA1320"/>
    <w:rsid w:val="00BA19B8"/>
    <w:rsid w:val="00BA41BA"/>
    <w:rsid w:val="00BA4E53"/>
    <w:rsid w:val="00BA79DA"/>
    <w:rsid w:val="00BB4D73"/>
    <w:rsid w:val="00BB617D"/>
    <w:rsid w:val="00BB66A1"/>
    <w:rsid w:val="00BB67C0"/>
    <w:rsid w:val="00BB78C0"/>
    <w:rsid w:val="00BB7A80"/>
    <w:rsid w:val="00BC08DE"/>
    <w:rsid w:val="00BC25C1"/>
    <w:rsid w:val="00BC2FC6"/>
    <w:rsid w:val="00BC40FB"/>
    <w:rsid w:val="00BC7F9A"/>
    <w:rsid w:val="00BD13F1"/>
    <w:rsid w:val="00BD57F1"/>
    <w:rsid w:val="00BD773C"/>
    <w:rsid w:val="00BE0C85"/>
    <w:rsid w:val="00BE0EE1"/>
    <w:rsid w:val="00BE20EE"/>
    <w:rsid w:val="00BE3D6A"/>
    <w:rsid w:val="00BE464E"/>
    <w:rsid w:val="00BE4A25"/>
    <w:rsid w:val="00BE5838"/>
    <w:rsid w:val="00BE6AA7"/>
    <w:rsid w:val="00BF2FD5"/>
    <w:rsid w:val="00BF33E5"/>
    <w:rsid w:val="00BF5E79"/>
    <w:rsid w:val="00C003A7"/>
    <w:rsid w:val="00C0288C"/>
    <w:rsid w:val="00C02898"/>
    <w:rsid w:val="00C05907"/>
    <w:rsid w:val="00C07221"/>
    <w:rsid w:val="00C12BD3"/>
    <w:rsid w:val="00C15CE7"/>
    <w:rsid w:val="00C2226A"/>
    <w:rsid w:val="00C222EE"/>
    <w:rsid w:val="00C24ECB"/>
    <w:rsid w:val="00C30099"/>
    <w:rsid w:val="00C30CCB"/>
    <w:rsid w:val="00C30DE2"/>
    <w:rsid w:val="00C319F8"/>
    <w:rsid w:val="00C335A9"/>
    <w:rsid w:val="00C33731"/>
    <w:rsid w:val="00C33ED5"/>
    <w:rsid w:val="00C34E53"/>
    <w:rsid w:val="00C35140"/>
    <w:rsid w:val="00C3750C"/>
    <w:rsid w:val="00C418D4"/>
    <w:rsid w:val="00C423C9"/>
    <w:rsid w:val="00C43F04"/>
    <w:rsid w:val="00C43F4D"/>
    <w:rsid w:val="00C4484C"/>
    <w:rsid w:val="00C46887"/>
    <w:rsid w:val="00C47942"/>
    <w:rsid w:val="00C53E87"/>
    <w:rsid w:val="00C5477E"/>
    <w:rsid w:val="00C55719"/>
    <w:rsid w:val="00C558AD"/>
    <w:rsid w:val="00C55978"/>
    <w:rsid w:val="00C561AC"/>
    <w:rsid w:val="00C57A3C"/>
    <w:rsid w:val="00C62404"/>
    <w:rsid w:val="00C6334D"/>
    <w:rsid w:val="00C63B5A"/>
    <w:rsid w:val="00C64A06"/>
    <w:rsid w:val="00C67841"/>
    <w:rsid w:val="00C71980"/>
    <w:rsid w:val="00C73E3D"/>
    <w:rsid w:val="00C74778"/>
    <w:rsid w:val="00C76A49"/>
    <w:rsid w:val="00C77B5B"/>
    <w:rsid w:val="00C8055F"/>
    <w:rsid w:val="00C83C65"/>
    <w:rsid w:val="00C840F7"/>
    <w:rsid w:val="00C872CB"/>
    <w:rsid w:val="00C90161"/>
    <w:rsid w:val="00C90E92"/>
    <w:rsid w:val="00C93318"/>
    <w:rsid w:val="00C93545"/>
    <w:rsid w:val="00C93624"/>
    <w:rsid w:val="00C944C7"/>
    <w:rsid w:val="00C95E4F"/>
    <w:rsid w:val="00CA03C5"/>
    <w:rsid w:val="00CA11A2"/>
    <w:rsid w:val="00CA32D1"/>
    <w:rsid w:val="00CA35DE"/>
    <w:rsid w:val="00CA35E9"/>
    <w:rsid w:val="00CA5181"/>
    <w:rsid w:val="00CA5E3D"/>
    <w:rsid w:val="00CA67D6"/>
    <w:rsid w:val="00CA71F0"/>
    <w:rsid w:val="00CA7EB6"/>
    <w:rsid w:val="00CB2171"/>
    <w:rsid w:val="00CB32EE"/>
    <w:rsid w:val="00CB35E9"/>
    <w:rsid w:val="00CB4981"/>
    <w:rsid w:val="00CB7AC2"/>
    <w:rsid w:val="00CB7B7A"/>
    <w:rsid w:val="00CB7F4F"/>
    <w:rsid w:val="00CB7FA2"/>
    <w:rsid w:val="00CC052B"/>
    <w:rsid w:val="00CC3BEB"/>
    <w:rsid w:val="00CC694D"/>
    <w:rsid w:val="00CC6D4E"/>
    <w:rsid w:val="00CD121D"/>
    <w:rsid w:val="00CD583E"/>
    <w:rsid w:val="00CD5EB8"/>
    <w:rsid w:val="00CD7076"/>
    <w:rsid w:val="00CE050C"/>
    <w:rsid w:val="00CE075E"/>
    <w:rsid w:val="00CE0FA3"/>
    <w:rsid w:val="00CE3139"/>
    <w:rsid w:val="00CE5D8A"/>
    <w:rsid w:val="00CE6243"/>
    <w:rsid w:val="00CE6A29"/>
    <w:rsid w:val="00CE6C4E"/>
    <w:rsid w:val="00CE7982"/>
    <w:rsid w:val="00CE7C00"/>
    <w:rsid w:val="00CF0A87"/>
    <w:rsid w:val="00CF1264"/>
    <w:rsid w:val="00CF12A6"/>
    <w:rsid w:val="00CF22EB"/>
    <w:rsid w:val="00CF335F"/>
    <w:rsid w:val="00CF4164"/>
    <w:rsid w:val="00CF66BE"/>
    <w:rsid w:val="00CF67DA"/>
    <w:rsid w:val="00CF693E"/>
    <w:rsid w:val="00D00E0C"/>
    <w:rsid w:val="00D0149F"/>
    <w:rsid w:val="00D02D35"/>
    <w:rsid w:val="00D0376A"/>
    <w:rsid w:val="00D04100"/>
    <w:rsid w:val="00D06A6A"/>
    <w:rsid w:val="00D07F35"/>
    <w:rsid w:val="00D10A8C"/>
    <w:rsid w:val="00D10E66"/>
    <w:rsid w:val="00D11818"/>
    <w:rsid w:val="00D12DC3"/>
    <w:rsid w:val="00D14CAA"/>
    <w:rsid w:val="00D150C4"/>
    <w:rsid w:val="00D15210"/>
    <w:rsid w:val="00D16576"/>
    <w:rsid w:val="00D16671"/>
    <w:rsid w:val="00D17CB3"/>
    <w:rsid w:val="00D20662"/>
    <w:rsid w:val="00D220FC"/>
    <w:rsid w:val="00D2663B"/>
    <w:rsid w:val="00D26E1A"/>
    <w:rsid w:val="00D27A3C"/>
    <w:rsid w:val="00D310D8"/>
    <w:rsid w:val="00D32145"/>
    <w:rsid w:val="00D32B22"/>
    <w:rsid w:val="00D33959"/>
    <w:rsid w:val="00D34133"/>
    <w:rsid w:val="00D34DFE"/>
    <w:rsid w:val="00D35683"/>
    <w:rsid w:val="00D377B8"/>
    <w:rsid w:val="00D37875"/>
    <w:rsid w:val="00D44FDD"/>
    <w:rsid w:val="00D45447"/>
    <w:rsid w:val="00D45942"/>
    <w:rsid w:val="00D4658C"/>
    <w:rsid w:val="00D46B42"/>
    <w:rsid w:val="00D47AF3"/>
    <w:rsid w:val="00D5064B"/>
    <w:rsid w:val="00D52BA9"/>
    <w:rsid w:val="00D532F4"/>
    <w:rsid w:val="00D53948"/>
    <w:rsid w:val="00D539E8"/>
    <w:rsid w:val="00D54489"/>
    <w:rsid w:val="00D569F7"/>
    <w:rsid w:val="00D60F19"/>
    <w:rsid w:val="00D618D1"/>
    <w:rsid w:val="00D6474B"/>
    <w:rsid w:val="00D64D18"/>
    <w:rsid w:val="00D65374"/>
    <w:rsid w:val="00D6731B"/>
    <w:rsid w:val="00D72159"/>
    <w:rsid w:val="00D7289A"/>
    <w:rsid w:val="00D733CB"/>
    <w:rsid w:val="00D7429D"/>
    <w:rsid w:val="00D8239B"/>
    <w:rsid w:val="00D8407A"/>
    <w:rsid w:val="00D855A3"/>
    <w:rsid w:val="00D866CC"/>
    <w:rsid w:val="00D87802"/>
    <w:rsid w:val="00D906DC"/>
    <w:rsid w:val="00D90AA0"/>
    <w:rsid w:val="00D95616"/>
    <w:rsid w:val="00D95628"/>
    <w:rsid w:val="00D96235"/>
    <w:rsid w:val="00DA0382"/>
    <w:rsid w:val="00DA0490"/>
    <w:rsid w:val="00DA2897"/>
    <w:rsid w:val="00DA2928"/>
    <w:rsid w:val="00DA2F04"/>
    <w:rsid w:val="00DA4419"/>
    <w:rsid w:val="00DA4901"/>
    <w:rsid w:val="00DA4D09"/>
    <w:rsid w:val="00DA6294"/>
    <w:rsid w:val="00DA6DEA"/>
    <w:rsid w:val="00DB0B66"/>
    <w:rsid w:val="00DB1307"/>
    <w:rsid w:val="00DB15D1"/>
    <w:rsid w:val="00DB22BE"/>
    <w:rsid w:val="00DB3855"/>
    <w:rsid w:val="00DB3D06"/>
    <w:rsid w:val="00DB3D62"/>
    <w:rsid w:val="00DB54E8"/>
    <w:rsid w:val="00DB5F02"/>
    <w:rsid w:val="00DB7389"/>
    <w:rsid w:val="00DC0C3F"/>
    <w:rsid w:val="00DC122C"/>
    <w:rsid w:val="00DC1424"/>
    <w:rsid w:val="00DC2107"/>
    <w:rsid w:val="00DC4208"/>
    <w:rsid w:val="00DC4519"/>
    <w:rsid w:val="00DC48B9"/>
    <w:rsid w:val="00DC48EA"/>
    <w:rsid w:val="00DC682F"/>
    <w:rsid w:val="00DC6908"/>
    <w:rsid w:val="00DD1DF8"/>
    <w:rsid w:val="00DD286C"/>
    <w:rsid w:val="00DD3523"/>
    <w:rsid w:val="00DD505D"/>
    <w:rsid w:val="00DD60C4"/>
    <w:rsid w:val="00DD6810"/>
    <w:rsid w:val="00DD7CC1"/>
    <w:rsid w:val="00DE04AD"/>
    <w:rsid w:val="00DE1A5C"/>
    <w:rsid w:val="00DE6A8E"/>
    <w:rsid w:val="00DF11D6"/>
    <w:rsid w:val="00DF3329"/>
    <w:rsid w:val="00DF37A9"/>
    <w:rsid w:val="00E001B7"/>
    <w:rsid w:val="00E01465"/>
    <w:rsid w:val="00E01991"/>
    <w:rsid w:val="00E02132"/>
    <w:rsid w:val="00E10BD0"/>
    <w:rsid w:val="00E1413A"/>
    <w:rsid w:val="00E157CC"/>
    <w:rsid w:val="00E20D96"/>
    <w:rsid w:val="00E211D5"/>
    <w:rsid w:val="00E22286"/>
    <w:rsid w:val="00E22851"/>
    <w:rsid w:val="00E262F4"/>
    <w:rsid w:val="00E32338"/>
    <w:rsid w:val="00E327C4"/>
    <w:rsid w:val="00E32E0D"/>
    <w:rsid w:val="00E34243"/>
    <w:rsid w:val="00E37B09"/>
    <w:rsid w:val="00E40888"/>
    <w:rsid w:val="00E41864"/>
    <w:rsid w:val="00E43BAB"/>
    <w:rsid w:val="00E44CF1"/>
    <w:rsid w:val="00E44F19"/>
    <w:rsid w:val="00E47587"/>
    <w:rsid w:val="00E47CAD"/>
    <w:rsid w:val="00E47E65"/>
    <w:rsid w:val="00E518AA"/>
    <w:rsid w:val="00E51D5D"/>
    <w:rsid w:val="00E54852"/>
    <w:rsid w:val="00E55023"/>
    <w:rsid w:val="00E61138"/>
    <w:rsid w:val="00E61513"/>
    <w:rsid w:val="00E618EF"/>
    <w:rsid w:val="00E62C92"/>
    <w:rsid w:val="00E65530"/>
    <w:rsid w:val="00E73288"/>
    <w:rsid w:val="00E73A8A"/>
    <w:rsid w:val="00E827FA"/>
    <w:rsid w:val="00E83E76"/>
    <w:rsid w:val="00E84FCE"/>
    <w:rsid w:val="00E906ED"/>
    <w:rsid w:val="00E92B13"/>
    <w:rsid w:val="00E930DD"/>
    <w:rsid w:val="00E93D4F"/>
    <w:rsid w:val="00E9437E"/>
    <w:rsid w:val="00E95C85"/>
    <w:rsid w:val="00E9615B"/>
    <w:rsid w:val="00E9660B"/>
    <w:rsid w:val="00E968B2"/>
    <w:rsid w:val="00E96CBD"/>
    <w:rsid w:val="00E96CF6"/>
    <w:rsid w:val="00E979F1"/>
    <w:rsid w:val="00EA2359"/>
    <w:rsid w:val="00EA2609"/>
    <w:rsid w:val="00EA28FD"/>
    <w:rsid w:val="00EA4B5B"/>
    <w:rsid w:val="00EA7556"/>
    <w:rsid w:val="00EB0444"/>
    <w:rsid w:val="00EB0C96"/>
    <w:rsid w:val="00EB205D"/>
    <w:rsid w:val="00EB2140"/>
    <w:rsid w:val="00EB502F"/>
    <w:rsid w:val="00EB7371"/>
    <w:rsid w:val="00EC2582"/>
    <w:rsid w:val="00EC29D6"/>
    <w:rsid w:val="00EC391F"/>
    <w:rsid w:val="00EC5119"/>
    <w:rsid w:val="00EC6FF4"/>
    <w:rsid w:val="00ED0E81"/>
    <w:rsid w:val="00ED30EF"/>
    <w:rsid w:val="00ED493C"/>
    <w:rsid w:val="00ED4D9B"/>
    <w:rsid w:val="00ED508A"/>
    <w:rsid w:val="00ED5B74"/>
    <w:rsid w:val="00ED6BFD"/>
    <w:rsid w:val="00EE1E21"/>
    <w:rsid w:val="00EE561B"/>
    <w:rsid w:val="00EE6158"/>
    <w:rsid w:val="00EF3BFD"/>
    <w:rsid w:val="00EF4A2C"/>
    <w:rsid w:val="00EF4D36"/>
    <w:rsid w:val="00EF753F"/>
    <w:rsid w:val="00EF7DC3"/>
    <w:rsid w:val="00F0066D"/>
    <w:rsid w:val="00F00B47"/>
    <w:rsid w:val="00F0157E"/>
    <w:rsid w:val="00F0238B"/>
    <w:rsid w:val="00F0279D"/>
    <w:rsid w:val="00F05F5B"/>
    <w:rsid w:val="00F067AD"/>
    <w:rsid w:val="00F07F1E"/>
    <w:rsid w:val="00F12066"/>
    <w:rsid w:val="00F13903"/>
    <w:rsid w:val="00F13A51"/>
    <w:rsid w:val="00F1486D"/>
    <w:rsid w:val="00F17C49"/>
    <w:rsid w:val="00F20CD4"/>
    <w:rsid w:val="00F2642C"/>
    <w:rsid w:val="00F26F0F"/>
    <w:rsid w:val="00F2761E"/>
    <w:rsid w:val="00F30E73"/>
    <w:rsid w:val="00F31BD6"/>
    <w:rsid w:val="00F33A89"/>
    <w:rsid w:val="00F35CE5"/>
    <w:rsid w:val="00F37B78"/>
    <w:rsid w:val="00F400DD"/>
    <w:rsid w:val="00F406A5"/>
    <w:rsid w:val="00F40CB2"/>
    <w:rsid w:val="00F416D9"/>
    <w:rsid w:val="00F41A50"/>
    <w:rsid w:val="00F44B06"/>
    <w:rsid w:val="00F450AE"/>
    <w:rsid w:val="00F47E3A"/>
    <w:rsid w:val="00F51553"/>
    <w:rsid w:val="00F55D66"/>
    <w:rsid w:val="00F57E7C"/>
    <w:rsid w:val="00F60149"/>
    <w:rsid w:val="00F6094F"/>
    <w:rsid w:val="00F63AB2"/>
    <w:rsid w:val="00F65795"/>
    <w:rsid w:val="00F65850"/>
    <w:rsid w:val="00F66334"/>
    <w:rsid w:val="00F711AC"/>
    <w:rsid w:val="00F71786"/>
    <w:rsid w:val="00F72564"/>
    <w:rsid w:val="00F72A54"/>
    <w:rsid w:val="00F73447"/>
    <w:rsid w:val="00F73ADE"/>
    <w:rsid w:val="00F749D8"/>
    <w:rsid w:val="00F750E1"/>
    <w:rsid w:val="00F75861"/>
    <w:rsid w:val="00F7600B"/>
    <w:rsid w:val="00F77C4A"/>
    <w:rsid w:val="00F80D71"/>
    <w:rsid w:val="00F81789"/>
    <w:rsid w:val="00F81B0C"/>
    <w:rsid w:val="00F8274E"/>
    <w:rsid w:val="00F84C09"/>
    <w:rsid w:val="00F85ACC"/>
    <w:rsid w:val="00F85D49"/>
    <w:rsid w:val="00F86B9B"/>
    <w:rsid w:val="00F92487"/>
    <w:rsid w:val="00F938AE"/>
    <w:rsid w:val="00F9408C"/>
    <w:rsid w:val="00FA09C6"/>
    <w:rsid w:val="00FA284D"/>
    <w:rsid w:val="00FA3BA6"/>
    <w:rsid w:val="00FA42D8"/>
    <w:rsid w:val="00FA4865"/>
    <w:rsid w:val="00FA57DA"/>
    <w:rsid w:val="00FA5913"/>
    <w:rsid w:val="00FA6658"/>
    <w:rsid w:val="00FA7E56"/>
    <w:rsid w:val="00FB1040"/>
    <w:rsid w:val="00FB1BD0"/>
    <w:rsid w:val="00FB4279"/>
    <w:rsid w:val="00FB61A7"/>
    <w:rsid w:val="00FB6F1E"/>
    <w:rsid w:val="00FB713C"/>
    <w:rsid w:val="00FC3133"/>
    <w:rsid w:val="00FC4186"/>
    <w:rsid w:val="00FC4E83"/>
    <w:rsid w:val="00FC7565"/>
    <w:rsid w:val="00FC7A73"/>
    <w:rsid w:val="00FD3AEE"/>
    <w:rsid w:val="00FD498F"/>
    <w:rsid w:val="00FD5191"/>
    <w:rsid w:val="00FD596B"/>
    <w:rsid w:val="00FE00C4"/>
    <w:rsid w:val="00FE0A40"/>
    <w:rsid w:val="00FE2463"/>
    <w:rsid w:val="00FE4B4D"/>
    <w:rsid w:val="00FE4D9A"/>
    <w:rsid w:val="00FE4F0A"/>
    <w:rsid w:val="00FF0272"/>
    <w:rsid w:val="00FF3417"/>
    <w:rsid w:val="00FF500C"/>
    <w:rsid w:val="00FF54D4"/>
    <w:rsid w:val="00FF5E81"/>
    <w:rsid w:val="00FF6A05"/>
    <w:rsid w:val="00FF788D"/>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763"/>
  </w:style>
  <w:style w:type="paragraph" w:styleId="Heading1">
    <w:name w:val="heading 1"/>
    <w:basedOn w:val="Normal"/>
    <w:next w:val="Normal"/>
    <w:link w:val="Heading1Char"/>
    <w:uiPriority w:val="9"/>
    <w:qFormat/>
    <w:rsid w:val="007A5A31"/>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7A5A3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7A5A3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7A5A3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A5A3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A5A3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A5A3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A5A3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A5A3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7CAD"/>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uiPriority w:val="99"/>
    <w:semiHidden/>
    <w:rsid w:val="00E47CAD"/>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E47CAD"/>
    <w:rPr>
      <w:vertAlign w:val="superscript"/>
    </w:rPr>
  </w:style>
  <w:style w:type="character" w:styleId="PlaceholderText">
    <w:name w:val="Placeholder Text"/>
    <w:basedOn w:val="DefaultParagraphFont"/>
    <w:uiPriority w:val="99"/>
    <w:semiHidden/>
    <w:rsid w:val="00C73E3D"/>
    <w:rPr>
      <w:color w:val="808080"/>
    </w:rPr>
  </w:style>
  <w:style w:type="paragraph" w:styleId="BalloonText">
    <w:name w:val="Balloon Text"/>
    <w:basedOn w:val="Normal"/>
    <w:link w:val="BalloonTextChar"/>
    <w:uiPriority w:val="99"/>
    <w:semiHidden/>
    <w:unhideWhenUsed/>
    <w:rsid w:val="00C73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E3D"/>
    <w:rPr>
      <w:rFonts w:ascii="Tahoma" w:hAnsi="Tahoma" w:cs="Tahoma"/>
      <w:sz w:val="16"/>
      <w:szCs w:val="16"/>
    </w:rPr>
  </w:style>
  <w:style w:type="table" w:styleId="TableGrid">
    <w:name w:val="Table Grid"/>
    <w:basedOn w:val="TableNormal"/>
    <w:uiPriority w:val="59"/>
    <w:rsid w:val="00C73E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B7A1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B7A17"/>
  </w:style>
  <w:style w:type="paragraph" w:styleId="Footer">
    <w:name w:val="footer"/>
    <w:basedOn w:val="Normal"/>
    <w:link w:val="FooterChar"/>
    <w:uiPriority w:val="99"/>
    <w:unhideWhenUsed/>
    <w:rsid w:val="008B7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A17"/>
  </w:style>
  <w:style w:type="character" w:customStyle="1" w:styleId="Heading1Char">
    <w:name w:val="Heading 1 Char"/>
    <w:basedOn w:val="DefaultParagraphFont"/>
    <w:link w:val="Heading1"/>
    <w:uiPriority w:val="9"/>
    <w:rsid w:val="007A5A31"/>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7A5A31"/>
    <w:pPr>
      <w:outlineLvl w:val="9"/>
    </w:pPr>
  </w:style>
  <w:style w:type="character" w:customStyle="1" w:styleId="Heading2Char">
    <w:name w:val="Heading 2 Char"/>
    <w:basedOn w:val="DefaultParagraphFont"/>
    <w:link w:val="Heading2"/>
    <w:uiPriority w:val="9"/>
    <w:rsid w:val="007A5A31"/>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7A5A3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7A5A3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A5A3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A5A3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A5A3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A5A3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A5A3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A5A31"/>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A5A31"/>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A5A31"/>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A5A31"/>
    <w:rPr>
      <w:rFonts w:asciiTheme="majorHAnsi" w:eastAsiaTheme="majorEastAsia" w:hAnsiTheme="majorHAnsi" w:cstheme="majorBidi"/>
      <w:i/>
      <w:iCs/>
      <w:spacing w:val="13"/>
      <w:sz w:val="24"/>
      <w:szCs w:val="24"/>
    </w:rPr>
  </w:style>
  <w:style w:type="character" w:styleId="Strong">
    <w:name w:val="Strong"/>
    <w:uiPriority w:val="22"/>
    <w:qFormat/>
    <w:rsid w:val="007A5A31"/>
    <w:rPr>
      <w:b/>
      <w:bCs/>
    </w:rPr>
  </w:style>
  <w:style w:type="character" w:styleId="Emphasis">
    <w:name w:val="Emphasis"/>
    <w:uiPriority w:val="20"/>
    <w:qFormat/>
    <w:rsid w:val="007A5A31"/>
    <w:rPr>
      <w:b/>
      <w:bCs/>
      <w:i/>
      <w:iCs/>
      <w:spacing w:val="10"/>
      <w:bdr w:val="none" w:sz="0" w:space="0" w:color="auto"/>
      <w:shd w:val="clear" w:color="auto" w:fill="auto"/>
    </w:rPr>
  </w:style>
  <w:style w:type="paragraph" w:styleId="NoSpacing">
    <w:name w:val="No Spacing"/>
    <w:basedOn w:val="Normal"/>
    <w:uiPriority w:val="1"/>
    <w:qFormat/>
    <w:rsid w:val="007A5A31"/>
    <w:pPr>
      <w:spacing w:after="0" w:line="240" w:lineRule="auto"/>
    </w:pPr>
  </w:style>
  <w:style w:type="paragraph" w:styleId="ListParagraph">
    <w:name w:val="List Paragraph"/>
    <w:basedOn w:val="Normal"/>
    <w:uiPriority w:val="34"/>
    <w:qFormat/>
    <w:rsid w:val="007A5A31"/>
    <w:pPr>
      <w:ind w:left="720"/>
      <w:contextualSpacing/>
    </w:pPr>
  </w:style>
  <w:style w:type="paragraph" w:styleId="Quote">
    <w:name w:val="Quote"/>
    <w:basedOn w:val="Normal"/>
    <w:next w:val="Normal"/>
    <w:link w:val="QuoteChar"/>
    <w:uiPriority w:val="29"/>
    <w:qFormat/>
    <w:rsid w:val="007A5A31"/>
    <w:pPr>
      <w:spacing w:before="200" w:after="0"/>
      <w:ind w:left="360" w:right="360"/>
    </w:pPr>
    <w:rPr>
      <w:i/>
      <w:iCs/>
    </w:rPr>
  </w:style>
  <w:style w:type="character" w:customStyle="1" w:styleId="QuoteChar">
    <w:name w:val="Quote Char"/>
    <w:basedOn w:val="DefaultParagraphFont"/>
    <w:link w:val="Quote"/>
    <w:uiPriority w:val="29"/>
    <w:rsid w:val="007A5A31"/>
    <w:rPr>
      <w:i/>
      <w:iCs/>
    </w:rPr>
  </w:style>
  <w:style w:type="paragraph" w:styleId="IntenseQuote">
    <w:name w:val="Intense Quote"/>
    <w:basedOn w:val="Normal"/>
    <w:next w:val="Normal"/>
    <w:link w:val="IntenseQuoteChar"/>
    <w:uiPriority w:val="30"/>
    <w:qFormat/>
    <w:rsid w:val="007A5A31"/>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A5A31"/>
    <w:rPr>
      <w:b/>
      <w:bCs/>
      <w:i/>
      <w:iCs/>
    </w:rPr>
  </w:style>
  <w:style w:type="character" w:styleId="SubtleEmphasis">
    <w:name w:val="Subtle Emphasis"/>
    <w:uiPriority w:val="19"/>
    <w:qFormat/>
    <w:rsid w:val="007A5A31"/>
    <w:rPr>
      <w:i/>
      <w:iCs/>
    </w:rPr>
  </w:style>
  <w:style w:type="character" w:styleId="IntenseEmphasis">
    <w:name w:val="Intense Emphasis"/>
    <w:uiPriority w:val="21"/>
    <w:qFormat/>
    <w:rsid w:val="007A5A31"/>
    <w:rPr>
      <w:b/>
      <w:bCs/>
    </w:rPr>
  </w:style>
  <w:style w:type="character" w:styleId="SubtleReference">
    <w:name w:val="Subtle Reference"/>
    <w:uiPriority w:val="31"/>
    <w:qFormat/>
    <w:rsid w:val="007A5A31"/>
    <w:rPr>
      <w:smallCaps/>
    </w:rPr>
  </w:style>
  <w:style w:type="character" w:styleId="IntenseReference">
    <w:name w:val="Intense Reference"/>
    <w:uiPriority w:val="32"/>
    <w:qFormat/>
    <w:rsid w:val="007A5A31"/>
    <w:rPr>
      <w:smallCaps/>
      <w:spacing w:val="5"/>
      <w:u w:val="single"/>
    </w:rPr>
  </w:style>
  <w:style w:type="character" w:styleId="BookTitle">
    <w:name w:val="Book Title"/>
    <w:uiPriority w:val="33"/>
    <w:qFormat/>
    <w:rsid w:val="007A5A31"/>
    <w:rPr>
      <w:i/>
      <w:iCs/>
      <w:smallCaps/>
      <w:spacing w:val="5"/>
    </w:rPr>
  </w:style>
  <w:style w:type="paragraph" w:styleId="TOC1">
    <w:name w:val="toc 1"/>
    <w:basedOn w:val="Normal"/>
    <w:next w:val="Normal"/>
    <w:autoRedefine/>
    <w:uiPriority w:val="39"/>
    <w:unhideWhenUsed/>
    <w:rsid w:val="009653E9"/>
    <w:pPr>
      <w:spacing w:before="240" w:after="120"/>
    </w:pPr>
    <w:rPr>
      <w:rFonts w:cstheme="minorHAnsi"/>
      <w:b/>
      <w:bCs/>
      <w:sz w:val="20"/>
      <w:szCs w:val="20"/>
    </w:rPr>
  </w:style>
  <w:style w:type="character" w:styleId="Hyperlink">
    <w:name w:val="Hyperlink"/>
    <w:basedOn w:val="DefaultParagraphFont"/>
    <w:uiPriority w:val="99"/>
    <w:unhideWhenUsed/>
    <w:rsid w:val="007A5A31"/>
    <w:rPr>
      <w:color w:val="0000FF" w:themeColor="hyperlink"/>
      <w:u w:val="single"/>
    </w:rPr>
  </w:style>
  <w:style w:type="paragraph" w:styleId="TOC2">
    <w:name w:val="toc 2"/>
    <w:basedOn w:val="Normal"/>
    <w:next w:val="Normal"/>
    <w:autoRedefine/>
    <w:uiPriority w:val="39"/>
    <w:unhideWhenUsed/>
    <w:rsid w:val="00626ED6"/>
    <w:pPr>
      <w:spacing w:before="120" w:after="0"/>
      <w:ind w:left="220"/>
    </w:pPr>
    <w:rPr>
      <w:rFonts w:cstheme="minorHAnsi"/>
      <w:i/>
      <w:iCs/>
      <w:sz w:val="20"/>
      <w:szCs w:val="20"/>
    </w:rPr>
  </w:style>
  <w:style w:type="character" w:styleId="CommentReference">
    <w:name w:val="annotation reference"/>
    <w:basedOn w:val="DefaultParagraphFont"/>
    <w:uiPriority w:val="99"/>
    <w:semiHidden/>
    <w:unhideWhenUsed/>
    <w:rsid w:val="00AC715A"/>
    <w:rPr>
      <w:sz w:val="16"/>
      <w:szCs w:val="16"/>
    </w:rPr>
  </w:style>
  <w:style w:type="paragraph" w:styleId="CommentText">
    <w:name w:val="annotation text"/>
    <w:basedOn w:val="Normal"/>
    <w:link w:val="CommentTextChar"/>
    <w:uiPriority w:val="99"/>
    <w:semiHidden/>
    <w:unhideWhenUsed/>
    <w:rsid w:val="00AC715A"/>
    <w:pPr>
      <w:spacing w:line="240" w:lineRule="auto"/>
    </w:pPr>
    <w:rPr>
      <w:sz w:val="20"/>
      <w:szCs w:val="20"/>
    </w:rPr>
  </w:style>
  <w:style w:type="character" w:customStyle="1" w:styleId="CommentTextChar">
    <w:name w:val="Comment Text Char"/>
    <w:basedOn w:val="DefaultParagraphFont"/>
    <w:link w:val="CommentText"/>
    <w:uiPriority w:val="99"/>
    <w:semiHidden/>
    <w:rsid w:val="00AC715A"/>
    <w:rPr>
      <w:sz w:val="20"/>
      <w:szCs w:val="20"/>
    </w:rPr>
  </w:style>
  <w:style w:type="paragraph" w:styleId="CommentSubject">
    <w:name w:val="annotation subject"/>
    <w:basedOn w:val="CommentText"/>
    <w:next w:val="CommentText"/>
    <w:link w:val="CommentSubjectChar"/>
    <w:uiPriority w:val="99"/>
    <w:semiHidden/>
    <w:unhideWhenUsed/>
    <w:rsid w:val="00AC715A"/>
    <w:rPr>
      <w:b/>
      <w:bCs/>
    </w:rPr>
  </w:style>
  <w:style w:type="character" w:customStyle="1" w:styleId="CommentSubjectChar">
    <w:name w:val="Comment Subject Char"/>
    <w:basedOn w:val="CommentTextChar"/>
    <w:link w:val="CommentSubject"/>
    <w:uiPriority w:val="99"/>
    <w:semiHidden/>
    <w:rsid w:val="00AC715A"/>
    <w:rPr>
      <w:b/>
      <w:bCs/>
      <w:sz w:val="20"/>
      <w:szCs w:val="20"/>
    </w:rPr>
  </w:style>
  <w:style w:type="paragraph" w:styleId="Bibliography">
    <w:name w:val="Bibliography"/>
    <w:basedOn w:val="Normal"/>
    <w:next w:val="Normal"/>
    <w:uiPriority w:val="37"/>
    <w:unhideWhenUsed/>
    <w:rsid w:val="0033151A"/>
    <w:rPr>
      <w:rFonts w:eastAsiaTheme="minorHAnsi"/>
    </w:rPr>
  </w:style>
  <w:style w:type="paragraph" w:styleId="TOC3">
    <w:name w:val="toc 3"/>
    <w:basedOn w:val="Normal"/>
    <w:next w:val="Normal"/>
    <w:autoRedefine/>
    <w:uiPriority w:val="39"/>
    <w:unhideWhenUsed/>
    <w:rsid w:val="0033151A"/>
    <w:pPr>
      <w:spacing w:after="0"/>
      <w:ind w:left="440"/>
    </w:pPr>
    <w:rPr>
      <w:rFonts w:cstheme="minorHAnsi"/>
      <w:sz w:val="20"/>
      <w:szCs w:val="20"/>
    </w:rPr>
  </w:style>
  <w:style w:type="paragraph" w:styleId="TOC4">
    <w:name w:val="toc 4"/>
    <w:basedOn w:val="Normal"/>
    <w:next w:val="Normal"/>
    <w:autoRedefine/>
    <w:uiPriority w:val="39"/>
    <w:unhideWhenUsed/>
    <w:rsid w:val="007751C9"/>
    <w:pPr>
      <w:spacing w:after="0"/>
      <w:ind w:left="660"/>
    </w:pPr>
    <w:rPr>
      <w:rFonts w:cstheme="minorHAnsi"/>
      <w:sz w:val="20"/>
      <w:szCs w:val="20"/>
    </w:rPr>
  </w:style>
  <w:style w:type="paragraph" w:styleId="TOC5">
    <w:name w:val="toc 5"/>
    <w:basedOn w:val="Normal"/>
    <w:next w:val="Normal"/>
    <w:autoRedefine/>
    <w:uiPriority w:val="39"/>
    <w:unhideWhenUsed/>
    <w:rsid w:val="007751C9"/>
    <w:pPr>
      <w:spacing w:after="0"/>
      <w:ind w:left="880"/>
    </w:pPr>
    <w:rPr>
      <w:rFonts w:cstheme="minorHAnsi"/>
      <w:sz w:val="20"/>
      <w:szCs w:val="20"/>
    </w:rPr>
  </w:style>
  <w:style w:type="paragraph" w:styleId="TOC6">
    <w:name w:val="toc 6"/>
    <w:basedOn w:val="Normal"/>
    <w:next w:val="Normal"/>
    <w:autoRedefine/>
    <w:uiPriority w:val="39"/>
    <w:unhideWhenUsed/>
    <w:rsid w:val="007751C9"/>
    <w:pPr>
      <w:spacing w:after="0"/>
      <w:ind w:left="1100"/>
    </w:pPr>
    <w:rPr>
      <w:rFonts w:cstheme="minorHAnsi"/>
      <w:sz w:val="20"/>
      <w:szCs w:val="20"/>
    </w:rPr>
  </w:style>
  <w:style w:type="paragraph" w:styleId="TOC7">
    <w:name w:val="toc 7"/>
    <w:basedOn w:val="Normal"/>
    <w:next w:val="Normal"/>
    <w:autoRedefine/>
    <w:uiPriority w:val="39"/>
    <w:unhideWhenUsed/>
    <w:rsid w:val="007751C9"/>
    <w:pPr>
      <w:spacing w:after="0"/>
      <w:ind w:left="1320"/>
    </w:pPr>
    <w:rPr>
      <w:rFonts w:cstheme="minorHAnsi"/>
      <w:sz w:val="20"/>
      <w:szCs w:val="20"/>
    </w:rPr>
  </w:style>
  <w:style w:type="paragraph" w:styleId="TOC8">
    <w:name w:val="toc 8"/>
    <w:basedOn w:val="Normal"/>
    <w:next w:val="Normal"/>
    <w:autoRedefine/>
    <w:uiPriority w:val="39"/>
    <w:unhideWhenUsed/>
    <w:rsid w:val="007751C9"/>
    <w:pPr>
      <w:spacing w:after="0"/>
      <w:ind w:left="1540"/>
    </w:pPr>
    <w:rPr>
      <w:rFonts w:cstheme="minorHAnsi"/>
      <w:sz w:val="20"/>
      <w:szCs w:val="20"/>
    </w:rPr>
  </w:style>
  <w:style w:type="paragraph" w:styleId="TOC9">
    <w:name w:val="toc 9"/>
    <w:basedOn w:val="Normal"/>
    <w:next w:val="Normal"/>
    <w:autoRedefine/>
    <w:uiPriority w:val="39"/>
    <w:unhideWhenUsed/>
    <w:rsid w:val="007751C9"/>
    <w:pPr>
      <w:spacing w:after="0"/>
      <w:ind w:left="1760"/>
    </w:pPr>
    <w:rPr>
      <w:rFonts w:cstheme="minorHAnsi"/>
      <w:sz w:val="20"/>
      <w:szCs w:val="20"/>
    </w:rPr>
  </w:style>
  <w:style w:type="paragraph" w:styleId="ListBullet">
    <w:name w:val="List Bullet"/>
    <w:basedOn w:val="Normal"/>
    <w:uiPriority w:val="99"/>
    <w:unhideWhenUsed/>
    <w:rsid w:val="00AE0A2A"/>
    <w:pPr>
      <w:numPr>
        <w:numId w:val="7"/>
      </w:numPr>
      <w:contextualSpacing/>
    </w:pPr>
  </w:style>
  <w:style w:type="paragraph" w:styleId="Revision">
    <w:name w:val="Revision"/>
    <w:hidden/>
    <w:uiPriority w:val="99"/>
    <w:semiHidden/>
    <w:rsid w:val="00175DD9"/>
    <w:pPr>
      <w:spacing w:after="0" w:line="240" w:lineRule="auto"/>
    </w:pPr>
  </w:style>
  <w:style w:type="paragraph" w:styleId="Caption">
    <w:name w:val="caption"/>
    <w:basedOn w:val="Normal"/>
    <w:next w:val="Normal"/>
    <w:uiPriority w:val="35"/>
    <w:unhideWhenUsed/>
    <w:rsid w:val="005A0D5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8F5D6A"/>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5A31"/>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7A5A31"/>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7A5A31"/>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7A5A31"/>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A5A31"/>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A5A31"/>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A5A31"/>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A5A31"/>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A5A31"/>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47CAD"/>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uiPriority w:val="99"/>
    <w:semiHidden/>
    <w:rsid w:val="00E47CAD"/>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E47CAD"/>
    <w:rPr>
      <w:vertAlign w:val="superscript"/>
    </w:rPr>
  </w:style>
  <w:style w:type="character" w:styleId="PlaceholderText">
    <w:name w:val="Placeholder Text"/>
    <w:basedOn w:val="DefaultParagraphFont"/>
    <w:uiPriority w:val="99"/>
    <w:semiHidden/>
    <w:rsid w:val="00C73E3D"/>
    <w:rPr>
      <w:color w:val="808080"/>
    </w:rPr>
  </w:style>
  <w:style w:type="paragraph" w:styleId="BalloonText">
    <w:name w:val="Balloon Text"/>
    <w:basedOn w:val="Normal"/>
    <w:link w:val="BalloonTextChar"/>
    <w:uiPriority w:val="99"/>
    <w:semiHidden/>
    <w:unhideWhenUsed/>
    <w:rsid w:val="00C73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3E3D"/>
    <w:rPr>
      <w:rFonts w:ascii="Tahoma" w:hAnsi="Tahoma" w:cs="Tahoma"/>
      <w:sz w:val="16"/>
      <w:szCs w:val="16"/>
    </w:rPr>
  </w:style>
  <w:style w:type="table" w:styleId="TableGrid">
    <w:name w:val="Table Grid"/>
    <w:basedOn w:val="TableNormal"/>
    <w:uiPriority w:val="59"/>
    <w:rsid w:val="00C73E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B7A1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B7A17"/>
  </w:style>
  <w:style w:type="paragraph" w:styleId="Footer">
    <w:name w:val="footer"/>
    <w:basedOn w:val="Normal"/>
    <w:link w:val="FooterChar"/>
    <w:uiPriority w:val="99"/>
    <w:unhideWhenUsed/>
    <w:rsid w:val="008B7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A17"/>
  </w:style>
  <w:style w:type="character" w:customStyle="1" w:styleId="Heading1Char">
    <w:name w:val="Heading 1 Char"/>
    <w:basedOn w:val="DefaultParagraphFont"/>
    <w:link w:val="Heading1"/>
    <w:uiPriority w:val="9"/>
    <w:rsid w:val="007A5A31"/>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7A5A31"/>
    <w:pPr>
      <w:outlineLvl w:val="9"/>
    </w:pPr>
  </w:style>
  <w:style w:type="character" w:customStyle="1" w:styleId="Heading2Char">
    <w:name w:val="Heading 2 Char"/>
    <w:basedOn w:val="DefaultParagraphFont"/>
    <w:link w:val="Heading2"/>
    <w:uiPriority w:val="9"/>
    <w:rsid w:val="007A5A31"/>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7A5A31"/>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7A5A31"/>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A5A31"/>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A5A31"/>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A5A31"/>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A5A31"/>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A5A31"/>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A5A31"/>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A5A31"/>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A5A31"/>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A5A31"/>
    <w:rPr>
      <w:rFonts w:asciiTheme="majorHAnsi" w:eastAsiaTheme="majorEastAsia" w:hAnsiTheme="majorHAnsi" w:cstheme="majorBidi"/>
      <w:i/>
      <w:iCs/>
      <w:spacing w:val="13"/>
      <w:sz w:val="24"/>
      <w:szCs w:val="24"/>
    </w:rPr>
  </w:style>
  <w:style w:type="character" w:styleId="Strong">
    <w:name w:val="Strong"/>
    <w:uiPriority w:val="22"/>
    <w:qFormat/>
    <w:rsid w:val="007A5A31"/>
    <w:rPr>
      <w:b/>
      <w:bCs/>
    </w:rPr>
  </w:style>
  <w:style w:type="character" w:styleId="Emphasis">
    <w:name w:val="Emphasis"/>
    <w:uiPriority w:val="20"/>
    <w:qFormat/>
    <w:rsid w:val="007A5A31"/>
    <w:rPr>
      <w:b/>
      <w:bCs/>
      <w:i/>
      <w:iCs/>
      <w:spacing w:val="10"/>
      <w:bdr w:val="none" w:sz="0" w:space="0" w:color="auto"/>
      <w:shd w:val="clear" w:color="auto" w:fill="auto"/>
    </w:rPr>
  </w:style>
  <w:style w:type="paragraph" w:styleId="NoSpacing">
    <w:name w:val="No Spacing"/>
    <w:basedOn w:val="Normal"/>
    <w:uiPriority w:val="1"/>
    <w:qFormat/>
    <w:rsid w:val="007A5A31"/>
    <w:pPr>
      <w:spacing w:after="0" w:line="240" w:lineRule="auto"/>
    </w:pPr>
  </w:style>
  <w:style w:type="paragraph" w:styleId="ListParagraph">
    <w:name w:val="List Paragraph"/>
    <w:basedOn w:val="Normal"/>
    <w:uiPriority w:val="34"/>
    <w:qFormat/>
    <w:rsid w:val="007A5A31"/>
    <w:pPr>
      <w:ind w:left="720"/>
      <w:contextualSpacing/>
    </w:pPr>
  </w:style>
  <w:style w:type="paragraph" w:styleId="Quote">
    <w:name w:val="Quote"/>
    <w:basedOn w:val="Normal"/>
    <w:next w:val="Normal"/>
    <w:link w:val="QuoteChar"/>
    <w:uiPriority w:val="29"/>
    <w:qFormat/>
    <w:rsid w:val="007A5A31"/>
    <w:pPr>
      <w:spacing w:before="200" w:after="0"/>
      <w:ind w:left="360" w:right="360"/>
    </w:pPr>
    <w:rPr>
      <w:i/>
      <w:iCs/>
    </w:rPr>
  </w:style>
  <w:style w:type="character" w:customStyle="1" w:styleId="QuoteChar">
    <w:name w:val="Quote Char"/>
    <w:basedOn w:val="DefaultParagraphFont"/>
    <w:link w:val="Quote"/>
    <w:uiPriority w:val="29"/>
    <w:rsid w:val="007A5A31"/>
    <w:rPr>
      <w:i/>
      <w:iCs/>
    </w:rPr>
  </w:style>
  <w:style w:type="paragraph" w:styleId="IntenseQuote">
    <w:name w:val="Intense Quote"/>
    <w:basedOn w:val="Normal"/>
    <w:next w:val="Normal"/>
    <w:link w:val="IntenseQuoteChar"/>
    <w:uiPriority w:val="30"/>
    <w:qFormat/>
    <w:rsid w:val="007A5A31"/>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A5A31"/>
    <w:rPr>
      <w:b/>
      <w:bCs/>
      <w:i/>
      <w:iCs/>
    </w:rPr>
  </w:style>
  <w:style w:type="character" w:styleId="SubtleEmphasis">
    <w:name w:val="Subtle Emphasis"/>
    <w:uiPriority w:val="19"/>
    <w:qFormat/>
    <w:rsid w:val="007A5A31"/>
    <w:rPr>
      <w:i/>
      <w:iCs/>
    </w:rPr>
  </w:style>
  <w:style w:type="character" w:styleId="IntenseEmphasis">
    <w:name w:val="Intense Emphasis"/>
    <w:uiPriority w:val="21"/>
    <w:qFormat/>
    <w:rsid w:val="007A5A31"/>
    <w:rPr>
      <w:b/>
      <w:bCs/>
    </w:rPr>
  </w:style>
  <w:style w:type="character" w:styleId="SubtleReference">
    <w:name w:val="Subtle Reference"/>
    <w:uiPriority w:val="31"/>
    <w:qFormat/>
    <w:rsid w:val="007A5A31"/>
    <w:rPr>
      <w:smallCaps/>
    </w:rPr>
  </w:style>
  <w:style w:type="character" w:styleId="IntenseReference">
    <w:name w:val="Intense Reference"/>
    <w:uiPriority w:val="32"/>
    <w:qFormat/>
    <w:rsid w:val="007A5A31"/>
    <w:rPr>
      <w:smallCaps/>
      <w:spacing w:val="5"/>
      <w:u w:val="single"/>
    </w:rPr>
  </w:style>
  <w:style w:type="character" w:styleId="BookTitle">
    <w:name w:val="Book Title"/>
    <w:uiPriority w:val="33"/>
    <w:qFormat/>
    <w:rsid w:val="007A5A31"/>
    <w:rPr>
      <w:i/>
      <w:iCs/>
      <w:smallCaps/>
      <w:spacing w:val="5"/>
    </w:rPr>
  </w:style>
  <w:style w:type="paragraph" w:styleId="TOC1">
    <w:name w:val="toc 1"/>
    <w:basedOn w:val="Normal"/>
    <w:next w:val="Normal"/>
    <w:autoRedefine/>
    <w:uiPriority w:val="39"/>
    <w:unhideWhenUsed/>
    <w:rsid w:val="009653E9"/>
    <w:pPr>
      <w:spacing w:before="240" w:after="120"/>
    </w:pPr>
    <w:rPr>
      <w:rFonts w:cstheme="minorHAnsi"/>
      <w:b/>
      <w:bCs/>
      <w:sz w:val="20"/>
      <w:szCs w:val="20"/>
    </w:rPr>
  </w:style>
  <w:style w:type="character" w:styleId="Hyperlink">
    <w:name w:val="Hyperlink"/>
    <w:basedOn w:val="DefaultParagraphFont"/>
    <w:uiPriority w:val="99"/>
    <w:unhideWhenUsed/>
    <w:rsid w:val="007A5A31"/>
    <w:rPr>
      <w:color w:val="0000FF" w:themeColor="hyperlink"/>
      <w:u w:val="single"/>
    </w:rPr>
  </w:style>
  <w:style w:type="paragraph" w:styleId="TOC2">
    <w:name w:val="toc 2"/>
    <w:basedOn w:val="Normal"/>
    <w:next w:val="Normal"/>
    <w:autoRedefine/>
    <w:uiPriority w:val="39"/>
    <w:unhideWhenUsed/>
    <w:rsid w:val="00626ED6"/>
    <w:pPr>
      <w:spacing w:before="120" w:after="0"/>
      <w:ind w:left="220"/>
    </w:pPr>
    <w:rPr>
      <w:rFonts w:cstheme="minorHAnsi"/>
      <w:i/>
      <w:iCs/>
      <w:sz w:val="20"/>
      <w:szCs w:val="20"/>
    </w:rPr>
  </w:style>
  <w:style w:type="character" w:styleId="CommentReference">
    <w:name w:val="annotation reference"/>
    <w:basedOn w:val="DefaultParagraphFont"/>
    <w:uiPriority w:val="99"/>
    <w:semiHidden/>
    <w:unhideWhenUsed/>
    <w:rsid w:val="00AC715A"/>
    <w:rPr>
      <w:sz w:val="16"/>
      <w:szCs w:val="16"/>
    </w:rPr>
  </w:style>
  <w:style w:type="paragraph" w:styleId="CommentText">
    <w:name w:val="annotation text"/>
    <w:basedOn w:val="Normal"/>
    <w:link w:val="CommentTextChar"/>
    <w:uiPriority w:val="99"/>
    <w:semiHidden/>
    <w:unhideWhenUsed/>
    <w:rsid w:val="00AC715A"/>
    <w:pPr>
      <w:spacing w:line="240" w:lineRule="auto"/>
    </w:pPr>
    <w:rPr>
      <w:sz w:val="20"/>
      <w:szCs w:val="20"/>
    </w:rPr>
  </w:style>
  <w:style w:type="character" w:customStyle="1" w:styleId="CommentTextChar">
    <w:name w:val="Comment Text Char"/>
    <w:basedOn w:val="DefaultParagraphFont"/>
    <w:link w:val="CommentText"/>
    <w:uiPriority w:val="99"/>
    <w:semiHidden/>
    <w:rsid w:val="00AC715A"/>
    <w:rPr>
      <w:sz w:val="20"/>
      <w:szCs w:val="20"/>
    </w:rPr>
  </w:style>
  <w:style w:type="paragraph" w:styleId="CommentSubject">
    <w:name w:val="annotation subject"/>
    <w:basedOn w:val="CommentText"/>
    <w:next w:val="CommentText"/>
    <w:link w:val="CommentSubjectChar"/>
    <w:uiPriority w:val="99"/>
    <w:semiHidden/>
    <w:unhideWhenUsed/>
    <w:rsid w:val="00AC715A"/>
    <w:rPr>
      <w:b/>
      <w:bCs/>
    </w:rPr>
  </w:style>
  <w:style w:type="character" w:customStyle="1" w:styleId="CommentSubjectChar">
    <w:name w:val="Comment Subject Char"/>
    <w:basedOn w:val="CommentTextChar"/>
    <w:link w:val="CommentSubject"/>
    <w:uiPriority w:val="99"/>
    <w:semiHidden/>
    <w:rsid w:val="00AC715A"/>
    <w:rPr>
      <w:b/>
      <w:bCs/>
      <w:sz w:val="20"/>
      <w:szCs w:val="20"/>
    </w:rPr>
  </w:style>
  <w:style w:type="paragraph" w:styleId="Bibliography">
    <w:name w:val="Bibliography"/>
    <w:basedOn w:val="Normal"/>
    <w:next w:val="Normal"/>
    <w:uiPriority w:val="37"/>
    <w:unhideWhenUsed/>
    <w:rsid w:val="0033151A"/>
    <w:rPr>
      <w:rFonts w:eastAsiaTheme="minorHAnsi"/>
    </w:rPr>
  </w:style>
  <w:style w:type="paragraph" w:styleId="TOC3">
    <w:name w:val="toc 3"/>
    <w:basedOn w:val="Normal"/>
    <w:next w:val="Normal"/>
    <w:autoRedefine/>
    <w:uiPriority w:val="39"/>
    <w:unhideWhenUsed/>
    <w:rsid w:val="0033151A"/>
    <w:pPr>
      <w:spacing w:after="0"/>
      <w:ind w:left="440"/>
    </w:pPr>
    <w:rPr>
      <w:rFonts w:cstheme="minorHAnsi"/>
      <w:sz w:val="20"/>
      <w:szCs w:val="20"/>
    </w:rPr>
  </w:style>
  <w:style w:type="paragraph" w:styleId="TOC4">
    <w:name w:val="toc 4"/>
    <w:basedOn w:val="Normal"/>
    <w:next w:val="Normal"/>
    <w:autoRedefine/>
    <w:uiPriority w:val="39"/>
    <w:unhideWhenUsed/>
    <w:rsid w:val="007751C9"/>
    <w:pPr>
      <w:spacing w:after="0"/>
      <w:ind w:left="660"/>
    </w:pPr>
    <w:rPr>
      <w:rFonts w:cstheme="minorHAnsi"/>
      <w:sz w:val="20"/>
      <w:szCs w:val="20"/>
    </w:rPr>
  </w:style>
  <w:style w:type="paragraph" w:styleId="TOC5">
    <w:name w:val="toc 5"/>
    <w:basedOn w:val="Normal"/>
    <w:next w:val="Normal"/>
    <w:autoRedefine/>
    <w:uiPriority w:val="39"/>
    <w:unhideWhenUsed/>
    <w:rsid w:val="007751C9"/>
    <w:pPr>
      <w:spacing w:after="0"/>
      <w:ind w:left="880"/>
    </w:pPr>
    <w:rPr>
      <w:rFonts w:cstheme="minorHAnsi"/>
      <w:sz w:val="20"/>
      <w:szCs w:val="20"/>
    </w:rPr>
  </w:style>
  <w:style w:type="paragraph" w:styleId="TOC6">
    <w:name w:val="toc 6"/>
    <w:basedOn w:val="Normal"/>
    <w:next w:val="Normal"/>
    <w:autoRedefine/>
    <w:uiPriority w:val="39"/>
    <w:unhideWhenUsed/>
    <w:rsid w:val="007751C9"/>
    <w:pPr>
      <w:spacing w:after="0"/>
      <w:ind w:left="1100"/>
    </w:pPr>
    <w:rPr>
      <w:rFonts w:cstheme="minorHAnsi"/>
      <w:sz w:val="20"/>
      <w:szCs w:val="20"/>
    </w:rPr>
  </w:style>
  <w:style w:type="paragraph" w:styleId="TOC7">
    <w:name w:val="toc 7"/>
    <w:basedOn w:val="Normal"/>
    <w:next w:val="Normal"/>
    <w:autoRedefine/>
    <w:uiPriority w:val="39"/>
    <w:unhideWhenUsed/>
    <w:rsid w:val="007751C9"/>
    <w:pPr>
      <w:spacing w:after="0"/>
      <w:ind w:left="1320"/>
    </w:pPr>
    <w:rPr>
      <w:rFonts w:cstheme="minorHAnsi"/>
      <w:sz w:val="20"/>
      <w:szCs w:val="20"/>
    </w:rPr>
  </w:style>
  <w:style w:type="paragraph" w:styleId="TOC8">
    <w:name w:val="toc 8"/>
    <w:basedOn w:val="Normal"/>
    <w:next w:val="Normal"/>
    <w:autoRedefine/>
    <w:uiPriority w:val="39"/>
    <w:unhideWhenUsed/>
    <w:rsid w:val="007751C9"/>
    <w:pPr>
      <w:spacing w:after="0"/>
      <w:ind w:left="1540"/>
    </w:pPr>
    <w:rPr>
      <w:rFonts w:cstheme="minorHAnsi"/>
      <w:sz w:val="20"/>
      <w:szCs w:val="20"/>
    </w:rPr>
  </w:style>
  <w:style w:type="paragraph" w:styleId="TOC9">
    <w:name w:val="toc 9"/>
    <w:basedOn w:val="Normal"/>
    <w:next w:val="Normal"/>
    <w:autoRedefine/>
    <w:uiPriority w:val="39"/>
    <w:unhideWhenUsed/>
    <w:rsid w:val="007751C9"/>
    <w:pPr>
      <w:spacing w:after="0"/>
      <w:ind w:left="1760"/>
    </w:pPr>
    <w:rPr>
      <w:rFonts w:cstheme="minorHAnsi"/>
      <w:sz w:val="20"/>
      <w:szCs w:val="20"/>
    </w:rPr>
  </w:style>
  <w:style w:type="paragraph" w:styleId="ListBullet">
    <w:name w:val="List Bullet"/>
    <w:basedOn w:val="Normal"/>
    <w:uiPriority w:val="99"/>
    <w:unhideWhenUsed/>
    <w:rsid w:val="00AE0A2A"/>
    <w:pPr>
      <w:numPr>
        <w:numId w:val="7"/>
      </w:numPr>
      <w:contextualSpacing/>
    </w:pPr>
  </w:style>
  <w:style w:type="paragraph" w:styleId="Revision">
    <w:name w:val="Revision"/>
    <w:hidden/>
    <w:uiPriority w:val="99"/>
    <w:semiHidden/>
    <w:rsid w:val="00175DD9"/>
    <w:pPr>
      <w:spacing w:after="0" w:line="240" w:lineRule="auto"/>
    </w:pPr>
  </w:style>
  <w:style w:type="paragraph" w:styleId="Caption">
    <w:name w:val="caption"/>
    <w:basedOn w:val="Normal"/>
    <w:next w:val="Normal"/>
    <w:uiPriority w:val="35"/>
    <w:unhideWhenUsed/>
    <w:rsid w:val="005A0D5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8F5D6A"/>
    <w:pPr>
      <w:spacing w:after="0"/>
    </w:pPr>
  </w:style>
</w:styles>
</file>

<file path=word/webSettings.xml><?xml version="1.0" encoding="utf-8"?>
<w:webSettings xmlns:r="http://schemas.openxmlformats.org/officeDocument/2006/relationships" xmlns:w="http://schemas.openxmlformats.org/wordprocessingml/2006/main">
  <w:divs>
    <w:div w:id="199050550">
      <w:bodyDiv w:val="1"/>
      <w:marLeft w:val="0"/>
      <w:marRight w:val="0"/>
      <w:marTop w:val="0"/>
      <w:marBottom w:val="0"/>
      <w:divBdr>
        <w:top w:val="none" w:sz="0" w:space="0" w:color="auto"/>
        <w:left w:val="none" w:sz="0" w:space="0" w:color="auto"/>
        <w:bottom w:val="none" w:sz="0" w:space="0" w:color="auto"/>
        <w:right w:val="none" w:sz="0" w:space="0" w:color="auto"/>
      </w:divBdr>
    </w:div>
    <w:div w:id="611480624">
      <w:bodyDiv w:val="1"/>
      <w:marLeft w:val="0"/>
      <w:marRight w:val="0"/>
      <w:marTop w:val="0"/>
      <w:marBottom w:val="0"/>
      <w:divBdr>
        <w:top w:val="none" w:sz="0" w:space="0" w:color="auto"/>
        <w:left w:val="none" w:sz="0" w:space="0" w:color="auto"/>
        <w:bottom w:val="none" w:sz="0" w:space="0" w:color="auto"/>
        <w:right w:val="none" w:sz="0" w:space="0" w:color="auto"/>
      </w:divBdr>
    </w:div>
    <w:div w:id="1003237983">
      <w:bodyDiv w:val="1"/>
      <w:marLeft w:val="0"/>
      <w:marRight w:val="0"/>
      <w:marTop w:val="0"/>
      <w:marBottom w:val="0"/>
      <w:divBdr>
        <w:top w:val="none" w:sz="0" w:space="0" w:color="auto"/>
        <w:left w:val="none" w:sz="0" w:space="0" w:color="auto"/>
        <w:bottom w:val="none" w:sz="0" w:space="0" w:color="auto"/>
        <w:right w:val="none" w:sz="0" w:space="0" w:color="auto"/>
      </w:divBdr>
    </w:div>
    <w:div w:id="1029720284">
      <w:bodyDiv w:val="1"/>
      <w:marLeft w:val="0"/>
      <w:marRight w:val="0"/>
      <w:marTop w:val="0"/>
      <w:marBottom w:val="0"/>
      <w:divBdr>
        <w:top w:val="none" w:sz="0" w:space="0" w:color="auto"/>
        <w:left w:val="none" w:sz="0" w:space="0" w:color="auto"/>
        <w:bottom w:val="none" w:sz="0" w:space="0" w:color="auto"/>
        <w:right w:val="none" w:sz="0" w:space="0" w:color="auto"/>
      </w:divBdr>
    </w:div>
    <w:div w:id="1128936931">
      <w:bodyDiv w:val="1"/>
      <w:marLeft w:val="0"/>
      <w:marRight w:val="0"/>
      <w:marTop w:val="0"/>
      <w:marBottom w:val="0"/>
      <w:divBdr>
        <w:top w:val="none" w:sz="0" w:space="0" w:color="auto"/>
        <w:left w:val="none" w:sz="0" w:space="0" w:color="auto"/>
        <w:bottom w:val="none" w:sz="0" w:space="0" w:color="auto"/>
        <w:right w:val="none" w:sz="0" w:space="0" w:color="auto"/>
      </w:divBdr>
    </w:div>
    <w:div w:id="1357539753">
      <w:bodyDiv w:val="1"/>
      <w:marLeft w:val="0"/>
      <w:marRight w:val="0"/>
      <w:marTop w:val="0"/>
      <w:marBottom w:val="0"/>
      <w:divBdr>
        <w:top w:val="none" w:sz="0" w:space="0" w:color="auto"/>
        <w:left w:val="none" w:sz="0" w:space="0" w:color="auto"/>
        <w:bottom w:val="none" w:sz="0" w:space="0" w:color="auto"/>
        <w:right w:val="none" w:sz="0" w:space="0" w:color="auto"/>
      </w:divBdr>
    </w:div>
    <w:div w:id="1575315645">
      <w:bodyDiv w:val="1"/>
      <w:marLeft w:val="0"/>
      <w:marRight w:val="0"/>
      <w:marTop w:val="0"/>
      <w:marBottom w:val="0"/>
      <w:divBdr>
        <w:top w:val="none" w:sz="0" w:space="0" w:color="auto"/>
        <w:left w:val="none" w:sz="0" w:space="0" w:color="auto"/>
        <w:bottom w:val="none" w:sz="0" w:space="0" w:color="auto"/>
        <w:right w:val="none" w:sz="0" w:space="0" w:color="auto"/>
      </w:divBdr>
    </w:div>
    <w:div w:id="1752119514">
      <w:bodyDiv w:val="1"/>
      <w:marLeft w:val="0"/>
      <w:marRight w:val="0"/>
      <w:marTop w:val="0"/>
      <w:marBottom w:val="0"/>
      <w:divBdr>
        <w:top w:val="none" w:sz="0" w:space="0" w:color="auto"/>
        <w:left w:val="none" w:sz="0" w:space="0" w:color="auto"/>
        <w:bottom w:val="none" w:sz="0" w:space="0" w:color="auto"/>
        <w:right w:val="none" w:sz="0" w:space="0" w:color="auto"/>
      </w:divBdr>
    </w:div>
    <w:div w:id="1919971941">
      <w:bodyDiv w:val="1"/>
      <w:marLeft w:val="0"/>
      <w:marRight w:val="0"/>
      <w:marTop w:val="0"/>
      <w:marBottom w:val="0"/>
      <w:divBdr>
        <w:top w:val="none" w:sz="0" w:space="0" w:color="auto"/>
        <w:left w:val="none" w:sz="0" w:space="0" w:color="auto"/>
        <w:bottom w:val="none" w:sz="0" w:space="0" w:color="auto"/>
        <w:right w:val="none" w:sz="0" w:space="0" w:color="auto"/>
      </w:divBdr>
    </w:div>
    <w:div w:id="209323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tandardandpoors.com/indices/sp-500/en/us/?indexId=spusa-500-usduf--p-us-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bs.org/wgbh/amex/reagan/peopleevents/pande06.html"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blog.nobletrading.com/2007/05/deep-value-investing-strategy.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E9DED-A9E8-4405-A734-1D8A3FEEB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208</Pages>
  <Words>74588</Words>
  <Characters>425152</Characters>
  <Application>Microsoft Office Word</Application>
  <DocSecurity>0</DocSecurity>
  <Lines>3542</Lines>
  <Paragraphs>997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Faryn</dc:creator>
  <cp:lastModifiedBy>Faryn</cp:lastModifiedBy>
  <cp:revision>10</cp:revision>
  <cp:lastPrinted>2011-10-06T09:05:00Z</cp:lastPrinted>
  <dcterms:created xsi:type="dcterms:W3CDTF">2011-10-29T09:16:00Z</dcterms:created>
  <dcterms:modified xsi:type="dcterms:W3CDTF">2011-10-30T10:16:00Z</dcterms:modified>
</cp:coreProperties>
</file>