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D97" w:rsidRPr="00EA329E" w:rsidRDefault="007752F9">
      <w:pPr>
        <w:jc w:val="center"/>
        <w:rPr>
          <w:b/>
          <w:i/>
          <w:iCs/>
          <w:sz w:val="36"/>
        </w:rPr>
      </w:pPr>
      <w:bookmarkStart w:id="0" w:name="_GoBack"/>
      <w:bookmarkEnd w:id="0"/>
      <w:r>
        <w:rPr>
          <w:b/>
          <w:bCs/>
          <w:sz w:val="48"/>
        </w:rPr>
        <w:t>Drivers of c</w:t>
      </w:r>
      <w:r w:rsidR="00596ADA" w:rsidRPr="00EA329E">
        <w:rPr>
          <w:b/>
          <w:bCs/>
          <w:sz w:val="48"/>
        </w:rPr>
        <w:t xml:space="preserve">orporate rebranding </w:t>
      </w:r>
      <w:r w:rsidR="00D42071">
        <w:rPr>
          <w:b/>
          <w:bCs/>
          <w:sz w:val="48"/>
        </w:rPr>
        <w:t>in the telecommunications industry</w:t>
      </w:r>
      <w:r w:rsidR="00D42071" w:rsidRPr="00EA329E">
        <w:rPr>
          <w:b/>
          <w:bCs/>
          <w:sz w:val="48"/>
        </w:rPr>
        <w:t xml:space="preserve"> </w:t>
      </w:r>
      <w:r w:rsidR="00263621">
        <w:rPr>
          <w:b/>
          <w:bCs/>
          <w:sz w:val="48"/>
        </w:rPr>
        <w:t>in</w:t>
      </w:r>
      <w:r w:rsidR="00263621" w:rsidRPr="00EA329E">
        <w:rPr>
          <w:b/>
          <w:bCs/>
          <w:sz w:val="48"/>
        </w:rPr>
        <w:t xml:space="preserve"> South Africa</w:t>
      </w:r>
      <w:r w:rsidR="00263621">
        <w:rPr>
          <w:b/>
          <w:bCs/>
          <w:sz w:val="48"/>
        </w:rPr>
        <w:t xml:space="preserve"> </w:t>
      </w:r>
      <w:r w:rsidR="00596ADA" w:rsidRPr="00EA329E">
        <w:rPr>
          <w:b/>
          <w:bCs/>
          <w:sz w:val="48"/>
        </w:rPr>
        <w:t xml:space="preserve">and the impact on </w:t>
      </w:r>
      <w:r w:rsidR="00267979" w:rsidRPr="00EA329E">
        <w:rPr>
          <w:b/>
          <w:bCs/>
          <w:sz w:val="48"/>
        </w:rPr>
        <w:t>brand</w:t>
      </w:r>
      <w:r w:rsidR="00596ADA" w:rsidRPr="00EA329E">
        <w:rPr>
          <w:b/>
          <w:bCs/>
          <w:sz w:val="48"/>
        </w:rPr>
        <w:t xml:space="preserve"> equity </w:t>
      </w:r>
    </w:p>
    <w:p w:rsidR="00EA329E" w:rsidRPr="00EA329E" w:rsidRDefault="00EA329E">
      <w:pPr>
        <w:jc w:val="center"/>
        <w:rPr>
          <w:b/>
          <w:iCs/>
          <w:sz w:val="36"/>
        </w:rPr>
      </w:pPr>
    </w:p>
    <w:p w:rsidR="00FA3042" w:rsidRDefault="00A45D97">
      <w:pPr>
        <w:jc w:val="center"/>
        <w:rPr>
          <w:b/>
          <w:iCs/>
          <w:sz w:val="36"/>
        </w:rPr>
      </w:pPr>
      <w:r w:rsidRPr="00272493">
        <w:rPr>
          <w:iCs/>
          <w:sz w:val="32"/>
          <w:szCs w:val="32"/>
        </w:rPr>
        <w:t xml:space="preserve">A research </w:t>
      </w:r>
      <w:r w:rsidR="00E15F51">
        <w:rPr>
          <w:iCs/>
          <w:sz w:val="32"/>
          <w:szCs w:val="32"/>
        </w:rPr>
        <w:t>report</w:t>
      </w:r>
      <w:r w:rsidR="00E15F51" w:rsidRPr="00272493">
        <w:rPr>
          <w:iCs/>
          <w:sz w:val="32"/>
          <w:szCs w:val="32"/>
        </w:rPr>
        <w:t xml:space="preserve"> </w:t>
      </w:r>
      <w:r w:rsidRPr="00272493">
        <w:rPr>
          <w:iCs/>
          <w:sz w:val="32"/>
          <w:szCs w:val="32"/>
        </w:rPr>
        <w:t>submitted by</w:t>
      </w:r>
      <w:r w:rsidRPr="00EA329E">
        <w:rPr>
          <w:b/>
          <w:iCs/>
          <w:sz w:val="36"/>
        </w:rPr>
        <w:t xml:space="preserve"> </w:t>
      </w:r>
      <w:r w:rsidRPr="00EA329E">
        <w:rPr>
          <w:b/>
          <w:iCs/>
          <w:sz w:val="36"/>
        </w:rPr>
        <w:br/>
      </w:r>
      <w:r w:rsidR="00596ADA" w:rsidRPr="00EA329E">
        <w:rPr>
          <w:b/>
          <w:iCs/>
          <w:sz w:val="36"/>
        </w:rPr>
        <w:t>Rodney Moloko</w:t>
      </w:r>
    </w:p>
    <w:p w:rsidR="00101F50" w:rsidRPr="00101F50" w:rsidRDefault="00101F50">
      <w:pPr>
        <w:jc w:val="center"/>
        <w:rPr>
          <w:iCs/>
          <w:sz w:val="32"/>
          <w:szCs w:val="32"/>
        </w:rPr>
      </w:pPr>
      <w:r w:rsidRPr="00272493">
        <w:rPr>
          <w:iCs/>
          <w:sz w:val="28"/>
        </w:rPr>
        <w:t>Student number: 462678</w:t>
      </w:r>
    </w:p>
    <w:p w:rsidR="00101F50" w:rsidRDefault="00101F50">
      <w:pPr>
        <w:jc w:val="center"/>
        <w:rPr>
          <w:iCs/>
          <w:sz w:val="32"/>
          <w:szCs w:val="32"/>
        </w:rPr>
      </w:pPr>
    </w:p>
    <w:p w:rsidR="00101F50" w:rsidRPr="00272493" w:rsidRDefault="00101F50">
      <w:pPr>
        <w:jc w:val="center"/>
        <w:rPr>
          <w:iCs/>
          <w:sz w:val="32"/>
          <w:szCs w:val="32"/>
        </w:rPr>
      </w:pPr>
      <w:r w:rsidRPr="00101F50">
        <w:rPr>
          <w:iCs/>
          <w:sz w:val="32"/>
          <w:szCs w:val="32"/>
        </w:rPr>
        <w:t xml:space="preserve">in </w:t>
      </w:r>
      <w:r w:rsidR="005465CA">
        <w:rPr>
          <w:iCs/>
          <w:sz w:val="32"/>
          <w:szCs w:val="32"/>
        </w:rPr>
        <w:t xml:space="preserve">partial </w:t>
      </w:r>
      <w:r w:rsidRPr="00272493">
        <w:rPr>
          <w:iCs/>
          <w:sz w:val="32"/>
          <w:szCs w:val="32"/>
        </w:rPr>
        <w:t>fulfilment of the degree</w:t>
      </w:r>
    </w:p>
    <w:p w:rsidR="00596ADA" w:rsidRPr="00EA329E" w:rsidRDefault="00FA3042">
      <w:pPr>
        <w:jc w:val="center"/>
        <w:rPr>
          <w:b/>
          <w:iCs/>
          <w:sz w:val="28"/>
        </w:rPr>
      </w:pPr>
      <w:r w:rsidRPr="00EA329E">
        <w:rPr>
          <w:b/>
          <w:iCs/>
          <w:sz w:val="36"/>
        </w:rPr>
        <w:t>Master of Management i</w:t>
      </w:r>
      <w:r w:rsidR="00101F50">
        <w:rPr>
          <w:b/>
          <w:iCs/>
          <w:sz w:val="36"/>
        </w:rPr>
        <w:t>n</w:t>
      </w:r>
      <w:r w:rsidRPr="00EA329E">
        <w:rPr>
          <w:b/>
          <w:iCs/>
          <w:sz w:val="36"/>
        </w:rPr>
        <w:t xml:space="preserve"> Strategic Marketing</w:t>
      </w:r>
      <w:r w:rsidRPr="00EA329E">
        <w:rPr>
          <w:b/>
          <w:iCs/>
          <w:sz w:val="36"/>
        </w:rPr>
        <w:br/>
      </w:r>
      <w:r w:rsidR="00A45D97" w:rsidRPr="00EA329E">
        <w:rPr>
          <w:b/>
          <w:iCs/>
          <w:sz w:val="36"/>
        </w:rPr>
        <w:br/>
      </w:r>
    </w:p>
    <w:p w:rsidR="00A45D97" w:rsidRPr="00EA329E" w:rsidRDefault="00BC06A7" w:rsidP="00942B9B">
      <w:pPr>
        <w:ind w:firstLine="720"/>
        <w:jc w:val="center"/>
        <w:rPr>
          <w:b/>
          <w:iCs/>
          <w:sz w:val="36"/>
        </w:rPr>
      </w:pPr>
      <w:r w:rsidRPr="009F14CE">
        <w:rPr>
          <w:b/>
          <w:iCs/>
          <w:sz w:val="36"/>
        </w:rPr>
        <w:t xml:space="preserve">Supervisor: </w:t>
      </w:r>
      <w:r w:rsidR="00596ADA" w:rsidRPr="00EA329E">
        <w:rPr>
          <w:b/>
          <w:iCs/>
          <w:sz w:val="36"/>
        </w:rPr>
        <w:t>Prof</w:t>
      </w:r>
      <w:r w:rsidR="00BA48C5" w:rsidRPr="00EA329E">
        <w:rPr>
          <w:b/>
          <w:iCs/>
          <w:sz w:val="36"/>
        </w:rPr>
        <w:t>.</w:t>
      </w:r>
      <w:r w:rsidR="00596ADA" w:rsidRPr="00EA329E">
        <w:rPr>
          <w:b/>
          <w:iCs/>
          <w:sz w:val="36"/>
        </w:rPr>
        <w:t xml:space="preserve"> Geoff Bick</w:t>
      </w:r>
    </w:p>
    <w:p w:rsidR="00A45D97" w:rsidRPr="00EA329E" w:rsidRDefault="00A45D97">
      <w:pPr>
        <w:spacing w:before="0" w:after="0"/>
        <w:jc w:val="right"/>
        <w:rPr>
          <w:b/>
          <w:sz w:val="36"/>
        </w:rPr>
      </w:pPr>
    </w:p>
    <w:p w:rsidR="00A45D97" w:rsidRPr="00EA329E" w:rsidRDefault="00A45D97">
      <w:pPr>
        <w:spacing w:before="0" w:after="0"/>
        <w:jc w:val="right"/>
        <w:rPr>
          <w:b/>
          <w:sz w:val="36"/>
        </w:rPr>
      </w:pPr>
    </w:p>
    <w:p w:rsidR="00EA329E" w:rsidRPr="00EA329E" w:rsidRDefault="00A45D97" w:rsidP="00EA329E">
      <w:pPr>
        <w:spacing w:before="0" w:after="0"/>
        <w:jc w:val="right"/>
        <w:rPr>
          <w:b/>
          <w:sz w:val="36"/>
        </w:rPr>
      </w:pPr>
      <w:r w:rsidRPr="00EA329E">
        <w:rPr>
          <w:b/>
          <w:sz w:val="36"/>
        </w:rPr>
        <w:t>Wits Business School</w:t>
      </w:r>
    </w:p>
    <w:p w:rsidR="00D756B5" w:rsidRPr="00EA329E" w:rsidRDefault="00272493" w:rsidP="00EA329E">
      <w:pPr>
        <w:spacing w:before="0" w:after="0"/>
        <w:jc w:val="right"/>
        <w:rPr>
          <w:b/>
          <w:sz w:val="36"/>
        </w:rPr>
      </w:pPr>
      <w:r>
        <w:rPr>
          <w:b/>
          <w:sz w:val="36"/>
        </w:rPr>
        <w:t>February 2014</w:t>
      </w:r>
      <w:r w:rsidR="00D756B5" w:rsidRPr="00EA329E">
        <w:rPr>
          <w:b/>
          <w:sz w:val="36"/>
        </w:rPr>
        <w:br w:type="page"/>
      </w:r>
    </w:p>
    <w:p w:rsidR="00A45D97" w:rsidRDefault="00A23AD3" w:rsidP="00A23AD3">
      <w:pPr>
        <w:spacing w:before="0" w:after="0"/>
        <w:jc w:val="left"/>
        <w:rPr>
          <w:b/>
          <w:sz w:val="36"/>
        </w:rPr>
      </w:pPr>
      <w:r>
        <w:rPr>
          <w:b/>
          <w:sz w:val="36"/>
        </w:rPr>
        <w:lastRenderedPageBreak/>
        <w:t>ABSTRACT</w:t>
      </w:r>
    </w:p>
    <w:p w:rsidR="00727DE9" w:rsidRDefault="00727DE9" w:rsidP="00727DE9">
      <w:pPr>
        <w:rPr>
          <w:rFonts w:cs="Arial"/>
        </w:rPr>
      </w:pPr>
      <w:r w:rsidRPr="008144DC">
        <w:rPr>
          <w:rFonts w:cs="Arial"/>
        </w:rPr>
        <w:t xml:space="preserve">In the last two decades, South Africa </w:t>
      </w:r>
      <w:r w:rsidR="00286427">
        <w:rPr>
          <w:rFonts w:cs="Arial"/>
        </w:rPr>
        <w:t xml:space="preserve">has </w:t>
      </w:r>
      <w:r w:rsidRPr="008144DC">
        <w:rPr>
          <w:rFonts w:cs="Arial"/>
        </w:rPr>
        <w:t>witnessed a series of reforms in the telecommunications industry, including the</w:t>
      </w:r>
      <w:r w:rsidR="00002EE9">
        <w:rPr>
          <w:rFonts w:cs="Arial"/>
        </w:rPr>
        <w:t xml:space="preserve"> corporate </w:t>
      </w:r>
      <w:r w:rsidRPr="008144DC">
        <w:rPr>
          <w:rFonts w:cs="Arial"/>
        </w:rPr>
        <w:t>rebranding efforts undertaken by major telecommunic</w:t>
      </w:r>
      <w:r w:rsidR="00002EE9">
        <w:rPr>
          <w:rFonts w:cs="Arial"/>
        </w:rPr>
        <w:t>ations corporates</w:t>
      </w:r>
      <w:r w:rsidRPr="008144DC">
        <w:rPr>
          <w:rFonts w:cs="Arial"/>
        </w:rPr>
        <w:t>. In April 2011, Vodacom, following the increase in ownership in 2009 by Vodafone, launched its new image. With the</w:t>
      </w:r>
      <w:r w:rsidR="00002EE9">
        <w:rPr>
          <w:rFonts w:cs="Arial"/>
        </w:rPr>
        <w:t xml:space="preserve"> corporate</w:t>
      </w:r>
      <w:r w:rsidRPr="008144DC">
        <w:rPr>
          <w:rFonts w:cs="Arial"/>
        </w:rPr>
        <w:t xml:space="preserve"> rebranding, Vodacom kept its name, but effected changes to the logo, slogan and colour scheme. The rationale for keeping the name is the fact that Vodafone’s presence in Africa is far smaller than Vodacom’s. Vodacom holds power and position in the marketplace in South Africa and Africa. In addition to changing its brand colours from the familiar green and blue to red, the brand colour of UK-based Vodafone, which owns 65 percent of Vodacom, it has also assimilated Vodafone’s teardrop logo.</w:t>
      </w:r>
    </w:p>
    <w:p w:rsidR="00727DE9" w:rsidRDefault="00727DE9" w:rsidP="00727DE9">
      <w:pPr>
        <w:rPr>
          <w:rFonts w:cs="Arial"/>
        </w:rPr>
      </w:pPr>
      <w:r w:rsidRPr="008144DC">
        <w:rPr>
          <w:rFonts w:cs="Arial"/>
        </w:rPr>
        <w:t>The purpose of this research was to investigate the drivers of corporate rebranding and the impact of corporate rebranding on brand equity of South African brands.</w:t>
      </w:r>
      <w:r>
        <w:rPr>
          <w:rFonts w:cs="Arial"/>
        </w:rPr>
        <w:t xml:space="preserve"> The research used quantitative data. There were 134 respondents</w:t>
      </w:r>
      <w:r w:rsidR="00286427">
        <w:rPr>
          <w:rFonts w:cs="Arial"/>
        </w:rPr>
        <w:t>, with 109 completed questionnaires,</w:t>
      </w:r>
      <w:r>
        <w:rPr>
          <w:rFonts w:cs="Arial"/>
        </w:rPr>
        <w:t xml:space="preserve"> from a convenience sample who were </w:t>
      </w:r>
      <w:r w:rsidR="00286427">
        <w:rPr>
          <w:rFonts w:cs="Arial"/>
        </w:rPr>
        <w:t xml:space="preserve">all </w:t>
      </w:r>
      <w:r>
        <w:rPr>
          <w:rFonts w:cs="Arial"/>
        </w:rPr>
        <w:t xml:space="preserve">employees of Vodacom. The survey was administered through an online portal and analysed using descriptive statistics and principal component analysis.  </w:t>
      </w:r>
    </w:p>
    <w:p w:rsidR="00F676BA" w:rsidRPr="00B874D7" w:rsidRDefault="00727DE9" w:rsidP="00F676BA">
      <w:r>
        <w:rPr>
          <w:rFonts w:cs="Arial"/>
        </w:rPr>
        <w:t>The main findings confirmed 9 of the 10 drivers of corporate rebranding identified in previous literature.  The outcome of the research also summarised these drivers into 2 fundamental factors, namely corporate structure and strategy, and m</w:t>
      </w:r>
      <w:r w:rsidRPr="00D440B5">
        <w:rPr>
          <w:rFonts w:cs="Arial"/>
        </w:rPr>
        <w:t>acroeconomic factors</w:t>
      </w:r>
      <w:r>
        <w:rPr>
          <w:rFonts w:cs="Arial"/>
        </w:rPr>
        <w:t xml:space="preserve">. </w:t>
      </w:r>
      <w:r w:rsidR="00F676BA">
        <w:t xml:space="preserve">The brand equity of the Vodacom brand has been adversely impacted following a rebranding exercise. The old brand is represented by three factors that corresponded with Aaker’s model (Aaker, 1991). These factors are </w:t>
      </w:r>
      <w:r w:rsidR="00F676BA">
        <w:rPr>
          <w:rFonts w:cs="Arial"/>
        </w:rPr>
        <w:t>b</w:t>
      </w:r>
      <w:r w:rsidR="00F676BA" w:rsidRPr="00D440B5">
        <w:rPr>
          <w:rFonts w:cs="Arial"/>
        </w:rPr>
        <w:t>rand awareness</w:t>
      </w:r>
      <w:r w:rsidR="00F676BA">
        <w:rPr>
          <w:rFonts w:cs="Arial"/>
        </w:rPr>
        <w:t>, p</w:t>
      </w:r>
      <w:r w:rsidR="00F676BA" w:rsidRPr="00D440B5">
        <w:rPr>
          <w:rFonts w:cs="Arial"/>
        </w:rPr>
        <w:t>erceived quality</w:t>
      </w:r>
      <w:r w:rsidR="00F676BA">
        <w:rPr>
          <w:rFonts w:cs="Arial"/>
        </w:rPr>
        <w:t xml:space="preserve"> and b</w:t>
      </w:r>
      <w:r w:rsidR="00F676BA" w:rsidRPr="00D440B5">
        <w:rPr>
          <w:rFonts w:cs="Arial"/>
        </w:rPr>
        <w:t>rand</w:t>
      </w:r>
      <w:r w:rsidR="00F676BA" w:rsidRPr="00D440B5">
        <w:t xml:space="preserve"> </w:t>
      </w:r>
      <w:r w:rsidR="00F676BA" w:rsidRPr="00D440B5">
        <w:rPr>
          <w:rFonts w:cs="Arial"/>
        </w:rPr>
        <w:t>loyalty</w:t>
      </w:r>
      <w:r w:rsidR="00F676BA">
        <w:t xml:space="preserve">. The new brand was represented </w:t>
      </w:r>
      <w:r w:rsidR="009C40AA">
        <w:t>by a</w:t>
      </w:r>
      <w:r w:rsidR="00286427">
        <w:t xml:space="preserve"> factor labelled ‘</w:t>
      </w:r>
      <w:r w:rsidR="00F676BA">
        <w:t>infant brand</w:t>
      </w:r>
      <w:r w:rsidR="00286427">
        <w:t>’</w:t>
      </w:r>
      <w:r w:rsidR="00F676BA">
        <w:t xml:space="preserve">. </w:t>
      </w:r>
      <w:r w:rsidR="00F676BA" w:rsidRPr="003E7096">
        <w:t>Macroeconomic factors</w:t>
      </w:r>
      <w:r w:rsidR="00F676BA">
        <w:t xml:space="preserve"> were perceived to the most significant drivers of corporate rebranding. </w:t>
      </w:r>
    </w:p>
    <w:p w:rsidR="00E15F51" w:rsidRPr="00727DE9" w:rsidRDefault="00E15F51" w:rsidP="00727DE9">
      <w:pPr>
        <w:rPr>
          <w:rFonts w:cs="Arial"/>
        </w:rPr>
      </w:pPr>
      <w:r>
        <w:rPr>
          <w:b/>
          <w:sz w:val="36"/>
        </w:rPr>
        <w:br w:type="page"/>
      </w:r>
    </w:p>
    <w:p w:rsidR="00A23AD3" w:rsidRDefault="00A23AD3" w:rsidP="00A23AD3">
      <w:pPr>
        <w:spacing w:before="0" w:after="0"/>
        <w:jc w:val="left"/>
        <w:rPr>
          <w:b/>
          <w:sz w:val="36"/>
        </w:rPr>
      </w:pPr>
      <w:r>
        <w:rPr>
          <w:b/>
          <w:sz w:val="36"/>
        </w:rPr>
        <w:lastRenderedPageBreak/>
        <w:t>DECLARATION</w:t>
      </w:r>
    </w:p>
    <w:p w:rsidR="005465CA" w:rsidRPr="00336BBE" w:rsidRDefault="005465CA" w:rsidP="00336BBE">
      <w:pPr>
        <w:spacing w:before="0" w:after="0"/>
      </w:pPr>
      <w:r w:rsidRPr="00336BBE">
        <w:t>I, Rodney Moloko, declare that this research report is my own work. It is sub</w:t>
      </w:r>
      <w:r w:rsidR="00E15F51" w:rsidRPr="00336BBE">
        <w:t xml:space="preserve">mitted in partial fulfilment of </w:t>
      </w:r>
      <w:r w:rsidRPr="00336BBE">
        <w:t>the requirements for the degree of Master is Strategic Marketing Management</w:t>
      </w:r>
      <w:r w:rsidR="00E15F51" w:rsidRPr="00336BBE">
        <w:t xml:space="preserve"> in the University of Witwatersrand, Johannesburg. It has not been submitted before for any degree or examination in this or any other university. </w:t>
      </w:r>
    </w:p>
    <w:p w:rsidR="00E15F51" w:rsidRPr="00336BBE" w:rsidRDefault="00E15F51" w:rsidP="00A23AD3">
      <w:pPr>
        <w:spacing w:before="0" w:after="0"/>
        <w:jc w:val="left"/>
      </w:pPr>
    </w:p>
    <w:p w:rsidR="00E15F51" w:rsidRPr="00336BBE" w:rsidRDefault="00E15F51" w:rsidP="00A23AD3">
      <w:pPr>
        <w:spacing w:before="0" w:after="0"/>
        <w:jc w:val="left"/>
      </w:pPr>
    </w:p>
    <w:p w:rsidR="00E15F51" w:rsidRPr="00336BBE" w:rsidRDefault="00E15F51" w:rsidP="00A23AD3">
      <w:pPr>
        <w:spacing w:before="0" w:after="0"/>
        <w:jc w:val="left"/>
      </w:pPr>
      <w:r w:rsidRPr="00336BBE">
        <w:t>…………………………………..</w:t>
      </w:r>
    </w:p>
    <w:p w:rsidR="00E15F51" w:rsidRPr="00336BBE" w:rsidRDefault="00E15F51" w:rsidP="00A23AD3">
      <w:pPr>
        <w:spacing w:before="0" w:after="0"/>
        <w:jc w:val="left"/>
      </w:pPr>
      <w:r w:rsidRPr="00336BBE">
        <w:t>Rodney Moloko</w:t>
      </w:r>
    </w:p>
    <w:p w:rsidR="00E15F51" w:rsidRPr="00336BBE" w:rsidRDefault="00E15F51" w:rsidP="00A23AD3">
      <w:pPr>
        <w:spacing w:before="0" w:after="0"/>
        <w:jc w:val="left"/>
      </w:pPr>
    </w:p>
    <w:p w:rsidR="00E15F51" w:rsidRPr="00336BBE" w:rsidRDefault="00E15F51" w:rsidP="00A23AD3">
      <w:pPr>
        <w:spacing w:before="0" w:after="0"/>
        <w:jc w:val="left"/>
      </w:pPr>
      <w:r w:rsidRPr="00336BBE">
        <w:t>Signed at ………………………</w:t>
      </w:r>
    </w:p>
    <w:p w:rsidR="00E15F51" w:rsidRPr="00336BBE" w:rsidRDefault="00E15F51" w:rsidP="00A23AD3">
      <w:pPr>
        <w:spacing w:before="0" w:after="0"/>
        <w:jc w:val="left"/>
      </w:pPr>
      <w:r w:rsidRPr="00336BBE">
        <w:t>On the ……… day of ………. 2014</w:t>
      </w:r>
    </w:p>
    <w:p w:rsidR="00A23AD3" w:rsidRDefault="00A23AD3" w:rsidP="00A23AD3">
      <w:pPr>
        <w:spacing w:before="0" w:after="0"/>
        <w:jc w:val="left"/>
        <w:rPr>
          <w:b/>
          <w:sz w:val="36"/>
        </w:rPr>
      </w:pPr>
    </w:p>
    <w:p w:rsidR="00E15F51" w:rsidRDefault="00E15F51">
      <w:pPr>
        <w:spacing w:before="0" w:after="0" w:line="240" w:lineRule="auto"/>
        <w:jc w:val="left"/>
        <w:rPr>
          <w:b/>
          <w:sz w:val="36"/>
        </w:rPr>
      </w:pPr>
      <w:r>
        <w:rPr>
          <w:b/>
          <w:sz w:val="36"/>
        </w:rPr>
        <w:br w:type="page"/>
      </w:r>
    </w:p>
    <w:p w:rsidR="00A23AD3" w:rsidRDefault="00A23AD3" w:rsidP="00A23AD3">
      <w:pPr>
        <w:spacing w:before="0" w:after="0"/>
        <w:jc w:val="left"/>
        <w:rPr>
          <w:b/>
          <w:sz w:val="36"/>
        </w:rPr>
      </w:pPr>
      <w:r>
        <w:rPr>
          <w:b/>
          <w:sz w:val="36"/>
        </w:rPr>
        <w:lastRenderedPageBreak/>
        <w:t>DEDICATION</w:t>
      </w:r>
    </w:p>
    <w:p w:rsidR="005465CA" w:rsidRPr="00336BBE" w:rsidRDefault="005465CA" w:rsidP="00A23AD3">
      <w:pPr>
        <w:spacing w:before="0" w:after="0"/>
        <w:jc w:val="left"/>
      </w:pPr>
      <w:r w:rsidRPr="00336BBE">
        <w:t>This research is dedicated to my family for the</w:t>
      </w:r>
      <w:r w:rsidR="0063507B">
        <w:t>ir</w:t>
      </w:r>
      <w:r w:rsidRPr="00336BBE">
        <w:t xml:space="preserve"> support and understanding</w:t>
      </w:r>
      <w:r w:rsidR="0063507B">
        <w:t>.</w:t>
      </w:r>
      <w:r w:rsidRPr="00336BBE">
        <w:t xml:space="preserve"> </w:t>
      </w:r>
    </w:p>
    <w:p w:rsidR="00A23AD3" w:rsidRDefault="00A23AD3" w:rsidP="00A23AD3">
      <w:pPr>
        <w:spacing w:before="0" w:after="0"/>
        <w:jc w:val="left"/>
        <w:rPr>
          <w:b/>
          <w:sz w:val="36"/>
        </w:rPr>
      </w:pPr>
    </w:p>
    <w:p w:rsidR="00E15F51" w:rsidRDefault="00E15F51">
      <w:pPr>
        <w:spacing w:before="0" w:after="0" w:line="240" w:lineRule="auto"/>
        <w:jc w:val="left"/>
        <w:rPr>
          <w:b/>
          <w:sz w:val="36"/>
        </w:rPr>
      </w:pPr>
      <w:r>
        <w:rPr>
          <w:b/>
          <w:sz w:val="36"/>
        </w:rPr>
        <w:br w:type="page"/>
      </w:r>
    </w:p>
    <w:p w:rsidR="00A23AD3" w:rsidRPr="00EA329E" w:rsidRDefault="00A23AD3" w:rsidP="00A23AD3">
      <w:pPr>
        <w:spacing w:before="0" w:after="0"/>
        <w:jc w:val="left"/>
        <w:rPr>
          <w:b/>
          <w:sz w:val="36"/>
        </w:rPr>
      </w:pPr>
      <w:r>
        <w:rPr>
          <w:b/>
          <w:sz w:val="36"/>
        </w:rPr>
        <w:lastRenderedPageBreak/>
        <w:t>ACKNOWLEDGE</w:t>
      </w:r>
      <w:r w:rsidR="00A71A2D">
        <w:rPr>
          <w:b/>
          <w:sz w:val="36"/>
        </w:rPr>
        <w:t>ME</w:t>
      </w:r>
      <w:r>
        <w:rPr>
          <w:b/>
          <w:sz w:val="36"/>
        </w:rPr>
        <w:t>NTS</w:t>
      </w:r>
    </w:p>
    <w:p w:rsidR="00A45D97" w:rsidRPr="00336BBE" w:rsidRDefault="005465CA" w:rsidP="00336BBE">
      <w:pPr>
        <w:jc w:val="left"/>
      </w:pPr>
      <w:r w:rsidRPr="00336BBE">
        <w:t>I would like to convey my sincere thanks and deepest appreciation to:</w:t>
      </w:r>
    </w:p>
    <w:p w:rsidR="005465CA" w:rsidRPr="00336BBE" w:rsidRDefault="005465CA" w:rsidP="00336BBE">
      <w:pPr>
        <w:pStyle w:val="ListParagraph"/>
        <w:numPr>
          <w:ilvl w:val="0"/>
          <w:numId w:val="32"/>
        </w:numPr>
        <w:jc w:val="left"/>
      </w:pPr>
      <w:r w:rsidRPr="00336BBE">
        <w:t>Professor Geoff Bick who provided guidance and encouragement throughout this project;</w:t>
      </w:r>
    </w:p>
    <w:p w:rsidR="005465CA" w:rsidRPr="00336BBE" w:rsidRDefault="005465CA" w:rsidP="00336BBE">
      <w:pPr>
        <w:pStyle w:val="ListParagraph"/>
        <w:numPr>
          <w:ilvl w:val="0"/>
          <w:numId w:val="32"/>
        </w:numPr>
        <w:jc w:val="left"/>
      </w:pPr>
      <w:r w:rsidRPr="00336BBE">
        <w:t xml:space="preserve">All respondents who participated in the research; and </w:t>
      </w:r>
    </w:p>
    <w:p w:rsidR="005465CA" w:rsidRPr="00E15F51" w:rsidRDefault="005465CA" w:rsidP="00336BBE">
      <w:pPr>
        <w:pStyle w:val="ListParagraph"/>
        <w:numPr>
          <w:ilvl w:val="0"/>
          <w:numId w:val="32"/>
        </w:numPr>
        <w:jc w:val="left"/>
      </w:pPr>
      <w:r w:rsidRPr="00336BBE">
        <w:t>Fellow students for all the help and encouragement</w:t>
      </w:r>
    </w:p>
    <w:p w:rsidR="00F24FEE" w:rsidRDefault="00596ADA" w:rsidP="00336BBE">
      <w:pPr>
        <w:pStyle w:val="TOC1"/>
        <w:rPr>
          <w:noProof/>
        </w:rPr>
      </w:pPr>
      <w:r w:rsidRPr="00EA329E">
        <w:rPr>
          <w:b w:val="0"/>
          <w:sz w:val="32"/>
        </w:rPr>
        <w:br w:type="page"/>
      </w:r>
      <w:r w:rsidR="00A45D97" w:rsidRPr="00EA329E">
        <w:rPr>
          <w:b w:val="0"/>
          <w:sz w:val="32"/>
        </w:rPr>
        <w:lastRenderedPageBreak/>
        <w:t>TABLE OF CONTENTS</w:t>
      </w:r>
      <w:r w:rsidR="00422DDF" w:rsidRPr="00334AC2">
        <w:rPr>
          <w:bCs/>
        </w:rPr>
        <w:fldChar w:fldCharType="begin"/>
      </w:r>
      <w:r w:rsidR="00422DDF" w:rsidRPr="00EA329E">
        <w:rPr>
          <w:bCs/>
        </w:rPr>
        <w:instrText xml:space="preserve"> TOC \o "1-3" \h \z \u </w:instrText>
      </w:r>
      <w:r w:rsidR="00422DDF" w:rsidRPr="00334AC2">
        <w:rPr>
          <w:bCs/>
        </w:rPr>
        <w:fldChar w:fldCharType="separate"/>
      </w:r>
    </w:p>
    <w:p w:rsidR="00F24FEE" w:rsidRDefault="00E85236">
      <w:pPr>
        <w:pStyle w:val="TOC1"/>
        <w:tabs>
          <w:tab w:val="left" w:pos="720"/>
        </w:tabs>
        <w:rPr>
          <w:rFonts w:asciiTheme="minorHAnsi" w:eastAsiaTheme="minorEastAsia" w:hAnsiTheme="minorHAnsi" w:cstheme="minorBidi"/>
          <w:b w:val="0"/>
          <w:caps w:val="0"/>
          <w:noProof/>
          <w:sz w:val="22"/>
          <w:szCs w:val="22"/>
          <w:lang w:val="en-ZA" w:eastAsia="en-ZA"/>
        </w:rPr>
      </w:pPr>
      <w:hyperlink w:anchor="_Toc380687038" w:history="1">
        <w:r w:rsidR="00F24FEE" w:rsidRPr="000E296F">
          <w:rPr>
            <w:rStyle w:val="Hyperlink"/>
            <w:noProof/>
          </w:rPr>
          <w:t>1</w:t>
        </w:r>
        <w:r w:rsidR="00F24FEE">
          <w:rPr>
            <w:rFonts w:asciiTheme="minorHAnsi" w:eastAsiaTheme="minorEastAsia" w:hAnsiTheme="minorHAnsi" w:cstheme="minorBidi"/>
            <w:b w:val="0"/>
            <w:caps w:val="0"/>
            <w:noProof/>
            <w:sz w:val="22"/>
            <w:szCs w:val="22"/>
            <w:lang w:val="en-ZA" w:eastAsia="en-ZA"/>
          </w:rPr>
          <w:tab/>
        </w:r>
        <w:r w:rsidR="00F24FEE" w:rsidRPr="000E296F">
          <w:rPr>
            <w:rStyle w:val="Hyperlink"/>
            <w:noProof/>
          </w:rPr>
          <w:t>INTRODUCTION</w:t>
        </w:r>
        <w:r w:rsidR="00F24FEE">
          <w:rPr>
            <w:noProof/>
            <w:webHidden/>
          </w:rPr>
          <w:tab/>
        </w:r>
        <w:r w:rsidR="00F24FEE">
          <w:rPr>
            <w:noProof/>
            <w:webHidden/>
          </w:rPr>
          <w:fldChar w:fldCharType="begin"/>
        </w:r>
        <w:r w:rsidR="00F24FEE">
          <w:rPr>
            <w:noProof/>
            <w:webHidden/>
          </w:rPr>
          <w:instrText xml:space="preserve"> PAGEREF _Toc380687038 \h </w:instrText>
        </w:r>
        <w:r w:rsidR="00F24FEE">
          <w:rPr>
            <w:noProof/>
            <w:webHidden/>
          </w:rPr>
        </w:r>
        <w:r w:rsidR="00F24FEE">
          <w:rPr>
            <w:noProof/>
            <w:webHidden/>
          </w:rPr>
          <w:fldChar w:fldCharType="separate"/>
        </w:r>
        <w:r w:rsidR="00F24FEE">
          <w:rPr>
            <w:noProof/>
            <w:webHidden/>
          </w:rPr>
          <w:t>1</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39" w:history="1">
        <w:r w:rsidR="00F24FEE" w:rsidRPr="000E296F">
          <w:rPr>
            <w:rStyle w:val="Hyperlink"/>
            <w:noProof/>
          </w:rPr>
          <w:t>1.1</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Purpose of the study</w:t>
        </w:r>
        <w:r w:rsidR="00F24FEE">
          <w:rPr>
            <w:noProof/>
            <w:webHidden/>
          </w:rPr>
          <w:tab/>
        </w:r>
        <w:r w:rsidR="00F24FEE">
          <w:rPr>
            <w:noProof/>
            <w:webHidden/>
          </w:rPr>
          <w:fldChar w:fldCharType="begin"/>
        </w:r>
        <w:r w:rsidR="00F24FEE">
          <w:rPr>
            <w:noProof/>
            <w:webHidden/>
          </w:rPr>
          <w:instrText xml:space="preserve"> PAGEREF _Toc380687039 \h </w:instrText>
        </w:r>
        <w:r w:rsidR="00F24FEE">
          <w:rPr>
            <w:noProof/>
            <w:webHidden/>
          </w:rPr>
        </w:r>
        <w:r w:rsidR="00F24FEE">
          <w:rPr>
            <w:noProof/>
            <w:webHidden/>
          </w:rPr>
          <w:fldChar w:fldCharType="separate"/>
        </w:r>
        <w:r w:rsidR="00F24FEE">
          <w:rPr>
            <w:noProof/>
            <w:webHidden/>
          </w:rPr>
          <w:t>1</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0" w:history="1">
        <w:r w:rsidR="00F24FEE" w:rsidRPr="000E296F">
          <w:rPr>
            <w:rStyle w:val="Hyperlink"/>
            <w:noProof/>
          </w:rPr>
          <w:t>1.2</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Context of the study</w:t>
        </w:r>
        <w:r w:rsidR="00F24FEE">
          <w:rPr>
            <w:noProof/>
            <w:webHidden/>
          </w:rPr>
          <w:tab/>
        </w:r>
        <w:r w:rsidR="00F24FEE">
          <w:rPr>
            <w:noProof/>
            <w:webHidden/>
          </w:rPr>
          <w:fldChar w:fldCharType="begin"/>
        </w:r>
        <w:r w:rsidR="00F24FEE">
          <w:rPr>
            <w:noProof/>
            <w:webHidden/>
          </w:rPr>
          <w:instrText xml:space="preserve"> PAGEREF _Toc380687040 \h </w:instrText>
        </w:r>
        <w:r w:rsidR="00F24FEE">
          <w:rPr>
            <w:noProof/>
            <w:webHidden/>
          </w:rPr>
        </w:r>
        <w:r w:rsidR="00F24FEE">
          <w:rPr>
            <w:noProof/>
            <w:webHidden/>
          </w:rPr>
          <w:fldChar w:fldCharType="separate"/>
        </w:r>
        <w:r w:rsidR="00F24FEE">
          <w:rPr>
            <w:noProof/>
            <w:webHidden/>
          </w:rPr>
          <w:t>1</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1" w:history="1">
        <w:r w:rsidR="00F24FEE" w:rsidRPr="000E296F">
          <w:rPr>
            <w:rStyle w:val="Hyperlink"/>
            <w:noProof/>
          </w:rPr>
          <w:t>1.3</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Problem statement</w:t>
        </w:r>
        <w:r w:rsidR="00F24FEE">
          <w:rPr>
            <w:noProof/>
            <w:webHidden/>
          </w:rPr>
          <w:tab/>
        </w:r>
        <w:r w:rsidR="00F24FEE">
          <w:rPr>
            <w:noProof/>
            <w:webHidden/>
          </w:rPr>
          <w:fldChar w:fldCharType="begin"/>
        </w:r>
        <w:r w:rsidR="00F24FEE">
          <w:rPr>
            <w:noProof/>
            <w:webHidden/>
          </w:rPr>
          <w:instrText xml:space="preserve"> PAGEREF _Toc380687041 \h </w:instrText>
        </w:r>
        <w:r w:rsidR="00F24FEE">
          <w:rPr>
            <w:noProof/>
            <w:webHidden/>
          </w:rPr>
        </w:r>
        <w:r w:rsidR="00F24FEE">
          <w:rPr>
            <w:noProof/>
            <w:webHidden/>
          </w:rPr>
          <w:fldChar w:fldCharType="separate"/>
        </w:r>
        <w:r w:rsidR="00F24FEE">
          <w:rPr>
            <w:noProof/>
            <w:webHidden/>
          </w:rPr>
          <w:t>4</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42" w:history="1">
        <w:r w:rsidR="00F24FEE" w:rsidRPr="000E296F">
          <w:rPr>
            <w:rStyle w:val="Hyperlink"/>
          </w:rPr>
          <w:t>1.3.1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Main problem</w:t>
        </w:r>
        <w:r w:rsidR="00F24FEE">
          <w:rPr>
            <w:webHidden/>
          </w:rPr>
          <w:tab/>
        </w:r>
        <w:r w:rsidR="00F24FEE">
          <w:rPr>
            <w:webHidden/>
          </w:rPr>
          <w:fldChar w:fldCharType="begin"/>
        </w:r>
        <w:r w:rsidR="00F24FEE">
          <w:rPr>
            <w:webHidden/>
          </w:rPr>
          <w:instrText xml:space="preserve"> PAGEREF _Toc380687042 \h </w:instrText>
        </w:r>
        <w:r w:rsidR="00F24FEE">
          <w:rPr>
            <w:webHidden/>
          </w:rPr>
        </w:r>
        <w:r w:rsidR="00F24FEE">
          <w:rPr>
            <w:webHidden/>
          </w:rPr>
          <w:fldChar w:fldCharType="separate"/>
        </w:r>
        <w:r w:rsidR="00F24FEE">
          <w:rPr>
            <w:webHidden/>
          </w:rPr>
          <w:t>4</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43" w:history="1">
        <w:r w:rsidR="00F24FEE" w:rsidRPr="000E296F">
          <w:rPr>
            <w:rStyle w:val="Hyperlink"/>
          </w:rPr>
          <w:t>1.3.2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Sub-problems</w:t>
        </w:r>
        <w:r w:rsidR="00F24FEE">
          <w:rPr>
            <w:webHidden/>
          </w:rPr>
          <w:tab/>
        </w:r>
        <w:r w:rsidR="00F24FEE">
          <w:rPr>
            <w:webHidden/>
          </w:rPr>
          <w:fldChar w:fldCharType="begin"/>
        </w:r>
        <w:r w:rsidR="00F24FEE">
          <w:rPr>
            <w:webHidden/>
          </w:rPr>
          <w:instrText xml:space="preserve"> PAGEREF _Toc380687043 \h </w:instrText>
        </w:r>
        <w:r w:rsidR="00F24FEE">
          <w:rPr>
            <w:webHidden/>
          </w:rPr>
        </w:r>
        <w:r w:rsidR="00F24FEE">
          <w:rPr>
            <w:webHidden/>
          </w:rPr>
          <w:fldChar w:fldCharType="separate"/>
        </w:r>
        <w:r w:rsidR="00F24FEE">
          <w:rPr>
            <w:webHidden/>
          </w:rPr>
          <w:t>4</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4" w:history="1">
        <w:r w:rsidR="00F24FEE" w:rsidRPr="000E296F">
          <w:rPr>
            <w:rStyle w:val="Hyperlink"/>
            <w:noProof/>
          </w:rPr>
          <w:t>1.4</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Significance of the study</w:t>
        </w:r>
        <w:r w:rsidR="00F24FEE">
          <w:rPr>
            <w:noProof/>
            <w:webHidden/>
          </w:rPr>
          <w:tab/>
        </w:r>
        <w:r w:rsidR="00F24FEE">
          <w:rPr>
            <w:noProof/>
            <w:webHidden/>
          </w:rPr>
          <w:fldChar w:fldCharType="begin"/>
        </w:r>
        <w:r w:rsidR="00F24FEE">
          <w:rPr>
            <w:noProof/>
            <w:webHidden/>
          </w:rPr>
          <w:instrText xml:space="preserve"> PAGEREF _Toc380687044 \h </w:instrText>
        </w:r>
        <w:r w:rsidR="00F24FEE">
          <w:rPr>
            <w:noProof/>
            <w:webHidden/>
          </w:rPr>
        </w:r>
        <w:r w:rsidR="00F24FEE">
          <w:rPr>
            <w:noProof/>
            <w:webHidden/>
          </w:rPr>
          <w:fldChar w:fldCharType="separate"/>
        </w:r>
        <w:r w:rsidR="00F24FEE">
          <w:rPr>
            <w:noProof/>
            <w:webHidden/>
          </w:rPr>
          <w:t>4</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5" w:history="1">
        <w:r w:rsidR="00F24FEE" w:rsidRPr="000E296F">
          <w:rPr>
            <w:rStyle w:val="Hyperlink"/>
            <w:noProof/>
          </w:rPr>
          <w:t>1.5</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Limitations of the study</w:t>
        </w:r>
        <w:r w:rsidR="00F24FEE">
          <w:rPr>
            <w:noProof/>
            <w:webHidden/>
          </w:rPr>
          <w:tab/>
        </w:r>
        <w:r w:rsidR="00F24FEE">
          <w:rPr>
            <w:noProof/>
            <w:webHidden/>
          </w:rPr>
          <w:fldChar w:fldCharType="begin"/>
        </w:r>
        <w:r w:rsidR="00F24FEE">
          <w:rPr>
            <w:noProof/>
            <w:webHidden/>
          </w:rPr>
          <w:instrText xml:space="preserve"> PAGEREF _Toc380687045 \h </w:instrText>
        </w:r>
        <w:r w:rsidR="00F24FEE">
          <w:rPr>
            <w:noProof/>
            <w:webHidden/>
          </w:rPr>
        </w:r>
        <w:r w:rsidR="00F24FEE">
          <w:rPr>
            <w:noProof/>
            <w:webHidden/>
          </w:rPr>
          <w:fldChar w:fldCharType="separate"/>
        </w:r>
        <w:r w:rsidR="00F24FEE">
          <w:rPr>
            <w:noProof/>
            <w:webHidden/>
          </w:rPr>
          <w:t>5</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6" w:history="1">
        <w:r w:rsidR="00F24FEE" w:rsidRPr="000E296F">
          <w:rPr>
            <w:rStyle w:val="Hyperlink"/>
            <w:noProof/>
          </w:rPr>
          <w:t>1.6</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Definition of terms</w:t>
        </w:r>
        <w:r w:rsidR="00F24FEE">
          <w:rPr>
            <w:noProof/>
            <w:webHidden/>
          </w:rPr>
          <w:tab/>
        </w:r>
        <w:r w:rsidR="00F24FEE">
          <w:rPr>
            <w:noProof/>
            <w:webHidden/>
          </w:rPr>
          <w:fldChar w:fldCharType="begin"/>
        </w:r>
        <w:r w:rsidR="00F24FEE">
          <w:rPr>
            <w:noProof/>
            <w:webHidden/>
          </w:rPr>
          <w:instrText xml:space="preserve"> PAGEREF _Toc380687046 \h </w:instrText>
        </w:r>
        <w:r w:rsidR="00F24FEE">
          <w:rPr>
            <w:noProof/>
            <w:webHidden/>
          </w:rPr>
        </w:r>
        <w:r w:rsidR="00F24FEE">
          <w:rPr>
            <w:noProof/>
            <w:webHidden/>
          </w:rPr>
          <w:fldChar w:fldCharType="separate"/>
        </w:r>
        <w:r w:rsidR="00F24FEE">
          <w:rPr>
            <w:noProof/>
            <w:webHidden/>
          </w:rPr>
          <w:t>6</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7" w:history="1">
        <w:r w:rsidR="00F24FEE" w:rsidRPr="000E296F">
          <w:rPr>
            <w:rStyle w:val="Hyperlink"/>
            <w:noProof/>
          </w:rPr>
          <w:t>1.7</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Assumptions</w:t>
        </w:r>
        <w:r w:rsidR="00F24FEE">
          <w:rPr>
            <w:noProof/>
            <w:webHidden/>
          </w:rPr>
          <w:tab/>
        </w:r>
        <w:r w:rsidR="00F24FEE">
          <w:rPr>
            <w:noProof/>
            <w:webHidden/>
          </w:rPr>
          <w:fldChar w:fldCharType="begin"/>
        </w:r>
        <w:r w:rsidR="00F24FEE">
          <w:rPr>
            <w:noProof/>
            <w:webHidden/>
          </w:rPr>
          <w:instrText xml:space="preserve"> PAGEREF _Toc380687047 \h </w:instrText>
        </w:r>
        <w:r w:rsidR="00F24FEE">
          <w:rPr>
            <w:noProof/>
            <w:webHidden/>
          </w:rPr>
        </w:r>
        <w:r w:rsidR="00F24FEE">
          <w:rPr>
            <w:noProof/>
            <w:webHidden/>
          </w:rPr>
          <w:fldChar w:fldCharType="separate"/>
        </w:r>
        <w:r w:rsidR="00F24FEE">
          <w:rPr>
            <w:noProof/>
            <w:webHidden/>
          </w:rPr>
          <w:t>6</w:t>
        </w:r>
        <w:r w:rsidR="00F24FEE">
          <w:rPr>
            <w:noProof/>
            <w:webHidden/>
          </w:rPr>
          <w:fldChar w:fldCharType="end"/>
        </w:r>
      </w:hyperlink>
    </w:p>
    <w:p w:rsidR="00F24FEE" w:rsidRDefault="00E85236">
      <w:pPr>
        <w:pStyle w:val="TOC1"/>
        <w:tabs>
          <w:tab w:val="left" w:pos="720"/>
        </w:tabs>
        <w:rPr>
          <w:rFonts w:asciiTheme="minorHAnsi" w:eastAsiaTheme="minorEastAsia" w:hAnsiTheme="minorHAnsi" w:cstheme="minorBidi"/>
          <w:b w:val="0"/>
          <w:caps w:val="0"/>
          <w:noProof/>
          <w:sz w:val="22"/>
          <w:szCs w:val="22"/>
          <w:lang w:val="en-ZA" w:eastAsia="en-ZA"/>
        </w:rPr>
      </w:pPr>
      <w:hyperlink w:anchor="_Toc380687048" w:history="1">
        <w:r w:rsidR="00F24FEE" w:rsidRPr="000E296F">
          <w:rPr>
            <w:rStyle w:val="Hyperlink"/>
            <w:noProof/>
          </w:rPr>
          <w:t>2</w:t>
        </w:r>
        <w:r w:rsidR="00F24FEE">
          <w:rPr>
            <w:rFonts w:asciiTheme="minorHAnsi" w:eastAsiaTheme="minorEastAsia" w:hAnsiTheme="minorHAnsi" w:cstheme="minorBidi"/>
            <w:b w:val="0"/>
            <w:caps w:val="0"/>
            <w:noProof/>
            <w:sz w:val="22"/>
            <w:szCs w:val="22"/>
            <w:lang w:val="en-ZA" w:eastAsia="en-ZA"/>
          </w:rPr>
          <w:tab/>
        </w:r>
        <w:r w:rsidR="00F24FEE" w:rsidRPr="000E296F">
          <w:rPr>
            <w:rStyle w:val="Hyperlink"/>
            <w:noProof/>
          </w:rPr>
          <w:t>Literature review</w:t>
        </w:r>
        <w:r w:rsidR="00F24FEE">
          <w:rPr>
            <w:noProof/>
            <w:webHidden/>
          </w:rPr>
          <w:tab/>
        </w:r>
        <w:r w:rsidR="00F24FEE">
          <w:rPr>
            <w:noProof/>
            <w:webHidden/>
          </w:rPr>
          <w:fldChar w:fldCharType="begin"/>
        </w:r>
        <w:r w:rsidR="00F24FEE">
          <w:rPr>
            <w:noProof/>
            <w:webHidden/>
          </w:rPr>
          <w:instrText xml:space="preserve"> PAGEREF _Toc380687048 \h </w:instrText>
        </w:r>
        <w:r w:rsidR="00F24FEE">
          <w:rPr>
            <w:noProof/>
            <w:webHidden/>
          </w:rPr>
        </w:r>
        <w:r w:rsidR="00F24FEE">
          <w:rPr>
            <w:noProof/>
            <w:webHidden/>
          </w:rPr>
          <w:fldChar w:fldCharType="separate"/>
        </w:r>
        <w:r w:rsidR="00F24FEE">
          <w:rPr>
            <w:noProof/>
            <w:webHidden/>
          </w:rPr>
          <w:t>7</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49" w:history="1">
        <w:r w:rsidR="00F24FEE" w:rsidRPr="000E296F">
          <w:rPr>
            <w:rStyle w:val="Hyperlink"/>
            <w:noProof/>
          </w:rPr>
          <w:t>2.1</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Introduction</w:t>
        </w:r>
        <w:r w:rsidR="00F24FEE">
          <w:rPr>
            <w:noProof/>
            <w:webHidden/>
          </w:rPr>
          <w:tab/>
        </w:r>
        <w:r w:rsidR="00F24FEE">
          <w:rPr>
            <w:noProof/>
            <w:webHidden/>
          </w:rPr>
          <w:fldChar w:fldCharType="begin"/>
        </w:r>
        <w:r w:rsidR="00F24FEE">
          <w:rPr>
            <w:noProof/>
            <w:webHidden/>
          </w:rPr>
          <w:instrText xml:space="preserve"> PAGEREF _Toc380687049 \h </w:instrText>
        </w:r>
        <w:r w:rsidR="00F24FEE">
          <w:rPr>
            <w:noProof/>
            <w:webHidden/>
          </w:rPr>
        </w:r>
        <w:r w:rsidR="00F24FEE">
          <w:rPr>
            <w:noProof/>
            <w:webHidden/>
          </w:rPr>
          <w:fldChar w:fldCharType="separate"/>
        </w:r>
        <w:r w:rsidR="00F24FEE">
          <w:rPr>
            <w:noProof/>
            <w:webHidden/>
          </w:rPr>
          <w:t>7</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50" w:history="1">
        <w:r w:rsidR="00F24FEE" w:rsidRPr="000E296F">
          <w:rPr>
            <w:rStyle w:val="Hyperlink"/>
            <w:noProof/>
          </w:rPr>
          <w:t>2.2</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Corporate branding</w:t>
        </w:r>
        <w:r w:rsidR="00F24FEE">
          <w:rPr>
            <w:noProof/>
            <w:webHidden/>
          </w:rPr>
          <w:tab/>
        </w:r>
        <w:r w:rsidR="00F24FEE">
          <w:rPr>
            <w:noProof/>
            <w:webHidden/>
          </w:rPr>
          <w:fldChar w:fldCharType="begin"/>
        </w:r>
        <w:r w:rsidR="00F24FEE">
          <w:rPr>
            <w:noProof/>
            <w:webHidden/>
          </w:rPr>
          <w:instrText xml:space="preserve"> PAGEREF _Toc380687050 \h </w:instrText>
        </w:r>
        <w:r w:rsidR="00F24FEE">
          <w:rPr>
            <w:noProof/>
            <w:webHidden/>
          </w:rPr>
        </w:r>
        <w:r w:rsidR="00F24FEE">
          <w:rPr>
            <w:noProof/>
            <w:webHidden/>
          </w:rPr>
          <w:fldChar w:fldCharType="separate"/>
        </w:r>
        <w:r w:rsidR="00F24FEE">
          <w:rPr>
            <w:noProof/>
            <w:webHidden/>
          </w:rPr>
          <w:t>7</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1" w:history="1">
        <w:r w:rsidR="00F24FEE" w:rsidRPr="000E296F">
          <w:rPr>
            <w:rStyle w:val="Hyperlink"/>
          </w:rPr>
          <w:t>2.2.1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Definition of a brand</w:t>
        </w:r>
        <w:r w:rsidR="00F24FEE">
          <w:rPr>
            <w:webHidden/>
          </w:rPr>
          <w:tab/>
        </w:r>
        <w:r w:rsidR="00F24FEE">
          <w:rPr>
            <w:webHidden/>
          </w:rPr>
          <w:fldChar w:fldCharType="begin"/>
        </w:r>
        <w:r w:rsidR="00F24FEE">
          <w:rPr>
            <w:webHidden/>
          </w:rPr>
          <w:instrText xml:space="preserve"> PAGEREF _Toc380687051 \h </w:instrText>
        </w:r>
        <w:r w:rsidR="00F24FEE">
          <w:rPr>
            <w:webHidden/>
          </w:rPr>
        </w:r>
        <w:r w:rsidR="00F24FEE">
          <w:rPr>
            <w:webHidden/>
          </w:rPr>
          <w:fldChar w:fldCharType="separate"/>
        </w:r>
        <w:r w:rsidR="00F24FEE">
          <w:rPr>
            <w:webHidden/>
          </w:rPr>
          <w:t>7</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2" w:history="1">
        <w:r w:rsidR="00F24FEE" w:rsidRPr="000E296F">
          <w:rPr>
            <w:rStyle w:val="Hyperlink"/>
          </w:rPr>
          <w:t>2.2.2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Definition of branding</w:t>
        </w:r>
        <w:r w:rsidR="00F24FEE">
          <w:rPr>
            <w:webHidden/>
          </w:rPr>
          <w:tab/>
        </w:r>
        <w:r w:rsidR="00F24FEE">
          <w:rPr>
            <w:webHidden/>
          </w:rPr>
          <w:fldChar w:fldCharType="begin"/>
        </w:r>
        <w:r w:rsidR="00F24FEE">
          <w:rPr>
            <w:webHidden/>
          </w:rPr>
          <w:instrText xml:space="preserve"> PAGEREF _Toc380687052 \h </w:instrText>
        </w:r>
        <w:r w:rsidR="00F24FEE">
          <w:rPr>
            <w:webHidden/>
          </w:rPr>
        </w:r>
        <w:r w:rsidR="00F24FEE">
          <w:rPr>
            <w:webHidden/>
          </w:rPr>
          <w:fldChar w:fldCharType="separate"/>
        </w:r>
        <w:r w:rsidR="00F24FEE">
          <w:rPr>
            <w:webHidden/>
          </w:rPr>
          <w:t>8</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3" w:history="1">
        <w:r w:rsidR="00F24FEE" w:rsidRPr="000E296F">
          <w:rPr>
            <w:rStyle w:val="Hyperlink"/>
          </w:rPr>
          <w:t>2.2.3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Brand equity</w:t>
        </w:r>
        <w:r w:rsidR="00F24FEE">
          <w:rPr>
            <w:webHidden/>
          </w:rPr>
          <w:tab/>
        </w:r>
        <w:r w:rsidR="00F24FEE">
          <w:rPr>
            <w:webHidden/>
          </w:rPr>
          <w:fldChar w:fldCharType="begin"/>
        </w:r>
        <w:r w:rsidR="00F24FEE">
          <w:rPr>
            <w:webHidden/>
          </w:rPr>
          <w:instrText xml:space="preserve"> PAGEREF _Toc380687053 \h </w:instrText>
        </w:r>
        <w:r w:rsidR="00F24FEE">
          <w:rPr>
            <w:webHidden/>
          </w:rPr>
        </w:r>
        <w:r w:rsidR="00F24FEE">
          <w:rPr>
            <w:webHidden/>
          </w:rPr>
          <w:fldChar w:fldCharType="separate"/>
        </w:r>
        <w:r w:rsidR="00F24FEE">
          <w:rPr>
            <w:webHidden/>
          </w:rPr>
          <w:t>8</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4" w:history="1">
        <w:r w:rsidR="00F24FEE" w:rsidRPr="000E296F">
          <w:rPr>
            <w:rStyle w:val="Hyperlink"/>
          </w:rPr>
          <w:t>2.2.4</w:t>
        </w:r>
        <w:r w:rsidR="00F24FEE">
          <w:rPr>
            <w:rFonts w:asciiTheme="minorHAnsi" w:eastAsiaTheme="minorEastAsia" w:hAnsiTheme="minorHAnsi" w:cstheme="minorBidi"/>
            <w:smallCaps w:val="0"/>
            <w:sz w:val="22"/>
            <w:szCs w:val="22"/>
            <w:lang w:val="en-ZA" w:eastAsia="en-ZA"/>
          </w:rPr>
          <w:tab/>
        </w:r>
        <w:r w:rsidR="00F24FEE" w:rsidRPr="000E296F">
          <w:rPr>
            <w:rStyle w:val="Hyperlink"/>
          </w:rPr>
          <w:t>Brand valuation</w:t>
        </w:r>
        <w:r w:rsidR="00F24FEE">
          <w:rPr>
            <w:webHidden/>
          </w:rPr>
          <w:tab/>
        </w:r>
        <w:r w:rsidR="00F24FEE">
          <w:rPr>
            <w:webHidden/>
          </w:rPr>
          <w:fldChar w:fldCharType="begin"/>
        </w:r>
        <w:r w:rsidR="00F24FEE">
          <w:rPr>
            <w:webHidden/>
          </w:rPr>
          <w:instrText xml:space="preserve"> PAGEREF _Toc380687054 \h </w:instrText>
        </w:r>
        <w:r w:rsidR="00F24FEE">
          <w:rPr>
            <w:webHidden/>
          </w:rPr>
        </w:r>
        <w:r w:rsidR="00F24FEE">
          <w:rPr>
            <w:webHidden/>
          </w:rPr>
          <w:fldChar w:fldCharType="separate"/>
        </w:r>
        <w:r w:rsidR="00F24FEE">
          <w:rPr>
            <w:webHidden/>
          </w:rPr>
          <w:t>8</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5" w:history="1">
        <w:r w:rsidR="00F24FEE" w:rsidRPr="000E296F">
          <w:rPr>
            <w:rStyle w:val="Hyperlink"/>
          </w:rPr>
          <w:t>2.2.5</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Definition of corporate branding</w:t>
        </w:r>
        <w:r w:rsidR="00F24FEE">
          <w:rPr>
            <w:webHidden/>
          </w:rPr>
          <w:tab/>
        </w:r>
        <w:r w:rsidR="00F24FEE">
          <w:rPr>
            <w:webHidden/>
          </w:rPr>
          <w:fldChar w:fldCharType="begin"/>
        </w:r>
        <w:r w:rsidR="00F24FEE">
          <w:rPr>
            <w:webHidden/>
          </w:rPr>
          <w:instrText xml:space="preserve"> PAGEREF _Toc380687055 \h </w:instrText>
        </w:r>
        <w:r w:rsidR="00F24FEE">
          <w:rPr>
            <w:webHidden/>
          </w:rPr>
        </w:r>
        <w:r w:rsidR="00F24FEE">
          <w:rPr>
            <w:webHidden/>
          </w:rPr>
          <w:fldChar w:fldCharType="separate"/>
        </w:r>
        <w:r w:rsidR="00F24FEE">
          <w:rPr>
            <w:webHidden/>
          </w:rPr>
          <w:t>9</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6" w:history="1">
        <w:r w:rsidR="00F24FEE" w:rsidRPr="000E296F">
          <w:rPr>
            <w:rStyle w:val="Hyperlink"/>
          </w:rPr>
          <w:t>2.2.6</w:t>
        </w:r>
        <w:r w:rsidR="00F24FEE">
          <w:rPr>
            <w:rFonts w:asciiTheme="minorHAnsi" w:eastAsiaTheme="minorEastAsia" w:hAnsiTheme="minorHAnsi" w:cstheme="minorBidi"/>
            <w:smallCaps w:val="0"/>
            <w:sz w:val="22"/>
            <w:szCs w:val="22"/>
            <w:lang w:val="en-ZA" w:eastAsia="en-ZA"/>
          </w:rPr>
          <w:tab/>
        </w:r>
        <w:r w:rsidR="00F24FEE" w:rsidRPr="000E296F">
          <w:rPr>
            <w:rStyle w:val="Hyperlink"/>
          </w:rPr>
          <w:t>Models of corporate brand management</w:t>
        </w:r>
        <w:r w:rsidR="00F24FEE">
          <w:rPr>
            <w:webHidden/>
          </w:rPr>
          <w:tab/>
        </w:r>
        <w:r w:rsidR="00F24FEE">
          <w:rPr>
            <w:webHidden/>
          </w:rPr>
          <w:fldChar w:fldCharType="begin"/>
        </w:r>
        <w:r w:rsidR="00F24FEE">
          <w:rPr>
            <w:webHidden/>
          </w:rPr>
          <w:instrText xml:space="preserve"> PAGEREF _Toc380687056 \h </w:instrText>
        </w:r>
        <w:r w:rsidR="00F24FEE">
          <w:rPr>
            <w:webHidden/>
          </w:rPr>
        </w:r>
        <w:r w:rsidR="00F24FEE">
          <w:rPr>
            <w:webHidden/>
          </w:rPr>
          <w:fldChar w:fldCharType="separate"/>
        </w:r>
        <w:r w:rsidR="00F24FEE">
          <w:rPr>
            <w:webHidden/>
          </w:rPr>
          <w:t>10</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7" w:history="1">
        <w:r w:rsidR="00F24FEE" w:rsidRPr="000E296F">
          <w:rPr>
            <w:rStyle w:val="Hyperlink"/>
          </w:rPr>
          <w:t>2.2.7</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Difference between corporate branding and product branding</w:t>
        </w:r>
        <w:r w:rsidR="00F24FEE">
          <w:rPr>
            <w:webHidden/>
          </w:rPr>
          <w:tab/>
        </w:r>
        <w:r w:rsidR="00F24FEE">
          <w:rPr>
            <w:webHidden/>
          </w:rPr>
          <w:fldChar w:fldCharType="begin"/>
        </w:r>
        <w:r w:rsidR="00F24FEE">
          <w:rPr>
            <w:webHidden/>
          </w:rPr>
          <w:instrText xml:space="preserve"> PAGEREF _Toc380687057 \h </w:instrText>
        </w:r>
        <w:r w:rsidR="00F24FEE">
          <w:rPr>
            <w:webHidden/>
          </w:rPr>
        </w:r>
        <w:r w:rsidR="00F24FEE">
          <w:rPr>
            <w:webHidden/>
          </w:rPr>
          <w:fldChar w:fldCharType="separate"/>
        </w:r>
        <w:r w:rsidR="00F24FEE">
          <w:rPr>
            <w:webHidden/>
          </w:rPr>
          <w:t>11</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58" w:history="1">
        <w:r w:rsidR="00F24FEE" w:rsidRPr="000E296F">
          <w:rPr>
            <w:rStyle w:val="Hyperlink"/>
            <w:noProof/>
          </w:rPr>
          <w:t>2.3</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Corporate rebranding</w:t>
        </w:r>
        <w:r w:rsidR="00F24FEE">
          <w:rPr>
            <w:noProof/>
            <w:webHidden/>
          </w:rPr>
          <w:tab/>
        </w:r>
        <w:r w:rsidR="00F24FEE">
          <w:rPr>
            <w:noProof/>
            <w:webHidden/>
          </w:rPr>
          <w:fldChar w:fldCharType="begin"/>
        </w:r>
        <w:r w:rsidR="00F24FEE">
          <w:rPr>
            <w:noProof/>
            <w:webHidden/>
          </w:rPr>
          <w:instrText xml:space="preserve"> PAGEREF _Toc380687058 \h </w:instrText>
        </w:r>
        <w:r w:rsidR="00F24FEE">
          <w:rPr>
            <w:noProof/>
            <w:webHidden/>
          </w:rPr>
        </w:r>
        <w:r w:rsidR="00F24FEE">
          <w:rPr>
            <w:noProof/>
            <w:webHidden/>
          </w:rPr>
          <w:fldChar w:fldCharType="separate"/>
        </w:r>
        <w:r w:rsidR="00F24FEE">
          <w:rPr>
            <w:noProof/>
            <w:webHidden/>
          </w:rPr>
          <w:t>13</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59" w:history="1">
        <w:r w:rsidR="00F24FEE" w:rsidRPr="000E296F">
          <w:rPr>
            <w:rStyle w:val="Hyperlink"/>
          </w:rPr>
          <w:t>2.3.1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The role of rebranding</w:t>
        </w:r>
        <w:r w:rsidR="00F24FEE">
          <w:rPr>
            <w:webHidden/>
          </w:rPr>
          <w:tab/>
        </w:r>
        <w:r w:rsidR="00F24FEE">
          <w:rPr>
            <w:webHidden/>
          </w:rPr>
          <w:fldChar w:fldCharType="begin"/>
        </w:r>
        <w:r w:rsidR="00F24FEE">
          <w:rPr>
            <w:webHidden/>
          </w:rPr>
          <w:instrText xml:space="preserve"> PAGEREF _Toc380687059 \h </w:instrText>
        </w:r>
        <w:r w:rsidR="00F24FEE">
          <w:rPr>
            <w:webHidden/>
          </w:rPr>
        </w:r>
        <w:r w:rsidR="00F24FEE">
          <w:rPr>
            <w:webHidden/>
          </w:rPr>
          <w:fldChar w:fldCharType="separate"/>
        </w:r>
        <w:r w:rsidR="00F24FEE">
          <w:rPr>
            <w:webHidden/>
          </w:rPr>
          <w:t>16</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60" w:history="1">
        <w:r w:rsidR="00F24FEE" w:rsidRPr="000E296F">
          <w:rPr>
            <w:rStyle w:val="Hyperlink"/>
          </w:rPr>
          <w:t>2.3.2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Drivers of corporate rebranding</w:t>
        </w:r>
        <w:r w:rsidR="00F24FEE">
          <w:rPr>
            <w:webHidden/>
          </w:rPr>
          <w:tab/>
        </w:r>
        <w:r w:rsidR="00F24FEE">
          <w:rPr>
            <w:webHidden/>
          </w:rPr>
          <w:fldChar w:fldCharType="begin"/>
        </w:r>
        <w:r w:rsidR="00F24FEE">
          <w:rPr>
            <w:webHidden/>
          </w:rPr>
          <w:instrText xml:space="preserve"> PAGEREF _Toc380687060 \h </w:instrText>
        </w:r>
        <w:r w:rsidR="00F24FEE">
          <w:rPr>
            <w:webHidden/>
          </w:rPr>
        </w:r>
        <w:r w:rsidR="00F24FEE">
          <w:rPr>
            <w:webHidden/>
          </w:rPr>
          <w:fldChar w:fldCharType="separate"/>
        </w:r>
        <w:r w:rsidR="00F24FEE">
          <w:rPr>
            <w:webHidden/>
          </w:rPr>
          <w:t>17</w:t>
        </w:r>
        <w:r w:rsidR="00F24FEE">
          <w:rPr>
            <w:webHidden/>
          </w:rPr>
          <w:fldChar w:fldCharType="end"/>
        </w:r>
      </w:hyperlink>
    </w:p>
    <w:p w:rsidR="00F24FEE" w:rsidRPr="00F24FEE" w:rsidRDefault="00E85236" w:rsidP="00F24FEE">
      <w:pPr>
        <w:pStyle w:val="TOC3"/>
        <w:tabs>
          <w:tab w:val="left" w:pos="1400"/>
          <w:tab w:val="right" w:leader="dot" w:pos="8728"/>
        </w:tabs>
        <w:rPr>
          <w:color w:val="0000FF"/>
          <w:u w:val="single"/>
        </w:rPr>
      </w:pPr>
      <w:hyperlink w:anchor="_Toc380687061" w:history="1">
        <w:r w:rsidR="00F24FEE" w:rsidRPr="000E296F">
          <w:rPr>
            <w:rStyle w:val="Hyperlink"/>
          </w:rPr>
          <w:t>2.3.3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Dimensions of corporate rebranding</w:t>
        </w:r>
        <w:r w:rsidR="00F24FEE">
          <w:rPr>
            <w:webHidden/>
          </w:rPr>
          <w:tab/>
        </w:r>
        <w:r w:rsidR="00F24FEE">
          <w:rPr>
            <w:webHidden/>
          </w:rPr>
          <w:fldChar w:fldCharType="begin"/>
        </w:r>
        <w:r w:rsidR="00F24FEE">
          <w:rPr>
            <w:webHidden/>
          </w:rPr>
          <w:instrText xml:space="preserve"> PAGEREF _Toc380687061 \h </w:instrText>
        </w:r>
        <w:r w:rsidR="00F24FEE">
          <w:rPr>
            <w:webHidden/>
          </w:rPr>
        </w:r>
        <w:r w:rsidR="00F24FEE">
          <w:rPr>
            <w:webHidden/>
          </w:rPr>
          <w:fldChar w:fldCharType="separate"/>
        </w:r>
        <w:r w:rsidR="00F24FEE">
          <w:rPr>
            <w:webHidden/>
          </w:rPr>
          <w:t>19</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64" w:history="1">
        <w:r w:rsidR="00F24FEE" w:rsidRPr="000E296F">
          <w:rPr>
            <w:rStyle w:val="Hyperlink"/>
          </w:rPr>
          <w:t>2.3.4</w:t>
        </w:r>
        <w:r w:rsidR="00F24FEE">
          <w:rPr>
            <w:rFonts w:asciiTheme="minorHAnsi" w:eastAsiaTheme="minorEastAsia" w:hAnsiTheme="minorHAnsi" w:cstheme="minorBidi"/>
            <w:smallCaps w:val="0"/>
            <w:sz w:val="22"/>
            <w:szCs w:val="22"/>
            <w:lang w:val="en-ZA" w:eastAsia="en-ZA"/>
          </w:rPr>
          <w:tab/>
        </w:r>
        <w:r w:rsidR="00F24FEE" w:rsidRPr="000E296F">
          <w:rPr>
            <w:rStyle w:val="Hyperlink"/>
          </w:rPr>
          <w:t>Types of corporate rebranding</w:t>
        </w:r>
        <w:r w:rsidR="00F24FEE">
          <w:rPr>
            <w:webHidden/>
          </w:rPr>
          <w:tab/>
        </w:r>
        <w:r w:rsidR="00F24FEE">
          <w:rPr>
            <w:webHidden/>
          </w:rPr>
          <w:fldChar w:fldCharType="begin"/>
        </w:r>
        <w:r w:rsidR="00F24FEE">
          <w:rPr>
            <w:webHidden/>
          </w:rPr>
          <w:instrText xml:space="preserve"> PAGEREF _Toc380687064 \h </w:instrText>
        </w:r>
        <w:r w:rsidR="00F24FEE">
          <w:rPr>
            <w:webHidden/>
          </w:rPr>
        </w:r>
        <w:r w:rsidR="00F24FEE">
          <w:rPr>
            <w:webHidden/>
          </w:rPr>
          <w:fldChar w:fldCharType="separate"/>
        </w:r>
        <w:r w:rsidR="00F24FEE">
          <w:rPr>
            <w:webHidden/>
          </w:rPr>
          <w:t>21</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65" w:history="1">
        <w:r w:rsidR="00F24FEE" w:rsidRPr="000E296F">
          <w:rPr>
            <w:rStyle w:val="Hyperlink"/>
            <w:noProof/>
          </w:rPr>
          <w:t>2.4</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Brand equity</w:t>
        </w:r>
        <w:r w:rsidR="00F24FEE">
          <w:rPr>
            <w:noProof/>
            <w:webHidden/>
          </w:rPr>
          <w:tab/>
        </w:r>
        <w:r w:rsidR="00F24FEE">
          <w:rPr>
            <w:noProof/>
            <w:webHidden/>
          </w:rPr>
          <w:fldChar w:fldCharType="begin"/>
        </w:r>
        <w:r w:rsidR="00F24FEE">
          <w:rPr>
            <w:noProof/>
            <w:webHidden/>
          </w:rPr>
          <w:instrText xml:space="preserve"> PAGEREF _Toc380687065 \h </w:instrText>
        </w:r>
        <w:r w:rsidR="00F24FEE">
          <w:rPr>
            <w:noProof/>
            <w:webHidden/>
          </w:rPr>
        </w:r>
        <w:r w:rsidR="00F24FEE">
          <w:rPr>
            <w:noProof/>
            <w:webHidden/>
          </w:rPr>
          <w:fldChar w:fldCharType="separate"/>
        </w:r>
        <w:r w:rsidR="00F24FEE">
          <w:rPr>
            <w:noProof/>
            <w:webHidden/>
          </w:rPr>
          <w:t>21</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66" w:history="1">
        <w:r w:rsidR="00F24FEE" w:rsidRPr="000E296F">
          <w:rPr>
            <w:rStyle w:val="Hyperlink"/>
          </w:rPr>
          <w:t>2.4.1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Definition of brand equity</w:t>
        </w:r>
        <w:r w:rsidR="00F24FEE">
          <w:rPr>
            <w:webHidden/>
          </w:rPr>
          <w:tab/>
        </w:r>
        <w:r w:rsidR="00F24FEE">
          <w:rPr>
            <w:webHidden/>
          </w:rPr>
          <w:fldChar w:fldCharType="begin"/>
        </w:r>
        <w:r w:rsidR="00F24FEE">
          <w:rPr>
            <w:webHidden/>
          </w:rPr>
          <w:instrText xml:space="preserve"> PAGEREF _Toc380687066 \h </w:instrText>
        </w:r>
        <w:r w:rsidR="00F24FEE">
          <w:rPr>
            <w:webHidden/>
          </w:rPr>
        </w:r>
        <w:r w:rsidR="00F24FEE">
          <w:rPr>
            <w:webHidden/>
          </w:rPr>
          <w:fldChar w:fldCharType="separate"/>
        </w:r>
        <w:r w:rsidR="00F24FEE">
          <w:rPr>
            <w:webHidden/>
          </w:rPr>
          <w:t>21</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67" w:history="1">
        <w:r w:rsidR="00F24FEE" w:rsidRPr="000E296F">
          <w:rPr>
            <w:rStyle w:val="Hyperlink"/>
          </w:rPr>
          <w:t>2.4.2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Brand equity models</w:t>
        </w:r>
        <w:r w:rsidR="00F24FEE">
          <w:rPr>
            <w:webHidden/>
          </w:rPr>
          <w:tab/>
        </w:r>
        <w:r w:rsidR="00F24FEE">
          <w:rPr>
            <w:webHidden/>
          </w:rPr>
          <w:fldChar w:fldCharType="begin"/>
        </w:r>
        <w:r w:rsidR="00F24FEE">
          <w:rPr>
            <w:webHidden/>
          </w:rPr>
          <w:instrText xml:space="preserve"> PAGEREF _Toc380687067 \h </w:instrText>
        </w:r>
        <w:r w:rsidR="00F24FEE">
          <w:rPr>
            <w:webHidden/>
          </w:rPr>
        </w:r>
        <w:r w:rsidR="00F24FEE">
          <w:rPr>
            <w:webHidden/>
          </w:rPr>
          <w:fldChar w:fldCharType="separate"/>
        </w:r>
        <w:r w:rsidR="00F24FEE">
          <w:rPr>
            <w:webHidden/>
          </w:rPr>
          <w:t>22</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68" w:history="1">
        <w:r w:rsidR="00F24FEE" w:rsidRPr="000E296F">
          <w:rPr>
            <w:rStyle w:val="Hyperlink"/>
          </w:rPr>
          <w:t>2.4.3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Measurement of brand equity</w:t>
        </w:r>
        <w:r w:rsidR="00F24FEE">
          <w:rPr>
            <w:webHidden/>
          </w:rPr>
          <w:tab/>
        </w:r>
        <w:r w:rsidR="00F24FEE">
          <w:rPr>
            <w:webHidden/>
          </w:rPr>
          <w:fldChar w:fldCharType="begin"/>
        </w:r>
        <w:r w:rsidR="00F24FEE">
          <w:rPr>
            <w:webHidden/>
          </w:rPr>
          <w:instrText xml:space="preserve"> PAGEREF _Toc380687068 \h </w:instrText>
        </w:r>
        <w:r w:rsidR="00F24FEE">
          <w:rPr>
            <w:webHidden/>
          </w:rPr>
        </w:r>
        <w:r w:rsidR="00F24FEE">
          <w:rPr>
            <w:webHidden/>
          </w:rPr>
          <w:fldChar w:fldCharType="separate"/>
        </w:r>
        <w:r w:rsidR="00F24FEE">
          <w:rPr>
            <w:webHidden/>
          </w:rPr>
          <w:t>25</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69" w:history="1">
        <w:r w:rsidR="00F24FEE" w:rsidRPr="000E296F">
          <w:rPr>
            <w:rStyle w:val="Hyperlink"/>
          </w:rPr>
          <w:t>2.4.4</w:t>
        </w:r>
        <w:r w:rsidR="00F24FEE">
          <w:rPr>
            <w:rFonts w:asciiTheme="minorHAnsi" w:eastAsiaTheme="minorEastAsia" w:hAnsiTheme="minorHAnsi" w:cstheme="minorBidi"/>
            <w:smallCaps w:val="0"/>
            <w:sz w:val="22"/>
            <w:szCs w:val="22"/>
            <w:lang w:val="en-ZA" w:eastAsia="en-ZA"/>
          </w:rPr>
          <w:tab/>
        </w:r>
        <w:r w:rsidR="00F24FEE" w:rsidRPr="000E296F">
          <w:rPr>
            <w:rStyle w:val="Hyperlink"/>
          </w:rPr>
          <w:t>Brand equity valuations</w:t>
        </w:r>
        <w:r w:rsidR="00F24FEE">
          <w:rPr>
            <w:webHidden/>
          </w:rPr>
          <w:tab/>
        </w:r>
        <w:r w:rsidR="00F24FEE">
          <w:rPr>
            <w:webHidden/>
          </w:rPr>
          <w:fldChar w:fldCharType="begin"/>
        </w:r>
        <w:r w:rsidR="00F24FEE">
          <w:rPr>
            <w:webHidden/>
          </w:rPr>
          <w:instrText xml:space="preserve"> PAGEREF _Toc380687069 \h </w:instrText>
        </w:r>
        <w:r w:rsidR="00F24FEE">
          <w:rPr>
            <w:webHidden/>
          </w:rPr>
        </w:r>
        <w:r w:rsidR="00F24FEE">
          <w:rPr>
            <w:webHidden/>
          </w:rPr>
          <w:fldChar w:fldCharType="separate"/>
        </w:r>
        <w:r w:rsidR="00F24FEE">
          <w:rPr>
            <w:webHidden/>
          </w:rPr>
          <w:t>25</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70" w:history="1">
        <w:r w:rsidR="00F24FEE" w:rsidRPr="000E296F">
          <w:rPr>
            <w:rStyle w:val="Hyperlink"/>
          </w:rPr>
          <w:t>2.4.5</w:t>
        </w:r>
        <w:r w:rsidR="00F24FEE">
          <w:rPr>
            <w:rFonts w:asciiTheme="minorHAnsi" w:eastAsiaTheme="minorEastAsia" w:hAnsiTheme="minorHAnsi" w:cstheme="minorBidi"/>
            <w:smallCaps w:val="0"/>
            <w:sz w:val="22"/>
            <w:szCs w:val="22"/>
            <w:lang w:val="en-ZA" w:eastAsia="en-ZA"/>
          </w:rPr>
          <w:tab/>
        </w:r>
        <w:r w:rsidR="00F24FEE" w:rsidRPr="000E296F">
          <w:rPr>
            <w:rStyle w:val="Hyperlink"/>
          </w:rPr>
          <w:t>Benefits of brand equity</w:t>
        </w:r>
        <w:r w:rsidR="00F24FEE">
          <w:rPr>
            <w:webHidden/>
          </w:rPr>
          <w:tab/>
        </w:r>
        <w:r w:rsidR="00F24FEE">
          <w:rPr>
            <w:webHidden/>
          </w:rPr>
          <w:fldChar w:fldCharType="begin"/>
        </w:r>
        <w:r w:rsidR="00F24FEE">
          <w:rPr>
            <w:webHidden/>
          </w:rPr>
          <w:instrText xml:space="preserve"> PAGEREF _Toc380687070 \h </w:instrText>
        </w:r>
        <w:r w:rsidR="00F24FEE">
          <w:rPr>
            <w:webHidden/>
          </w:rPr>
        </w:r>
        <w:r w:rsidR="00F24FEE">
          <w:rPr>
            <w:webHidden/>
          </w:rPr>
          <w:fldChar w:fldCharType="separate"/>
        </w:r>
        <w:r w:rsidR="00F24FEE">
          <w:rPr>
            <w:webHidden/>
          </w:rPr>
          <w:t>26</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71" w:history="1">
        <w:r w:rsidR="00F24FEE" w:rsidRPr="000E296F">
          <w:rPr>
            <w:rStyle w:val="Hyperlink"/>
            <w:noProof/>
          </w:rPr>
          <w:t>2.5</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Linking corporate rebranding and brand equity</w:t>
        </w:r>
        <w:r w:rsidR="00F24FEE">
          <w:rPr>
            <w:noProof/>
            <w:webHidden/>
          </w:rPr>
          <w:tab/>
        </w:r>
        <w:r w:rsidR="00F24FEE">
          <w:rPr>
            <w:noProof/>
            <w:webHidden/>
          </w:rPr>
          <w:fldChar w:fldCharType="begin"/>
        </w:r>
        <w:r w:rsidR="00F24FEE">
          <w:rPr>
            <w:noProof/>
            <w:webHidden/>
          </w:rPr>
          <w:instrText xml:space="preserve"> PAGEREF _Toc380687071 \h </w:instrText>
        </w:r>
        <w:r w:rsidR="00F24FEE">
          <w:rPr>
            <w:noProof/>
            <w:webHidden/>
          </w:rPr>
        </w:r>
        <w:r w:rsidR="00F24FEE">
          <w:rPr>
            <w:noProof/>
            <w:webHidden/>
          </w:rPr>
          <w:fldChar w:fldCharType="separate"/>
        </w:r>
        <w:r w:rsidR="00F24FEE">
          <w:rPr>
            <w:noProof/>
            <w:webHidden/>
          </w:rPr>
          <w:t>27</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72" w:history="1">
        <w:r w:rsidR="00F24FEE" w:rsidRPr="000E296F">
          <w:rPr>
            <w:rStyle w:val="Hyperlink"/>
            <w:noProof/>
          </w:rPr>
          <w:t>2.6</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Conclusion of Literature Review: Research propositions</w:t>
        </w:r>
        <w:r w:rsidR="00F24FEE">
          <w:rPr>
            <w:noProof/>
            <w:webHidden/>
          </w:rPr>
          <w:tab/>
        </w:r>
        <w:r w:rsidR="00F24FEE">
          <w:rPr>
            <w:noProof/>
            <w:webHidden/>
          </w:rPr>
          <w:fldChar w:fldCharType="begin"/>
        </w:r>
        <w:r w:rsidR="00F24FEE">
          <w:rPr>
            <w:noProof/>
            <w:webHidden/>
          </w:rPr>
          <w:instrText xml:space="preserve"> PAGEREF _Toc380687072 \h </w:instrText>
        </w:r>
        <w:r w:rsidR="00F24FEE">
          <w:rPr>
            <w:noProof/>
            <w:webHidden/>
          </w:rPr>
        </w:r>
        <w:r w:rsidR="00F24FEE">
          <w:rPr>
            <w:noProof/>
            <w:webHidden/>
          </w:rPr>
          <w:fldChar w:fldCharType="separate"/>
        </w:r>
        <w:r w:rsidR="00F24FEE">
          <w:rPr>
            <w:noProof/>
            <w:webHidden/>
          </w:rPr>
          <w:t>27</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73" w:history="1">
        <w:r w:rsidR="00F24FEE" w:rsidRPr="000E296F">
          <w:rPr>
            <w:rStyle w:val="Hyperlink"/>
          </w:rPr>
          <w:t>2.6.1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Research Proposition 1</w:t>
        </w:r>
        <w:r w:rsidR="00F24FEE">
          <w:rPr>
            <w:webHidden/>
          </w:rPr>
          <w:tab/>
        </w:r>
        <w:r w:rsidR="00F24FEE">
          <w:rPr>
            <w:webHidden/>
          </w:rPr>
          <w:fldChar w:fldCharType="begin"/>
        </w:r>
        <w:r w:rsidR="00F24FEE">
          <w:rPr>
            <w:webHidden/>
          </w:rPr>
          <w:instrText xml:space="preserve"> PAGEREF _Toc380687073 \h </w:instrText>
        </w:r>
        <w:r w:rsidR="00F24FEE">
          <w:rPr>
            <w:webHidden/>
          </w:rPr>
        </w:r>
        <w:r w:rsidR="00F24FEE">
          <w:rPr>
            <w:webHidden/>
          </w:rPr>
          <w:fldChar w:fldCharType="separate"/>
        </w:r>
        <w:r w:rsidR="00F24FEE">
          <w:rPr>
            <w:webHidden/>
          </w:rPr>
          <w:t>28</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74" w:history="1">
        <w:r w:rsidR="00F24FEE" w:rsidRPr="000E296F">
          <w:rPr>
            <w:rStyle w:val="Hyperlink"/>
          </w:rPr>
          <w:t>2.6.2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Research Proposition 2</w:t>
        </w:r>
        <w:r w:rsidR="00F24FEE">
          <w:rPr>
            <w:webHidden/>
          </w:rPr>
          <w:tab/>
        </w:r>
        <w:r w:rsidR="00F24FEE">
          <w:rPr>
            <w:webHidden/>
          </w:rPr>
          <w:fldChar w:fldCharType="begin"/>
        </w:r>
        <w:r w:rsidR="00F24FEE">
          <w:rPr>
            <w:webHidden/>
          </w:rPr>
          <w:instrText xml:space="preserve"> PAGEREF _Toc380687074 \h </w:instrText>
        </w:r>
        <w:r w:rsidR="00F24FEE">
          <w:rPr>
            <w:webHidden/>
          </w:rPr>
        </w:r>
        <w:r w:rsidR="00F24FEE">
          <w:rPr>
            <w:webHidden/>
          </w:rPr>
          <w:fldChar w:fldCharType="separate"/>
        </w:r>
        <w:r w:rsidR="00F24FEE">
          <w:rPr>
            <w:webHidden/>
          </w:rPr>
          <w:t>28</w:t>
        </w:r>
        <w:r w:rsidR="00F24FEE">
          <w:rPr>
            <w:webHidden/>
          </w:rPr>
          <w:fldChar w:fldCharType="end"/>
        </w:r>
      </w:hyperlink>
    </w:p>
    <w:p w:rsidR="00F24FEE" w:rsidRDefault="00E85236">
      <w:pPr>
        <w:pStyle w:val="TOC1"/>
        <w:tabs>
          <w:tab w:val="left" w:pos="720"/>
        </w:tabs>
        <w:rPr>
          <w:rFonts w:asciiTheme="minorHAnsi" w:eastAsiaTheme="minorEastAsia" w:hAnsiTheme="minorHAnsi" w:cstheme="minorBidi"/>
          <w:b w:val="0"/>
          <w:caps w:val="0"/>
          <w:noProof/>
          <w:sz w:val="22"/>
          <w:szCs w:val="22"/>
          <w:lang w:val="en-ZA" w:eastAsia="en-ZA"/>
        </w:rPr>
      </w:pPr>
      <w:hyperlink w:anchor="_Toc380687075" w:history="1">
        <w:r w:rsidR="00F24FEE" w:rsidRPr="000E296F">
          <w:rPr>
            <w:rStyle w:val="Hyperlink"/>
            <w:noProof/>
          </w:rPr>
          <w:t>3</w:t>
        </w:r>
        <w:r w:rsidR="00F24FEE">
          <w:rPr>
            <w:rFonts w:asciiTheme="minorHAnsi" w:eastAsiaTheme="minorEastAsia" w:hAnsiTheme="minorHAnsi" w:cstheme="minorBidi"/>
            <w:b w:val="0"/>
            <w:caps w:val="0"/>
            <w:noProof/>
            <w:sz w:val="22"/>
            <w:szCs w:val="22"/>
            <w:lang w:val="en-ZA" w:eastAsia="en-ZA"/>
          </w:rPr>
          <w:tab/>
        </w:r>
        <w:r w:rsidR="00F24FEE" w:rsidRPr="000E296F">
          <w:rPr>
            <w:rStyle w:val="Hyperlink"/>
            <w:noProof/>
          </w:rPr>
          <w:t>RESEARCH METHODOLOGY</w:t>
        </w:r>
        <w:r w:rsidR="00F24FEE">
          <w:rPr>
            <w:noProof/>
            <w:webHidden/>
          </w:rPr>
          <w:tab/>
        </w:r>
        <w:r w:rsidR="00F24FEE">
          <w:rPr>
            <w:noProof/>
            <w:webHidden/>
          </w:rPr>
          <w:fldChar w:fldCharType="begin"/>
        </w:r>
        <w:r w:rsidR="00F24FEE">
          <w:rPr>
            <w:noProof/>
            <w:webHidden/>
          </w:rPr>
          <w:instrText xml:space="preserve"> PAGEREF _Toc380687075 \h </w:instrText>
        </w:r>
        <w:r w:rsidR="00F24FEE">
          <w:rPr>
            <w:noProof/>
            <w:webHidden/>
          </w:rPr>
        </w:r>
        <w:r w:rsidR="00F24FEE">
          <w:rPr>
            <w:noProof/>
            <w:webHidden/>
          </w:rPr>
          <w:fldChar w:fldCharType="separate"/>
        </w:r>
        <w:r w:rsidR="00F24FEE">
          <w:rPr>
            <w:noProof/>
            <w:webHidden/>
          </w:rPr>
          <w:t>30</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76" w:history="1">
        <w:r w:rsidR="00F24FEE" w:rsidRPr="000E296F">
          <w:rPr>
            <w:rStyle w:val="Hyperlink"/>
            <w:noProof/>
          </w:rPr>
          <w:t>3.1</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Research methodology</w:t>
        </w:r>
        <w:r w:rsidR="00F24FEE">
          <w:rPr>
            <w:noProof/>
            <w:webHidden/>
          </w:rPr>
          <w:tab/>
        </w:r>
        <w:r w:rsidR="00F24FEE">
          <w:rPr>
            <w:noProof/>
            <w:webHidden/>
          </w:rPr>
          <w:fldChar w:fldCharType="begin"/>
        </w:r>
        <w:r w:rsidR="00F24FEE">
          <w:rPr>
            <w:noProof/>
            <w:webHidden/>
          </w:rPr>
          <w:instrText xml:space="preserve"> PAGEREF _Toc380687076 \h </w:instrText>
        </w:r>
        <w:r w:rsidR="00F24FEE">
          <w:rPr>
            <w:noProof/>
            <w:webHidden/>
          </w:rPr>
        </w:r>
        <w:r w:rsidR="00F24FEE">
          <w:rPr>
            <w:noProof/>
            <w:webHidden/>
          </w:rPr>
          <w:fldChar w:fldCharType="separate"/>
        </w:r>
        <w:r w:rsidR="00F24FEE">
          <w:rPr>
            <w:noProof/>
            <w:webHidden/>
          </w:rPr>
          <w:t>30</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77" w:history="1">
        <w:r w:rsidR="00F24FEE" w:rsidRPr="000E296F">
          <w:rPr>
            <w:rStyle w:val="Hyperlink"/>
            <w:noProof/>
          </w:rPr>
          <w:t>3.2</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Population and sample</w:t>
        </w:r>
        <w:r w:rsidR="00F24FEE">
          <w:rPr>
            <w:noProof/>
            <w:webHidden/>
          </w:rPr>
          <w:tab/>
        </w:r>
        <w:r w:rsidR="00F24FEE">
          <w:rPr>
            <w:noProof/>
            <w:webHidden/>
          </w:rPr>
          <w:fldChar w:fldCharType="begin"/>
        </w:r>
        <w:r w:rsidR="00F24FEE">
          <w:rPr>
            <w:noProof/>
            <w:webHidden/>
          </w:rPr>
          <w:instrText xml:space="preserve"> PAGEREF _Toc380687077 \h </w:instrText>
        </w:r>
        <w:r w:rsidR="00F24FEE">
          <w:rPr>
            <w:noProof/>
            <w:webHidden/>
          </w:rPr>
        </w:r>
        <w:r w:rsidR="00F24FEE">
          <w:rPr>
            <w:noProof/>
            <w:webHidden/>
          </w:rPr>
          <w:fldChar w:fldCharType="separate"/>
        </w:r>
        <w:r w:rsidR="00F24FEE">
          <w:rPr>
            <w:noProof/>
            <w:webHidden/>
          </w:rPr>
          <w:t>30</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78" w:history="1">
        <w:r w:rsidR="00F24FEE" w:rsidRPr="000E296F">
          <w:rPr>
            <w:rStyle w:val="Hyperlink"/>
          </w:rPr>
          <w:t>3.2.1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Population</w:t>
        </w:r>
        <w:r w:rsidR="00F24FEE">
          <w:rPr>
            <w:webHidden/>
          </w:rPr>
          <w:tab/>
        </w:r>
        <w:r w:rsidR="00F24FEE">
          <w:rPr>
            <w:webHidden/>
          </w:rPr>
          <w:fldChar w:fldCharType="begin"/>
        </w:r>
        <w:r w:rsidR="00F24FEE">
          <w:rPr>
            <w:webHidden/>
          </w:rPr>
          <w:instrText xml:space="preserve"> PAGEREF _Toc380687078 \h </w:instrText>
        </w:r>
        <w:r w:rsidR="00F24FEE">
          <w:rPr>
            <w:webHidden/>
          </w:rPr>
        </w:r>
        <w:r w:rsidR="00F24FEE">
          <w:rPr>
            <w:webHidden/>
          </w:rPr>
          <w:fldChar w:fldCharType="separate"/>
        </w:r>
        <w:r w:rsidR="00F24FEE">
          <w:rPr>
            <w:webHidden/>
          </w:rPr>
          <w:t>31</w:t>
        </w:r>
        <w:r w:rsidR="00F24FEE">
          <w:rPr>
            <w:webHidden/>
          </w:rPr>
          <w:fldChar w:fldCharType="end"/>
        </w:r>
      </w:hyperlink>
    </w:p>
    <w:p w:rsidR="00F24FEE" w:rsidRDefault="00E85236">
      <w:pPr>
        <w:pStyle w:val="TOC3"/>
        <w:tabs>
          <w:tab w:val="left" w:pos="1400"/>
          <w:tab w:val="right" w:leader="dot" w:pos="8728"/>
        </w:tabs>
        <w:rPr>
          <w:rStyle w:val="Hyperlink"/>
        </w:rPr>
      </w:pPr>
      <w:hyperlink w:anchor="_Toc380687079" w:history="1">
        <w:r w:rsidR="00F24FEE" w:rsidRPr="000E296F">
          <w:rPr>
            <w:rStyle w:val="Hyperlink"/>
          </w:rPr>
          <w:t>3.2.2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Sample</w:t>
        </w:r>
        <w:r w:rsidR="00F24FEE">
          <w:rPr>
            <w:webHidden/>
          </w:rPr>
          <w:tab/>
        </w:r>
        <w:r w:rsidR="00F24FEE">
          <w:rPr>
            <w:webHidden/>
          </w:rPr>
          <w:fldChar w:fldCharType="begin"/>
        </w:r>
        <w:r w:rsidR="00F24FEE">
          <w:rPr>
            <w:webHidden/>
          </w:rPr>
          <w:instrText xml:space="preserve"> PAGEREF _Toc380687079 \h </w:instrText>
        </w:r>
        <w:r w:rsidR="00F24FEE">
          <w:rPr>
            <w:webHidden/>
          </w:rPr>
        </w:r>
        <w:r w:rsidR="00F24FEE">
          <w:rPr>
            <w:webHidden/>
          </w:rPr>
          <w:fldChar w:fldCharType="separate"/>
        </w:r>
        <w:r w:rsidR="00F24FEE">
          <w:rPr>
            <w:webHidden/>
          </w:rPr>
          <w:t>31</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81" w:history="1">
        <w:r w:rsidR="00F24FEE" w:rsidRPr="000E296F">
          <w:rPr>
            <w:rStyle w:val="Hyperlink"/>
            <w:noProof/>
          </w:rPr>
          <w:t>3.3</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Procedure for data collection</w:t>
        </w:r>
        <w:r w:rsidR="00F24FEE">
          <w:rPr>
            <w:noProof/>
            <w:webHidden/>
          </w:rPr>
          <w:tab/>
        </w:r>
        <w:r w:rsidR="00F24FEE">
          <w:rPr>
            <w:noProof/>
            <w:webHidden/>
          </w:rPr>
          <w:fldChar w:fldCharType="begin"/>
        </w:r>
        <w:r w:rsidR="00F24FEE">
          <w:rPr>
            <w:noProof/>
            <w:webHidden/>
          </w:rPr>
          <w:instrText xml:space="preserve"> PAGEREF _Toc380687081 \h </w:instrText>
        </w:r>
        <w:r w:rsidR="00F24FEE">
          <w:rPr>
            <w:noProof/>
            <w:webHidden/>
          </w:rPr>
        </w:r>
        <w:r w:rsidR="00F24FEE">
          <w:rPr>
            <w:noProof/>
            <w:webHidden/>
          </w:rPr>
          <w:fldChar w:fldCharType="separate"/>
        </w:r>
        <w:r w:rsidR="00F24FEE">
          <w:rPr>
            <w:noProof/>
            <w:webHidden/>
          </w:rPr>
          <w:t>32</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82" w:history="1">
        <w:r w:rsidR="00F24FEE" w:rsidRPr="000E296F">
          <w:rPr>
            <w:rStyle w:val="Hyperlink"/>
            <w:noProof/>
          </w:rPr>
          <w:t>3.4</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Data analysis and interpretation</w:t>
        </w:r>
        <w:r w:rsidR="00F24FEE">
          <w:rPr>
            <w:noProof/>
            <w:webHidden/>
          </w:rPr>
          <w:tab/>
        </w:r>
        <w:r w:rsidR="00F24FEE">
          <w:rPr>
            <w:noProof/>
            <w:webHidden/>
          </w:rPr>
          <w:fldChar w:fldCharType="begin"/>
        </w:r>
        <w:r w:rsidR="00F24FEE">
          <w:rPr>
            <w:noProof/>
            <w:webHidden/>
          </w:rPr>
          <w:instrText xml:space="preserve"> PAGEREF _Toc380687082 \h </w:instrText>
        </w:r>
        <w:r w:rsidR="00F24FEE">
          <w:rPr>
            <w:noProof/>
            <w:webHidden/>
          </w:rPr>
        </w:r>
        <w:r w:rsidR="00F24FEE">
          <w:rPr>
            <w:noProof/>
            <w:webHidden/>
          </w:rPr>
          <w:fldChar w:fldCharType="separate"/>
        </w:r>
        <w:r w:rsidR="00F24FEE">
          <w:rPr>
            <w:noProof/>
            <w:webHidden/>
          </w:rPr>
          <w:t>32</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83" w:history="1">
        <w:r w:rsidR="00F24FEE" w:rsidRPr="000E296F">
          <w:rPr>
            <w:rStyle w:val="Hyperlink"/>
            <w:noProof/>
          </w:rPr>
          <w:t>3.5</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Limitations of the study</w:t>
        </w:r>
        <w:r w:rsidR="00F24FEE">
          <w:rPr>
            <w:noProof/>
            <w:webHidden/>
          </w:rPr>
          <w:tab/>
        </w:r>
        <w:r w:rsidR="00F24FEE">
          <w:rPr>
            <w:noProof/>
            <w:webHidden/>
          </w:rPr>
          <w:fldChar w:fldCharType="begin"/>
        </w:r>
        <w:r w:rsidR="00F24FEE">
          <w:rPr>
            <w:noProof/>
            <w:webHidden/>
          </w:rPr>
          <w:instrText xml:space="preserve"> PAGEREF _Toc380687083 \h </w:instrText>
        </w:r>
        <w:r w:rsidR="00F24FEE">
          <w:rPr>
            <w:noProof/>
            <w:webHidden/>
          </w:rPr>
        </w:r>
        <w:r w:rsidR="00F24FEE">
          <w:rPr>
            <w:noProof/>
            <w:webHidden/>
          </w:rPr>
          <w:fldChar w:fldCharType="separate"/>
        </w:r>
        <w:r w:rsidR="00F24FEE">
          <w:rPr>
            <w:noProof/>
            <w:webHidden/>
          </w:rPr>
          <w:t>33</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84" w:history="1">
        <w:r w:rsidR="00F24FEE" w:rsidRPr="000E296F">
          <w:rPr>
            <w:rStyle w:val="Hyperlink"/>
            <w:noProof/>
          </w:rPr>
          <w:t>3.6</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Validity and reliability</w:t>
        </w:r>
        <w:r w:rsidR="00F24FEE">
          <w:rPr>
            <w:noProof/>
            <w:webHidden/>
          </w:rPr>
          <w:tab/>
        </w:r>
        <w:r w:rsidR="00F24FEE">
          <w:rPr>
            <w:noProof/>
            <w:webHidden/>
          </w:rPr>
          <w:fldChar w:fldCharType="begin"/>
        </w:r>
        <w:r w:rsidR="00F24FEE">
          <w:rPr>
            <w:noProof/>
            <w:webHidden/>
          </w:rPr>
          <w:instrText xml:space="preserve"> PAGEREF _Toc380687084 \h </w:instrText>
        </w:r>
        <w:r w:rsidR="00F24FEE">
          <w:rPr>
            <w:noProof/>
            <w:webHidden/>
          </w:rPr>
        </w:r>
        <w:r w:rsidR="00F24FEE">
          <w:rPr>
            <w:noProof/>
            <w:webHidden/>
          </w:rPr>
          <w:fldChar w:fldCharType="separate"/>
        </w:r>
        <w:r w:rsidR="00F24FEE">
          <w:rPr>
            <w:noProof/>
            <w:webHidden/>
          </w:rPr>
          <w:t>34</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85" w:history="1">
        <w:r w:rsidR="00F24FEE" w:rsidRPr="000E296F">
          <w:rPr>
            <w:rStyle w:val="Hyperlink"/>
          </w:rPr>
          <w:t>3.6.1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External validity</w:t>
        </w:r>
        <w:r w:rsidR="00F24FEE">
          <w:rPr>
            <w:webHidden/>
          </w:rPr>
          <w:tab/>
        </w:r>
        <w:r w:rsidR="00F24FEE">
          <w:rPr>
            <w:webHidden/>
          </w:rPr>
          <w:fldChar w:fldCharType="begin"/>
        </w:r>
        <w:r w:rsidR="00F24FEE">
          <w:rPr>
            <w:webHidden/>
          </w:rPr>
          <w:instrText xml:space="preserve"> PAGEREF _Toc380687085 \h </w:instrText>
        </w:r>
        <w:r w:rsidR="00F24FEE">
          <w:rPr>
            <w:webHidden/>
          </w:rPr>
        </w:r>
        <w:r w:rsidR="00F24FEE">
          <w:rPr>
            <w:webHidden/>
          </w:rPr>
          <w:fldChar w:fldCharType="separate"/>
        </w:r>
        <w:r w:rsidR="00F24FEE">
          <w:rPr>
            <w:webHidden/>
          </w:rPr>
          <w:t>34</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86" w:history="1">
        <w:r w:rsidR="00F24FEE" w:rsidRPr="000E296F">
          <w:rPr>
            <w:rStyle w:val="Hyperlink"/>
          </w:rPr>
          <w:t>3.6.2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Internal validity</w:t>
        </w:r>
        <w:r w:rsidR="00F24FEE">
          <w:rPr>
            <w:webHidden/>
          </w:rPr>
          <w:tab/>
        </w:r>
        <w:r w:rsidR="00F24FEE">
          <w:rPr>
            <w:webHidden/>
          </w:rPr>
          <w:fldChar w:fldCharType="begin"/>
        </w:r>
        <w:r w:rsidR="00F24FEE">
          <w:rPr>
            <w:webHidden/>
          </w:rPr>
          <w:instrText xml:space="preserve"> PAGEREF _Toc380687086 \h </w:instrText>
        </w:r>
        <w:r w:rsidR="00F24FEE">
          <w:rPr>
            <w:webHidden/>
          </w:rPr>
        </w:r>
        <w:r w:rsidR="00F24FEE">
          <w:rPr>
            <w:webHidden/>
          </w:rPr>
          <w:fldChar w:fldCharType="separate"/>
        </w:r>
        <w:r w:rsidR="00F24FEE">
          <w:rPr>
            <w:webHidden/>
          </w:rPr>
          <w:t>34</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87" w:history="1">
        <w:r w:rsidR="00F24FEE" w:rsidRPr="000E296F">
          <w:rPr>
            <w:rStyle w:val="Hyperlink"/>
          </w:rPr>
          <w:t>3.6.3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Reliability</w:t>
        </w:r>
        <w:r w:rsidR="00F24FEE">
          <w:rPr>
            <w:webHidden/>
          </w:rPr>
          <w:tab/>
        </w:r>
        <w:r w:rsidR="00F24FEE">
          <w:rPr>
            <w:webHidden/>
          </w:rPr>
          <w:fldChar w:fldCharType="begin"/>
        </w:r>
        <w:r w:rsidR="00F24FEE">
          <w:rPr>
            <w:webHidden/>
          </w:rPr>
          <w:instrText xml:space="preserve"> PAGEREF _Toc380687087 \h </w:instrText>
        </w:r>
        <w:r w:rsidR="00F24FEE">
          <w:rPr>
            <w:webHidden/>
          </w:rPr>
        </w:r>
        <w:r w:rsidR="00F24FEE">
          <w:rPr>
            <w:webHidden/>
          </w:rPr>
          <w:fldChar w:fldCharType="separate"/>
        </w:r>
        <w:r w:rsidR="00F24FEE">
          <w:rPr>
            <w:webHidden/>
          </w:rPr>
          <w:t>35</w:t>
        </w:r>
        <w:r w:rsidR="00F24FEE">
          <w:rPr>
            <w:webHidden/>
          </w:rPr>
          <w:fldChar w:fldCharType="end"/>
        </w:r>
      </w:hyperlink>
    </w:p>
    <w:p w:rsidR="00F24FEE" w:rsidRDefault="00E85236">
      <w:pPr>
        <w:pStyle w:val="TOC1"/>
        <w:tabs>
          <w:tab w:val="left" w:pos="720"/>
        </w:tabs>
        <w:rPr>
          <w:rFonts w:asciiTheme="minorHAnsi" w:eastAsiaTheme="minorEastAsia" w:hAnsiTheme="minorHAnsi" w:cstheme="minorBidi"/>
          <w:b w:val="0"/>
          <w:caps w:val="0"/>
          <w:noProof/>
          <w:sz w:val="22"/>
          <w:szCs w:val="22"/>
          <w:lang w:val="en-ZA" w:eastAsia="en-ZA"/>
        </w:rPr>
      </w:pPr>
      <w:hyperlink w:anchor="_Toc380687088" w:history="1">
        <w:r w:rsidR="00F24FEE" w:rsidRPr="000E296F">
          <w:rPr>
            <w:rStyle w:val="Hyperlink"/>
            <w:noProof/>
          </w:rPr>
          <w:t>4</w:t>
        </w:r>
        <w:r w:rsidR="00F24FEE">
          <w:rPr>
            <w:rFonts w:asciiTheme="minorHAnsi" w:eastAsiaTheme="minorEastAsia" w:hAnsiTheme="minorHAnsi" w:cstheme="minorBidi"/>
            <w:b w:val="0"/>
            <w:caps w:val="0"/>
            <w:noProof/>
            <w:sz w:val="22"/>
            <w:szCs w:val="22"/>
            <w:lang w:val="en-ZA" w:eastAsia="en-ZA"/>
          </w:rPr>
          <w:tab/>
        </w:r>
        <w:r w:rsidR="00F24FEE" w:rsidRPr="000E296F">
          <w:rPr>
            <w:rStyle w:val="Hyperlink"/>
            <w:noProof/>
          </w:rPr>
          <w:t>PRESENTATION AND DISCUSSION OF RESULTS</w:t>
        </w:r>
        <w:r w:rsidR="00F24FEE">
          <w:rPr>
            <w:noProof/>
            <w:webHidden/>
          </w:rPr>
          <w:tab/>
        </w:r>
        <w:r w:rsidR="00F24FEE">
          <w:rPr>
            <w:noProof/>
            <w:webHidden/>
          </w:rPr>
          <w:fldChar w:fldCharType="begin"/>
        </w:r>
        <w:r w:rsidR="00F24FEE">
          <w:rPr>
            <w:noProof/>
            <w:webHidden/>
          </w:rPr>
          <w:instrText xml:space="preserve"> PAGEREF _Toc380687088 \h </w:instrText>
        </w:r>
        <w:r w:rsidR="00F24FEE">
          <w:rPr>
            <w:noProof/>
            <w:webHidden/>
          </w:rPr>
        </w:r>
        <w:r w:rsidR="00F24FEE">
          <w:rPr>
            <w:noProof/>
            <w:webHidden/>
          </w:rPr>
          <w:fldChar w:fldCharType="separate"/>
        </w:r>
        <w:r w:rsidR="00F24FEE">
          <w:rPr>
            <w:noProof/>
            <w:webHidden/>
          </w:rPr>
          <w:t>36</w:t>
        </w:r>
        <w:r w:rsidR="00F24FEE">
          <w:rPr>
            <w:noProof/>
            <w:webHidden/>
          </w:rPr>
          <w:fldChar w:fldCharType="end"/>
        </w:r>
      </w:hyperlink>
    </w:p>
    <w:p w:rsidR="00F24FEE" w:rsidRDefault="00E85236" w:rsidP="00F24FEE">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89" w:history="1">
        <w:r w:rsidR="00F24FEE" w:rsidRPr="000E296F">
          <w:rPr>
            <w:rStyle w:val="Hyperlink"/>
            <w:noProof/>
          </w:rPr>
          <w:t>4.1</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Introduction</w:t>
        </w:r>
        <w:r w:rsidR="00F24FEE">
          <w:rPr>
            <w:noProof/>
            <w:webHidden/>
          </w:rPr>
          <w:tab/>
        </w:r>
        <w:r w:rsidR="00F24FEE">
          <w:rPr>
            <w:noProof/>
            <w:webHidden/>
          </w:rPr>
          <w:fldChar w:fldCharType="begin"/>
        </w:r>
        <w:r w:rsidR="00F24FEE">
          <w:rPr>
            <w:noProof/>
            <w:webHidden/>
          </w:rPr>
          <w:instrText xml:space="preserve"> PAGEREF _Toc380687089 \h </w:instrText>
        </w:r>
        <w:r w:rsidR="00F24FEE">
          <w:rPr>
            <w:noProof/>
            <w:webHidden/>
          </w:rPr>
        </w:r>
        <w:r w:rsidR="00F24FEE">
          <w:rPr>
            <w:noProof/>
            <w:webHidden/>
          </w:rPr>
          <w:fldChar w:fldCharType="separate"/>
        </w:r>
        <w:r w:rsidR="00F24FEE">
          <w:rPr>
            <w:noProof/>
            <w:webHidden/>
          </w:rPr>
          <w:t>36</w:t>
        </w:r>
        <w:r w:rsidR="00F24FEE">
          <w:rPr>
            <w:noProof/>
            <w:webHidden/>
          </w:rPr>
          <w:fldChar w:fldCharType="end"/>
        </w:r>
      </w:hyperlink>
      <w:hyperlink w:anchor="_Toc380687090" w:history="1"/>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91" w:history="1">
        <w:r w:rsidR="00F24FEE" w:rsidRPr="000E296F">
          <w:rPr>
            <w:rStyle w:val="Hyperlink"/>
            <w:noProof/>
          </w:rPr>
          <w:t>4.2</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Results</w:t>
        </w:r>
        <w:r w:rsidR="00F24FEE">
          <w:rPr>
            <w:noProof/>
            <w:webHidden/>
          </w:rPr>
          <w:tab/>
        </w:r>
        <w:r w:rsidR="00F24FEE">
          <w:rPr>
            <w:noProof/>
            <w:webHidden/>
          </w:rPr>
          <w:fldChar w:fldCharType="begin"/>
        </w:r>
        <w:r w:rsidR="00F24FEE">
          <w:rPr>
            <w:noProof/>
            <w:webHidden/>
          </w:rPr>
          <w:instrText xml:space="preserve"> PAGEREF _Toc380687091 \h </w:instrText>
        </w:r>
        <w:r w:rsidR="00F24FEE">
          <w:rPr>
            <w:noProof/>
            <w:webHidden/>
          </w:rPr>
        </w:r>
        <w:r w:rsidR="00F24FEE">
          <w:rPr>
            <w:noProof/>
            <w:webHidden/>
          </w:rPr>
          <w:fldChar w:fldCharType="separate"/>
        </w:r>
        <w:r w:rsidR="00F24FEE">
          <w:rPr>
            <w:noProof/>
            <w:webHidden/>
          </w:rPr>
          <w:t>36</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92" w:history="1">
        <w:r w:rsidR="00F24FEE" w:rsidRPr="000E296F">
          <w:rPr>
            <w:rStyle w:val="Hyperlink"/>
            <w:noProof/>
          </w:rPr>
          <w:t>4.3</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Demographics</w:t>
        </w:r>
        <w:r w:rsidR="00F24FEE">
          <w:rPr>
            <w:noProof/>
            <w:webHidden/>
          </w:rPr>
          <w:tab/>
        </w:r>
        <w:r w:rsidR="00F24FEE">
          <w:rPr>
            <w:noProof/>
            <w:webHidden/>
          </w:rPr>
          <w:fldChar w:fldCharType="begin"/>
        </w:r>
        <w:r w:rsidR="00F24FEE">
          <w:rPr>
            <w:noProof/>
            <w:webHidden/>
          </w:rPr>
          <w:instrText xml:space="preserve"> PAGEREF _Toc380687092 \h </w:instrText>
        </w:r>
        <w:r w:rsidR="00F24FEE">
          <w:rPr>
            <w:noProof/>
            <w:webHidden/>
          </w:rPr>
        </w:r>
        <w:r w:rsidR="00F24FEE">
          <w:rPr>
            <w:noProof/>
            <w:webHidden/>
          </w:rPr>
          <w:fldChar w:fldCharType="separate"/>
        </w:r>
        <w:r w:rsidR="00F24FEE">
          <w:rPr>
            <w:noProof/>
            <w:webHidden/>
          </w:rPr>
          <w:t>36</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93" w:history="1">
        <w:r w:rsidR="00F24FEE" w:rsidRPr="000E296F">
          <w:rPr>
            <w:rStyle w:val="Hyperlink"/>
          </w:rPr>
          <w:t>4.3.1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Gender</w:t>
        </w:r>
        <w:r w:rsidR="00F24FEE">
          <w:rPr>
            <w:webHidden/>
          </w:rPr>
          <w:tab/>
        </w:r>
        <w:r w:rsidR="00F24FEE">
          <w:rPr>
            <w:webHidden/>
          </w:rPr>
          <w:fldChar w:fldCharType="begin"/>
        </w:r>
        <w:r w:rsidR="00F24FEE">
          <w:rPr>
            <w:webHidden/>
          </w:rPr>
          <w:instrText xml:space="preserve"> PAGEREF _Toc380687093 \h </w:instrText>
        </w:r>
        <w:r w:rsidR="00F24FEE">
          <w:rPr>
            <w:webHidden/>
          </w:rPr>
        </w:r>
        <w:r w:rsidR="00F24FEE">
          <w:rPr>
            <w:webHidden/>
          </w:rPr>
          <w:fldChar w:fldCharType="separate"/>
        </w:r>
        <w:r w:rsidR="00F24FEE">
          <w:rPr>
            <w:webHidden/>
          </w:rPr>
          <w:t>36</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94" w:history="1">
        <w:r w:rsidR="00F24FEE" w:rsidRPr="000E296F">
          <w:rPr>
            <w:rStyle w:val="Hyperlink"/>
          </w:rPr>
          <w:t>4.3.2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Education level of education</w:t>
        </w:r>
        <w:r w:rsidR="00F24FEE">
          <w:rPr>
            <w:webHidden/>
          </w:rPr>
          <w:tab/>
        </w:r>
        <w:r w:rsidR="00F24FEE">
          <w:rPr>
            <w:webHidden/>
          </w:rPr>
          <w:fldChar w:fldCharType="begin"/>
        </w:r>
        <w:r w:rsidR="00F24FEE">
          <w:rPr>
            <w:webHidden/>
          </w:rPr>
          <w:instrText xml:space="preserve"> PAGEREF _Toc380687094 \h </w:instrText>
        </w:r>
        <w:r w:rsidR="00F24FEE">
          <w:rPr>
            <w:webHidden/>
          </w:rPr>
        </w:r>
        <w:r w:rsidR="00F24FEE">
          <w:rPr>
            <w:webHidden/>
          </w:rPr>
          <w:fldChar w:fldCharType="separate"/>
        </w:r>
        <w:r w:rsidR="00F24FEE">
          <w:rPr>
            <w:webHidden/>
          </w:rPr>
          <w:t>37</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95" w:history="1">
        <w:r w:rsidR="00F24FEE" w:rsidRPr="000E296F">
          <w:rPr>
            <w:rStyle w:val="Hyperlink"/>
          </w:rPr>
          <w:t>4.3.3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Number of years as a Vodacom employee</w:t>
        </w:r>
        <w:r w:rsidR="00F24FEE">
          <w:rPr>
            <w:webHidden/>
          </w:rPr>
          <w:tab/>
        </w:r>
        <w:r w:rsidR="00F24FEE">
          <w:rPr>
            <w:webHidden/>
          </w:rPr>
          <w:fldChar w:fldCharType="begin"/>
        </w:r>
        <w:r w:rsidR="00F24FEE">
          <w:rPr>
            <w:webHidden/>
          </w:rPr>
          <w:instrText xml:space="preserve"> PAGEREF _Toc380687095 \h </w:instrText>
        </w:r>
        <w:r w:rsidR="00F24FEE">
          <w:rPr>
            <w:webHidden/>
          </w:rPr>
        </w:r>
        <w:r w:rsidR="00F24FEE">
          <w:rPr>
            <w:webHidden/>
          </w:rPr>
          <w:fldChar w:fldCharType="separate"/>
        </w:r>
        <w:r w:rsidR="00F24FEE">
          <w:rPr>
            <w:webHidden/>
          </w:rPr>
          <w:t>38</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96" w:history="1">
        <w:r w:rsidR="00F24FEE" w:rsidRPr="000E296F">
          <w:rPr>
            <w:rStyle w:val="Hyperlink"/>
          </w:rPr>
          <w:t>4.3.4</w:t>
        </w:r>
        <w:r w:rsidR="00F24FEE">
          <w:rPr>
            <w:rFonts w:asciiTheme="minorHAnsi" w:eastAsiaTheme="minorEastAsia" w:hAnsiTheme="minorHAnsi" w:cstheme="minorBidi"/>
            <w:smallCaps w:val="0"/>
            <w:sz w:val="22"/>
            <w:szCs w:val="22"/>
            <w:lang w:val="en-ZA" w:eastAsia="en-ZA"/>
          </w:rPr>
          <w:tab/>
        </w:r>
        <w:r w:rsidR="00F24FEE" w:rsidRPr="000E296F">
          <w:rPr>
            <w:rStyle w:val="Hyperlink"/>
          </w:rPr>
          <w:t>Function</w:t>
        </w:r>
        <w:r w:rsidR="00F24FEE">
          <w:rPr>
            <w:webHidden/>
          </w:rPr>
          <w:tab/>
        </w:r>
        <w:r w:rsidR="00F24FEE">
          <w:rPr>
            <w:webHidden/>
          </w:rPr>
          <w:fldChar w:fldCharType="begin"/>
        </w:r>
        <w:r w:rsidR="00F24FEE">
          <w:rPr>
            <w:webHidden/>
          </w:rPr>
          <w:instrText xml:space="preserve"> PAGEREF _Toc380687096 \h </w:instrText>
        </w:r>
        <w:r w:rsidR="00F24FEE">
          <w:rPr>
            <w:webHidden/>
          </w:rPr>
        </w:r>
        <w:r w:rsidR="00F24FEE">
          <w:rPr>
            <w:webHidden/>
          </w:rPr>
          <w:fldChar w:fldCharType="separate"/>
        </w:r>
        <w:r w:rsidR="00F24FEE">
          <w:rPr>
            <w:webHidden/>
          </w:rPr>
          <w:t>38</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97" w:history="1">
        <w:r w:rsidR="00F24FEE" w:rsidRPr="000E296F">
          <w:rPr>
            <w:rStyle w:val="Hyperlink"/>
          </w:rPr>
          <w:t>4.3.5</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Demographic Overview</w:t>
        </w:r>
        <w:r w:rsidR="00F24FEE">
          <w:rPr>
            <w:webHidden/>
          </w:rPr>
          <w:tab/>
        </w:r>
        <w:r w:rsidR="00F24FEE">
          <w:rPr>
            <w:webHidden/>
          </w:rPr>
          <w:fldChar w:fldCharType="begin"/>
        </w:r>
        <w:r w:rsidR="00F24FEE">
          <w:rPr>
            <w:webHidden/>
          </w:rPr>
          <w:instrText xml:space="preserve"> PAGEREF _Toc380687097 \h </w:instrText>
        </w:r>
        <w:r w:rsidR="00F24FEE">
          <w:rPr>
            <w:webHidden/>
          </w:rPr>
        </w:r>
        <w:r w:rsidR="00F24FEE">
          <w:rPr>
            <w:webHidden/>
          </w:rPr>
          <w:fldChar w:fldCharType="separate"/>
        </w:r>
        <w:r w:rsidR="00F24FEE">
          <w:rPr>
            <w:webHidden/>
          </w:rPr>
          <w:t>39</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098" w:history="1">
        <w:r w:rsidR="00F24FEE" w:rsidRPr="000E296F">
          <w:rPr>
            <w:rStyle w:val="Hyperlink"/>
            <w:noProof/>
          </w:rPr>
          <w:t>4.4</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Results pertaining to Research Proposition 1</w:t>
        </w:r>
        <w:r w:rsidR="00F24FEE">
          <w:rPr>
            <w:noProof/>
            <w:webHidden/>
          </w:rPr>
          <w:tab/>
        </w:r>
        <w:r w:rsidR="00F24FEE">
          <w:rPr>
            <w:noProof/>
            <w:webHidden/>
          </w:rPr>
          <w:fldChar w:fldCharType="begin"/>
        </w:r>
        <w:r w:rsidR="00F24FEE">
          <w:rPr>
            <w:noProof/>
            <w:webHidden/>
          </w:rPr>
          <w:instrText xml:space="preserve"> PAGEREF _Toc380687098 \h </w:instrText>
        </w:r>
        <w:r w:rsidR="00F24FEE">
          <w:rPr>
            <w:noProof/>
            <w:webHidden/>
          </w:rPr>
        </w:r>
        <w:r w:rsidR="00F24FEE">
          <w:rPr>
            <w:noProof/>
            <w:webHidden/>
          </w:rPr>
          <w:fldChar w:fldCharType="separate"/>
        </w:r>
        <w:r w:rsidR="00F24FEE">
          <w:rPr>
            <w:noProof/>
            <w:webHidden/>
          </w:rPr>
          <w:t>39</w:t>
        </w:r>
        <w:r w:rsidR="00F24FEE">
          <w:rPr>
            <w:noProof/>
            <w:webHidden/>
          </w:rPr>
          <w:fldChar w:fldCharType="end"/>
        </w:r>
      </w:hyperlink>
    </w:p>
    <w:p w:rsidR="00F24FEE" w:rsidRDefault="00E85236" w:rsidP="003B2424">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099" w:history="1">
        <w:r w:rsidR="00F24FEE" w:rsidRPr="000E296F">
          <w:rPr>
            <w:rStyle w:val="Hyperlink"/>
          </w:rPr>
          <w:t>4.4.1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Overview</w:t>
        </w:r>
        <w:r w:rsidR="00F24FEE">
          <w:rPr>
            <w:webHidden/>
          </w:rPr>
          <w:tab/>
        </w:r>
        <w:r w:rsidR="00F24FEE">
          <w:rPr>
            <w:webHidden/>
          </w:rPr>
          <w:fldChar w:fldCharType="begin"/>
        </w:r>
        <w:r w:rsidR="00F24FEE">
          <w:rPr>
            <w:webHidden/>
          </w:rPr>
          <w:instrText xml:space="preserve"> PAGEREF _Toc380687099 \h </w:instrText>
        </w:r>
        <w:r w:rsidR="00F24FEE">
          <w:rPr>
            <w:webHidden/>
          </w:rPr>
        </w:r>
        <w:r w:rsidR="00F24FEE">
          <w:rPr>
            <w:webHidden/>
          </w:rPr>
          <w:fldChar w:fldCharType="separate"/>
        </w:r>
        <w:r w:rsidR="00F24FEE">
          <w:rPr>
            <w:webHidden/>
          </w:rPr>
          <w:t>40</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01" w:history="1">
        <w:r w:rsidR="00F24FEE" w:rsidRPr="000E296F">
          <w:rPr>
            <w:rStyle w:val="Hyperlink"/>
          </w:rPr>
          <w:t>4.4.2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Principal Component Analysis: Drivers of corporate rebranding</w:t>
        </w:r>
        <w:r w:rsidR="00F24FEE">
          <w:rPr>
            <w:webHidden/>
          </w:rPr>
          <w:tab/>
        </w:r>
        <w:r w:rsidR="00F24FEE">
          <w:rPr>
            <w:webHidden/>
          </w:rPr>
          <w:fldChar w:fldCharType="begin"/>
        </w:r>
        <w:r w:rsidR="00F24FEE">
          <w:rPr>
            <w:webHidden/>
          </w:rPr>
          <w:instrText xml:space="preserve"> PAGEREF _Toc380687101 \h </w:instrText>
        </w:r>
        <w:r w:rsidR="00F24FEE">
          <w:rPr>
            <w:webHidden/>
          </w:rPr>
        </w:r>
        <w:r w:rsidR="00F24FEE">
          <w:rPr>
            <w:webHidden/>
          </w:rPr>
          <w:fldChar w:fldCharType="separate"/>
        </w:r>
        <w:r w:rsidR="00F24FEE">
          <w:rPr>
            <w:webHidden/>
          </w:rPr>
          <w:t>40</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02" w:history="1">
        <w:r w:rsidR="00F24FEE" w:rsidRPr="000E296F">
          <w:rPr>
            <w:rStyle w:val="Hyperlink"/>
            <w:noProof/>
          </w:rPr>
          <w:t>4.5</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Results pertaining to Research Proposition 2</w:t>
        </w:r>
        <w:r w:rsidR="00F24FEE">
          <w:rPr>
            <w:noProof/>
            <w:webHidden/>
          </w:rPr>
          <w:tab/>
        </w:r>
        <w:r w:rsidR="00F24FEE">
          <w:rPr>
            <w:noProof/>
            <w:webHidden/>
          </w:rPr>
          <w:fldChar w:fldCharType="begin"/>
        </w:r>
        <w:r w:rsidR="00F24FEE">
          <w:rPr>
            <w:noProof/>
            <w:webHidden/>
          </w:rPr>
          <w:instrText xml:space="preserve"> PAGEREF _Toc380687102 \h </w:instrText>
        </w:r>
        <w:r w:rsidR="00F24FEE">
          <w:rPr>
            <w:noProof/>
            <w:webHidden/>
          </w:rPr>
        </w:r>
        <w:r w:rsidR="00F24FEE">
          <w:rPr>
            <w:noProof/>
            <w:webHidden/>
          </w:rPr>
          <w:fldChar w:fldCharType="separate"/>
        </w:r>
        <w:r w:rsidR="00F24FEE">
          <w:rPr>
            <w:noProof/>
            <w:webHidden/>
          </w:rPr>
          <w:t>44</w:t>
        </w:r>
        <w:r w:rsidR="00F24FEE">
          <w:rPr>
            <w:noProof/>
            <w:webHidden/>
          </w:rPr>
          <w:fldChar w:fldCharType="end"/>
        </w:r>
      </w:hyperlink>
    </w:p>
    <w:p w:rsidR="00F24FEE" w:rsidRDefault="00E85236" w:rsidP="003B2424">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03" w:history="1">
        <w:r w:rsidR="00F24FEE" w:rsidRPr="000E296F">
          <w:rPr>
            <w:rStyle w:val="Hyperlink"/>
          </w:rPr>
          <w:t>4.5.1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Overview</w:t>
        </w:r>
        <w:r w:rsidR="00F24FEE">
          <w:rPr>
            <w:webHidden/>
          </w:rPr>
          <w:tab/>
        </w:r>
        <w:r w:rsidR="00F24FEE">
          <w:rPr>
            <w:webHidden/>
          </w:rPr>
          <w:fldChar w:fldCharType="begin"/>
        </w:r>
        <w:r w:rsidR="00F24FEE">
          <w:rPr>
            <w:webHidden/>
          </w:rPr>
          <w:instrText xml:space="preserve"> PAGEREF _Toc380687103 \h </w:instrText>
        </w:r>
        <w:r w:rsidR="00F24FEE">
          <w:rPr>
            <w:webHidden/>
          </w:rPr>
        </w:r>
        <w:r w:rsidR="00F24FEE">
          <w:rPr>
            <w:webHidden/>
          </w:rPr>
          <w:fldChar w:fldCharType="separate"/>
        </w:r>
        <w:r w:rsidR="00F24FEE">
          <w:rPr>
            <w:webHidden/>
          </w:rPr>
          <w:t>44</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05" w:history="1">
        <w:r w:rsidR="00F24FEE" w:rsidRPr="000E296F">
          <w:rPr>
            <w:rStyle w:val="Hyperlink"/>
          </w:rPr>
          <w:t>4.5.2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Principal Component Analysis: Old Vodacom branding</w:t>
        </w:r>
        <w:r w:rsidR="00F24FEE">
          <w:rPr>
            <w:webHidden/>
          </w:rPr>
          <w:tab/>
        </w:r>
        <w:r w:rsidR="00F24FEE">
          <w:rPr>
            <w:webHidden/>
          </w:rPr>
          <w:fldChar w:fldCharType="begin"/>
        </w:r>
        <w:r w:rsidR="00F24FEE">
          <w:rPr>
            <w:webHidden/>
          </w:rPr>
          <w:instrText xml:space="preserve"> PAGEREF _Toc380687105 \h </w:instrText>
        </w:r>
        <w:r w:rsidR="00F24FEE">
          <w:rPr>
            <w:webHidden/>
          </w:rPr>
        </w:r>
        <w:r w:rsidR="00F24FEE">
          <w:rPr>
            <w:webHidden/>
          </w:rPr>
          <w:fldChar w:fldCharType="separate"/>
        </w:r>
        <w:r w:rsidR="00F24FEE">
          <w:rPr>
            <w:webHidden/>
          </w:rPr>
          <w:t>44</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06" w:history="1">
        <w:r w:rsidR="00F24FEE" w:rsidRPr="000E296F">
          <w:rPr>
            <w:rStyle w:val="Hyperlink"/>
          </w:rPr>
          <w:t>4.5.3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Principal Component Analysis: New Vodacom Branding</w:t>
        </w:r>
        <w:r w:rsidR="00F24FEE">
          <w:rPr>
            <w:webHidden/>
          </w:rPr>
          <w:tab/>
        </w:r>
        <w:r w:rsidR="00F24FEE">
          <w:rPr>
            <w:webHidden/>
          </w:rPr>
          <w:fldChar w:fldCharType="begin"/>
        </w:r>
        <w:r w:rsidR="00F24FEE">
          <w:rPr>
            <w:webHidden/>
          </w:rPr>
          <w:instrText xml:space="preserve"> PAGEREF _Toc380687106 \h </w:instrText>
        </w:r>
        <w:r w:rsidR="00F24FEE">
          <w:rPr>
            <w:webHidden/>
          </w:rPr>
        </w:r>
        <w:r w:rsidR="00F24FEE">
          <w:rPr>
            <w:webHidden/>
          </w:rPr>
          <w:fldChar w:fldCharType="separate"/>
        </w:r>
        <w:r w:rsidR="00F24FEE">
          <w:rPr>
            <w:webHidden/>
          </w:rPr>
          <w:t>50</w:t>
        </w:r>
        <w:r w:rsidR="00F24FEE">
          <w:rPr>
            <w:webHidden/>
          </w:rPr>
          <w:fldChar w:fldCharType="end"/>
        </w:r>
      </w:hyperlink>
    </w:p>
    <w:p w:rsidR="00F24FEE" w:rsidRDefault="00E85236">
      <w:pPr>
        <w:pStyle w:val="TOC3"/>
        <w:tabs>
          <w:tab w:val="left" w:pos="1400"/>
          <w:tab w:val="right" w:leader="dot" w:pos="8728"/>
        </w:tabs>
        <w:rPr>
          <w:rStyle w:val="Hyperlink"/>
        </w:rPr>
      </w:pPr>
      <w:hyperlink w:anchor="_Toc380687108" w:history="1">
        <w:r w:rsidR="00F24FEE" w:rsidRPr="000E296F">
          <w:rPr>
            <w:rStyle w:val="Hyperlink"/>
          </w:rPr>
          <w:t>4.5.4</w:t>
        </w:r>
        <w:r w:rsidR="00F24FEE">
          <w:rPr>
            <w:rFonts w:asciiTheme="minorHAnsi" w:eastAsiaTheme="minorEastAsia" w:hAnsiTheme="minorHAnsi" w:cstheme="minorBidi"/>
            <w:smallCaps w:val="0"/>
            <w:sz w:val="22"/>
            <w:szCs w:val="22"/>
            <w:lang w:val="en-ZA" w:eastAsia="en-ZA"/>
          </w:rPr>
          <w:tab/>
        </w:r>
        <w:r w:rsidR="00F24FEE" w:rsidRPr="000E296F">
          <w:rPr>
            <w:rStyle w:val="Hyperlink"/>
          </w:rPr>
          <w:t>Linear Regression Analysis</w:t>
        </w:r>
        <w:r w:rsidR="00F24FEE">
          <w:rPr>
            <w:webHidden/>
          </w:rPr>
          <w:tab/>
        </w:r>
        <w:r w:rsidR="00F24FEE">
          <w:rPr>
            <w:webHidden/>
          </w:rPr>
          <w:fldChar w:fldCharType="begin"/>
        </w:r>
        <w:r w:rsidR="00F24FEE">
          <w:rPr>
            <w:webHidden/>
          </w:rPr>
          <w:instrText xml:space="preserve"> PAGEREF _Toc380687108 \h </w:instrText>
        </w:r>
        <w:r w:rsidR="00F24FEE">
          <w:rPr>
            <w:webHidden/>
          </w:rPr>
        </w:r>
        <w:r w:rsidR="00F24FEE">
          <w:rPr>
            <w:webHidden/>
          </w:rPr>
          <w:fldChar w:fldCharType="separate"/>
        </w:r>
        <w:r w:rsidR="00F24FEE">
          <w:rPr>
            <w:webHidden/>
          </w:rPr>
          <w:t>54</w:t>
        </w:r>
        <w:r w:rsidR="00F24FEE">
          <w:rPr>
            <w:webHidden/>
          </w:rPr>
          <w:fldChar w:fldCharType="end"/>
        </w:r>
      </w:hyperlink>
    </w:p>
    <w:p w:rsidR="00F24FEE" w:rsidRDefault="00E85236">
      <w:pPr>
        <w:pStyle w:val="TOC1"/>
        <w:tabs>
          <w:tab w:val="left" w:pos="720"/>
        </w:tabs>
        <w:rPr>
          <w:rFonts w:asciiTheme="minorHAnsi" w:eastAsiaTheme="minorEastAsia" w:hAnsiTheme="minorHAnsi" w:cstheme="minorBidi"/>
          <w:b w:val="0"/>
          <w:caps w:val="0"/>
          <w:noProof/>
          <w:sz w:val="22"/>
          <w:szCs w:val="22"/>
          <w:lang w:val="en-ZA" w:eastAsia="en-ZA"/>
        </w:rPr>
      </w:pPr>
      <w:hyperlink w:anchor="_Toc380687118" w:history="1">
        <w:r w:rsidR="00F24FEE" w:rsidRPr="000E296F">
          <w:rPr>
            <w:rStyle w:val="Hyperlink"/>
            <w:noProof/>
          </w:rPr>
          <w:t>5</w:t>
        </w:r>
        <w:r w:rsidR="00F24FEE">
          <w:rPr>
            <w:rFonts w:asciiTheme="minorHAnsi" w:eastAsiaTheme="minorEastAsia" w:hAnsiTheme="minorHAnsi" w:cstheme="minorBidi"/>
            <w:b w:val="0"/>
            <w:caps w:val="0"/>
            <w:noProof/>
            <w:sz w:val="22"/>
            <w:szCs w:val="22"/>
            <w:lang w:val="en-ZA" w:eastAsia="en-ZA"/>
          </w:rPr>
          <w:tab/>
        </w:r>
        <w:r w:rsidR="00F24FEE" w:rsidRPr="000E296F">
          <w:rPr>
            <w:rStyle w:val="Hyperlink"/>
            <w:noProof/>
          </w:rPr>
          <w:t>Discussion of the results</w:t>
        </w:r>
        <w:r w:rsidR="00F24FEE">
          <w:rPr>
            <w:noProof/>
            <w:webHidden/>
          </w:rPr>
          <w:tab/>
        </w:r>
        <w:r w:rsidR="00F24FEE">
          <w:rPr>
            <w:noProof/>
            <w:webHidden/>
          </w:rPr>
          <w:fldChar w:fldCharType="begin"/>
        </w:r>
        <w:r w:rsidR="00F24FEE">
          <w:rPr>
            <w:noProof/>
            <w:webHidden/>
          </w:rPr>
          <w:instrText xml:space="preserve"> PAGEREF _Toc380687118 \h </w:instrText>
        </w:r>
        <w:r w:rsidR="00F24FEE">
          <w:rPr>
            <w:noProof/>
            <w:webHidden/>
          </w:rPr>
        </w:r>
        <w:r w:rsidR="00F24FEE">
          <w:rPr>
            <w:noProof/>
            <w:webHidden/>
          </w:rPr>
          <w:fldChar w:fldCharType="separate"/>
        </w:r>
        <w:r w:rsidR="00F24FEE">
          <w:rPr>
            <w:noProof/>
            <w:webHidden/>
          </w:rPr>
          <w:t>64</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19" w:history="1">
        <w:r w:rsidR="00F24FEE" w:rsidRPr="000E296F">
          <w:rPr>
            <w:rStyle w:val="Hyperlink"/>
            <w:noProof/>
          </w:rPr>
          <w:t>5.1</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Introduction</w:t>
        </w:r>
        <w:r w:rsidR="00F24FEE">
          <w:rPr>
            <w:noProof/>
            <w:webHidden/>
          </w:rPr>
          <w:tab/>
        </w:r>
        <w:r w:rsidR="00F24FEE">
          <w:rPr>
            <w:noProof/>
            <w:webHidden/>
          </w:rPr>
          <w:fldChar w:fldCharType="begin"/>
        </w:r>
        <w:r w:rsidR="00F24FEE">
          <w:rPr>
            <w:noProof/>
            <w:webHidden/>
          </w:rPr>
          <w:instrText xml:space="preserve"> PAGEREF _Toc380687119 \h </w:instrText>
        </w:r>
        <w:r w:rsidR="00F24FEE">
          <w:rPr>
            <w:noProof/>
            <w:webHidden/>
          </w:rPr>
        </w:r>
        <w:r w:rsidR="00F24FEE">
          <w:rPr>
            <w:noProof/>
            <w:webHidden/>
          </w:rPr>
          <w:fldChar w:fldCharType="separate"/>
        </w:r>
        <w:r w:rsidR="00F24FEE">
          <w:rPr>
            <w:noProof/>
            <w:webHidden/>
          </w:rPr>
          <w:t>64</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20" w:history="1">
        <w:r w:rsidR="00F24FEE" w:rsidRPr="000E296F">
          <w:rPr>
            <w:rStyle w:val="Hyperlink"/>
            <w:noProof/>
          </w:rPr>
          <w:t>5.2</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Demographic profile of respondents</w:t>
        </w:r>
        <w:r w:rsidR="00F24FEE">
          <w:rPr>
            <w:noProof/>
            <w:webHidden/>
          </w:rPr>
          <w:tab/>
        </w:r>
        <w:r w:rsidR="00F24FEE">
          <w:rPr>
            <w:noProof/>
            <w:webHidden/>
          </w:rPr>
          <w:fldChar w:fldCharType="begin"/>
        </w:r>
        <w:r w:rsidR="00F24FEE">
          <w:rPr>
            <w:noProof/>
            <w:webHidden/>
          </w:rPr>
          <w:instrText xml:space="preserve"> PAGEREF _Toc380687120 \h </w:instrText>
        </w:r>
        <w:r w:rsidR="00F24FEE">
          <w:rPr>
            <w:noProof/>
            <w:webHidden/>
          </w:rPr>
        </w:r>
        <w:r w:rsidR="00F24FEE">
          <w:rPr>
            <w:noProof/>
            <w:webHidden/>
          </w:rPr>
          <w:fldChar w:fldCharType="separate"/>
        </w:r>
        <w:r w:rsidR="00F24FEE">
          <w:rPr>
            <w:noProof/>
            <w:webHidden/>
          </w:rPr>
          <w:t>64</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21" w:history="1">
        <w:r w:rsidR="00F24FEE" w:rsidRPr="000E296F">
          <w:rPr>
            <w:rStyle w:val="Hyperlink"/>
            <w:noProof/>
          </w:rPr>
          <w:t>5.3</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Discussion pertaining to Research Question 1</w:t>
        </w:r>
        <w:r w:rsidR="00F24FEE">
          <w:rPr>
            <w:noProof/>
            <w:webHidden/>
          </w:rPr>
          <w:tab/>
        </w:r>
        <w:r w:rsidR="00F24FEE">
          <w:rPr>
            <w:noProof/>
            <w:webHidden/>
          </w:rPr>
          <w:fldChar w:fldCharType="begin"/>
        </w:r>
        <w:r w:rsidR="00F24FEE">
          <w:rPr>
            <w:noProof/>
            <w:webHidden/>
          </w:rPr>
          <w:instrText xml:space="preserve"> PAGEREF _Toc380687121 \h </w:instrText>
        </w:r>
        <w:r w:rsidR="00F24FEE">
          <w:rPr>
            <w:noProof/>
            <w:webHidden/>
          </w:rPr>
        </w:r>
        <w:r w:rsidR="00F24FEE">
          <w:rPr>
            <w:noProof/>
            <w:webHidden/>
          </w:rPr>
          <w:fldChar w:fldCharType="separate"/>
        </w:r>
        <w:r w:rsidR="00F24FEE">
          <w:rPr>
            <w:noProof/>
            <w:webHidden/>
          </w:rPr>
          <w:t>64</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22" w:history="1">
        <w:r w:rsidR="00F24FEE" w:rsidRPr="000E296F">
          <w:rPr>
            <w:rStyle w:val="Hyperlink"/>
          </w:rPr>
          <w:t>5.3.1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Introduction</w:t>
        </w:r>
        <w:r w:rsidR="00F24FEE">
          <w:rPr>
            <w:webHidden/>
          </w:rPr>
          <w:tab/>
        </w:r>
        <w:r w:rsidR="00F24FEE">
          <w:rPr>
            <w:webHidden/>
          </w:rPr>
          <w:fldChar w:fldCharType="begin"/>
        </w:r>
        <w:r w:rsidR="00F24FEE">
          <w:rPr>
            <w:webHidden/>
          </w:rPr>
          <w:instrText xml:space="preserve"> PAGEREF _Toc380687122 \h </w:instrText>
        </w:r>
        <w:r w:rsidR="00F24FEE">
          <w:rPr>
            <w:webHidden/>
          </w:rPr>
        </w:r>
        <w:r w:rsidR="00F24FEE">
          <w:rPr>
            <w:webHidden/>
          </w:rPr>
          <w:fldChar w:fldCharType="separate"/>
        </w:r>
        <w:r w:rsidR="00F24FEE">
          <w:rPr>
            <w:webHidden/>
          </w:rPr>
          <w:t>64</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23" w:history="1">
        <w:r w:rsidR="00F24FEE" w:rsidRPr="000E296F">
          <w:rPr>
            <w:rStyle w:val="Hyperlink"/>
          </w:rPr>
          <w:t>5.3.2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Macroeconomic factors</w:t>
        </w:r>
        <w:r w:rsidR="00F24FEE">
          <w:rPr>
            <w:webHidden/>
          </w:rPr>
          <w:tab/>
        </w:r>
        <w:r w:rsidR="00F24FEE">
          <w:rPr>
            <w:webHidden/>
          </w:rPr>
          <w:fldChar w:fldCharType="begin"/>
        </w:r>
        <w:r w:rsidR="00F24FEE">
          <w:rPr>
            <w:webHidden/>
          </w:rPr>
          <w:instrText xml:space="preserve"> PAGEREF _Toc380687123 \h </w:instrText>
        </w:r>
        <w:r w:rsidR="00F24FEE">
          <w:rPr>
            <w:webHidden/>
          </w:rPr>
        </w:r>
        <w:r w:rsidR="00F24FEE">
          <w:rPr>
            <w:webHidden/>
          </w:rPr>
          <w:fldChar w:fldCharType="separate"/>
        </w:r>
        <w:r w:rsidR="00F24FEE">
          <w:rPr>
            <w:webHidden/>
          </w:rPr>
          <w:t>65</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24" w:history="1">
        <w:r w:rsidR="00F24FEE" w:rsidRPr="000E296F">
          <w:rPr>
            <w:rStyle w:val="Hyperlink"/>
          </w:rPr>
          <w:t>5.3.3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Corporate structure and strategy</w:t>
        </w:r>
        <w:r w:rsidR="00F24FEE">
          <w:rPr>
            <w:webHidden/>
          </w:rPr>
          <w:tab/>
        </w:r>
        <w:r w:rsidR="00F24FEE">
          <w:rPr>
            <w:webHidden/>
          </w:rPr>
          <w:fldChar w:fldCharType="begin"/>
        </w:r>
        <w:r w:rsidR="00F24FEE">
          <w:rPr>
            <w:webHidden/>
          </w:rPr>
          <w:instrText xml:space="preserve"> PAGEREF _Toc380687124 \h </w:instrText>
        </w:r>
        <w:r w:rsidR="00F24FEE">
          <w:rPr>
            <w:webHidden/>
          </w:rPr>
        </w:r>
        <w:r w:rsidR="00F24FEE">
          <w:rPr>
            <w:webHidden/>
          </w:rPr>
          <w:fldChar w:fldCharType="separate"/>
        </w:r>
        <w:r w:rsidR="00F24FEE">
          <w:rPr>
            <w:webHidden/>
          </w:rPr>
          <w:t>65</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25" w:history="1">
        <w:r w:rsidR="00F24FEE" w:rsidRPr="000E296F">
          <w:rPr>
            <w:rStyle w:val="Hyperlink"/>
            <w:noProof/>
          </w:rPr>
          <w:t>5.4</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Discussion pertaining to Research Question 2</w:t>
        </w:r>
        <w:r w:rsidR="00F24FEE">
          <w:rPr>
            <w:noProof/>
            <w:webHidden/>
          </w:rPr>
          <w:tab/>
        </w:r>
        <w:r w:rsidR="00F24FEE">
          <w:rPr>
            <w:noProof/>
            <w:webHidden/>
          </w:rPr>
          <w:fldChar w:fldCharType="begin"/>
        </w:r>
        <w:r w:rsidR="00F24FEE">
          <w:rPr>
            <w:noProof/>
            <w:webHidden/>
          </w:rPr>
          <w:instrText xml:space="preserve"> PAGEREF _Toc380687125 \h </w:instrText>
        </w:r>
        <w:r w:rsidR="00F24FEE">
          <w:rPr>
            <w:noProof/>
            <w:webHidden/>
          </w:rPr>
        </w:r>
        <w:r w:rsidR="00F24FEE">
          <w:rPr>
            <w:noProof/>
            <w:webHidden/>
          </w:rPr>
          <w:fldChar w:fldCharType="separate"/>
        </w:r>
        <w:r w:rsidR="00F24FEE">
          <w:rPr>
            <w:noProof/>
            <w:webHidden/>
          </w:rPr>
          <w:t>65</w:t>
        </w:r>
        <w:r w:rsidR="00F24FEE">
          <w:rPr>
            <w:noProof/>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26" w:history="1">
        <w:r w:rsidR="00F24FEE" w:rsidRPr="000E296F">
          <w:rPr>
            <w:rStyle w:val="Hyperlink"/>
          </w:rPr>
          <w:t>5.4.1</w:t>
        </w:r>
        <w:r w:rsidR="00F24FEE">
          <w:rPr>
            <w:rFonts w:asciiTheme="minorHAnsi" w:eastAsiaTheme="minorEastAsia" w:hAnsiTheme="minorHAnsi" w:cstheme="minorBidi"/>
            <w:smallCaps w:val="0"/>
            <w:sz w:val="22"/>
            <w:szCs w:val="22"/>
            <w:lang w:val="en-ZA" w:eastAsia="en-ZA"/>
          </w:rPr>
          <w:tab/>
        </w:r>
        <w:r w:rsidR="00F24FEE" w:rsidRPr="000E296F">
          <w:rPr>
            <w:rStyle w:val="Hyperlink"/>
          </w:rPr>
          <w:t>Introduction</w:t>
        </w:r>
        <w:r w:rsidR="00F24FEE">
          <w:rPr>
            <w:webHidden/>
          </w:rPr>
          <w:tab/>
        </w:r>
        <w:r w:rsidR="00F24FEE">
          <w:rPr>
            <w:webHidden/>
          </w:rPr>
          <w:fldChar w:fldCharType="begin"/>
        </w:r>
        <w:r w:rsidR="00F24FEE">
          <w:rPr>
            <w:webHidden/>
          </w:rPr>
          <w:instrText xml:space="preserve"> PAGEREF _Toc380687126 \h </w:instrText>
        </w:r>
        <w:r w:rsidR="00F24FEE">
          <w:rPr>
            <w:webHidden/>
          </w:rPr>
        </w:r>
        <w:r w:rsidR="00F24FEE">
          <w:rPr>
            <w:webHidden/>
          </w:rPr>
          <w:fldChar w:fldCharType="separate"/>
        </w:r>
        <w:r w:rsidR="00F24FEE">
          <w:rPr>
            <w:webHidden/>
          </w:rPr>
          <w:t>65</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27" w:history="1">
        <w:r w:rsidR="00F24FEE" w:rsidRPr="000E296F">
          <w:rPr>
            <w:rStyle w:val="Hyperlink"/>
          </w:rPr>
          <w:t>5.4.2</w:t>
        </w:r>
        <w:r w:rsidR="00F24FEE">
          <w:rPr>
            <w:rFonts w:asciiTheme="minorHAnsi" w:eastAsiaTheme="minorEastAsia" w:hAnsiTheme="minorHAnsi" w:cstheme="minorBidi"/>
            <w:smallCaps w:val="0"/>
            <w:sz w:val="22"/>
            <w:szCs w:val="22"/>
            <w:lang w:val="en-ZA" w:eastAsia="en-ZA"/>
          </w:rPr>
          <w:tab/>
        </w:r>
        <w:r w:rsidR="00F24FEE" w:rsidRPr="000E296F">
          <w:rPr>
            <w:rStyle w:val="Hyperlink"/>
          </w:rPr>
          <w:t>The impact of corporate rebranding on Vodacom’s brand equity</w:t>
        </w:r>
        <w:r w:rsidR="00F24FEE">
          <w:rPr>
            <w:webHidden/>
          </w:rPr>
          <w:tab/>
        </w:r>
        <w:r w:rsidR="00F24FEE">
          <w:rPr>
            <w:webHidden/>
          </w:rPr>
          <w:fldChar w:fldCharType="begin"/>
        </w:r>
        <w:r w:rsidR="00F24FEE">
          <w:rPr>
            <w:webHidden/>
          </w:rPr>
          <w:instrText xml:space="preserve"> PAGEREF _Toc380687127 \h </w:instrText>
        </w:r>
        <w:r w:rsidR="00F24FEE">
          <w:rPr>
            <w:webHidden/>
          </w:rPr>
        </w:r>
        <w:r w:rsidR="00F24FEE">
          <w:rPr>
            <w:webHidden/>
          </w:rPr>
          <w:fldChar w:fldCharType="separate"/>
        </w:r>
        <w:r w:rsidR="00F24FEE">
          <w:rPr>
            <w:webHidden/>
          </w:rPr>
          <w:t>65</w:t>
        </w:r>
        <w:r w:rsidR="00F24FEE">
          <w:rPr>
            <w:webHidden/>
          </w:rPr>
          <w:fldChar w:fldCharType="end"/>
        </w:r>
      </w:hyperlink>
    </w:p>
    <w:p w:rsidR="00F24FEE" w:rsidRDefault="00E85236">
      <w:pPr>
        <w:pStyle w:val="TOC3"/>
        <w:tabs>
          <w:tab w:val="left" w:pos="1400"/>
          <w:tab w:val="right" w:leader="dot" w:pos="8728"/>
        </w:tabs>
        <w:rPr>
          <w:rFonts w:asciiTheme="minorHAnsi" w:eastAsiaTheme="minorEastAsia" w:hAnsiTheme="minorHAnsi" w:cstheme="minorBidi"/>
          <w:smallCaps w:val="0"/>
          <w:sz w:val="22"/>
          <w:szCs w:val="22"/>
          <w:lang w:val="en-ZA" w:eastAsia="en-ZA"/>
        </w:rPr>
      </w:pPr>
      <w:hyperlink w:anchor="_Toc380687128" w:history="1">
        <w:r w:rsidR="00F24FEE" w:rsidRPr="000E296F">
          <w:rPr>
            <w:rStyle w:val="Hyperlink"/>
          </w:rPr>
          <w:t>5.4.3</w:t>
        </w:r>
        <w:r w:rsidR="00F24FEE">
          <w:rPr>
            <w:rFonts w:asciiTheme="minorHAnsi" w:eastAsiaTheme="minorEastAsia" w:hAnsiTheme="minorHAnsi" w:cstheme="minorBidi"/>
            <w:smallCaps w:val="0"/>
            <w:sz w:val="22"/>
            <w:szCs w:val="22"/>
            <w:lang w:val="en-ZA" w:eastAsia="en-ZA"/>
          </w:rPr>
          <w:tab/>
        </w:r>
        <w:r w:rsidR="00F24FEE" w:rsidRPr="000E296F">
          <w:rPr>
            <w:rStyle w:val="Hyperlink"/>
          </w:rPr>
          <w:t>Drivers impact on brand equity</w:t>
        </w:r>
        <w:r w:rsidR="00F24FEE">
          <w:rPr>
            <w:webHidden/>
          </w:rPr>
          <w:tab/>
        </w:r>
        <w:r w:rsidR="00F24FEE">
          <w:rPr>
            <w:webHidden/>
          </w:rPr>
          <w:fldChar w:fldCharType="begin"/>
        </w:r>
        <w:r w:rsidR="00F24FEE">
          <w:rPr>
            <w:webHidden/>
          </w:rPr>
          <w:instrText xml:space="preserve"> PAGEREF _Toc380687128 \h </w:instrText>
        </w:r>
        <w:r w:rsidR="00F24FEE">
          <w:rPr>
            <w:webHidden/>
          </w:rPr>
        </w:r>
        <w:r w:rsidR="00F24FEE">
          <w:rPr>
            <w:webHidden/>
          </w:rPr>
          <w:fldChar w:fldCharType="separate"/>
        </w:r>
        <w:r w:rsidR="00F24FEE">
          <w:rPr>
            <w:webHidden/>
          </w:rPr>
          <w:t>66</w:t>
        </w:r>
        <w:r w:rsidR="00F24FEE">
          <w:rPr>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29" w:history="1">
        <w:r w:rsidR="00F24FEE" w:rsidRPr="000E296F">
          <w:rPr>
            <w:rStyle w:val="Hyperlink"/>
            <w:noProof/>
          </w:rPr>
          <w:t>5.5</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Conclusion</w:t>
        </w:r>
        <w:r w:rsidR="00F24FEE">
          <w:rPr>
            <w:noProof/>
            <w:webHidden/>
          </w:rPr>
          <w:tab/>
        </w:r>
        <w:r w:rsidR="00F24FEE">
          <w:rPr>
            <w:noProof/>
            <w:webHidden/>
          </w:rPr>
          <w:fldChar w:fldCharType="begin"/>
        </w:r>
        <w:r w:rsidR="00F24FEE">
          <w:rPr>
            <w:noProof/>
            <w:webHidden/>
          </w:rPr>
          <w:instrText xml:space="preserve"> PAGEREF _Toc380687129 \h </w:instrText>
        </w:r>
        <w:r w:rsidR="00F24FEE">
          <w:rPr>
            <w:noProof/>
            <w:webHidden/>
          </w:rPr>
        </w:r>
        <w:r w:rsidR="00F24FEE">
          <w:rPr>
            <w:noProof/>
            <w:webHidden/>
          </w:rPr>
          <w:fldChar w:fldCharType="separate"/>
        </w:r>
        <w:r w:rsidR="00F24FEE">
          <w:rPr>
            <w:noProof/>
            <w:webHidden/>
          </w:rPr>
          <w:t>67</w:t>
        </w:r>
        <w:r w:rsidR="00F24FEE">
          <w:rPr>
            <w:noProof/>
            <w:webHidden/>
          </w:rPr>
          <w:fldChar w:fldCharType="end"/>
        </w:r>
      </w:hyperlink>
    </w:p>
    <w:p w:rsidR="00F24FEE" w:rsidRDefault="00E85236">
      <w:pPr>
        <w:pStyle w:val="TOC1"/>
        <w:tabs>
          <w:tab w:val="left" w:pos="720"/>
        </w:tabs>
        <w:rPr>
          <w:rFonts w:asciiTheme="minorHAnsi" w:eastAsiaTheme="minorEastAsia" w:hAnsiTheme="minorHAnsi" w:cstheme="minorBidi"/>
          <w:b w:val="0"/>
          <w:caps w:val="0"/>
          <w:noProof/>
          <w:sz w:val="22"/>
          <w:szCs w:val="22"/>
          <w:lang w:val="en-ZA" w:eastAsia="en-ZA"/>
        </w:rPr>
      </w:pPr>
      <w:hyperlink w:anchor="_Toc380687130" w:history="1">
        <w:r w:rsidR="00F24FEE" w:rsidRPr="000E296F">
          <w:rPr>
            <w:rStyle w:val="Hyperlink"/>
            <w:noProof/>
          </w:rPr>
          <w:t>6</w:t>
        </w:r>
        <w:r w:rsidR="00F24FEE">
          <w:rPr>
            <w:rFonts w:asciiTheme="minorHAnsi" w:eastAsiaTheme="minorEastAsia" w:hAnsiTheme="minorHAnsi" w:cstheme="minorBidi"/>
            <w:b w:val="0"/>
            <w:caps w:val="0"/>
            <w:noProof/>
            <w:sz w:val="22"/>
            <w:szCs w:val="22"/>
            <w:lang w:val="en-ZA" w:eastAsia="en-ZA"/>
          </w:rPr>
          <w:tab/>
        </w:r>
        <w:r w:rsidR="00F24FEE" w:rsidRPr="000E296F">
          <w:rPr>
            <w:rStyle w:val="Hyperlink"/>
            <w:noProof/>
          </w:rPr>
          <w:t>CONCLUSIONS AND RECOMMENDATIONS</w:t>
        </w:r>
        <w:r w:rsidR="00F24FEE">
          <w:rPr>
            <w:noProof/>
            <w:webHidden/>
          </w:rPr>
          <w:tab/>
        </w:r>
        <w:r w:rsidR="00F24FEE">
          <w:rPr>
            <w:noProof/>
            <w:webHidden/>
          </w:rPr>
          <w:fldChar w:fldCharType="begin"/>
        </w:r>
        <w:r w:rsidR="00F24FEE">
          <w:rPr>
            <w:noProof/>
            <w:webHidden/>
          </w:rPr>
          <w:instrText xml:space="preserve"> PAGEREF _Toc380687130 \h </w:instrText>
        </w:r>
        <w:r w:rsidR="00F24FEE">
          <w:rPr>
            <w:noProof/>
            <w:webHidden/>
          </w:rPr>
        </w:r>
        <w:r w:rsidR="00F24FEE">
          <w:rPr>
            <w:noProof/>
            <w:webHidden/>
          </w:rPr>
          <w:fldChar w:fldCharType="separate"/>
        </w:r>
        <w:r w:rsidR="00F24FEE">
          <w:rPr>
            <w:noProof/>
            <w:webHidden/>
          </w:rPr>
          <w:t>68</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1" w:history="1">
        <w:r w:rsidR="00F24FEE" w:rsidRPr="000E296F">
          <w:rPr>
            <w:rStyle w:val="Hyperlink"/>
            <w:noProof/>
          </w:rPr>
          <w:t>6.1</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Introduction</w:t>
        </w:r>
        <w:r w:rsidR="00F24FEE">
          <w:rPr>
            <w:noProof/>
            <w:webHidden/>
          </w:rPr>
          <w:tab/>
        </w:r>
        <w:r w:rsidR="00F24FEE">
          <w:rPr>
            <w:noProof/>
            <w:webHidden/>
          </w:rPr>
          <w:fldChar w:fldCharType="begin"/>
        </w:r>
        <w:r w:rsidR="00F24FEE">
          <w:rPr>
            <w:noProof/>
            <w:webHidden/>
          </w:rPr>
          <w:instrText xml:space="preserve"> PAGEREF _Toc380687131 \h </w:instrText>
        </w:r>
        <w:r w:rsidR="00F24FEE">
          <w:rPr>
            <w:noProof/>
            <w:webHidden/>
          </w:rPr>
        </w:r>
        <w:r w:rsidR="00F24FEE">
          <w:rPr>
            <w:noProof/>
            <w:webHidden/>
          </w:rPr>
          <w:fldChar w:fldCharType="separate"/>
        </w:r>
        <w:r w:rsidR="00F24FEE">
          <w:rPr>
            <w:noProof/>
            <w:webHidden/>
          </w:rPr>
          <w:t>68</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2" w:history="1">
        <w:r w:rsidR="00F24FEE" w:rsidRPr="000E296F">
          <w:rPr>
            <w:rStyle w:val="Hyperlink"/>
            <w:noProof/>
          </w:rPr>
          <w:t>6.2</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Summary of main findings</w:t>
        </w:r>
        <w:r w:rsidR="00F24FEE">
          <w:rPr>
            <w:noProof/>
            <w:webHidden/>
          </w:rPr>
          <w:tab/>
        </w:r>
        <w:r w:rsidR="00F24FEE">
          <w:rPr>
            <w:noProof/>
            <w:webHidden/>
          </w:rPr>
          <w:fldChar w:fldCharType="begin"/>
        </w:r>
        <w:r w:rsidR="00F24FEE">
          <w:rPr>
            <w:noProof/>
            <w:webHidden/>
          </w:rPr>
          <w:instrText xml:space="preserve"> PAGEREF _Toc380687132 \h </w:instrText>
        </w:r>
        <w:r w:rsidR="00F24FEE">
          <w:rPr>
            <w:noProof/>
            <w:webHidden/>
          </w:rPr>
        </w:r>
        <w:r w:rsidR="00F24FEE">
          <w:rPr>
            <w:noProof/>
            <w:webHidden/>
          </w:rPr>
          <w:fldChar w:fldCharType="separate"/>
        </w:r>
        <w:r w:rsidR="00F24FEE">
          <w:rPr>
            <w:noProof/>
            <w:webHidden/>
          </w:rPr>
          <w:t>68</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3" w:history="1">
        <w:r w:rsidR="00F24FEE" w:rsidRPr="000E296F">
          <w:rPr>
            <w:rStyle w:val="Hyperlink"/>
            <w:noProof/>
          </w:rPr>
          <w:t>6.3</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Recommendations and managerial implications</w:t>
        </w:r>
        <w:r w:rsidR="00F24FEE">
          <w:rPr>
            <w:noProof/>
            <w:webHidden/>
          </w:rPr>
          <w:tab/>
        </w:r>
        <w:r w:rsidR="00F24FEE">
          <w:rPr>
            <w:noProof/>
            <w:webHidden/>
          </w:rPr>
          <w:fldChar w:fldCharType="begin"/>
        </w:r>
        <w:r w:rsidR="00F24FEE">
          <w:rPr>
            <w:noProof/>
            <w:webHidden/>
          </w:rPr>
          <w:instrText xml:space="preserve"> PAGEREF _Toc380687133 \h </w:instrText>
        </w:r>
        <w:r w:rsidR="00F24FEE">
          <w:rPr>
            <w:noProof/>
            <w:webHidden/>
          </w:rPr>
        </w:r>
        <w:r w:rsidR="00F24FEE">
          <w:rPr>
            <w:noProof/>
            <w:webHidden/>
          </w:rPr>
          <w:fldChar w:fldCharType="separate"/>
        </w:r>
        <w:r w:rsidR="00F24FEE">
          <w:rPr>
            <w:noProof/>
            <w:webHidden/>
          </w:rPr>
          <w:t>71</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4" w:history="1">
        <w:r w:rsidR="00F24FEE" w:rsidRPr="000E296F">
          <w:rPr>
            <w:rStyle w:val="Hyperlink"/>
            <w:noProof/>
          </w:rPr>
          <w:t>6.4</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Limitations of the research</w:t>
        </w:r>
        <w:r w:rsidR="00F24FEE">
          <w:rPr>
            <w:noProof/>
            <w:webHidden/>
          </w:rPr>
          <w:tab/>
        </w:r>
        <w:r w:rsidR="00F24FEE">
          <w:rPr>
            <w:noProof/>
            <w:webHidden/>
          </w:rPr>
          <w:fldChar w:fldCharType="begin"/>
        </w:r>
        <w:r w:rsidR="00F24FEE">
          <w:rPr>
            <w:noProof/>
            <w:webHidden/>
          </w:rPr>
          <w:instrText xml:space="preserve"> PAGEREF _Toc380687134 \h </w:instrText>
        </w:r>
        <w:r w:rsidR="00F24FEE">
          <w:rPr>
            <w:noProof/>
            <w:webHidden/>
          </w:rPr>
        </w:r>
        <w:r w:rsidR="00F24FEE">
          <w:rPr>
            <w:noProof/>
            <w:webHidden/>
          </w:rPr>
          <w:fldChar w:fldCharType="separate"/>
        </w:r>
        <w:r w:rsidR="00F24FEE">
          <w:rPr>
            <w:noProof/>
            <w:webHidden/>
          </w:rPr>
          <w:t>73</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5" w:history="1">
        <w:r w:rsidR="00F24FEE" w:rsidRPr="000E296F">
          <w:rPr>
            <w:rStyle w:val="Hyperlink"/>
            <w:noProof/>
          </w:rPr>
          <w:t>6.5</w:t>
        </w:r>
        <w:r w:rsidR="00F24FEE">
          <w:rPr>
            <w:rFonts w:asciiTheme="minorHAnsi" w:eastAsiaTheme="minorEastAsia" w:hAnsiTheme="minorHAnsi" w:cstheme="minorBidi"/>
            <w:smallCaps w:val="0"/>
            <w:noProof/>
            <w:sz w:val="22"/>
            <w:szCs w:val="22"/>
            <w:lang w:val="en-ZA" w:eastAsia="en-ZA"/>
          </w:rPr>
          <w:tab/>
        </w:r>
        <w:r w:rsidR="00F24FEE" w:rsidRPr="000E296F">
          <w:rPr>
            <w:rStyle w:val="Hyperlink"/>
            <w:noProof/>
          </w:rPr>
          <w:t>Suggestions for further research</w:t>
        </w:r>
        <w:r w:rsidR="00F24FEE">
          <w:rPr>
            <w:noProof/>
            <w:webHidden/>
          </w:rPr>
          <w:tab/>
        </w:r>
        <w:r w:rsidR="00F24FEE">
          <w:rPr>
            <w:noProof/>
            <w:webHidden/>
          </w:rPr>
          <w:fldChar w:fldCharType="begin"/>
        </w:r>
        <w:r w:rsidR="00F24FEE">
          <w:rPr>
            <w:noProof/>
            <w:webHidden/>
          </w:rPr>
          <w:instrText xml:space="preserve"> PAGEREF _Toc380687135 \h </w:instrText>
        </w:r>
        <w:r w:rsidR="00F24FEE">
          <w:rPr>
            <w:noProof/>
            <w:webHidden/>
          </w:rPr>
        </w:r>
        <w:r w:rsidR="00F24FEE">
          <w:rPr>
            <w:noProof/>
            <w:webHidden/>
          </w:rPr>
          <w:fldChar w:fldCharType="separate"/>
        </w:r>
        <w:r w:rsidR="00F24FEE">
          <w:rPr>
            <w:noProof/>
            <w:webHidden/>
          </w:rPr>
          <w:t>74</w:t>
        </w:r>
        <w:r w:rsidR="00F24FEE">
          <w:rPr>
            <w:noProof/>
            <w:webHidden/>
          </w:rPr>
          <w:fldChar w:fldCharType="end"/>
        </w:r>
      </w:hyperlink>
    </w:p>
    <w:p w:rsidR="00F24FEE" w:rsidRDefault="00E85236">
      <w:pPr>
        <w:pStyle w:val="TOC1"/>
        <w:rPr>
          <w:rFonts w:asciiTheme="minorHAnsi" w:eastAsiaTheme="minorEastAsia" w:hAnsiTheme="minorHAnsi" w:cstheme="minorBidi"/>
          <w:b w:val="0"/>
          <w:caps w:val="0"/>
          <w:noProof/>
          <w:sz w:val="22"/>
          <w:szCs w:val="22"/>
          <w:lang w:val="en-ZA" w:eastAsia="en-ZA"/>
        </w:rPr>
      </w:pPr>
      <w:hyperlink w:anchor="_Toc380687136" w:history="1">
        <w:r w:rsidR="00F24FEE" w:rsidRPr="000E296F">
          <w:rPr>
            <w:rStyle w:val="Hyperlink"/>
            <w:noProof/>
          </w:rPr>
          <w:t>References</w:t>
        </w:r>
        <w:r w:rsidR="00F24FEE">
          <w:rPr>
            <w:noProof/>
            <w:webHidden/>
          </w:rPr>
          <w:tab/>
        </w:r>
        <w:r w:rsidR="00F24FEE">
          <w:rPr>
            <w:noProof/>
            <w:webHidden/>
          </w:rPr>
          <w:fldChar w:fldCharType="begin"/>
        </w:r>
        <w:r w:rsidR="00F24FEE">
          <w:rPr>
            <w:noProof/>
            <w:webHidden/>
          </w:rPr>
          <w:instrText xml:space="preserve"> PAGEREF _Toc380687136 \h </w:instrText>
        </w:r>
        <w:r w:rsidR="00F24FEE">
          <w:rPr>
            <w:noProof/>
            <w:webHidden/>
          </w:rPr>
        </w:r>
        <w:r w:rsidR="00F24FEE">
          <w:rPr>
            <w:noProof/>
            <w:webHidden/>
          </w:rPr>
          <w:fldChar w:fldCharType="separate"/>
        </w:r>
        <w:r w:rsidR="00F24FEE">
          <w:rPr>
            <w:noProof/>
            <w:webHidden/>
          </w:rPr>
          <w:t>75</w:t>
        </w:r>
        <w:r w:rsidR="00F24FEE">
          <w:rPr>
            <w:noProof/>
            <w:webHidden/>
          </w:rPr>
          <w:fldChar w:fldCharType="end"/>
        </w:r>
      </w:hyperlink>
    </w:p>
    <w:p w:rsidR="00F24FEE" w:rsidRDefault="00E85236">
      <w:pPr>
        <w:pStyle w:val="TOC1"/>
        <w:rPr>
          <w:rFonts w:asciiTheme="minorHAnsi" w:eastAsiaTheme="minorEastAsia" w:hAnsiTheme="minorHAnsi" w:cstheme="minorBidi"/>
          <w:b w:val="0"/>
          <w:caps w:val="0"/>
          <w:noProof/>
          <w:sz w:val="22"/>
          <w:szCs w:val="22"/>
          <w:lang w:val="en-ZA" w:eastAsia="en-ZA"/>
        </w:rPr>
      </w:pPr>
      <w:hyperlink w:anchor="_Toc380687137" w:history="1">
        <w:r w:rsidR="00F24FEE" w:rsidRPr="000E296F">
          <w:rPr>
            <w:rStyle w:val="Hyperlink"/>
            <w:noProof/>
          </w:rPr>
          <w:t>Appendices</w:t>
        </w:r>
        <w:r w:rsidR="00F24FEE">
          <w:rPr>
            <w:noProof/>
            <w:webHidden/>
          </w:rPr>
          <w:tab/>
        </w:r>
        <w:r w:rsidR="00F24FEE">
          <w:rPr>
            <w:noProof/>
            <w:webHidden/>
          </w:rPr>
          <w:fldChar w:fldCharType="begin"/>
        </w:r>
        <w:r w:rsidR="00F24FEE">
          <w:rPr>
            <w:noProof/>
            <w:webHidden/>
          </w:rPr>
          <w:instrText xml:space="preserve"> PAGEREF _Toc380687137 \h </w:instrText>
        </w:r>
        <w:r w:rsidR="00F24FEE">
          <w:rPr>
            <w:noProof/>
            <w:webHidden/>
          </w:rPr>
        </w:r>
        <w:r w:rsidR="00F24FEE">
          <w:rPr>
            <w:noProof/>
            <w:webHidden/>
          </w:rPr>
          <w:fldChar w:fldCharType="separate"/>
        </w:r>
        <w:r w:rsidR="00F24FEE">
          <w:rPr>
            <w:noProof/>
            <w:webHidden/>
          </w:rPr>
          <w:t>86</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8" w:history="1">
        <w:r w:rsidR="00F24FEE" w:rsidRPr="000E296F">
          <w:rPr>
            <w:rStyle w:val="Hyperlink"/>
            <w:noProof/>
          </w:rPr>
          <w:t>Appendix A: Letter to Respondents</w:t>
        </w:r>
        <w:r w:rsidR="00F24FEE">
          <w:rPr>
            <w:noProof/>
            <w:webHidden/>
          </w:rPr>
          <w:tab/>
        </w:r>
        <w:r w:rsidR="00F24FEE">
          <w:rPr>
            <w:noProof/>
            <w:webHidden/>
          </w:rPr>
          <w:fldChar w:fldCharType="begin"/>
        </w:r>
        <w:r w:rsidR="00F24FEE">
          <w:rPr>
            <w:noProof/>
            <w:webHidden/>
          </w:rPr>
          <w:instrText xml:space="preserve"> PAGEREF _Toc380687138 \h </w:instrText>
        </w:r>
        <w:r w:rsidR="00F24FEE">
          <w:rPr>
            <w:noProof/>
            <w:webHidden/>
          </w:rPr>
        </w:r>
        <w:r w:rsidR="00F24FEE">
          <w:rPr>
            <w:noProof/>
            <w:webHidden/>
          </w:rPr>
          <w:fldChar w:fldCharType="separate"/>
        </w:r>
        <w:r w:rsidR="00F24FEE">
          <w:rPr>
            <w:noProof/>
            <w:webHidden/>
          </w:rPr>
          <w:t>86</w:t>
        </w:r>
        <w:r w:rsidR="00F24FEE">
          <w:rPr>
            <w:noProof/>
            <w:webHidden/>
          </w:rPr>
          <w:fldChar w:fldCharType="end"/>
        </w:r>
      </w:hyperlink>
    </w:p>
    <w:p w:rsidR="00F24FEE" w:rsidRDefault="00E85236">
      <w:pPr>
        <w:pStyle w:val="TOC2"/>
        <w:tabs>
          <w:tab w:val="right" w:leader="dot" w:pos="8728"/>
        </w:tabs>
        <w:rPr>
          <w:rFonts w:asciiTheme="minorHAnsi" w:eastAsiaTheme="minorEastAsia" w:hAnsiTheme="minorHAnsi" w:cstheme="minorBidi"/>
          <w:smallCaps w:val="0"/>
          <w:noProof/>
          <w:sz w:val="22"/>
          <w:szCs w:val="22"/>
          <w:lang w:val="en-ZA" w:eastAsia="en-ZA"/>
        </w:rPr>
      </w:pPr>
      <w:hyperlink w:anchor="_Toc380687139" w:history="1">
        <w:r w:rsidR="00F24FEE" w:rsidRPr="000E296F">
          <w:rPr>
            <w:rStyle w:val="Hyperlink"/>
            <w:noProof/>
          </w:rPr>
          <w:t>Appendix B: Questionnaire</w:t>
        </w:r>
        <w:r w:rsidR="00F24FEE">
          <w:rPr>
            <w:noProof/>
            <w:webHidden/>
          </w:rPr>
          <w:tab/>
        </w:r>
        <w:r w:rsidR="00F24FEE">
          <w:rPr>
            <w:noProof/>
            <w:webHidden/>
          </w:rPr>
          <w:fldChar w:fldCharType="begin"/>
        </w:r>
        <w:r w:rsidR="00F24FEE">
          <w:rPr>
            <w:noProof/>
            <w:webHidden/>
          </w:rPr>
          <w:instrText xml:space="preserve"> PAGEREF _Toc380687139 \h </w:instrText>
        </w:r>
        <w:r w:rsidR="00F24FEE">
          <w:rPr>
            <w:noProof/>
            <w:webHidden/>
          </w:rPr>
        </w:r>
        <w:r w:rsidR="00F24FEE">
          <w:rPr>
            <w:noProof/>
            <w:webHidden/>
          </w:rPr>
          <w:fldChar w:fldCharType="separate"/>
        </w:r>
        <w:r w:rsidR="00F24FEE">
          <w:rPr>
            <w:noProof/>
            <w:webHidden/>
          </w:rPr>
          <w:t>87</w:t>
        </w:r>
        <w:r w:rsidR="00F24FEE">
          <w:rPr>
            <w:noProof/>
            <w:webHidden/>
          </w:rPr>
          <w:fldChar w:fldCharType="end"/>
        </w:r>
      </w:hyperlink>
    </w:p>
    <w:p w:rsidR="00336BBE" w:rsidRDefault="00422DDF">
      <w:pPr>
        <w:pStyle w:val="TableofFigures"/>
        <w:tabs>
          <w:tab w:val="right" w:leader="dot" w:pos="8728"/>
        </w:tabs>
        <w:rPr>
          <w:bCs/>
          <w:sz w:val="28"/>
        </w:rPr>
      </w:pPr>
      <w:r w:rsidRPr="00334AC2">
        <w:rPr>
          <w:bCs/>
          <w:sz w:val="28"/>
        </w:rPr>
        <w:fldChar w:fldCharType="end"/>
      </w:r>
      <w:bookmarkStart w:id="1" w:name="_Toc377763796"/>
    </w:p>
    <w:p w:rsidR="00336BBE" w:rsidRDefault="00336BBE">
      <w:pPr>
        <w:spacing w:before="0" w:after="0" w:line="240" w:lineRule="auto"/>
        <w:jc w:val="left"/>
        <w:rPr>
          <w:bCs/>
          <w:sz w:val="28"/>
        </w:rPr>
      </w:pPr>
      <w:r>
        <w:rPr>
          <w:bCs/>
          <w:sz w:val="28"/>
        </w:rPr>
        <w:br w:type="page"/>
      </w:r>
    </w:p>
    <w:p w:rsidR="009A1248" w:rsidRDefault="00922372">
      <w:pPr>
        <w:pStyle w:val="TableofFigures"/>
        <w:tabs>
          <w:tab w:val="right" w:leader="dot" w:pos="8728"/>
        </w:tabs>
        <w:rPr>
          <w:bCs/>
          <w:sz w:val="28"/>
        </w:rPr>
      </w:pPr>
      <w:r w:rsidRPr="00EA329E">
        <w:rPr>
          <w:bCs/>
          <w:sz w:val="28"/>
        </w:rPr>
        <w:lastRenderedPageBreak/>
        <w:t>LIST OF TABLES</w:t>
      </w:r>
      <w:bookmarkEnd w:id="1"/>
    </w:p>
    <w:p w:rsidR="00CA1B5C" w:rsidRDefault="00A21D59">
      <w:pPr>
        <w:pStyle w:val="TableofFigures"/>
        <w:tabs>
          <w:tab w:val="right" w:leader="dot" w:pos="8728"/>
        </w:tabs>
        <w:rPr>
          <w:rFonts w:asciiTheme="minorHAnsi" w:eastAsiaTheme="minorEastAsia" w:hAnsiTheme="minorHAnsi" w:cstheme="minorBidi"/>
          <w:noProof/>
          <w:sz w:val="22"/>
          <w:szCs w:val="22"/>
          <w:lang w:val="en-ZA" w:eastAsia="en-ZA"/>
        </w:rPr>
      </w:pPr>
      <w:r w:rsidRPr="00EA329E">
        <w:rPr>
          <w:bCs/>
          <w:sz w:val="28"/>
        </w:rPr>
        <w:fldChar w:fldCharType="begin"/>
      </w:r>
      <w:r w:rsidRPr="00EA329E">
        <w:rPr>
          <w:bCs/>
          <w:sz w:val="28"/>
        </w:rPr>
        <w:instrText xml:space="preserve"> TOC \h \z \c "Table" </w:instrText>
      </w:r>
      <w:r w:rsidRPr="00EA329E">
        <w:rPr>
          <w:bCs/>
          <w:sz w:val="28"/>
        </w:rPr>
        <w:fldChar w:fldCharType="separate"/>
      </w:r>
      <w:hyperlink w:anchor="_Toc380684347" w:history="1">
        <w:r w:rsidR="00CA1B5C" w:rsidRPr="0058219F">
          <w:rPr>
            <w:rStyle w:val="Hyperlink"/>
            <w:noProof/>
          </w:rPr>
          <w:t>Table 1: Difference between corporate branding and product branding (King, 1991; De Chernatony, 1999; Balmer, 2001a; Balmer and Greyser, 2002)</w:t>
        </w:r>
        <w:r w:rsidR="00CA1B5C">
          <w:rPr>
            <w:noProof/>
            <w:webHidden/>
          </w:rPr>
          <w:tab/>
        </w:r>
        <w:r w:rsidR="00CA1B5C">
          <w:rPr>
            <w:noProof/>
            <w:webHidden/>
          </w:rPr>
          <w:fldChar w:fldCharType="begin"/>
        </w:r>
        <w:r w:rsidR="00CA1B5C">
          <w:rPr>
            <w:noProof/>
            <w:webHidden/>
          </w:rPr>
          <w:instrText xml:space="preserve"> PAGEREF _Toc380684347 \h </w:instrText>
        </w:r>
        <w:r w:rsidR="00CA1B5C">
          <w:rPr>
            <w:noProof/>
            <w:webHidden/>
          </w:rPr>
        </w:r>
        <w:r w:rsidR="00CA1B5C">
          <w:rPr>
            <w:noProof/>
            <w:webHidden/>
          </w:rPr>
          <w:fldChar w:fldCharType="separate"/>
        </w:r>
        <w:r w:rsidR="00CA1B5C">
          <w:rPr>
            <w:noProof/>
            <w:webHidden/>
          </w:rPr>
          <w:t>11</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48" w:history="1">
        <w:r w:rsidR="00CA1B5C" w:rsidRPr="0058219F">
          <w:rPr>
            <w:rStyle w:val="Hyperlink"/>
            <w:noProof/>
          </w:rPr>
          <w:t>Table 2: Corporate Rebranding Drivers</w:t>
        </w:r>
        <w:r w:rsidR="00CA1B5C">
          <w:rPr>
            <w:noProof/>
            <w:webHidden/>
          </w:rPr>
          <w:tab/>
        </w:r>
        <w:r w:rsidR="00CA1B5C">
          <w:rPr>
            <w:noProof/>
            <w:webHidden/>
          </w:rPr>
          <w:fldChar w:fldCharType="begin"/>
        </w:r>
        <w:r w:rsidR="00CA1B5C">
          <w:rPr>
            <w:noProof/>
            <w:webHidden/>
          </w:rPr>
          <w:instrText xml:space="preserve"> PAGEREF _Toc380684348 \h </w:instrText>
        </w:r>
        <w:r w:rsidR="00CA1B5C">
          <w:rPr>
            <w:noProof/>
            <w:webHidden/>
          </w:rPr>
        </w:r>
        <w:r w:rsidR="00CA1B5C">
          <w:rPr>
            <w:noProof/>
            <w:webHidden/>
          </w:rPr>
          <w:fldChar w:fldCharType="separate"/>
        </w:r>
        <w:r w:rsidR="00CA1B5C">
          <w:rPr>
            <w:noProof/>
            <w:webHidden/>
          </w:rPr>
          <w:t>18</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49" w:history="1">
        <w:r w:rsidR="00CA1B5C" w:rsidRPr="0058219F">
          <w:rPr>
            <w:rStyle w:val="Hyperlink"/>
            <w:noProof/>
          </w:rPr>
          <w:t>Table 3: Highest level of education</w:t>
        </w:r>
        <w:r w:rsidR="00CA1B5C">
          <w:rPr>
            <w:noProof/>
            <w:webHidden/>
          </w:rPr>
          <w:tab/>
        </w:r>
        <w:r w:rsidR="00CA1B5C">
          <w:rPr>
            <w:noProof/>
            <w:webHidden/>
          </w:rPr>
          <w:fldChar w:fldCharType="begin"/>
        </w:r>
        <w:r w:rsidR="00CA1B5C">
          <w:rPr>
            <w:noProof/>
            <w:webHidden/>
          </w:rPr>
          <w:instrText xml:space="preserve"> PAGEREF _Toc380684349 \h </w:instrText>
        </w:r>
        <w:r w:rsidR="00CA1B5C">
          <w:rPr>
            <w:noProof/>
            <w:webHidden/>
          </w:rPr>
        </w:r>
        <w:r w:rsidR="00CA1B5C">
          <w:rPr>
            <w:noProof/>
            <w:webHidden/>
          </w:rPr>
          <w:fldChar w:fldCharType="separate"/>
        </w:r>
        <w:r w:rsidR="00CA1B5C">
          <w:rPr>
            <w:noProof/>
            <w:webHidden/>
          </w:rPr>
          <w:t>37</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0" w:history="1">
        <w:r w:rsidR="00CA1B5C" w:rsidRPr="0058219F">
          <w:rPr>
            <w:rStyle w:val="Hyperlink"/>
            <w:noProof/>
          </w:rPr>
          <w:t>Table 4: Number of years as a Vodacom employee</w:t>
        </w:r>
        <w:r w:rsidR="00CA1B5C">
          <w:rPr>
            <w:noProof/>
            <w:webHidden/>
          </w:rPr>
          <w:tab/>
        </w:r>
        <w:r w:rsidR="00CA1B5C">
          <w:rPr>
            <w:noProof/>
            <w:webHidden/>
          </w:rPr>
          <w:fldChar w:fldCharType="begin"/>
        </w:r>
        <w:r w:rsidR="00CA1B5C">
          <w:rPr>
            <w:noProof/>
            <w:webHidden/>
          </w:rPr>
          <w:instrText xml:space="preserve"> PAGEREF _Toc380684350 \h </w:instrText>
        </w:r>
        <w:r w:rsidR="00CA1B5C">
          <w:rPr>
            <w:noProof/>
            <w:webHidden/>
          </w:rPr>
        </w:r>
        <w:r w:rsidR="00CA1B5C">
          <w:rPr>
            <w:noProof/>
            <w:webHidden/>
          </w:rPr>
          <w:fldChar w:fldCharType="separate"/>
        </w:r>
        <w:r w:rsidR="00CA1B5C">
          <w:rPr>
            <w:noProof/>
            <w:webHidden/>
          </w:rPr>
          <w:t>38</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1" w:history="1">
        <w:r w:rsidR="00CA1B5C" w:rsidRPr="0058219F">
          <w:rPr>
            <w:rStyle w:val="Hyperlink"/>
            <w:noProof/>
          </w:rPr>
          <w:t>Table 5: Function</w:t>
        </w:r>
        <w:r w:rsidR="00CA1B5C">
          <w:rPr>
            <w:noProof/>
            <w:webHidden/>
          </w:rPr>
          <w:tab/>
        </w:r>
        <w:r w:rsidR="00CA1B5C">
          <w:rPr>
            <w:noProof/>
            <w:webHidden/>
          </w:rPr>
          <w:fldChar w:fldCharType="begin"/>
        </w:r>
        <w:r w:rsidR="00CA1B5C">
          <w:rPr>
            <w:noProof/>
            <w:webHidden/>
          </w:rPr>
          <w:instrText xml:space="preserve"> PAGEREF _Toc380684351 \h </w:instrText>
        </w:r>
        <w:r w:rsidR="00CA1B5C">
          <w:rPr>
            <w:noProof/>
            <w:webHidden/>
          </w:rPr>
        </w:r>
        <w:r w:rsidR="00CA1B5C">
          <w:rPr>
            <w:noProof/>
            <w:webHidden/>
          </w:rPr>
          <w:fldChar w:fldCharType="separate"/>
        </w:r>
        <w:r w:rsidR="00CA1B5C">
          <w:rPr>
            <w:noProof/>
            <w:webHidden/>
          </w:rPr>
          <w:t>38</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2" w:history="1">
        <w:r w:rsidR="00CA1B5C" w:rsidRPr="0058219F">
          <w:rPr>
            <w:rStyle w:val="Hyperlink"/>
            <w:noProof/>
          </w:rPr>
          <w:t>Table 6: Factor analysis results after Varimax Rotation</w:t>
        </w:r>
        <w:r w:rsidR="00CA1B5C">
          <w:rPr>
            <w:noProof/>
            <w:webHidden/>
          </w:rPr>
          <w:tab/>
        </w:r>
        <w:r w:rsidR="00CA1B5C">
          <w:rPr>
            <w:noProof/>
            <w:webHidden/>
          </w:rPr>
          <w:fldChar w:fldCharType="begin"/>
        </w:r>
        <w:r w:rsidR="00CA1B5C">
          <w:rPr>
            <w:noProof/>
            <w:webHidden/>
          </w:rPr>
          <w:instrText xml:space="preserve"> PAGEREF _Toc380684352 \h </w:instrText>
        </w:r>
        <w:r w:rsidR="00CA1B5C">
          <w:rPr>
            <w:noProof/>
            <w:webHidden/>
          </w:rPr>
        </w:r>
        <w:r w:rsidR="00CA1B5C">
          <w:rPr>
            <w:noProof/>
            <w:webHidden/>
          </w:rPr>
          <w:fldChar w:fldCharType="separate"/>
        </w:r>
        <w:r w:rsidR="00CA1B5C">
          <w:rPr>
            <w:noProof/>
            <w:webHidden/>
          </w:rPr>
          <w:t>40</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3" w:history="1">
        <w:r w:rsidR="00CA1B5C" w:rsidRPr="0058219F">
          <w:rPr>
            <w:rStyle w:val="Hyperlink"/>
            <w:noProof/>
          </w:rPr>
          <w:t>Table 7: Factor loading after Varimax Rotation</w:t>
        </w:r>
        <w:r w:rsidR="00CA1B5C">
          <w:rPr>
            <w:noProof/>
            <w:webHidden/>
          </w:rPr>
          <w:tab/>
        </w:r>
        <w:r w:rsidR="00CA1B5C">
          <w:rPr>
            <w:noProof/>
            <w:webHidden/>
          </w:rPr>
          <w:fldChar w:fldCharType="begin"/>
        </w:r>
        <w:r w:rsidR="00CA1B5C">
          <w:rPr>
            <w:noProof/>
            <w:webHidden/>
          </w:rPr>
          <w:instrText xml:space="preserve"> PAGEREF _Toc380684353 \h </w:instrText>
        </w:r>
        <w:r w:rsidR="00CA1B5C">
          <w:rPr>
            <w:noProof/>
            <w:webHidden/>
          </w:rPr>
        </w:r>
        <w:r w:rsidR="00CA1B5C">
          <w:rPr>
            <w:noProof/>
            <w:webHidden/>
          </w:rPr>
          <w:fldChar w:fldCharType="separate"/>
        </w:r>
        <w:r w:rsidR="00CA1B5C">
          <w:rPr>
            <w:noProof/>
            <w:webHidden/>
          </w:rPr>
          <w:t>42</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4" w:history="1">
        <w:r w:rsidR="00CA1B5C" w:rsidRPr="0058219F">
          <w:rPr>
            <w:rStyle w:val="Hyperlink"/>
            <w:noProof/>
          </w:rPr>
          <w:t>Table 8: Descriptive Statistics – Macroeconomic factors</w:t>
        </w:r>
        <w:r w:rsidR="00CA1B5C">
          <w:rPr>
            <w:noProof/>
            <w:webHidden/>
          </w:rPr>
          <w:tab/>
        </w:r>
        <w:r w:rsidR="00CA1B5C">
          <w:rPr>
            <w:noProof/>
            <w:webHidden/>
          </w:rPr>
          <w:fldChar w:fldCharType="begin"/>
        </w:r>
        <w:r w:rsidR="00CA1B5C">
          <w:rPr>
            <w:noProof/>
            <w:webHidden/>
          </w:rPr>
          <w:instrText xml:space="preserve"> PAGEREF _Toc380684354 \h </w:instrText>
        </w:r>
        <w:r w:rsidR="00CA1B5C">
          <w:rPr>
            <w:noProof/>
            <w:webHidden/>
          </w:rPr>
        </w:r>
        <w:r w:rsidR="00CA1B5C">
          <w:rPr>
            <w:noProof/>
            <w:webHidden/>
          </w:rPr>
          <w:fldChar w:fldCharType="separate"/>
        </w:r>
        <w:r w:rsidR="00CA1B5C">
          <w:rPr>
            <w:noProof/>
            <w:webHidden/>
          </w:rPr>
          <w:t>43</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5" w:history="1">
        <w:r w:rsidR="00CA1B5C" w:rsidRPr="0058219F">
          <w:rPr>
            <w:rStyle w:val="Hyperlink"/>
            <w:noProof/>
          </w:rPr>
          <w:t>Table 9: Descriptive Statistics – Corporate structure and strategy</w:t>
        </w:r>
        <w:r w:rsidR="00CA1B5C">
          <w:rPr>
            <w:noProof/>
            <w:webHidden/>
          </w:rPr>
          <w:tab/>
        </w:r>
        <w:r w:rsidR="00CA1B5C">
          <w:rPr>
            <w:noProof/>
            <w:webHidden/>
          </w:rPr>
          <w:fldChar w:fldCharType="begin"/>
        </w:r>
        <w:r w:rsidR="00CA1B5C">
          <w:rPr>
            <w:noProof/>
            <w:webHidden/>
          </w:rPr>
          <w:instrText xml:space="preserve"> PAGEREF _Toc380684355 \h </w:instrText>
        </w:r>
        <w:r w:rsidR="00CA1B5C">
          <w:rPr>
            <w:noProof/>
            <w:webHidden/>
          </w:rPr>
        </w:r>
        <w:r w:rsidR="00CA1B5C">
          <w:rPr>
            <w:noProof/>
            <w:webHidden/>
          </w:rPr>
          <w:fldChar w:fldCharType="separate"/>
        </w:r>
        <w:r w:rsidR="00CA1B5C">
          <w:rPr>
            <w:noProof/>
            <w:webHidden/>
          </w:rPr>
          <w:t>43</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6" w:history="1">
        <w:r w:rsidR="00CA1B5C" w:rsidRPr="0058219F">
          <w:rPr>
            <w:rStyle w:val="Hyperlink"/>
            <w:noProof/>
          </w:rPr>
          <w:t>Table 10: Factor analysis results after Varimax Rotation</w:t>
        </w:r>
        <w:r w:rsidR="00CA1B5C">
          <w:rPr>
            <w:noProof/>
            <w:webHidden/>
          </w:rPr>
          <w:tab/>
        </w:r>
        <w:r w:rsidR="00CA1B5C">
          <w:rPr>
            <w:noProof/>
            <w:webHidden/>
          </w:rPr>
          <w:fldChar w:fldCharType="begin"/>
        </w:r>
        <w:r w:rsidR="00CA1B5C">
          <w:rPr>
            <w:noProof/>
            <w:webHidden/>
          </w:rPr>
          <w:instrText xml:space="preserve"> PAGEREF _Toc380684356 \h </w:instrText>
        </w:r>
        <w:r w:rsidR="00CA1B5C">
          <w:rPr>
            <w:noProof/>
            <w:webHidden/>
          </w:rPr>
        </w:r>
        <w:r w:rsidR="00CA1B5C">
          <w:rPr>
            <w:noProof/>
            <w:webHidden/>
          </w:rPr>
          <w:fldChar w:fldCharType="separate"/>
        </w:r>
        <w:r w:rsidR="00CA1B5C">
          <w:rPr>
            <w:noProof/>
            <w:webHidden/>
          </w:rPr>
          <w:t>44</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7" w:history="1">
        <w:r w:rsidR="00CA1B5C" w:rsidRPr="0058219F">
          <w:rPr>
            <w:rStyle w:val="Hyperlink"/>
            <w:noProof/>
          </w:rPr>
          <w:t>Table 11: Rotated Factor Loading for the old brand</w:t>
        </w:r>
        <w:r w:rsidR="00CA1B5C">
          <w:rPr>
            <w:noProof/>
            <w:webHidden/>
          </w:rPr>
          <w:tab/>
        </w:r>
        <w:r w:rsidR="00CA1B5C">
          <w:rPr>
            <w:noProof/>
            <w:webHidden/>
          </w:rPr>
          <w:fldChar w:fldCharType="begin"/>
        </w:r>
        <w:r w:rsidR="00CA1B5C">
          <w:rPr>
            <w:noProof/>
            <w:webHidden/>
          </w:rPr>
          <w:instrText xml:space="preserve"> PAGEREF _Toc380684357 \h </w:instrText>
        </w:r>
        <w:r w:rsidR="00CA1B5C">
          <w:rPr>
            <w:noProof/>
            <w:webHidden/>
          </w:rPr>
        </w:r>
        <w:r w:rsidR="00CA1B5C">
          <w:rPr>
            <w:noProof/>
            <w:webHidden/>
          </w:rPr>
          <w:fldChar w:fldCharType="separate"/>
        </w:r>
        <w:r w:rsidR="00CA1B5C">
          <w:rPr>
            <w:noProof/>
            <w:webHidden/>
          </w:rPr>
          <w:t>47</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8" w:history="1">
        <w:r w:rsidR="00CA1B5C" w:rsidRPr="0058219F">
          <w:rPr>
            <w:rStyle w:val="Hyperlink"/>
            <w:noProof/>
          </w:rPr>
          <w:t>Table 12: Descriptive Statistics – Brand awareness</w:t>
        </w:r>
        <w:r w:rsidR="00CA1B5C">
          <w:rPr>
            <w:noProof/>
            <w:webHidden/>
          </w:rPr>
          <w:tab/>
        </w:r>
        <w:r w:rsidR="00CA1B5C">
          <w:rPr>
            <w:noProof/>
            <w:webHidden/>
          </w:rPr>
          <w:fldChar w:fldCharType="begin"/>
        </w:r>
        <w:r w:rsidR="00CA1B5C">
          <w:rPr>
            <w:noProof/>
            <w:webHidden/>
          </w:rPr>
          <w:instrText xml:space="preserve"> PAGEREF _Toc380684358 \h </w:instrText>
        </w:r>
        <w:r w:rsidR="00CA1B5C">
          <w:rPr>
            <w:noProof/>
            <w:webHidden/>
          </w:rPr>
        </w:r>
        <w:r w:rsidR="00CA1B5C">
          <w:rPr>
            <w:noProof/>
            <w:webHidden/>
          </w:rPr>
          <w:fldChar w:fldCharType="separate"/>
        </w:r>
        <w:r w:rsidR="00CA1B5C">
          <w:rPr>
            <w:noProof/>
            <w:webHidden/>
          </w:rPr>
          <w:t>48</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59" w:history="1">
        <w:r w:rsidR="00CA1B5C" w:rsidRPr="0058219F">
          <w:rPr>
            <w:rStyle w:val="Hyperlink"/>
            <w:noProof/>
          </w:rPr>
          <w:t>Table 13: Descriptive Statistics – Perceived quality</w:t>
        </w:r>
        <w:r w:rsidR="00CA1B5C">
          <w:rPr>
            <w:noProof/>
            <w:webHidden/>
          </w:rPr>
          <w:tab/>
        </w:r>
        <w:r w:rsidR="00CA1B5C">
          <w:rPr>
            <w:noProof/>
            <w:webHidden/>
          </w:rPr>
          <w:fldChar w:fldCharType="begin"/>
        </w:r>
        <w:r w:rsidR="00CA1B5C">
          <w:rPr>
            <w:noProof/>
            <w:webHidden/>
          </w:rPr>
          <w:instrText xml:space="preserve"> PAGEREF _Toc380684359 \h </w:instrText>
        </w:r>
        <w:r w:rsidR="00CA1B5C">
          <w:rPr>
            <w:noProof/>
            <w:webHidden/>
          </w:rPr>
        </w:r>
        <w:r w:rsidR="00CA1B5C">
          <w:rPr>
            <w:noProof/>
            <w:webHidden/>
          </w:rPr>
          <w:fldChar w:fldCharType="separate"/>
        </w:r>
        <w:r w:rsidR="00CA1B5C">
          <w:rPr>
            <w:noProof/>
            <w:webHidden/>
          </w:rPr>
          <w:t>48</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0" w:history="1">
        <w:r w:rsidR="00CA1B5C" w:rsidRPr="0058219F">
          <w:rPr>
            <w:rStyle w:val="Hyperlink"/>
            <w:noProof/>
          </w:rPr>
          <w:t>Table 14: Descriptive Statistics - Brand loyalty</w:t>
        </w:r>
        <w:r w:rsidR="00CA1B5C">
          <w:rPr>
            <w:noProof/>
            <w:webHidden/>
          </w:rPr>
          <w:tab/>
        </w:r>
        <w:r w:rsidR="00CA1B5C">
          <w:rPr>
            <w:noProof/>
            <w:webHidden/>
          </w:rPr>
          <w:fldChar w:fldCharType="begin"/>
        </w:r>
        <w:r w:rsidR="00CA1B5C">
          <w:rPr>
            <w:noProof/>
            <w:webHidden/>
          </w:rPr>
          <w:instrText xml:space="preserve"> PAGEREF _Toc380684360 \h </w:instrText>
        </w:r>
        <w:r w:rsidR="00CA1B5C">
          <w:rPr>
            <w:noProof/>
            <w:webHidden/>
          </w:rPr>
        </w:r>
        <w:r w:rsidR="00CA1B5C">
          <w:rPr>
            <w:noProof/>
            <w:webHidden/>
          </w:rPr>
          <w:fldChar w:fldCharType="separate"/>
        </w:r>
        <w:r w:rsidR="00CA1B5C">
          <w:rPr>
            <w:noProof/>
            <w:webHidden/>
          </w:rPr>
          <w:t>49</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1" w:history="1">
        <w:r w:rsidR="00CA1B5C" w:rsidRPr="0058219F">
          <w:rPr>
            <w:rStyle w:val="Hyperlink"/>
            <w:noProof/>
          </w:rPr>
          <w:t>Table 15: Factor analysis results after Varimax Rotation</w:t>
        </w:r>
        <w:r w:rsidR="00CA1B5C">
          <w:rPr>
            <w:noProof/>
            <w:webHidden/>
          </w:rPr>
          <w:tab/>
        </w:r>
        <w:r w:rsidR="00CA1B5C">
          <w:rPr>
            <w:noProof/>
            <w:webHidden/>
          </w:rPr>
          <w:fldChar w:fldCharType="begin"/>
        </w:r>
        <w:r w:rsidR="00CA1B5C">
          <w:rPr>
            <w:noProof/>
            <w:webHidden/>
          </w:rPr>
          <w:instrText xml:space="preserve"> PAGEREF _Toc380684361 \h </w:instrText>
        </w:r>
        <w:r w:rsidR="00CA1B5C">
          <w:rPr>
            <w:noProof/>
            <w:webHidden/>
          </w:rPr>
        </w:r>
        <w:r w:rsidR="00CA1B5C">
          <w:rPr>
            <w:noProof/>
            <w:webHidden/>
          </w:rPr>
          <w:fldChar w:fldCharType="separate"/>
        </w:r>
        <w:r w:rsidR="00CA1B5C">
          <w:rPr>
            <w:noProof/>
            <w:webHidden/>
          </w:rPr>
          <w:t>50</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2" w:history="1">
        <w:r w:rsidR="00CA1B5C" w:rsidRPr="0058219F">
          <w:rPr>
            <w:rStyle w:val="Hyperlink"/>
            <w:noProof/>
          </w:rPr>
          <w:t>Table 16: Factor loading for the new branding</w:t>
        </w:r>
        <w:r w:rsidR="00CA1B5C">
          <w:rPr>
            <w:noProof/>
            <w:webHidden/>
          </w:rPr>
          <w:tab/>
        </w:r>
        <w:r w:rsidR="00CA1B5C">
          <w:rPr>
            <w:noProof/>
            <w:webHidden/>
          </w:rPr>
          <w:fldChar w:fldCharType="begin"/>
        </w:r>
        <w:r w:rsidR="00CA1B5C">
          <w:rPr>
            <w:noProof/>
            <w:webHidden/>
          </w:rPr>
          <w:instrText xml:space="preserve"> PAGEREF _Toc380684362 \h </w:instrText>
        </w:r>
        <w:r w:rsidR="00CA1B5C">
          <w:rPr>
            <w:noProof/>
            <w:webHidden/>
          </w:rPr>
        </w:r>
        <w:r w:rsidR="00CA1B5C">
          <w:rPr>
            <w:noProof/>
            <w:webHidden/>
          </w:rPr>
          <w:fldChar w:fldCharType="separate"/>
        </w:r>
        <w:r w:rsidR="00CA1B5C">
          <w:rPr>
            <w:noProof/>
            <w:webHidden/>
          </w:rPr>
          <w:t>52</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3" w:history="1">
        <w:r w:rsidR="00CA1B5C" w:rsidRPr="0058219F">
          <w:rPr>
            <w:rStyle w:val="Hyperlink"/>
            <w:noProof/>
          </w:rPr>
          <w:t>Table 17: Descriptive Statistics - Infant brand</w:t>
        </w:r>
        <w:r w:rsidR="00CA1B5C">
          <w:rPr>
            <w:noProof/>
            <w:webHidden/>
          </w:rPr>
          <w:tab/>
        </w:r>
        <w:r w:rsidR="00CA1B5C">
          <w:rPr>
            <w:noProof/>
            <w:webHidden/>
          </w:rPr>
          <w:fldChar w:fldCharType="begin"/>
        </w:r>
        <w:r w:rsidR="00CA1B5C">
          <w:rPr>
            <w:noProof/>
            <w:webHidden/>
          </w:rPr>
          <w:instrText xml:space="preserve"> PAGEREF _Toc380684363 \h </w:instrText>
        </w:r>
        <w:r w:rsidR="00CA1B5C">
          <w:rPr>
            <w:noProof/>
            <w:webHidden/>
          </w:rPr>
        </w:r>
        <w:r w:rsidR="00CA1B5C">
          <w:rPr>
            <w:noProof/>
            <w:webHidden/>
          </w:rPr>
          <w:fldChar w:fldCharType="separate"/>
        </w:r>
        <w:r w:rsidR="00CA1B5C">
          <w:rPr>
            <w:noProof/>
            <w:webHidden/>
          </w:rPr>
          <w:t>53</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4" w:history="1">
        <w:r w:rsidR="00CA1B5C" w:rsidRPr="0058219F">
          <w:rPr>
            <w:rStyle w:val="Hyperlink"/>
            <w:noProof/>
          </w:rPr>
          <w:t>Table 18: Analysis of Variance</w:t>
        </w:r>
        <w:r w:rsidR="00CA1B5C">
          <w:rPr>
            <w:noProof/>
            <w:webHidden/>
          </w:rPr>
          <w:tab/>
        </w:r>
        <w:r w:rsidR="00CA1B5C">
          <w:rPr>
            <w:noProof/>
            <w:webHidden/>
          </w:rPr>
          <w:fldChar w:fldCharType="begin"/>
        </w:r>
        <w:r w:rsidR="00CA1B5C">
          <w:rPr>
            <w:noProof/>
            <w:webHidden/>
          </w:rPr>
          <w:instrText xml:space="preserve"> PAGEREF _Toc380684364 \h </w:instrText>
        </w:r>
        <w:r w:rsidR="00CA1B5C">
          <w:rPr>
            <w:noProof/>
            <w:webHidden/>
          </w:rPr>
        </w:r>
        <w:r w:rsidR="00CA1B5C">
          <w:rPr>
            <w:noProof/>
            <w:webHidden/>
          </w:rPr>
          <w:fldChar w:fldCharType="separate"/>
        </w:r>
        <w:r w:rsidR="00CA1B5C">
          <w:rPr>
            <w:noProof/>
            <w:webHidden/>
          </w:rPr>
          <w:t>55</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5" w:history="1">
        <w:r w:rsidR="00CA1B5C" w:rsidRPr="0058219F">
          <w:rPr>
            <w:rStyle w:val="Hyperlink"/>
            <w:noProof/>
          </w:rPr>
          <w:t>Table 19: Parameter Estimates</w:t>
        </w:r>
        <w:r w:rsidR="00CA1B5C">
          <w:rPr>
            <w:noProof/>
            <w:webHidden/>
          </w:rPr>
          <w:tab/>
        </w:r>
        <w:r w:rsidR="00CA1B5C">
          <w:rPr>
            <w:noProof/>
            <w:webHidden/>
          </w:rPr>
          <w:fldChar w:fldCharType="begin"/>
        </w:r>
        <w:r w:rsidR="00CA1B5C">
          <w:rPr>
            <w:noProof/>
            <w:webHidden/>
          </w:rPr>
          <w:instrText xml:space="preserve"> PAGEREF _Toc380684365 \h </w:instrText>
        </w:r>
        <w:r w:rsidR="00CA1B5C">
          <w:rPr>
            <w:noProof/>
            <w:webHidden/>
          </w:rPr>
        </w:r>
        <w:r w:rsidR="00CA1B5C">
          <w:rPr>
            <w:noProof/>
            <w:webHidden/>
          </w:rPr>
          <w:fldChar w:fldCharType="separate"/>
        </w:r>
        <w:r w:rsidR="00CA1B5C">
          <w:rPr>
            <w:noProof/>
            <w:webHidden/>
          </w:rPr>
          <w:t>55</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6" w:history="1">
        <w:r w:rsidR="00CA1B5C" w:rsidRPr="0058219F">
          <w:rPr>
            <w:rStyle w:val="Hyperlink"/>
            <w:noProof/>
          </w:rPr>
          <w:t>Table 20: Summary of Fit</w:t>
        </w:r>
        <w:r w:rsidR="00CA1B5C">
          <w:rPr>
            <w:noProof/>
            <w:webHidden/>
          </w:rPr>
          <w:tab/>
        </w:r>
        <w:r w:rsidR="00CA1B5C">
          <w:rPr>
            <w:noProof/>
            <w:webHidden/>
          </w:rPr>
          <w:fldChar w:fldCharType="begin"/>
        </w:r>
        <w:r w:rsidR="00CA1B5C">
          <w:rPr>
            <w:noProof/>
            <w:webHidden/>
          </w:rPr>
          <w:instrText xml:space="preserve"> PAGEREF _Toc380684366 \h </w:instrText>
        </w:r>
        <w:r w:rsidR="00CA1B5C">
          <w:rPr>
            <w:noProof/>
            <w:webHidden/>
          </w:rPr>
        </w:r>
        <w:r w:rsidR="00CA1B5C">
          <w:rPr>
            <w:noProof/>
            <w:webHidden/>
          </w:rPr>
          <w:fldChar w:fldCharType="separate"/>
        </w:r>
        <w:r w:rsidR="00CA1B5C">
          <w:rPr>
            <w:noProof/>
            <w:webHidden/>
          </w:rPr>
          <w:t>56</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7" w:history="1">
        <w:r w:rsidR="00CA1B5C" w:rsidRPr="0058219F">
          <w:rPr>
            <w:rStyle w:val="Hyperlink"/>
            <w:noProof/>
          </w:rPr>
          <w:t>Table 21: Analysis of Variance</w:t>
        </w:r>
        <w:r w:rsidR="00CA1B5C">
          <w:rPr>
            <w:noProof/>
            <w:webHidden/>
          </w:rPr>
          <w:tab/>
        </w:r>
        <w:r w:rsidR="00CA1B5C">
          <w:rPr>
            <w:noProof/>
            <w:webHidden/>
          </w:rPr>
          <w:fldChar w:fldCharType="begin"/>
        </w:r>
        <w:r w:rsidR="00CA1B5C">
          <w:rPr>
            <w:noProof/>
            <w:webHidden/>
          </w:rPr>
          <w:instrText xml:space="preserve"> PAGEREF _Toc380684367 \h </w:instrText>
        </w:r>
        <w:r w:rsidR="00CA1B5C">
          <w:rPr>
            <w:noProof/>
            <w:webHidden/>
          </w:rPr>
        </w:r>
        <w:r w:rsidR="00CA1B5C">
          <w:rPr>
            <w:noProof/>
            <w:webHidden/>
          </w:rPr>
          <w:fldChar w:fldCharType="separate"/>
        </w:r>
        <w:r w:rsidR="00CA1B5C">
          <w:rPr>
            <w:noProof/>
            <w:webHidden/>
          </w:rPr>
          <w:t>56</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8" w:history="1">
        <w:r w:rsidR="00CA1B5C" w:rsidRPr="0058219F">
          <w:rPr>
            <w:rStyle w:val="Hyperlink"/>
            <w:noProof/>
          </w:rPr>
          <w:t>Table 22: Parameter Estimates</w:t>
        </w:r>
        <w:r w:rsidR="00CA1B5C">
          <w:rPr>
            <w:noProof/>
            <w:webHidden/>
          </w:rPr>
          <w:tab/>
        </w:r>
        <w:r w:rsidR="00CA1B5C">
          <w:rPr>
            <w:noProof/>
            <w:webHidden/>
          </w:rPr>
          <w:fldChar w:fldCharType="begin"/>
        </w:r>
        <w:r w:rsidR="00CA1B5C">
          <w:rPr>
            <w:noProof/>
            <w:webHidden/>
          </w:rPr>
          <w:instrText xml:space="preserve"> PAGEREF _Toc380684368 \h </w:instrText>
        </w:r>
        <w:r w:rsidR="00CA1B5C">
          <w:rPr>
            <w:noProof/>
            <w:webHidden/>
          </w:rPr>
        </w:r>
        <w:r w:rsidR="00CA1B5C">
          <w:rPr>
            <w:noProof/>
            <w:webHidden/>
          </w:rPr>
          <w:fldChar w:fldCharType="separate"/>
        </w:r>
        <w:r w:rsidR="00CA1B5C">
          <w:rPr>
            <w:noProof/>
            <w:webHidden/>
          </w:rPr>
          <w:t>56</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69" w:history="1">
        <w:r w:rsidR="00CA1B5C" w:rsidRPr="0058219F">
          <w:rPr>
            <w:rStyle w:val="Hyperlink"/>
            <w:noProof/>
          </w:rPr>
          <w:t>Table 23: Summary of Fit</w:t>
        </w:r>
        <w:r w:rsidR="00CA1B5C">
          <w:rPr>
            <w:noProof/>
            <w:webHidden/>
          </w:rPr>
          <w:tab/>
        </w:r>
        <w:r w:rsidR="00CA1B5C">
          <w:rPr>
            <w:noProof/>
            <w:webHidden/>
          </w:rPr>
          <w:fldChar w:fldCharType="begin"/>
        </w:r>
        <w:r w:rsidR="00CA1B5C">
          <w:rPr>
            <w:noProof/>
            <w:webHidden/>
          </w:rPr>
          <w:instrText xml:space="preserve"> PAGEREF _Toc380684369 \h </w:instrText>
        </w:r>
        <w:r w:rsidR="00CA1B5C">
          <w:rPr>
            <w:noProof/>
            <w:webHidden/>
          </w:rPr>
        </w:r>
        <w:r w:rsidR="00CA1B5C">
          <w:rPr>
            <w:noProof/>
            <w:webHidden/>
          </w:rPr>
          <w:fldChar w:fldCharType="separate"/>
        </w:r>
        <w:r w:rsidR="00CA1B5C">
          <w:rPr>
            <w:noProof/>
            <w:webHidden/>
          </w:rPr>
          <w:t>57</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0" w:history="1">
        <w:r w:rsidR="00CA1B5C" w:rsidRPr="0058219F">
          <w:rPr>
            <w:rStyle w:val="Hyperlink"/>
            <w:noProof/>
          </w:rPr>
          <w:t>Table 24: Analysis of Variance</w:t>
        </w:r>
        <w:r w:rsidR="00CA1B5C">
          <w:rPr>
            <w:noProof/>
            <w:webHidden/>
          </w:rPr>
          <w:tab/>
        </w:r>
        <w:r w:rsidR="00CA1B5C">
          <w:rPr>
            <w:noProof/>
            <w:webHidden/>
          </w:rPr>
          <w:fldChar w:fldCharType="begin"/>
        </w:r>
        <w:r w:rsidR="00CA1B5C">
          <w:rPr>
            <w:noProof/>
            <w:webHidden/>
          </w:rPr>
          <w:instrText xml:space="preserve"> PAGEREF _Toc380684370 \h </w:instrText>
        </w:r>
        <w:r w:rsidR="00CA1B5C">
          <w:rPr>
            <w:noProof/>
            <w:webHidden/>
          </w:rPr>
        </w:r>
        <w:r w:rsidR="00CA1B5C">
          <w:rPr>
            <w:noProof/>
            <w:webHidden/>
          </w:rPr>
          <w:fldChar w:fldCharType="separate"/>
        </w:r>
        <w:r w:rsidR="00CA1B5C">
          <w:rPr>
            <w:noProof/>
            <w:webHidden/>
          </w:rPr>
          <w:t>57</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1" w:history="1">
        <w:r w:rsidR="00CA1B5C" w:rsidRPr="0058219F">
          <w:rPr>
            <w:rStyle w:val="Hyperlink"/>
            <w:noProof/>
          </w:rPr>
          <w:t>Table 25: Parameter Estimates</w:t>
        </w:r>
        <w:r w:rsidR="00CA1B5C">
          <w:rPr>
            <w:noProof/>
            <w:webHidden/>
          </w:rPr>
          <w:tab/>
        </w:r>
        <w:r w:rsidR="00CA1B5C">
          <w:rPr>
            <w:noProof/>
            <w:webHidden/>
          </w:rPr>
          <w:fldChar w:fldCharType="begin"/>
        </w:r>
        <w:r w:rsidR="00CA1B5C">
          <w:rPr>
            <w:noProof/>
            <w:webHidden/>
          </w:rPr>
          <w:instrText xml:space="preserve"> PAGEREF _Toc380684371 \h </w:instrText>
        </w:r>
        <w:r w:rsidR="00CA1B5C">
          <w:rPr>
            <w:noProof/>
            <w:webHidden/>
          </w:rPr>
        </w:r>
        <w:r w:rsidR="00CA1B5C">
          <w:rPr>
            <w:noProof/>
            <w:webHidden/>
          </w:rPr>
          <w:fldChar w:fldCharType="separate"/>
        </w:r>
        <w:r w:rsidR="00CA1B5C">
          <w:rPr>
            <w:noProof/>
            <w:webHidden/>
          </w:rPr>
          <w:t>58</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2" w:history="1">
        <w:r w:rsidR="00CA1B5C" w:rsidRPr="0058219F">
          <w:rPr>
            <w:rStyle w:val="Hyperlink"/>
            <w:noProof/>
          </w:rPr>
          <w:t>Table 26: Summary of Fit</w:t>
        </w:r>
        <w:r w:rsidR="00CA1B5C">
          <w:rPr>
            <w:noProof/>
            <w:webHidden/>
          </w:rPr>
          <w:tab/>
        </w:r>
        <w:r w:rsidR="00CA1B5C">
          <w:rPr>
            <w:noProof/>
            <w:webHidden/>
          </w:rPr>
          <w:fldChar w:fldCharType="begin"/>
        </w:r>
        <w:r w:rsidR="00CA1B5C">
          <w:rPr>
            <w:noProof/>
            <w:webHidden/>
          </w:rPr>
          <w:instrText xml:space="preserve"> PAGEREF _Toc380684372 \h </w:instrText>
        </w:r>
        <w:r w:rsidR="00CA1B5C">
          <w:rPr>
            <w:noProof/>
            <w:webHidden/>
          </w:rPr>
        </w:r>
        <w:r w:rsidR="00CA1B5C">
          <w:rPr>
            <w:noProof/>
            <w:webHidden/>
          </w:rPr>
          <w:fldChar w:fldCharType="separate"/>
        </w:r>
        <w:r w:rsidR="00CA1B5C">
          <w:rPr>
            <w:noProof/>
            <w:webHidden/>
          </w:rPr>
          <w:t>59</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3" w:history="1">
        <w:r w:rsidR="00CA1B5C" w:rsidRPr="0058219F">
          <w:rPr>
            <w:rStyle w:val="Hyperlink"/>
            <w:noProof/>
          </w:rPr>
          <w:t>Table 27: Analysis of Variance</w:t>
        </w:r>
        <w:r w:rsidR="00CA1B5C">
          <w:rPr>
            <w:noProof/>
            <w:webHidden/>
          </w:rPr>
          <w:tab/>
        </w:r>
        <w:r w:rsidR="00CA1B5C">
          <w:rPr>
            <w:noProof/>
            <w:webHidden/>
          </w:rPr>
          <w:fldChar w:fldCharType="begin"/>
        </w:r>
        <w:r w:rsidR="00CA1B5C">
          <w:rPr>
            <w:noProof/>
            <w:webHidden/>
          </w:rPr>
          <w:instrText xml:space="preserve"> PAGEREF _Toc380684373 \h </w:instrText>
        </w:r>
        <w:r w:rsidR="00CA1B5C">
          <w:rPr>
            <w:noProof/>
            <w:webHidden/>
          </w:rPr>
        </w:r>
        <w:r w:rsidR="00CA1B5C">
          <w:rPr>
            <w:noProof/>
            <w:webHidden/>
          </w:rPr>
          <w:fldChar w:fldCharType="separate"/>
        </w:r>
        <w:r w:rsidR="00CA1B5C">
          <w:rPr>
            <w:noProof/>
            <w:webHidden/>
          </w:rPr>
          <w:t>59</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4" w:history="1">
        <w:r w:rsidR="00CA1B5C" w:rsidRPr="0058219F">
          <w:rPr>
            <w:rStyle w:val="Hyperlink"/>
            <w:noProof/>
          </w:rPr>
          <w:t>Table 28: Parameter Estimates</w:t>
        </w:r>
        <w:r w:rsidR="00CA1B5C">
          <w:rPr>
            <w:noProof/>
            <w:webHidden/>
          </w:rPr>
          <w:tab/>
        </w:r>
        <w:r w:rsidR="00CA1B5C">
          <w:rPr>
            <w:noProof/>
            <w:webHidden/>
          </w:rPr>
          <w:fldChar w:fldCharType="begin"/>
        </w:r>
        <w:r w:rsidR="00CA1B5C">
          <w:rPr>
            <w:noProof/>
            <w:webHidden/>
          </w:rPr>
          <w:instrText xml:space="preserve"> PAGEREF _Toc380684374 \h </w:instrText>
        </w:r>
        <w:r w:rsidR="00CA1B5C">
          <w:rPr>
            <w:noProof/>
            <w:webHidden/>
          </w:rPr>
        </w:r>
        <w:r w:rsidR="00CA1B5C">
          <w:rPr>
            <w:noProof/>
            <w:webHidden/>
          </w:rPr>
          <w:fldChar w:fldCharType="separate"/>
        </w:r>
        <w:r w:rsidR="00CA1B5C">
          <w:rPr>
            <w:noProof/>
            <w:webHidden/>
          </w:rPr>
          <w:t>59</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5" w:history="1">
        <w:r w:rsidR="00CA1B5C" w:rsidRPr="0058219F">
          <w:rPr>
            <w:rStyle w:val="Hyperlink"/>
            <w:noProof/>
          </w:rPr>
          <w:t>Table 29: Effect Test</w:t>
        </w:r>
        <w:r w:rsidR="00CA1B5C">
          <w:rPr>
            <w:noProof/>
            <w:webHidden/>
          </w:rPr>
          <w:tab/>
        </w:r>
        <w:r w:rsidR="00CA1B5C">
          <w:rPr>
            <w:noProof/>
            <w:webHidden/>
          </w:rPr>
          <w:fldChar w:fldCharType="begin"/>
        </w:r>
        <w:r w:rsidR="00CA1B5C">
          <w:rPr>
            <w:noProof/>
            <w:webHidden/>
          </w:rPr>
          <w:instrText xml:space="preserve"> PAGEREF _Toc380684375 \h </w:instrText>
        </w:r>
        <w:r w:rsidR="00CA1B5C">
          <w:rPr>
            <w:noProof/>
            <w:webHidden/>
          </w:rPr>
        </w:r>
        <w:r w:rsidR="00CA1B5C">
          <w:rPr>
            <w:noProof/>
            <w:webHidden/>
          </w:rPr>
          <w:fldChar w:fldCharType="separate"/>
        </w:r>
        <w:r w:rsidR="00CA1B5C">
          <w:rPr>
            <w:noProof/>
            <w:webHidden/>
          </w:rPr>
          <w:t>60</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6" w:history="1">
        <w:r w:rsidR="00CA1B5C" w:rsidRPr="0058219F">
          <w:rPr>
            <w:rStyle w:val="Hyperlink"/>
            <w:noProof/>
          </w:rPr>
          <w:t>Table 30: Analysis of Variance</w:t>
        </w:r>
        <w:r w:rsidR="00CA1B5C">
          <w:rPr>
            <w:noProof/>
            <w:webHidden/>
          </w:rPr>
          <w:tab/>
        </w:r>
        <w:r w:rsidR="00CA1B5C">
          <w:rPr>
            <w:noProof/>
            <w:webHidden/>
          </w:rPr>
          <w:fldChar w:fldCharType="begin"/>
        </w:r>
        <w:r w:rsidR="00CA1B5C">
          <w:rPr>
            <w:noProof/>
            <w:webHidden/>
          </w:rPr>
          <w:instrText xml:space="preserve"> PAGEREF _Toc380684376 \h </w:instrText>
        </w:r>
        <w:r w:rsidR="00CA1B5C">
          <w:rPr>
            <w:noProof/>
            <w:webHidden/>
          </w:rPr>
        </w:r>
        <w:r w:rsidR="00CA1B5C">
          <w:rPr>
            <w:noProof/>
            <w:webHidden/>
          </w:rPr>
          <w:fldChar w:fldCharType="separate"/>
        </w:r>
        <w:r w:rsidR="00CA1B5C">
          <w:rPr>
            <w:noProof/>
            <w:webHidden/>
          </w:rPr>
          <w:t>61</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7" w:history="1">
        <w:r w:rsidR="00CA1B5C" w:rsidRPr="0058219F">
          <w:rPr>
            <w:rStyle w:val="Hyperlink"/>
            <w:noProof/>
          </w:rPr>
          <w:t>Table 31: Parameter Estimates</w:t>
        </w:r>
        <w:r w:rsidR="00CA1B5C">
          <w:rPr>
            <w:noProof/>
            <w:webHidden/>
          </w:rPr>
          <w:tab/>
        </w:r>
        <w:r w:rsidR="00CA1B5C">
          <w:rPr>
            <w:noProof/>
            <w:webHidden/>
          </w:rPr>
          <w:fldChar w:fldCharType="begin"/>
        </w:r>
        <w:r w:rsidR="00CA1B5C">
          <w:rPr>
            <w:noProof/>
            <w:webHidden/>
          </w:rPr>
          <w:instrText xml:space="preserve"> PAGEREF _Toc380684377 \h </w:instrText>
        </w:r>
        <w:r w:rsidR="00CA1B5C">
          <w:rPr>
            <w:noProof/>
            <w:webHidden/>
          </w:rPr>
        </w:r>
        <w:r w:rsidR="00CA1B5C">
          <w:rPr>
            <w:noProof/>
            <w:webHidden/>
          </w:rPr>
          <w:fldChar w:fldCharType="separate"/>
        </w:r>
        <w:r w:rsidR="00CA1B5C">
          <w:rPr>
            <w:noProof/>
            <w:webHidden/>
          </w:rPr>
          <w:t>61</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8" w:history="1">
        <w:r w:rsidR="00CA1B5C" w:rsidRPr="0058219F">
          <w:rPr>
            <w:rStyle w:val="Hyperlink"/>
            <w:noProof/>
          </w:rPr>
          <w:t>Table 32: Summary of Fit</w:t>
        </w:r>
        <w:r w:rsidR="00CA1B5C">
          <w:rPr>
            <w:noProof/>
            <w:webHidden/>
          </w:rPr>
          <w:tab/>
        </w:r>
        <w:r w:rsidR="00CA1B5C">
          <w:rPr>
            <w:noProof/>
            <w:webHidden/>
          </w:rPr>
          <w:fldChar w:fldCharType="begin"/>
        </w:r>
        <w:r w:rsidR="00CA1B5C">
          <w:rPr>
            <w:noProof/>
            <w:webHidden/>
          </w:rPr>
          <w:instrText xml:space="preserve"> PAGEREF _Toc380684378 \h </w:instrText>
        </w:r>
        <w:r w:rsidR="00CA1B5C">
          <w:rPr>
            <w:noProof/>
            <w:webHidden/>
          </w:rPr>
        </w:r>
        <w:r w:rsidR="00CA1B5C">
          <w:rPr>
            <w:noProof/>
            <w:webHidden/>
          </w:rPr>
          <w:fldChar w:fldCharType="separate"/>
        </w:r>
        <w:r w:rsidR="00CA1B5C">
          <w:rPr>
            <w:noProof/>
            <w:webHidden/>
          </w:rPr>
          <w:t>62</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79" w:history="1">
        <w:r w:rsidR="00CA1B5C" w:rsidRPr="0058219F">
          <w:rPr>
            <w:rStyle w:val="Hyperlink"/>
            <w:noProof/>
          </w:rPr>
          <w:t>Table 33: Analysis of Variance</w:t>
        </w:r>
        <w:r w:rsidR="00CA1B5C">
          <w:rPr>
            <w:noProof/>
            <w:webHidden/>
          </w:rPr>
          <w:tab/>
        </w:r>
        <w:r w:rsidR="00CA1B5C">
          <w:rPr>
            <w:noProof/>
            <w:webHidden/>
          </w:rPr>
          <w:fldChar w:fldCharType="begin"/>
        </w:r>
        <w:r w:rsidR="00CA1B5C">
          <w:rPr>
            <w:noProof/>
            <w:webHidden/>
          </w:rPr>
          <w:instrText xml:space="preserve"> PAGEREF _Toc380684379 \h </w:instrText>
        </w:r>
        <w:r w:rsidR="00CA1B5C">
          <w:rPr>
            <w:noProof/>
            <w:webHidden/>
          </w:rPr>
        </w:r>
        <w:r w:rsidR="00CA1B5C">
          <w:rPr>
            <w:noProof/>
            <w:webHidden/>
          </w:rPr>
          <w:fldChar w:fldCharType="separate"/>
        </w:r>
        <w:r w:rsidR="00CA1B5C">
          <w:rPr>
            <w:noProof/>
            <w:webHidden/>
          </w:rPr>
          <w:t>62</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0" w:history="1">
        <w:r w:rsidR="00CA1B5C" w:rsidRPr="0058219F">
          <w:rPr>
            <w:rStyle w:val="Hyperlink"/>
            <w:noProof/>
          </w:rPr>
          <w:t>Table 34: Parameter Estimates</w:t>
        </w:r>
        <w:r w:rsidR="00CA1B5C">
          <w:rPr>
            <w:noProof/>
            <w:webHidden/>
          </w:rPr>
          <w:tab/>
        </w:r>
        <w:r w:rsidR="00CA1B5C">
          <w:rPr>
            <w:noProof/>
            <w:webHidden/>
          </w:rPr>
          <w:fldChar w:fldCharType="begin"/>
        </w:r>
        <w:r w:rsidR="00CA1B5C">
          <w:rPr>
            <w:noProof/>
            <w:webHidden/>
          </w:rPr>
          <w:instrText xml:space="preserve"> PAGEREF _Toc380684380 \h </w:instrText>
        </w:r>
        <w:r w:rsidR="00CA1B5C">
          <w:rPr>
            <w:noProof/>
            <w:webHidden/>
          </w:rPr>
        </w:r>
        <w:r w:rsidR="00CA1B5C">
          <w:rPr>
            <w:noProof/>
            <w:webHidden/>
          </w:rPr>
          <w:fldChar w:fldCharType="separate"/>
        </w:r>
        <w:r w:rsidR="00CA1B5C">
          <w:rPr>
            <w:noProof/>
            <w:webHidden/>
          </w:rPr>
          <w:t>63</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1" w:history="1">
        <w:r w:rsidR="00CA1B5C" w:rsidRPr="0058219F">
          <w:rPr>
            <w:rStyle w:val="Hyperlink"/>
            <w:noProof/>
          </w:rPr>
          <w:t>Table 35: The impact of macroeconomic factors on the brand awareness factor</w:t>
        </w:r>
        <w:r w:rsidR="00CA1B5C">
          <w:rPr>
            <w:noProof/>
            <w:webHidden/>
          </w:rPr>
          <w:tab/>
        </w:r>
        <w:r w:rsidR="00CA1B5C">
          <w:rPr>
            <w:noProof/>
            <w:webHidden/>
          </w:rPr>
          <w:fldChar w:fldCharType="begin"/>
        </w:r>
        <w:r w:rsidR="00CA1B5C">
          <w:rPr>
            <w:noProof/>
            <w:webHidden/>
          </w:rPr>
          <w:instrText xml:space="preserve"> PAGEREF _Toc380684381 \h </w:instrText>
        </w:r>
        <w:r w:rsidR="00CA1B5C">
          <w:rPr>
            <w:noProof/>
            <w:webHidden/>
          </w:rPr>
        </w:r>
        <w:r w:rsidR="00CA1B5C">
          <w:rPr>
            <w:noProof/>
            <w:webHidden/>
          </w:rPr>
          <w:fldChar w:fldCharType="separate"/>
        </w:r>
        <w:r w:rsidR="00CA1B5C">
          <w:rPr>
            <w:noProof/>
            <w:webHidden/>
          </w:rPr>
          <w:t>67</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2" w:history="1">
        <w:r w:rsidR="00CA1B5C" w:rsidRPr="0058219F">
          <w:rPr>
            <w:rStyle w:val="Hyperlink"/>
            <w:noProof/>
          </w:rPr>
          <w:t>Table 36: The impact of macroeconomic factors on the infant brand factor</w:t>
        </w:r>
        <w:r w:rsidR="00CA1B5C">
          <w:rPr>
            <w:noProof/>
            <w:webHidden/>
          </w:rPr>
          <w:tab/>
        </w:r>
        <w:r w:rsidR="00CA1B5C">
          <w:rPr>
            <w:noProof/>
            <w:webHidden/>
          </w:rPr>
          <w:fldChar w:fldCharType="begin"/>
        </w:r>
        <w:r w:rsidR="00CA1B5C">
          <w:rPr>
            <w:noProof/>
            <w:webHidden/>
          </w:rPr>
          <w:instrText xml:space="preserve"> PAGEREF _Toc380684382 \h </w:instrText>
        </w:r>
        <w:r w:rsidR="00CA1B5C">
          <w:rPr>
            <w:noProof/>
            <w:webHidden/>
          </w:rPr>
        </w:r>
        <w:r w:rsidR="00CA1B5C">
          <w:rPr>
            <w:noProof/>
            <w:webHidden/>
          </w:rPr>
          <w:fldChar w:fldCharType="separate"/>
        </w:r>
        <w:r w:rsidR="00CA1B5C">
          <w:rPr>
            <w:noProof/>
            <w:webHidden/>
          </w:rPr>
          <w:t>67</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3" w:history="1">
        <w:r w:rsidR="00CA1B5C" w:rsidRPr="0058219F">
          <w:rPr>
            <w:rStyle w:val="Hyperlink"/>
            <w:noProof/>
          </w:rPr>
          <w:t>Table 37: Results of Proposition 1</w:t>
        </w:r>
        <w:r w:rsidR="00CA1B5C">
          <w:rPr>
            <w:noProof/>
            <w:webHidden/>
          </w:rPr>
          <w:tab/>
        </w:r>
        <w:r w:rsidR="00CA1B5C">
          <w:rPr>
            <w:noProof/>
            <w:webHidden/>
          </w:rPr>
          <w:fldChar w:fldCharType="begin"/>
        </w:r>
        <w:r w:rsidR="00CA1B5C">
          <w:rPr>
            <w:noProof/>
            <w:webHidden/>
          </w:rPr>
          <w:instrText xml:space="preserve"> PAGEREF _Toc380684383 \h </w:instrText>
        </w:r>
        <w:r w:rsidR="00CA1B5C">
          <w:rPr>
            <w:noProof/>
            <w:webHidden/>
          </w:rPr>
        </w:r>
        <w:r w:rsidR="00CA1B5C">
          <w:rPr>
            <w:noProof/>
            <w:webHidden/>
          </w:rPr>
          <w:fldChar w:fldCharType="separate"/>
        </w:r>
        <w:r w:rsidR="00CA1B5C">
          <w:rPr>
            <w:noProof/>
            <w:webHidden/>
          </w:rPr>
          <w:t>69</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4" w:history="1">
        <w:r w:rsidR="00CA1B5C" w:rsidRPr="0058219F">
          <w:rPr>
            <w:rStyle w:val="Hyperlink"/>
            <w:noProof/>
          </w:rPr>
          <w:t>Table 38: Results of research proposition 2 in relation to the old brand</w:t>
        </w:r>
        <w:r w:rsidR="00CA1B5C">
          <w:rPr>
            <w:noProof/>
            <w:webHidden/>
          </w:rPr>
          <w:tab/>
        </w:r>
        <w:r w:rsidR="00CA1B5C">
          <w:rPr>
            <w:noProof/>
            <w:webHidden/>
          </w:rPr>
          <w:fldChar w:fldCharType="begin"/>
        </w:r>
        <w:r w:rsidR="00CA1B5C">
          <w:rPr>
            <w:noProof/>
            <w:webHidden/>
          </w:rPr>
          <w:instrText xml:space="preserve"> PAGEREF _Toc380684384 \h </w:instrText>
        </w:r>
        <w:r w:rsidR="00CA1B5C">
          <w:rPr>
            <w:noProof/>
            <w:webHidden/>
          </w:rPr>
        </w:r>
        <w:r w:rsidR="00CA1B5C">
          <w:rPr>
            <w:noProof/>
            <w:webHidden/>
          </w:rPr>
          <w:fldChar w:fldCharType="separate"/>
        </w:r>
        <w:r w:rsidR="00CA1B5C">
          <w:rPr>
            <w:noProof/>
            <w:webHidden/>
          </w:rPr>
          <w:t>70</w:t>
        </w:r>
        <w:r w:rsidR="00CA1B5C">
          <w:rPr>
            <w:noProof/>
            <w:webHidden/>
          </w:rPr>
          <w:fldChar w:fldCharType="end"/>
        </w:r>
      </w:hyperlink>
    </w:p>
    <w:p w:rsidR="00CA1B5C"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5" w:history="1">
        <w:r w:rsidR="00CA1B5C" w:rsidRPr="0058219F">
          <w:rPr>
            <w:rStyle w:val="Hyperlink"/>
            <w:noProof/>
          </w:rPr>
          <w:t>Table 39: Results of research proposition 2 in relation to the new brand</w:t>
        </w:r>
        <w:r w:rsidR="00CA1B5C">
          <w:rPr>
            <w:noProof/>
            <w:webHidden/>
          </w:rPr>
          <w:tab/>
        </w:r>
        <w:r w:rsidR="00CA1B5C">
          <w:rPr>
            <w:noProof/>
            <w:webHidden/>
          </w:rPr>
          <w:fldChar w:fldCharType="begin"/>
        </w:r>
        <w:r w:rsidR="00CA1B5C">
          <w:rPr>
            <w:noProof/>
            <w:webHidden/>
          </w:rPr>
          <w:instrText xml:space="preserve"> PAGEREF _Toc380684385 \h </w:instrText>
        </w:r>
        <w:r w:rsidR="00CA1B5C">
          <w:rPr>
            <w:noProof/>
            <w:webHidden/>
          </w:rPr>
        </w:r>
        <w:r w:rsidR="00CA1B5C">
          <w:rPr>
            <w:noProof/>
            <w:webHidden/>
          </w:rPr>
          <w:fldChar w:fldCharType="separate"/>
        </w:r>
        <w:r w:rsidR="00CA1B5C">
          <w:rPr>
            <w:noProof/>
            <w:webHidden/>
          </w:rPr>
          <w:t>71</w:t>
        </w:r>
        <w:r w:rsidR="00CA1B5C">
          <w:rPr>
            <w:noProof/>
            <w:webHidden/>
          </w:rPr>
          <w:fldChar w:fldCharType="end"/>
        </w:r>
      </w:hyperlink>
    </w:p>
    <w:p w:rsidR="00336BBE" w:rsidRDefault="00A21D59">
      <w:pPr>
        <w:pStyle w:val="TableofFigures"/>
        <w:tabs>
          <w:tab w:val="right" w:leader="dot" w:pos="8728"/>
        </w:tabs>
        <w:rPr>
          <w:bCs/>
          <w:sz w:val="28"/>
        </w:rPr>
      </w:pPr>
      <w:r w:rsidRPr="00EA329E">
        <w:rPr>
          <w:bCs/>
          <w:sz w:val="28"/>
        </w:rPr>
        <w:fldChar w:fldCharType="end"/>
      </w:r>
      <w:bookmarkStart w:id="2" w:name="_Toc377763797"/>
    </w:p>
    <w:p w:rsidR="00336BBE" w:rsidRDefault="00336BBE">
      <w:pPr>
        <w:spacing w:before="0" w:after="0" w:line="240" w:lineRule="auto"/>
        <w:jc w:val="left"/>
        <w:rPr>
          <w:bCs/>
          <w:sz w:val="28"/>
        </w:rPr>
      </w:pPr>
      <w:r>
        <w:rPr>
          <w:bCs/>
          <w:sz w:val="28"/>
        </w:rPr>
        <w:br w:type="page"/>
      </w:r>
    </w:p>
    <w:p w:rsidR="009A1248" w:rsidRDefault="00922372">
      <w:pPr>
        <w:pStyle w:val="TableofFigures"/>
        <w:tabs>
          <w:tab w:val="right" w:leader="dot" w:pos="8728"/>
        </w:tabs>
        <w:rPr>
          <w:bCs/>
          <w:sz w:val="28"/>
        </w:rPr>
      </w:pPr>
      <w:r w:rsidRPr="00EA329E">
        <w:rPr>
          <w:bCs/>
          <w:sz w:val="28"/>
        </w:rPr>
        <w:lastRenderedPageBreak/>
        <w:t>LIST OF FIGURES</w:t>
      </w:r>
      <w:bookmarkEnd w:id="2"/>
    </w:p>
    <w:p w:rsidR="00EE40EE" w:rsidRDefault="00A21D59">
      <w:pPr>
        <w:pStyle w:val="TableofFigures"/>
        <w:tabs>
          <w:tab w:val="right" w:leader="dot" w:pos="8728"/>
        </w:tabs>
        <w:rPr>
          <w:rFonts w:asciiTheme="minorHAnsi" w:eastAsiaTheme="minorEastAsia" w:hAnsiTheme="minorHAnsi" w:cstheme="minorBidi"/>
          <w:noProof/>
          <w:sz w:val="22"/>
          <w:szCs w:val="22"/>
          <w:lang w:val="en-ZA" w:eastAsia="en-ZA"/>
        </w:rPr>
      </w:pPr>
      <w:r w:rsidRPr="009F14CE">
        <w:rPr>
          <w:bCs/>
          <w:sz w:val="28"/>
        </w:rPr>
        <w:fldChar w:fldCharType="begin"/>
      </w:r>
      <w:r w:rsidRPr="00EA329E">
        <w:rPr>
          <w:bCs/>
          <w:sz w:val="28"/>
        </w:rPr>
        <w:instrText xml:space="preserve"> TOC \h \z \c "Figure" </w:instrText>
      </w:r>
      <w:r w:rsidRPr="009F14CE">
        <w:rPr>
          <w:bCs/>
          <w:sz w:val="28"/>
        </w:rPr>
        <w:fldChar w:fldCharType="separate"/>
      </w:r>
      <w:hyperlink w:anchor="_Toc380684386" w:history="1">
        <w:r w:rsidR="00EE40EE" w:rsidRPr="00762108">
          <w:rPr>
            <w:rStyle w:val="Hyperlink"/>
            <w:noProof/>
          </w:rPr>
          <w:t>Figure 1: Old Vodacom branding</w:t>
        </w:r>
        <w:r w:rsidR="00EE40EE">
          <w:rPr>
            <w:noProof/>
            <w:webHidden/>
          </w:rPr>
          <w:tab/>
        </w:r>
        <w:r w:rsidR="00EE40EE">
          <w:rPr>
            <w:noProof/>
            <w:webHidden/>
          </w:rPr>
          <w:fldChar w:fldCharType="begin"/>
        </w:r>
        <w:r w:rsidR="00EE40EE">
          <w:rPr>
            <w:noProof/>
            <w:webHidden/>
          </w:rPr>
          <w:instrText xml:space="preserve"> PAGEREF _Toc380684386 \h </w:instrText>
        </w:r>
        <w:r w:rsidR="00EE40EE">
          <w:rPr>
            <w:noProof/>
            <w:webHidden/>
          </w:rPr>
        </w:r>
        <w:r w:rsidR="00EE40EE">
          <w:rPr>
            <w:noProof/>
            <w:webHidden/>
          </w:rPr>
          <w:fldChar w:fldCharType="separate"/>
        </w:r>
        <w:r w:rsidR="00EE40EE">
          <w:rPr>
            <w:noProof/>
            <w:webHidden/>
          </w:rPr>
          <w:t>2</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7" w:history="1">
        <w:r w:rsidR="00EE40EE" w:rsidRPr="00762108">
          <w:rPr>
            <w:rStyle w:val="Hyperlink"/>
            <w:noProof/>
          </w:rPr>
          <w:t>Figure 2: New Vodacom branding</w:t>
        </w:r>
        <w:r w:rsidR="00EE40EE">
          <w:rPr>
            <w:noProof/>
            <w:webHidden/>
          </w:rPr>
          <w:tab/>
        </w:r>
        <w:r w:rsidR="00EE40EE">
          <w:rPr>
            <w:noProof/>
            <w:webHidden/>
          </w:rPr>
          <w:fldChar w:fldCharType="begin"/>
        </w:r>
        <w:r w:rsidR="00EE40EE">
          <w:rPr>
            <w:noProof/>
            <w:webHidden/>
          </w:rPr>
          <w:instrText xml:space="preserve"> PAGEREF _Toc380684387 \h </w:instrText>
        </w:r>
        <w:r w:rsidR="00EE40EE">
          <w:rPr>
            <w:noProof/>
            <w:webHidden/>
          </w:rPr>
        </w:r>
        <w:r w:rsidR="00EE40EE">
          <w:rPr>
            <w:noProof/>
            <w:webHidden/>
          </w:rPr>
          <w:fldChar w:fldCharType="separate"/>
        </w:r>
        <w:r w:rsidR="00EE40EE">
          <w:rPr>
            <w:noProof/>
            <w:webHidden/>
          </w:rPr>
          <w:t>2</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8" w:history="1">
        <w:r w:rsidR="00EE40EE" w:rsidRPr="00762108">
          <w:rPr>
            <w:rStyle w:val="Hyperlink"/>
            <w:noProof/>
          </w:rPr>
          <w:t>Figure 3: Branding as a continuum (Muzellec and Lambkin, 2006)</w:t>
        </w:r>
        <w:r w:rsidR="00EE40EE">
          <w:rPr>
            <w:noProof/>
            <w:webHidden/>
          </w:rPr>
          <w:tab/>
        </w:r>
        <w:r w:rsidR="00EE40EE">
          <w:rPr>
            <w:noProof/>
            <w:webHidden/>
          </w:rPr>
          <w:fldChar w:fldCharType="begin"/>
        </w:r>
        <w:r w:rsidR="00EE40EE">
          <w:rPr>
            <w:noProof/>
            <w:webHidden/>
          </w:rPr>
          <w:instrText xml:space="preserve"> PAGEREF _Toc380684388 \h </w:instrText>
        </w:r>
        <w:r w:rsidR="00EE40EE">
          <w:rPr>
            <w:noProof/>
            <w:webHidden/>
          </w:rPr>
        </w:r>
        <w:r w:rsidR="00EE40EE">
          <w:rPr>
            <w:noProof/>
            <w:webHidden/>
          </w:rPr>
          <w:fldChar w:fldCharType="separate"/>
        </w:r>
        <w:r w:rsidR="00EE40EE">
          <w:rPr>
            <w:noProof/>
            <w:webHidden/>
          </w:rPr>
          <w:t>14</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89" w:history="1">
        <w:r w:rsidR="00EE40EE" w:rsidRPr="00762108">
          <w:rPr>
            <w:rStyle w:val="Hyperlink"/>
            <w:noProof/>
          </w:rPr>
          <w:t>Figure 4: Rebranding in a brand hierarchy (Muzellec and Lambkin, 2006)</w:t>
        </w:r>
        <w:r w:rsidR="00EE40EE">
          <w:rPr>
            <w:noProof/>
            <w:webHidden/>
          </w:rPr>
          <w:tab/>
        </w:r>
        <w:r w:rsidR="00EE40EE">
          <w:rPr>
            <w:noProof/>
            <w:webHidden/>
          </w:rPr>
          <w:fldChar w:fldCharType="begin"/>
        </w:r>
        <w:r w:rsidR="00EE40EE">
          <w:rPr>
            <w:noProof/>
            <w:webHidden/>
          </w:rPr>
          <w:instrText xml:space="preserve"> PAGEREF _Toc380684389 \h </w:instrText>
        </w:r>
        <w:r w:rsidR="00EE40EE">
          <w:rPr>
            <w:noProof/>
            <w:webHidden/>
          </w:rPr>
        </w:r>
        <w:r w:rsidR="00EE40EE">
          <w:rPr>
            <w:noProof/>
            <w:webHidden/>
          </w:rPr>
          <w:fldChar w:fldCharType="separate"/>
        </w:r>
        <w:r w:rsidR="00EE40EE">
          <w:rPr>
            <w:noProof/>
            <w:webHidden/>
          </w:rPr>
          <w:t>15</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0" w:history="1">
        <w:r w:rsidR="00EE40EE" w:rsidRPr="00762108">
          <w:rPr>
            <w:rStyle w:val="Hyperlink"/>
            <w:noProof/>
          </w:rPr>
          <w:t>Figure 5: Aaker Brand Equity Model (1991)</w:t>
        </w:r>
        <w:r w:rsidR="00EE40EE">
          <w:rPr>
            <w:noProof/>
            <w:webHidden/>
          </w:rPr>
          <w:tab/>
        </w:r>
        <w:r w:rsidR="00EE40EE">
          <w:rPr>
            <w:noProof/>
            <w:webHidden/>
          </w:rPr>
          <w:fldChar w:fldCharType="begin"/>
        </w:r>
        <w:r w:rsidR="00EE40EE">
          <w:rPr>
            <w:noProof/>
            <w:webHidden/>
          </w:rPr>
          <w:instrText xml:space="preserve"> PAGEREF _Toc380684390 \h </w:instrText>
        </w:r>
        <w:r w:rsidR="00EE40EE">
          <w:rPr>
            <w:noProof/>
            <w:webHidden/>
          </w:rPr>
        </w:r>
        <w:r w:rsidR="00EE40EE">
          <w:rPr>
            <w:noProof/>
            <w:webHidden/>
          </w:rPr>
          <w:fldChar w:fldCharType="separate"/>
        </w:r>
        <w:r w:rsidR="00EE40EE">
          <w:rPr>
            <w:noProof/>
            <w:webHidden/>
          </w:rPr>
          <w:t>23</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1" w:history="1">
        <w:r w:rsidR="00EE40EE" w:rsidRPr="00762108">
          <w:rPr>
            <w:rStyle w:val="Hyperlink"/>
            <w:noProof/>
          </w:rPr>
          <w:t>Figure 6: Research design and methodology</w:t>
        </w:r>
        <w:r w:rsidR="00EE40EE">
          <w:rPr>
            <w:noProof/>
            <w:webHidden/>
          </w:rPr>
          <w:tab/>
        </w:r>
        <w:r w:rsidR="00EE40EE">
          <w:rPr>
            <w:noProof/>
            <w:webHidden/>
          </w:rPr>
          <w:fldChar w:fldCharType="begin"/>
        </w:r>
        <w:r w:rsidR="00EE40EE">
          <w:rPr>
            <w:noProof/>
            <w:webHidden/>
          </w:rPr>
          <w:instrText xml:space="preserve"> PAGEREF _Toc380684391 \h </w:instrText>
        </w:r>
        <w:r w:rsidR="00EE40EE">
          <w:rPr>
            <w:noProof/>
            <w:webHidden/>
          </w:rPr>
        </w:r>
        <w:r w:rsidR="00EE40EE">
          <w:rPr>
            <w:noProof/>
            <w:webHidden/>
          </w:rPr>
          <w:fldChar w:fldCharType="separate"/>
        </w:r>
        <w:r w:rsidR="00EE40EE">
          <w:rPr>
            <w:noProof/>
            <w:webHidden/>
          </w:rPr>
          <w:t>30</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2" w:history="1">
        <w:r w:rsidR="00EE40EE" w:rsidRPr="00762108">
          <w:rPr>
            <w:rStyle w:val="Hyperlink"/>
            <w:noProof/>
          </w:rPr>
          <w:t>Figure 7: An example of seven-point scale.</w:t>
        </w:r>
        <w:r w:rsidR="00EE40EE">
          <w:rPr>
            <w:noProof/>
            <w:webHidden/>
          </w:rPr>
          <w:tab/>
        </w:r>
        <w:r w:rsidR="00EE40EE">
          <w:rPr>
            <w:noProof/>
            <w:webHidden/>
          </w:rPr>
          <w:fldChar w:fldCharType="begin"/>
        </w:r>
        <w:r w:rsidR="00EE40EE">
          <w:rPr>
            <w:noProof/>
            <w:webHidden/>
          </w:rPr>
          <w:instrText xml:space="preserve"> PAGEREF _Toc380684392 \h </w:instrText>
        </w:r>
        <w:r w:rsidR="00EE40EE">
          <w:rPr>
            <w:noProof/>
            <w:webHidden/>
          </w:rPr>
        </w:r>
        <w:r w:rsidR="00EE40EE">
          <w:rPr>
            <w:noProof/>
            <w:webHidden/>
          </w:rPr>
          <w:fldChar w:fldCharType="separate"/>
        </w:r>
        <w:r w:rsidR="00EE40EE">
          <w:rPr>
            <w:noProof/>
            <w:webHidden/>
          </w:rPr>
          <w:t>32</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3" w:history="1">
        <w:r w:rsidR="00EE40EE" w:rsidRPr="00762108">
          <w:rPr>
            <w:rStyle w:val="Hyperlink"/>
            <w:noProof/>
          </w:rPr>
          <w:t>Figure 8: Gender</w:t>
        </w:r>
        <w:r w:rsidR="00EE40EE">
          <w:rPr>
            <w:noProof/>
            <w:webHidden/>
          </w:rPr>
          <w:tab/>
        </w:r>
        <w:r w:rsidR="00EE40EE">
          <w:rPr>
            <w:noProof/>
            <w:webHidden/>
          </w:rPr>
          <w:fldChar w:fldCharType="begin"/>
        </w:r>
        <w:r w:rsidR="00EE40EE">
          <w:rPr>
            <w:noProof/>
            <w:webHidden/>
          </w:rPr>
          <w:instrText xml:space="preserve"> PAGEREF _Toc380684393 \h </w:instrText>
        </w:r>
        <w:r w:rsidR="00EE40EE">
          <w:rPr>
            <w:noProof/>
            <w:webHidden/>
          </w:rPr>
        </w:r>
        <w:r w:rsidR="00EE40EE">
          <w:rPr>
            <w:noProof/>
            <w:webHidden/>
          </w:rPr>
          <w:fldChar w:fldCharType="separate"/>
        </w:r>
        <w:r w:rsidR="00EE40EE">
          <w:rPr>
            <w:noProof/>
            <w:webHidden/>
          </w:rPr>
          <w:t>37</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4" w:history="1">
        <w:r w:rsidR="00EE40EE" w:rsidRPr="00762108">
          <w:rPr>
            <w:rStyle w:val="Hyperlink"/>
            <w:noProof/>
          </w:rPr>
          <w:t>Figure 9: Scree plot: drivers of corporate rebranding</w:t>
        </w:r>
        <w:r w:rsidR="00EE40EE">
          <w:rPr>
            <w:noProof/>
            <w:webHidden/>
          </w:rPr>
          <w:tab/>
        </w:r>
        <w:r w:rsidR="00EE40EE">
          <w:rPr>
            <w:noProof/>
            <w:webHidden/>
          </w:rPr>
          <w:fldChar w:fldCharType="begin"/>
        </w:r>
        <w:r w:rsidR="00EE40EE">
          <w:rPr>
            <w:noProof/>
            <w:webHidden/>
          </w:rPr>
          <w:instrText xml:space="preserve"> PAGEREF _Toc380684394 \h </w:instrText>
        </w:r>
        <w:r w:rsidR="00EE40EE">
          <w:rPr>
            <w:noProof/>
            <w:webHidden/>
          </w:rPr>
        </w:r>
        <w:r w:rsidR="00EE40EE">
          <w:rPr>
            <w:noProof/>
            <w:webHidden/>
          </w:rPr>
          <w:fldChar w:fldCharType="separate"/>
        </w:r>
        <w:r w:rsidR="00EE40EE">
          <w:rPr>
            <w:noProof/>
            <w:webHidden/>
          </w:rPr>
          <w:t>41</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5" w:history="1">
        <w:r w:rsidR="00EE40EE" w:rsidRPr="00762108">
          <w:rPr>
            <w:rStyle w:val="Hyperlink"/>
            <w:noProof/>
          </w:rPr>
          <w:t>Figure 10: Scree plot for the old branding</w:t>
        </w:r>
        <w:r w:rsidR="00EE40EE">
          <w:rPr>
            <w:noProof/>
            <w:webHidden/>
          </w:rPr>
          <w:tab/>
        </w:r>
        <w:r w:rsidR="00EE40EE">
          <w:rPr>
            <w:noProof/>
            <w:webHidden/>
          </w:rPr>
          <w:fldChar w:fldCharType="begin"/>
        </w:r>
        <w:r w:rsidR="00EE40EE">
          <w:rPr>
            <w:noProof/>
            <w:webHidden/>
          </w:rPr>
          <w:instrText xml:space="preserve"> PAGEREF _Toc380684395 \h </w:instrText>
        </w:r>
        <w:r w:rsidR="00EE40EE">
          <w:rPr>
            <w:noProof/>
            <w:webHidden/>
          </w:rPr>
        </w:r>
        <w:r w:rsidR="00EE40EE">
          <w:rPr>
            <w:noProof/>
            <w:webHidden/>
          </w:rPr>
          <w:fldChar w:fldCharType="separate"/>
        </w:r>
        <w:r w:rsidR="00EE40EE">
          <w:rPr>
            <w:noProof/>
            <w:webHidden/>
          </w:rPr>
          <w:t>46</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6" w:history="1">
        <w:r w:rsidR="00EE40EE" w:rsidRPr="00762108">
          <w:rPr>
            <w:rStyle w:val="Hyperlink"/>
            <w:noProof/>
          </w:rPr>
          <w:t>Figure 11: Attitudes towards Vodacom after rebranding</w:t>
        </w:r>
        <w:r w:rsidR="00EE40EE">
          <w:rPr>
            <w:noProof/>
            <w:webHidden/>
          </w:rPr>
          <w:tab/>
        </w:r>
        <w:r w:rsidR="00EE40EE">
          <w:rPr>
            <w:noProof/>
            <w:webHidden/>
          </w:rPr>
          <w:fldChar w:fldCharType="begin"/>
        </w:r>
        <w:r w:rsidR="00EE40EE">
          <w:rPr>
            <w:noProof/>
            <w:webHidden/>
          </w:rPr>
          <w:instrText xml:space="preserve"> PAGEREF _Toc380684396 \h </w:instrText>
        </w:r>
        <w:r w:rsidR="00EE40EE">
          <w:rPr>
            <w:noProof/>
            <w:webHidden/>
          </w:rPr>
        </w:r>
        <w:r w:rsidR="00EE40EE">
          <w:rPr>
            <w:noProof/>
            <w:webHidden/>
          </w:rPr>
          <w:fldChar w:fldCharType="separate"/>
        </w:r>
        <w:r w:rsidR="00EE40EE">
          <w:rPr>
            <w:noProof/>
            <w:webHidden/>
          </w:rPr>
          <w:t>49</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7" w:history="1">
        <w:r w:rsidR="00EE40EE" w:rsidRPr="00762108">
          <w:rPr>
            <w:rStyle w:val="Hyperlink"/>
            <w:noProof/>
          </w:rPr>
          <w:t>Figure 12: Scree plot for new branding</w:t>
        </w:r>
        <w:r w:rsidR="00EE40EE">
          <w:rPr>
            <w:noProof/>
            <w:webHidden/>
          </w:rPr>
          <w:tab/>
        </w:r>
        <w:r w:rsidR="00EE40EE">
          <w:rPr>
            <w:noProof/>
            <w:webHidden/>
          </w:rPr>
          <w:fldChar w:fldCharType="begin"/>
        </w:r>
        <w:r w:rsidR="00EE40EE">
          <w:rPr>
            <w:noProof/>
            <w:webHidden/>
          </w:rPr>
          <w:instrText xml:space="preserve"> PAGEREF _Toc380684397 \h </w:instrText>
        </w:r>
        <w:r w:rsidR="00EE40EE">
          <w:rPr>
            <w:noProof/>
            <w:webHidden/>
          </w:rPr>
        </w:r>
        <w:r w:rsidR="00EE40EE">
          <w:rPr>
            <w:noProof/>
            <w:webHidden/>
          </w:rPr>
          <w:fldChar w:fldCharType="separate"/>
        </w:r>
        <w:r w:rsidR="00EE40EE">
          <w:rPr>
            <w:noProof/>
            <w:webHidden/>
          </w:rPr>
          <w:t>51</w:t>
        </w:r>
        <w:r w:rsidR="00EE40EE">
          <w:rPr>
            <w:noProof/>
            <w:webHidden/>
          </w:rPr>
          <w:fldChar w:fldCharType="end"/>
        </w:r>
      </w:hyperlink>
    </w:p>
    <w:p w:rsidR="00EE40EE" w:rsidRDefault="00E85236">
      <w:pPr>
        <w:pStyle w:val="TableofFigures"/>
        <w:tabs>
          <w:tab w:val="right" w:leader="dot" w:pos="8728"/>
        </w:tabs>
        <w:rPr>
          <w:rFonts w:asciiTheme="minorHAnsi" w:eastAsiaTheme="minorEastAsia" w:hAnsiTheme="minorHAnsi" w:cstheme="minorBidi"/>
          <w:noProof/>
          <w:sz w:val="22"/>
          <w:szCs w:val="22"/>
          <w:lang w:val="en-ZA" w:eastAsia="en-ZA"/>
        </w:rPr>
      </w:pPr>
      <w:hyperlink w:anchor="_Toc380684398" w:history="1">
        <w:r w:rsidR="00EE40EE" w:rsidRPr="00762108">
          <w:rPr>
            <w:rStyle w:val="Hyperlink"/>
            <w:noProof/>
          </w:rPr>
          <w:t>Figure 13: Perceptions of the two brands by employees of Vodacom</w:t>
        </w:r>
        <w:r w:rsidR="00EE40EE">
          <w:rPr>
            <w:noProof/>
            <w:webHidden/>
          </w:rPr>
          <w:tab/>
        </w:r>
        <w:r w:rsidR="00EE40EE">
          <w:rPr>
            <w:noProof/>
            <w:webHidden/>
          </w:rPr>
          <w:fldChar w:fldCharType="begin"/>
        </w:r>
        <w:r w:rsidR="00EE40EE">
          <w:rPr>
            <w:noProof/>
            <w:webHidden/>
          </w:rPr>
          <w:instrText xml:space="preserve"> PAGEREF _Toc380684398 \h </w:instrText>
        </w:r>
        <w:r w:rsidR="00EE40EE">
          <w:rPr>
            <w:noProof/>
            <w:webHidden/>
          </w:rPr>
        </w:r>
        <w:r w:rsidR="00EE40EE">
          <w:rPr>
            <w:noProof/>
            <w:webHidden/>
          </w:rPr>
          <w:fldChar w:fldCharType="separate"/>
        </w:r>
        <w:r w:rsidR="00EE40EE">
          <w:rPr>
            <w:noProof/>
            <w:webHidden/>
          </w:rPr>
          <w:t>53</w:t>
        </w:r>
        <w:r w:rsidR="00EE40EE">
          <w:rPr>
            <w:noProof/>
            <w:webHidden/>
          </w:rPr>
          <w:fldChar w:fldCharType="end"/>
        </w:r>
      </w:hyperlink>
    </w:p>
    <w:p w:rsidR="00D756B5" w:rsidRPr="00EA329E" w:rsidRDefault="00A21D59">
      <w:pPr>
        <w:spacing w:before="0" w:after="0" w:line="240" w:lineRule="auto"/>
        <w:jc w:val="left"/>
        <w:rPr>
          <w:rFonts w:cs="Arial"/>
          <w:b/>
          <w:bCs/>
          <w:caps/>
          <w:kern w:val="32"/>
          <w:sz w:val="32"/>
          <w:szCs w:val="32"/>
        </w:rPr>
      </w:pPr>
      <w:r w:rsidRPr="009F14CE">
        <w:rPr>
          <w:bCs/>
          <w:sz w:val="28"/>
        </w:rPr>
        <w:fldChar w:fldCharType="end"/>
      </w:r>
      <w:bookmarkStart w:id="3" w:name="_Ref25654451"/>
      <w:bookmarkStart w:id="4" w:name="_Toc141172730"/>
      <w:bookmarkStart w:id="5" w:name="_Toc141172802"/>
      <w:bookmarkStart w:id="6" w:name="_Toc141173470"/>
      <w:bookmarkStart w:id="7" w:name="_Toc141173536"/>
    </w:p>
    <w:p w:rsidR="00A23AD3" w:rsidRDefault="00D756B5">
      <w:pPr>
        <w:spacing w:before="0" w:after="0" w:line="240" w:lineRule="auto"/>
        <w:jc w:val="left"/>
        <w:sectPr w:rsidR="00A23AD3" w:rsidSect="00A23AD3">
          <w:footerReference w:type="default" r:id="rId8"/>
          <w:footerReference w:type="first" r:id="rId9"/>
          <w:endnotePr>
            <w:numFmt w:val="decimal"/>
          </w:endnotePr>
          <w:pgSz w:w="11907" w:h="16840" w:code="9"/>
          <w:pgMar w:top="1729" w:right="1298" w:bottom="1582" w:left="1871" w:header="720" w:footer="720" w:gutter="0"/>
          <w:pgNumType w:fmt="lowerRoman" w:start="1"/>
          <w:cols w:space="720"/>
          <w:titlePg/>
          <w:docGrid w:linePitch="360"/>
        </w:sectPr>
      </w:pPr>
      <w:r w:rsidRPr="00EA329E">
        <w:br w:type="page"/>
      </w:r>
    </w:p>
    <w:p w:rsidR="00D756B5" w:rsidRPr="00EA329E" w:rsidRDefault="00D756B5">
      <w:pPr>
        <w:spacing w:before="0" w:after="0" w:line="240" w:lineRule="auto"/>
        <w:jc w:val="left"/>
        <w:rPr>
          <w:rFonts w:cs="Arial"/>
          <w:b/>
          <w:bCs/>
          <w:caps/>
          <w:kern w:val="32"/>
          <w:sz w:val="32"/>
          <w:szCs w:val="32"/>
        </w:rPr>
      </w:pPr>
    </w:p>
    <w:p w:rsidR="00296618" w:rsidRPr="00EA329E" w:rsidRDefault="00296618" w:rsidP="00296618">
      <w:pPr>
        <w:pStyle w:val="Heading1"/>
        <w:numPr>
          <w:ilvl w:val="0"/>
          <w:numId w:val="19"/>
        </w:numPr>
      </w:pPr>
      <w:bookmarkStart w:id="8" w:name="_Toc380687038"/>
      <w:r w:rsidRPr="00EA329E">
        <w:t>INTRODUCTION</w:t>
      </w:r>
      <w:bookmarkEnd w:id="8"/>
    </w:p>
    <w:p w:rsidR="00296618" w:rsidRPr="00EA329E" w:rsidRDefault="00296618" w:rsidP="00296618">
      <w:pPr>
        <w:pStyle w:val="Heading2"/>
        <w:numPr>
          <w:ilvl w:val="1"/>
          <w:numId w:val="19"/>
        </w:numPr>
      </w:pPr>
      <w:bookmarkStart w:id="9" w:name="_Toc380687039"/>
      <w:r w:rsidRPr="00EA329E">
        <w:t>Purpose of the study</w:t>
      </w:r>
      <w:bookmarkEnd w:id="9"/>
    </w:p>
    <w:p w:rsidR="00296618" w:rsidRPr="00EA329E" w:rsidRDefault="00296618" w:rsidP="00296618">
      <w:r w:rsidRPr="00EA329E">
        <w:t xml:space="preserve">The purpose of this research </w:t>
      </w:r>
      <w:r>
        <w:t>was</w:t>
      </w:r>
      <w:r w:rsidRPr="00EA329E">
        <w:t xml:space="preserve"> to </w:t>
      </w:r>
      <w:r>
        <w:t xml:space="preserve">investigate </w:t>
      </w:r>
      <w:r w:rsidRPr="00EA329E">
        <w:t xml:space="preserve">the </w:t>
      </w:r>
      <w:r>
        <w:t xml:space="preserve">drivers </w:t>
      </w:r>
      <w:r w:rsidRPr="00EA329E">
        <w:t>of corporate rebranding and the impact of corporate rebranding on brand equity o</w:t>
      </w:r>
      <w:r>
        <w:t>f</w:t>
      </w:r>
      <w:r w:rsidRPr="00EA329E">
        <w:t xml:space="preserve"> South African brands. Corporate rebranding constitutes </w:t>
      </w:r>
      <w:r>
        <w:t>an important</w:t>
      </w:r>
      <w:r w:rsidRPr="00EA329E">
        <w:t xml:space="preserve"> aspects of brand management; it is, however, highly risky and may </w:t>
      </w:r>
      <w:r>
        <w:t xml:space="preserve">lead to a decrease </w:t>
      </w:r>
      <w:r w:rsidR="00286427">
        <w:t xml:space="preserve">in </w:t>
      </w:r>
      <w:r w:rsidR="00286427" w:rsidRPr="00EA329E">
        <w:t>brand</w:t>
      </w:r>
      <w:r w:rsidRPr="00EA329E">
        <w:t xml:space="preserve"> loyalty and equity (Gotsi and Andriopoulos, 2007</w:t>
      </w:r>
      <w:r w:rsidR="00286427">
        <w:t>;</w:t>
      </w:r>
      <w:r w:rsidRPr="00EA329E">
        <w:t xml:space="preserve"> Hatch and Schultz, 2003; Kapferer, 2004). Furthermore, corporate rebranding is expensive and laborious, and as this exercise increases, the rate </w:t>
      </w:r>
      <w:r>
        <w:t xml:space="preserve">of </w:t>
      </w:r>
      <w:r w:rsidRPr="00EA329E">
        <w:t>failure is high compared to the rate of success (Causon, 2004; Stuart and Muzellec, 2004). Such failures may result in loss of loyal customers and market share (Kapferer, 2004).</w:t>
      </w:r>
    </w:p>
    <w:p w:rsidR="00296618" w:rsidRPr="00EA329E" w:rsidRDefault="00296618" w:rsidP="00296618">
      <w:pPr>
        <w:pStyle w:val="Heading2"/>
        <w:numPr>
          <w:ilvl w:val="1"/>
          <w:numId w:val="19"/>
        </w:numPr>
      </w:pPr>
      <w:bookmarkStart w:id="10" w:name="_Toc380687040"/>
      <w:r w:rsidRPr="00EA329E">
        <w:t>Context of the study</w:t>
      </w:r>
      <w:bookmarkEnd w:id="10"/>
    </w:p>
    <w:p w:rsidR="00296618" w:rsidRDefault="00296618" w:rsidP="00296618">
      <w:r>
        <w:t xml:space="preserve">The South African mobile cellular telecommunication industry witnessed an unprecedented </w:t>
      </w:r>
      <w:r w:rsidR="00286427">
        <w:t xml:space="preserve">growth </w:t>
      </w:r>
      <w:r>
        <w:t>in cellular phone users in the last decade. These users demand that corporates live up to their brand promises. In the last two decades, South Africa witnessed a series of reforms in the telecommunications industry, including the rebranding efforts undertaken by two major telecommunications corporates, Vodacom and Cell C.</w:t>
      </w:r>
    </w:p>
    <w:p w:rsidR="00296618" w:rsidRDefault="00296618" w:rsidP="00296618">
      <w:r>
        <w:t>Vodacom is one of four telecommunications providers in</w:t>
      </w:r>
      <w:r w:rsidRPr="00272493">
        <w:t xml:space="preserve"> </w:t>
      </w:r>
      <w:r>
        <w:t xml:space="preserve">South Africa. It provides voice, messaging, data, converged services and business services to customers in several countries on the African continent, for namely; Mozambique, Democratic Republic of Congo, Lesotho and Tanzania.          . </w:t>
      </w:r>
    </w:p>
    <w:p w:rsidR="00296618" w:rsidRDefault="00296618" w:rsidP="00296618"/>
    <w:p w:rsidR="00296618" w:rsidRDefault="00296618" w:rsidP="00296618">
      <w:pPr>
        <w:rPr>
          <w:rFonts w:cs="Arial"/>
        </w:rPr>
      </w:pPr>
      <w:r w:rsidRPr="003E1877">
        <w:rPr>
          <w:rFonts w:cs="Arial"/>
        </w:rPr>
        <w:lastRenderedPageBreak/>
        <w:t xml:space="preserve">In April 2011, Vodacom, following the </w:t>
      </w:r>
      <w:r>
        <w:rPr>
          <w:rFonts w:cs="Arial"/>
        </w:rPr>
        <w:t xml:space="preserve">increase in ownership in </w:t>
      </w:r>
      <w:r w:rsidRPr="003E1877">
        <w:rPr>
          <w:rFonts w:cs="Arial"/>
        </w:rPr>
        <w:t>2009 by Vodafone</w:t>
      </w:r>
      <w:r>
        <w:rPr>
          <w:rFonts w:cs="Arial"/>
        </w:rPr>
        <w:t>,</w:t>
      </w:r>
      <w:r w:rsidRPr="003E1877">
        <w:rPr>
          <w:rFonts w:cs="Arial"/>
        </w:rPr>
        <w:t xml:space="preserve"> launched its new image. With </w:t>
      </w:r>
      <w:r>
        <w:rPr>
          <w:rFonts w:cs="Arial"/>
        </w:rPr>
        <w:t xml:space="preserve">the </w:t>
      </w:r>
      <w:r w:rsidRPr="003E1877">
        <w:rPr>
          <w:rFonts w:cs="Arial"/>
        </w:rPr>
        <w:t xml:space="preserve">rebranding, Vodacom kept its name, but effected changes to the logo, slogan and colour scheme. The rationale for keeping the name is the fact that Vodafone’s </w:t>
      </w:r>
      <w:r>
        <w:rPr>
          <w:rFonts w:cs="Arial"/>
        </w:rPr>
        <w:t>market penetration in</w:t>
      </w:r>
      <w:r w:rsidRPr="003E1877">
        <w:rPr>
          <w:rFonts w:cs="Arial"/>
        </w:rPr>
        <w:t xml:space="preserve"> Africa is far </w:t>
      </w:r>
      <w:r>
        <w:rPr>
          <w:rFonts w:cs="Arial"/>
        </w:rPr>
        <w:t>below</w:t>
      </w:r>
      <w:r w:rsidRPr="003E1877">
        <w:rPr>
          <w:rFonts w:cs="Arial"/>
        </w:rPr>
        <w:t xml:space="preserve"> than</w:t>
      </w:r>
      <w:r>
        <w:rPr>
          <w:rFonts w:cs="Arial"/>
        </w:rPr>
        <w:t xml:space="preserve"> of</w:t>
      </w:r>
      <w:r w:rsidRPr="003E1877">
        <w:rPr>
          <w:rFonts w:cs="Arial"/>
        </w:rPr>
        <w:t xml:space="preserve"> Vodacom. Vodacom holds power and position in the marketplace in South Africa and Africa.</w:t>
      </w:r>
      <w:r>
        <w:rPr>
          <w:rFonts w:cs="Arial"/>
        </w:rPr>
        <w:t xml:space="preserve"> </w:t>
      </w:r>
      <w:r w:rsidRPr="00121F57">
        <w:rPr>
          <w:rFonts w:cs="Arial"/>
          <w:color w:val="000000"/>
          <w:lang w:eastAsia="en-ZA"/>
        </w:rPr>
        <w:t>In addition to changing its brand colours from the familiar green and blue to red, the brand colour of UK-based Vodafone, which owns 65 percent of Vodacom, it has also assimilated Vodafone’s teardrop logo.</w:t>
      </w:r>
      <w:r>
        <w:rPr>
          <w:rFonts w:cs="Arial"/>
          <w:color w:val="000000"/>
          <w:lang w:eastAsia="en-ZA"/>
        </w:rPr>
        <w:t xml:space="preserve"> </w:t>
      </w:r>
      <w:r>
        <w:rPr>
          <w:rFonts w:cs="Arial"/>
        </w:rPr>
        <w:t xml:space="preserve">Figures 1 and 2 below illustrate the old and new Vodacom brands, respectively. </w:t>
      </w:r>
    </w:p>
    <w:p w:rsidR="00296618" w:rsidRDefault="00296618" w:rsidP="00296618">
      <w:pPr>
        <w:keepNext/>
        <w:jc w:val="center"/>
      </w:pPr>
      <w:r>
        <w:rPr>
          <w:rFonts w:cs="Arial"/>
          <w:noProof/>
          <w:sz w:val="20"/>
          <w:szCs w:val="20"/>
          <w:lang w:val="en-ZA" w:eastAsia="en-ZA"/>
        </w:rPr>
        <w:drawing>
          <wp:inline distT="0" distB="0" distL="0" distR="0" wp14:anchorId="1C6F02A4" wp14:editId="69C50639">
            <wp:extent cx="3259248" cy="2301030"/>
            <wp:effectExtent l="0" t="0" r="0" b="4445"/>
            <wp:docPr id="3" name="Picture 3" descr="http://www.google.co.za/url?source=imgres&amp;ct=img&amp;q=http://1.bp.blogspot.com/-Si3z00o4ULQ/Ufz-F2C1sSI/AAAAAAAAAKs/ACtXlU5yaaQ/s320/vodacom-logo1.jpg&amp;sa=X&amp;ei=cOkkUq7ZHc-rhAe7uoCgAw&amp;ved=0CAQQ8wc4hwE&amp;usg=AFQjCNGxFP-F2yPzgO18O5SKdvX68pziv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oogle.co.za/url?source=imgres&amp;ct=img&amp;q=http://1.bp.blogspot.com/-Si3z00o4ULQ/Ufz-F2C1sSI/AAAAAAAAAKs/ACtXlU5yaaQ/s320/vodacom-logo1.jpg&amp;sa=X&amp;ei=cOkkUq7ZHc-rhAe7uoCgAw&amp;ved=0CAQQ8wc4hwE&amp;usg=AFQjCNGxFP-F2yPzgO18O5SKdvX68pziv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2678" cy="2303451"/>
                    </a:xfrm>
                    <a:prstGeom prst="rect">
                      <a:avLst/>
                    </a:prstGeom>
                    <a:noFill/>
                    <a:ln>
                      <a:noFill/>
                    </a:ln>
                  </pic:spPr>
                </pic:pic>
              </a:graphicData>
            </a:graphic>
          </wp:inline>
        </w:drawing>
      </w:r>
    </w:p>
    <w:p w:rsidR="00296618" w:rsidRPr="00527A99" w:rsidRDefault="00296618" w:rsidP="00296618">
      <w:pPr>
        <w:pStyle w:val="Caption"/>
        <w:jc w:val="left"/>
        <w:rPr>
          <w:rFonts w:cs="Arial"/>
          <w:sz w:val="24"/>
        </w:rPr>
      </w:pPr>
      <w:bookmarkStart w:id="11" w:name="_Toc380684386"/>
      <w:r w:rsidRPr="00527A99">
        <w:rPr>
          <w:sz w:val="24"/>
        </w:rPr>
        <w:t xml:space="preserve">Figure </w:t>
      </w:r>
      <w:r w:rsidRPr="00527A99">
        <w:rPr>
          <w:sz w:val="24"/>
        </w:rPr>
        <w:fldChar w:fldCharType="begin"/>
      </w:r>
      <w:r w:rsidRPr="00527A99">
        <w:rPr>
          <w:sz w:val="24"/>
        </w:rPr>
        <w:instrText xml:space="preserve"> SEQ Figure \* ARABIC </w:instrText>
      </w:r>
      <w:r w:rsidRPr="00527A99">
        <w:rPr>
          <w:sz w:val="24"/>
        </w:rPr>
        <w:fldChar w:fldCharType="separate"/>
      </w:r>
      <w:r>
        <w:rPr>
          <w:noProof/>
          <w:sz w:val="24"/>
        </w:rPr>
        <w:t>1</w:t>
      </w:r>
      <w:r w:rsidRPr="00527A99">
        <w:rPr>
          <w:sz w:val="24"/>
        </w:rPr>
        <w:fldChar w:fldCharType="end"/>
      </w:r>
      <w:r w:rsidRPr="00527A99">
        <w:rPr>
          <w:sz w:val="24"/>
        </w:rPr>
        <w:t>: Old Vodacom branding</w:t>
      </w:r>
      <w:bookmarkEnd w:id="11"/>
    </w:p>
    <w:p w:rsidR="00296618" w:rsidRDefault="00296618" w:rsidP="00296618">
      <w:pPr>
        <w:pStyle w:val="Caption"/>
        <w:jc w:val="center"/>
      </w:pPr>
      <w:r>
        <w:rPr>
          <w:rFonts w:cs="Arial"/>
          <w:noProof/>
          <w:sz w:val="20"/>
          <w:szCs w:val="20"/>
          <w:lang w:val="en-ZA" w:eastAsia="en-ZA"/>
        </w:rPr>
        <w:drawing>
          <wp:inline distT="0" distB="0" distL="0" distR="0" wp14:anchorId="468CB5D6" wp14:editId="1F28B99F">
            <wp:extent cx="2636322" cy="1968845"/>
            <wp:effectExtent l="0" t="0" r="0" b="0"/>
            <wp:docPr id="7" name="Picture 7" descr="http://www.google.co.za/url?source=imgres&amp;ct=img&amp;q=http://www.technesstivity.com/wp-content/uploads/2012/02/Vodacom.jpg&amp;sa=X&amp;ei=zuokUvW6LsbxhQeauYGYCQ&amp;ved=0CAQQ8wc4BA&amp;usg=AFQjCNG2gMLXa9b4bcb-p23LoVGoGaT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oogle.co.za/url?source=imgres&amp;ct=img&amp;q=http://www.technesstivity.com/wp-content/uploads/2012/02/Vodacom.jpg&amp;sa=X&amp;ei=zuokUvW6LsbxhQeauYGYCQ&amp;ved=0CAQQ8wc4BA&amp;usg=AFQjCNG2gMLXa9b4bcb-p23LoVGoGaTa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6603" cy="1969055"/>
                    </a:xfrm>
                    <a:prstGeom prst="rect">
                      <a:avLst/>
                    </a:prstGeom>
                    <a:noFill/>
                    <a:ln>
                      <a:noFill/>
                    </a:ln>
                  </pic:spPr>
                </pic:pic>
              </a:graphicData>
            </a:graphic>
          </wp:inline>
        </w:drawing>
      </w:r>
    </w:p>
    <w:p w:rsidR="00296618" w:rsidRPr="007375E2" w:rsidRDefault="00296618" w:rsidP="00296618">
      <w:pPr>
        <w:rPr>
          <w:rFonts w:cs="Arial"/>
        </w:rPr>
      </w:pPr>
      <w:bookmarkStart w:id="12" w:name="_Toc380684387"/>
      <w:r w:rsidRPr="007375E2">
        <w:t xml:space="preserve">Figure </w:t>
      </w:r>
      <w:r w:rsidRPr="007375E2">
        <w:fldChar w:fldCharType="begin"/>
      </w:r>
      <w:r w:rsidRPr="007375E2">
        <w:instrText xml:space="preserve"> SEQ Figure \* ARABIC </w:instrText>
      </w:r>
      <w:r w:rsidRPr="007375E2">
        <w:fldChar w:fldCharType="separate"/>
      </w:r>
      <w:r w:rsidRPr="007375E2">
        <w:rPr>
          <w:noProof/>
        </w:rPr>
        <w:t>2</w:t>
      </w:r>
      <w:r w:rsidRPr="007375E2">
        <w:fldChar w:fldCharType="end"/>
      </w:r>
      <w:r w:rsidRPr="007375E2">
        <w:t>: New Vodacom branding</w:t>
      </w:r>
      <w:bookmarkEnd w:id="12"/>
    </w:p>
    <w:p w:rsidR="00296618" w:rsidRPr="003E1877" w:rsidRDefault="00296618" w:rsidP="00296618">
      <w:pPr>
        <w:rPr>
          <w:rFonts w:cs="Arial"/>
        </w:rPr>
      </w:pPr>
      <w:r w:rsidRPr="003E1877">
        <w:rPr>
          <w:rFonts w:cs="Arial"/>
        </w:rPr>
        <w:lastRenderedPageBreak/>
        <w:t>Corporate rebranding as a result of mergers and acquisition</w:t>
      </w:r>
      <w:r>
        <w:rPr>
          <w:rFonts w:cs="Arial"/>
        </w:rPr>
        <w:t>,</w:t>
      </w:r>
      <w:r w:rsidRPr="003E1877">
        <w:rPr>
          <w:rFonts w:cs="Arial"/>
        </w:rPr>
        <w:t xml:space="preserve"> as is the case with Vodacom</w:t>
      </w:r>
      <w:r>
        <w:rPr>
          <w:rFonts w:cs="Arial"/>
        </w:rPr>
        <w:t xml:space="preserve">, </w:t>
      </w:r>
      <w:r w:rsidRPr="003E1877">
        <w:rPr>
          <w:rFonts w:cs="Arial"/>
        </w:rPr>
        <w:t xml:space="preserve">provides a corporate with four options. Lambkin </w:t>
      </w:r>
      <w:r>
        <w:rPr>
          <w:rFonts w:cs="Arial"/>
        </w:rPr>
        <w:t>and</w:t>
      </w:r>
      <w:r w:rsidRPr="003E1877">
        <w:rPr>
          <w:rFonts w:cs="Arial"/>
        </w:rPr>
        <w:t xml:space="preserve"> Muzellec, </w:t>
      </w:r>
      <w:r>
        <w:rPr>
          <w:rFonts w:cs="Arial"/>
        </w:rPr>
        <w:t>(2008) and Daly and Moloney (</w:t>
      </w:r>
      <w:r w:rsidRPr="003E1877">
        <w:rPr>
          <w:rFonts w:cs="Arial"/>
        </w:rPr>
        <w:t>2004</w:t>
      </w:r>
      <w:r>
        <w:rPr>
          <w:rFonts w:cs="Arial"/>
        </w:rPr>
        <w:t xml:space="preserve">) state that there are </w:t>
      </w:r>
      <w:r w:rsidRPr="003E1877">
        <w:rPr>
          <w:rFonts w:cs="Arial"/>
        </w:rPr>
        <w:t xml:space="preserve">four options </w:t>
      </w:r>
      <w:r>
        <w:rPr>
          <w:rFonts w:cs="Arial"/>
        </w:rPr>
        <w:t>available to an organisation when deciding to rebrand as a result of a merger. Options are:</w:t>
      </w:r>
      <w:r w:rsidRPr="003E1877">
        <w:rPr>
          <w:rFonts w:cs="Arial"/>
        </w:rPr>
        <w:t xml:space="preserve"> firstl</w:t>
      </w:r>
      <w:r>
        <w:rPr>
          <w:rFonts w:cs="Arial"/>
        </w:rPr>
        <w:t>y,</w:t>
      </w:r>
      <w:r w:rsidRPr="003E1877">
        <w:rPr>
          <w:rFonts w:cs="Arial"/>
        </w:rPr>
        <w:t xml:space="preserve"> one brand</w:t>
      </w:r>
      <w:r>
        <w:rPr>
          <w:rFonts w:cs="Arial"/>
        </w:rPr>
        <w:t>, scenario where</w:t>
      </w:r>
      <w:r w:rsidRPr="003E1877">
        <w:rPr>
          <w:rFonts w:cs="Arial"/>
        </w:rPr>
        <w:t xml:space="preserve"> the acquire</w:t>
      </w:r>
      <w:r>
        <w:rPr>
          <w:rFonts w:cs="Arial"/>
        </w:rPr>
        <w:t>d brand is discontinued in favour of the acquirers brand</w:t>
      </w:r>
      <w:r w:rsidR="00286427">
        <w:rPr>
          <w:rFonts w:cs="Arial"/>
        </w:rPr>
        <w:t xml:space="preserve">; </w:t>
      </w:r>
      <w:r w:rsidRPr="003E1877">
        <w:rPr>
          <w:rFonts w:cs="Arial"/>
        </w:rPr>
        <w:t>secondly</w:t>
      </w:r>
      <w:r w:rsidR="00286427">
        <w:rPr>
          <w:rFonts w:cs="Arial"/>
        </w:rPr>
        <w:t xml:space="preserve">, </w:t>
      </w:r>
      <w:r w:rsidRPr="003E1877">
        <w:rPr>
          <w:rFonts w:cs="Arial"/>
        </w:rPr>
        <w:t xml:space="preserve">a joint brand, </w:t>
      </w:r>
      <w:r>
        <w:rPr>
          <w:rFonts w:cs="Arial"/>
        </w:rPr>
        <w:t>scenario where the two brands are combined to create a new brand;</w:t>
      </w:r>
      <w:r w:rsidRPr="003E1877">
        <w:rPr>
          <w:rFonts w:cs="Arial"/>
        </w:rPr>
        <w:t xml:space="preserve"> thirdl</w:t>
      </w:r>
      <w:r w:rsidR="00286427">
        <w:rPr>
          <w:rFonts w:cs="Arial"/>
        </w:rPr>
        <w:t>y</w:t>
      </w:r>
      <w:r w:rsidR="0038367A">
        <w:rPr>
          <w:rFonts w:cs="Arial"/>
        </w:rPr>
        <w:t xml:space="preserve">, </w:t>
      </w:r>
      <w:r w:rsidR="0038367A" w:rsidRPr="003E1877">
        <w:rPr>
          <w:rFonts w:cs="Arial"/>
        </w:rPr>
        <w:t>a</w:t>
      </w:r>
      <w:r w:rsidRPr="003E1877">
        <w:rPr>
          <w:rFonts w:cs="Arial"/>
        </w:rPr>
        <w:t xml:space="preserve"> flexible brand, where </w:t>
      </w:r>
      <w:r>
        <w:rPr>
          <w:rFonts w:cs="Arial"/>
        </w:rPr>
        <w:t xml:space="preserve">management decides to keep both brands and use the </w:t>
      </w:r>
      <w:r w:rsidRPr="00D6426A">
        <w:rPr>
          <w:rFonts w:cs="Arial"/>
        </w:rPr>
        <w:t>interchange</w:t>
      </w:r>
      <w:r>
        <w:rPr>
          <w:rFonts w:cs="Arial"/>
        </w:rPr>
        <w:t>ably depending on the business requirement;</w:t>
      </w:r>
      <w:r w:rsidRPr="003E1877">
        <w:rPr>
          <w:rFonts w:cs="Arial"/>
        </w:rPr>
        <w:t xml:space="preserve"> and lastly</w:t>
      </w:r>
      <w:r>
        <w:rPr>
          <w:rFonts w:cs="Arial"/>
        </w:rPr>
        <w:t>,</w:t>
      </w:r>
      <w:r w:rsidRPr="003E1877">
        <w:rPr>
          <w:rFonts w:cs="Arial"/>
        </w:rPr>
        <w:t xml:space="preserve"> a new brand, where both previous brands are </w:t>
      </w:r>
      <w:r>
        <w:rPr>
          <w:rFonts w:cs="Arial"/>
        </w:rPr>
        <w:t xml:space="preserve">discontinued and a new brand is created. As stated in the above text, Vodacom chose the third option by retaining the name but changing their logo, slogan and colour scheme. </w:t>
      </w:r>
    </w:p>
    <w:p w:rsidR="00296618" w:rsidRPr="003E1877" w:rsidRDefault="00296618" w:rsidP="00296618">
      <w:pPr>
        <w:rPr>
          <w:rFonts w:cs="Arial"/>
        </w:rPr>
      </w:pPr>
      <w:r w:rsidRPr="00272493">
        <w:rPr>
          <w:rFonts w:cs="Arial"/>
          <w:b/>
        </w:rPr>
        <w:t>Logo</w:t>
      </w:r>
    </w:p>
    <w:p w:rsidR="00296618" w:rsidRPr="003E1877" w:rsidRDefault="00296618" w:rsidP="00296618">
      <w:pPr>
        <w:rPr>
          <w:rFonts w:cs="Arial"/>
        </w:rPr>
      </w:pPr>
      <w:r w:rsidRPr="003E1877">
        <w:rPr>
          <w:rFonts w:cs="Arial"/>
        </w:rPr>
        <w:t>A logo is a symbol that identifies a corporate and its products. It is an important element of a brand as it is designed to position a corporate in the mind of customers</w:t>
      </w:r>
      <w:r>
        <w:rPr>
          <w:rFonts w:cs="Arial"/>
        </w:rPr>
        <w:t xml:space="preserve"> </w:t>
      </w:r>
      <w:r w:rsidRPr="0097440C">
        <w:t>(Hatch an</w:t>
      </w:r>
      <w:r>
        <w:t>d Schultz, 2003)</w:t>
      </w:r>
      <w:r w:rsidRPr="003E1877">
        <w:rPr>
          <w:rFonts w:cs="Arial"/>
        </w:rPr>
        <w:t>. A good logo will</w:t>
      </w:r>
      <w:r>
        <w:rPr>
          <w:rFonts w:cs="Arial"/>
        </w:rPr>
        <w:t xml:space="preserve"> </w:t>
      </w:r>
      <w:r w:rsidRPr="003E1877">
        <w:rPr>
          <w:rFonts w:cs="Arial"/>
        </w:rPr>
        <w:t>make customers think of the corporate</w:t>
      </w:r>
      <w:r>
        <w:rPr>
          <w:rFonts w:cs="Arial"/>
        </w:rPr>
        <w:t xml:space="preserve"> b</w:t>
      </w:r>
      <w:r w:rsidRPr="003E1877">
        <w:rPr>
          <w:rFonts w:cs="Arial"/>
        </w:rPr>
        <w:t>y merely seeing a part of it</w:t>
      </w:r>
      <w:r>
        <w:rPr>
          <w:rFonts w:cs="Arial"/>
        </w:rPr>
        <w:t>.</w:t>
      </w:r>
      <w:r w:rsidRPr="003E1877">
        <w:rPr>
          <w:rFonts w:cs="Arial"/>
        </w:rPr>
        <w:t xml:space="preserve"> Such logos leave a lasting impression in the memories of customers. A logo has the potential to convey the character and nature of a corporate</w:t>
      </w:r>
      <w:r>
        <w:rPr>
          <w:rFonts w:cs="Arial"/>
        </w:rPr>
        <w:t>,</w:t>
      </w:r>
      <w:r w:rsidRPr="003E1877">
        <w:rPr>
          <w:rFonts w:cs="Arial"/>
        </w:rPr>
        <w:t xml:space="preserve"> hence it is important when designing a logo, to underst</w:t>
      </w:r>
      <w:r>
        <w:rPr>
          <w:rFonts w:cs="Arial"/>
        </w:rPr>
        <w:t xml:space="preserve">and the connotations it carries </w:t>
      </w:r>
      <w:r w:rsidRPr="0097440C">
        <w:t>(Hatch an</w:t>
      </w:r>
      <w:r>
        <w:t>d Schultz, 2003)</w:t>
      </w:r>
      <w:r w:rsidRPr="003E1877">
        <w:rPr>
          <w:rFonts w:cs="Arial"/>
        </w:rPr>
        <w:t>.  Most corporate</w:t>
      </w:r>
      <w:r>
        <w:rPr>
          <w:rFonts w:cs="Arial"/>
        </w:rPr>
        <w:t>s</w:t>
      </w:r>
      <w:r w:rsidRPr="003E1877">
        <w:rPr>
          <w:rFonts w:cs="Arial"/>
        </w:rPr>
        <w:t xml:space="preserve"> trade globally</w:t>
      </w:r>
      <w:r>
        <w:rPr>
          <w:rFonts w:cs="Arial"/>
        </w:rPr>
        <w:t>, so</w:t>
      </w:r>
      <w:r w:rsidRPr="003E1877">
        <w:rPr>
          <w:rFonts w:cs="Arial"/>
        </w:rPr>
        <w:t xml:space="preserve"> different symbols carry various meanings across cultures and countries. The new Vodacom logo </w:t>
      </w:r>
      <w:r>
        <w:rPr>
          <w:rFonts w:cs="Arial"/>
        </w:rPr>
        <w:t xml:space="preserve">is the same as that of the parent company, Vodafone. Both brands use the </w:t>
      </w:r>
      <w:r w:rsidRPr="003E1877">
        <w:rPr>
          <w:rFonts w:cs="Arial"/>
        </w:rPr>
        <w:t>same</w:t>
      </w:r>
      <w:r>
        <w:rPr>
          <w:rFonts w:cs="Arial"/>
        </w:rPr>
        <w:t xml:space="preserve"> </w:t>
      </w:r>
      <w:r w:rsidRPr="003E1877">
        <w:rPr>
          <w:rFonts w:cs="Arial"/>
        </w:rPr>
        <w:t>font and speech mark logo. In changing the logo to resemble that of Vodafone, Vodacom</w:t>
      </w:r>
      <w:r>
        <w:rPr>
          <w:rFonts w:cs="Arial"/>
        </w:rPr>
        <w:t xml:space="preserve">’s objective was to leverage the character of the Vodafone brand as the parent company </w:t>
      </w:r>
      <w:r w:rsidRPr="0097440C">
        <w:t xml:space="preserve">(Vodacom Annual Report, 2012).  </w:t>
      </w:r>
      <w:r w:rsidRPr="003E1877">
        <w:rPr>
          <w:rFonts w:cs="Arial"/>
        </w:rPr>
        <w:t xml:space="preserve"> </w:t>
      </w:r>
    </w:p>
    <w:p w:rsidR="007375E2" w:rsidRDefault="007375E2" w:rsidP="00296618">
      <w:pPr>
        <w:rPr>
          <w:rFonts w:cs="Arial"/>
          <w:b/>
        </w:rPr>
      </w:pPr>
    </w:p>
    <w:p w:rsidR="0063507B" w:rsidRDefault="0063507B" w:rsidP="00296618">
      <w:pPr>
        <w:rPr>
          <w:rFonts w:cs="Arial"/>
          <w:b/>
        </w:rPr>
      </w:pPr>
    </w:p>
    <w:p w:rsidR="00296618" w:rsidRPr="003E1877" w:rsidRDefault="00296618" w:rsidP="00296618">
      <w:pPr>
        <w:rPr>
          <w:rFonts w:cs="Arial"/>
        </w:rPr>
      </w:pPr>
      <w:r w:rsidRPr="00272493">
        <w:rPr>
          <w:rFonts w:cs="Arial"/>
          <w:b/>
        </w:rPr>
        <w:lastRenderedPageBreak/>
        <w:t>Slogan</w:t>
      </w:r>
    </w:p>
    <w:p w:rsidR="00296618" w:rsidRPr="003E1877" w:rsidRDefault="00296618" w:rsidP="00296618">
      <w:pPr>
        <w:rPr>
          <w:rFonts w:cs="Arial"/>
        </w:rPr>
      </w:pPr>
      <w:r w:rsidRPr="003E1877">
        <w:rPr>
          <w:rFonts w:cs="Arial"/>
        </w:rPr>
        <w:t>Many corporates use a slogan when advertising their products and services. It is also termed</w:t>
      </w:r>
      <w:r>
        <w:rPr>
          <w:rFonts w:cs="Arial"/>
        </w:rPr>
        <w:t xml:space="preserve"> a</w:t>
      </w:r>
      <w:r w:rsidRPr="003E1877">
        <w:rPr>
          <w:rFonts w:cs="Arial"/>
        </w:rPr>
        <w:t xml:space="preserve"> </w:t>
      </w:r>
      <w:r>
        <w:rPr>
          <w:rFonts w:cs="Arial"/>
        </w:rPr>
        <w:t>‘</w:t>
      </w:r>
      <w:r w:rsidRPr="003E1877">
        <w:rPr>
          <w:rFonts w:cs="Arial"/>
        </w:rPr>
        <w:t>catch phrase</w:t>
      </w:r>
      <w:r>
        <w:rPr>
          <w:rFonts w:cs="Arial"/>
        </w:rPr>
        <w:t>’</w:t>
      </w:r>
      <w:r w:rsidRPr="003E1877">
        <w:rPr>
          <w:rFonts w:cs="Arial"/>
        </w:rPr>
        <w:t xml:space="preserve"> or </w:t>
      </w:r>
      <w:r>
        <w:rPr>
          <w:rFonts w:cs="Arial"/>
        </w:rPr>
        <w:t>‘</w:t>
      </w:r>
      <w:r w:rsidRPr="003E1877">
        <w:rPr>
          <w:rFonts w:cs="Arial"/>
        </w:rPr>
        <w:t>tagline</w:t>
      </w:r>
      <w:r>
        <w:rPr>
          <w:rFonts w:cs="Arial"/>
        </w:rPr>
        <w:t>’</w:t>
      </w:r>
      <w:r w:rsidRPr="003E1877">
        <w:rPr>
          <w:rFonts w:cs="Arial"/>
        </w:rPr>
        <w:t xml:space="preserve">. What makes a slogan distinct is the striking memorable phrase. </w:t>
      </w:r>
      <w:r>
        <w:rPr>
          <w:rFonts w:cs="Arial"/>
        </w:rPr>
        <w:t>The old Vodacom catch phrase was</w:t>
      </w:r>
      <w:r w:rsidRPr="003E1877">
        <w:rPr>
          <w:rFonts w:cs="Arial"/>
        </w:rPr>
        <w:t xml:space="preserve"> </w:t>
      </w:r>
      <w:r>
        <w:rPr>
          <w:rFonts w:cs="Arial"/>
        </w:rPr>
        <w:t>‘South Africa’s leading cellular network’</w:t>
      </w:r>
      <w:r w:rsidRPr="003E1877">
        <w:rPr>
          <w:rFonts w:cs="Arial"/>
        </w:rPr>
        <w:t xml:space="preserve">. The new Vodacom slogan is </w:t>
      </w:r>
      <w:r>
        <w:rPr>
          <w:rFonts w:cs="Arial"/>
        </w:rPr>
        <w:t>‘</w:t>
      </w:r>
      <w:r w:rsidRPr="003E1877">
        <w:rPr>
          <w:rFonts w:cs="Arial"/>
        </w:rPr>
        <w:t xml:space="preserve">Power to </w:t>
      </w:r>
      <w:r>
        <w:rPr>
          <w:rFonts w:cs="Arial"/>
        </w:rPr>
        <w:t>y</w:t>
      </w:r>
      <w:r w:rsidRPr="003E1877">
        <w:rPr>
          <w:rFonts w:cs="Arial"/>
        </w:rPr>
        <w:t>ou</w:t>
      </w:r>
      <w:r>
        <w:rPr>
          <w:rFonts w:cs="Arial"/>
        </w:rPr>
        <w:t>’</w:t>
      </w:r>
      <w:r w:rsidRPr="003E1877">
        <w:rPr>
          <w:rFonts w:cs="Arial"/>
        </w:rPr>
        <w:t>.</w:t>
      </w:r>
    </w:p>
    <w:p w:rsidR="00296618" w:rsidRPr="00272493" w:rsidRDefault="00296618" w:rsidP="00296618">
      <w:pPr>
        <w:rPr>
          <w:rFonts w:cs="Arial"/>
          <w:b/>
        </w:rPr>
      </w:pPr>
      <w:r w:rsidRPr="00272493">
        <w:rPr>
          <w:rFonts w:cs="Arial"/>
          <w:b/>
        </w:rPr>
        <w:t>Colour scheme</w:t>
      </w:r>
    </w:p>
    <w:p w:rsidR="00FE3F5D" w:rsidRPr="003E1877" w:rsidRDefault="00296618" w:rsidP="00FE3F5D">
      <w:pPr>
        <w:rPr>
          <w:rFonts w:cs="Arial"/>
        </w:rPr>
      </w:pPr>
      <w:r w:rsidRPr="003E1877">
        <w:rPr>
          <w:rFonts w:cs="Arial"/>
        </w:rPr>
        <w:t xml:space="preserve">Vodacom positioned itself </w:t>
      </w:r>
      <w:r>
        <w:rPr>
          <w:rFonts w:cs="Arial"/>
        </w:rPr>
        <w:t xml:space="preserve">by </w:t>
      </w:r>
      <w:r w:rsidRPr="003E1877">
        <w:rPr>
          <w:rFonts w:cs="Arial"/>
        </w:rPr>
        <w:t>adopting Vodafone’s corporate colour. The Vodacom official colour was blue and green</w:t>
      </w:r>
      <w:r>
        <w:rPr>
          <w:rFonts w:cs="Arial"/>
        </w:rPr>
        <w:t>,</w:t>
      </w:r>
      <w:r w:rsidRPr="003E1877">
        <w:rPr>
          <w:rFonts w:cs="Arial"/>
        </w:rPr>
        <w:t xml:space="preserve"> whereas that of Vodafone is red and white. Vodacom cited innovation and </w:t>
      </w:r>
      <w:r>
        <w:rPr>
          <w:rFonts w:cs="Arial"/>
        </w:rPr>
        <w:t xml:space="preserve">an </w:t>
      </w:r>
      <w:r w:rsidRPr="003E1877">
        <w:rPr>
          <w:rFonts w:cs="Arial"/>
        </w:rPr>
        <w:t>exciting new future for its customers as the</w:t>
      </w:r>
      <w:r w:rsidR="00FE3F5D">
        <w:rPr>
          <w:rFonts w:cs="Arial"/>
        </w:rPr>
        <w:t xml:space="preserve"> reason for changing its colour </w:t>
      </w:r>
      <w:r w:rsidR="00FE3F5D" w:rsidRPr="0097440C">
        <w:t xml:space="preserve">(Vodacom Annual Report, 2012).  </w:t>
      </w:r>
      <w:r w:rsidR="00FE3F5D" w:rsidRPr="003E1877">
        <w:rPr>
          <w:rFonts w:cs="Arial"/>
        </w:rPr>
        <w:t xml:space="preserve"> </w:t>
      </w:r>
    </w:p>
    <w:p w:rsidR="00296618" w:rsidRPr="00EA329E" w:rsidRDefault="00296618" w:rsidP="00296618">
      <w:pPr>
        <w:pStyle w:val="Heading2"/>
        <w:numPr>
          <w:ilvl w:val="1"/>
          <w:numId w:val="19"/>
        </w:numPr>
      </w:pPr>
      <w:bookmarkStart w:id="13" w:name="_Toc380687041"/>
      <w:r w:rsidRPr="00EA329E">
        <w:t>Problem statement</w:t>
      </w:r>
      <w:bookmarkEnd w:id="13"/>
    </w:p>
    <w:p w:rsidR="00296618" w:rsidRPr="00EA329E" w:rsidRDefault="00296618" w:rsidP="00296618">
      <w:pPr>
        <w:pStyle w:val="Heading3"/>
        <w:numPr>
          <w:ilvl w:val="2"/>
          <w:numId w:val="19"/>
        </w:numPr>
      </w:pPr>
      <w:bookmarkStart w:id="14" w:name="_Toc380687042"/>
      <w:r w:rsidRPr="00EA329E">
        <w:t>Main problem</w:t>
      </w:r>
      <w:bookmarkEnd w:id="14"/>
    </w:p>
    <w:p w:rsidR="00296618" w:rsidRPr="00EA329E" w:rsidRDefault="00296618" w:rsidP="00296618">
      <w:r w:rsidRPr="00EA329E">
        <w:t>The research problem</w:t>
      </w:r>
      <w:r>
        <w:t xml:space="preserve"> was to </w:t>
      </w:r>
      <w:r w:rsidRPr="00EA329E">
        <w:t>investigate the drivers of corporate rebranding and</w:t>
      </w:r>
      <w:r w:rsidR="00286427">
        <w:t xml:space="preserve"> to</w:t>
      </w:r>
      <w:r w:rsidRPr="00EA329E">
        <w:t xml:space="preserve"> analyse the impact on brand equity for South African organisations. </w:t>
      </w:r>
    </w:p>
    <w:p w:rsidR="00296618" w:rsidRPr="00EA329E" w:rsidRDefault="00296618" w:rsidP="00296618">
      <w:pPr>
        <w:pStyle w:val="Heading3"/>
        <w:numPr>
          <w:ilvl w:val="2"/>
          <w:numId w:val="19"/>
        </w:numPr>
      </w:pPr>
      <w:bookmarkStart w:id="15" w:name="_Toc380687043"/>
      <w:r w:rsidRPr="00EA329E">
        <w:t>Sub-problems</w:t>
      </w:r>
      <w:bookmarkEnd w:id="15"/>
    </w:p>
    <w:p w:rsidR="00296618" w:rsidRPr="00EA329E" w:rsidRDefault="00296618" w:rsidP="00296618">
      <w:pPr>
        <w:pStyle w:val="ListParagraph"/>
        <w:numPr>
          <w:ilvl w:val="0"/>
          <w:numId w:val="13"/>
        </w:numPr>
      </w:pPr>
      <w:r w:rsidRPr="009F14CE">
        <w:t xml:space="preserve">The first sub-problem </w:t>
      </w:r>
      <w:r>
        <w:t xml:space="preserve">was to </w:t>
      </w:r>
      <w:r w:rsidRPr="00EA329E">
        <w:t xml:space="preserve">determine drivers of corporate rebranding of </w:t>
      </w:r>
      <w:r>
        <w:t xml:space="preserve">telecommunications </w:t>
      </w:r>
      <w:r w:rsidRPr="00EA329E">
        <w:t>organisations</w:t>
      </w:r>
      <w:r>
        <w:t xml:space="preserve"> in South Africa</w:t>
      </w:r>
      <w:r w:rsidRPr="00EA329E">
        <w:t>.</w:t>
      </w:r>
    </w:p>
    <w:p w:rsidR="00296618" w:rsidRPr="00EA329E" w:rsidRDefault="00296618" w:rsidP="00296618">
      <w:pPr>
        <w:pStyle w:val="ListParagraph"/>
        <w:numPr>
          <w:ilvl w:val="0"/>
          <w:numId w:val="13"/>
        </w:numPr>
      </w:pPr>
      <w:r w:rsidRPr="00EA329E">
        <w:t>The second sub-problem</w:t>
      </w:r>
      <w:r>
        <w:t xml:space="preserve"> was to</w:t>
      </w:r>
      <w:r w:rsidRPr="00EA329E">
        <w:rPr>
          <w:b/>
          <w:bCs/>
          <w:i/>
          <w:iCs/>
        </w:rPr>
        <w:t xml:space="preserve"> </w:t>
      </w:r>
      <w:r w:rsidRPr="00EA329E">
        <w:t>investigate the impact of corporate rebranding on brand equity.</w:t>
      </w:r>
    </w:p>
    <w:p w:rsidR="00296618" w:rsidRPr="00EA329E" w:rsidRDefault="00296618" w:rsidP="00296618">
      <w:pPr>
        <w:pStyle w:val="Heading2"/>
        <w:numPr>
          <w:ilvl w:val="1"/>
          <w:numId w:val="19"/>
        </w:numPr>
      </w:pPr>
      <w:bookmarkStart w:id="16" w:name="_Toc380687044"/>
      <w:r w:rsidRPr="00EA329E">
        <w:t>Significance of the study</w:t>
      </w:r>
      <w:bookmarkEnd w:id="16"/>
    </w:p>
    <w:p w:rsidR="00296618" w:rsidRDefault="00296618" w:rsidP="00296618">
      <w:r w:rsidRPr="00EA329E">
        <w:t xml:space="preserve">This study </w:t>
      </w:r>
      <w:r>
        <w:t>provided an understanding of</w:t>
      </w:r>
      <w:r w:rsidRPr="00EA329E">
        <w:t xml:space="preserve"> the relative importance of </w:t>
      </w:r>
      <w:r>
        <w:t>b</w:t>
      </w:r>
      <w:r w:rsidRPr="00EA329E">
        <w:t xml:space="preserve">rand </w:t>
      </w:r>
      <w:r>
        <w:t>e</w:t>
      </w:r>
      <w:r w:rsidRPr="00EA329E">
        <w:t xml:space="preserve">quity as a strategic focus in corporate rebranding exercises for South African </w:t>
      </w:r>
      <w:r w:rsidRPr="00EA329E">
        <w:lastRenderedPageBreak/>
        <w:t xml:space="preserve">organisations. </w:t>
      </w:r>
      <w:r w:rsidRPr="00527A99">
        <w:t>The research set out to determine the impact that rebranding a South African telecommunication company has had on its brand equity.</w:t>
      </w:r>
      <w:r w:rsidRPr="00EA329E">
        <w:t xml:space="preserve"> </w:t>
      </w:r>
    </w:p>
    <w:p w:rsidR="00296618" w:rsidRPr="00EA329E" w:rsidRDefault="00296618" w:rsidP="00296618">
      <w:r w:rsidRPr="009F14CE">
        <w:t>The study provide</w:t>
      </w:r>
      <w:r>
        <w:t>s</w:t>
      </w:r>
      <w:r w:rsidRPr="009F14CE">
        <w:t xml:space="preserve"> guidance and </w:t>
      </w:r>
      <w:r>
        <w:t>added</w:t>
      </w:r>
      <w:r w:rsidRPr="009F14CE">
        <w:t xml:space="preserve"> value to marketing practitioners and key decision makers working in South Afric</w:t>
      </w:r>
      <w:r w:rsidRPr="00EA329E">
        <w:t xml:space="preserve">an organisations who endeavour to better understand the connection between corporate rebranding and brand equity. By means </w:t>
      </w:r>
      <w:r>
        <w:t>of quantitative research</w:t>
      </w:r>
      <w:r w:rsidRPr="00EA329E">
        <w:t xml:space="preserve"> methodology targeting </w:t>
      </w:r>
      <w:r>
        <w:t xml:space="preserve">customers and </w:t>
      </w:r>
      <w:r w:rsidRPr="00EA329E">
        <w:t>employees of these organisations, the research aim</w:t>
      </w:r>
      <w:r>
        <w:t>ed</w:t>
      </w:r>
      <w:r w:rsidRPr="00EA329E">
        <w:t xml:space="preserve"> to provide insights into managing the rebranding process, potential pitfalls and the impact on the brand. Furthermore, this study add</w:t>
      </w:r>
      <w:r>
        <w:t>ed</w:t>
      </w:r>
      <w:r w:rsidRPr="00EA329E">
        <w:t xml:space="preserve"> </w:t>
      </w:r>
      <w:r>
        <w:t>further insight</w:t>
      </w:r>
      <w:r w:rsidRPr="00EA329E">
        <w:t xml:space="preserve"> regarding the two constructs benefitting marketing management within the South African context.</w:t>
      </w:r>
    </w:p>
    <w:p w:rsidR="00296618" w:rsidRPr="00EA329E" w:rsidRDefault="00296618" w:rsidP="00296618">
      <w:pPr>
        <w:pStyle w:val="Heading2"/>
        <w:numPr>
          <w:ilvl w:val="1"/>
          <w:numId w:val="19"/>
        </w:numPr>
      </w:pPr>
      <w:bookmarkStart w:id="17" w:name="_Toc380687045"/>
      <w:r>
        <w:t>L</w:t>
      </w:r>
      <w:r w:rsidRPr="009F14CE">
        <w:t xml:space="preserve">imitations </w:t>
      </w:r>
      <w:r w:rsidRPr="00EA329E">
        <w:t>of the study</w:t>
      </w:r>
      <w:bookmarkEnd w:id="17"/>
    </w:p>
    <w:p w:rsidR="00296618" w:rsidRPr="00EA329E" w:rsidRDefault="00296618" w:rsidP="00296618">
      <w:r w:rsidRPr="00EA329E">
        <w:t>The research topic focus</w:t>
      </w:r>
      <w:r>
        <w:t>ed</w:t>
      </w:r>
      <w:r w:rsidRPr="00EA329E">
        <w:t xml:space="preserve"> on</w:t>
      </w:r>
      <w:r>
        <w:t xml:space="preserve"> Vodacom as a </w:t>
      </w:r>
      <w:r w:rsidRPr="00EA329E">
        <w:t>telecommunication</w:t>
      </w:r>
      <w:r>
        <w:t xml:space="preserve"> </w:t>
      </w:r>
      <w:r w:rsidRPr="00EA329E">
        <w:t>compan</w:t>
      </w:r>
      <w:r>
        <w:t>y</w:t>
      </w:r>
      <w:r w:rsidRPr="00EA329E">
        <w:t xml:space="preserve"> and exclude</w:t>
      </w:r>
      <w:r>
        <w:t>d</w:t>
      </w:r>
      <w:r w:rsidRPr="00EA329E">
        <w:t xml:space="preserve"> all other corporate rebranding exercises</w:t>
      </w:r>
      <w:r>
        <w:t xml:space="preserve"> within South Africa</w:t>
      </w:r>
      <w:r w:rsidRPr="00EA329E">
        <w:t xml:space="preserve">. </w:t>
      </w:r>
    </w:p>
    <w:p w:rsidR="00296618" w:rsidRDefault="00296618" w:rsidP="00296618">
      <w:r w:rsidRPr="00EA329E">
        <w:t>The research focus</w:t>
      </w:r>
      <w:r>
        <w:t>ed</w:t>
      </w:r>
      <w:r w:rsidRPr="00EA329E">
        <w:t xml:space="preserve"> on </w:t>
      </w:r>
      <w:r>
        <w:t xml:space="preserve">employees’ </w:t>
      </w:r>
      <w:r w:rsidRPr="00EA329E">
        <w:t>perceptions of rebranding rather than the financial impact on the organisation</w:t>
      </w:r>
      <w:r w:rsidR="00286427">
        <w:t>.</w:t>
      </w:r>
    </w:p>
    <w:p w:rsidR="00296618" w:rsidRPr="00EA329E" w:rsidRDefault="00296618" w:rsidP="00296618">
      <w:r>
        <w:t>The research did not include other stakeholders i.e. investors, customers, and suppliers</w:t>
      </w:r>
      <w:r w:rsidR="00286427">
        <w:t>.</w:t>
      </w:r>
      <w:r>
        <w:t xml:space="preserve"> </w:t>
      </w:r>
    </w:p>
    <w:p w:rsidR="00296618" w:rsidRPr="00EA329E" w:rsidRDefault="00296618" w:rsidP="00296618">
      <w:pPr>
        <w:pStyle w:val="Heading2"/>
        <w:numPr>
          <w:ilvl w:val="1"/>
          <w:numId w:val="19"/>
        </w:numPr>
      </w:pPr>
      <w:bookmarkStart w:id="18" w:name="_Toc380687046"/>
      <w:r w:rsidRPr="00EA329E">
        <w:lastRenderedPageBreak/>
        <w:t>Definition of terms</w:t>
      </w:r>
      <w:bookmarkEnd w:id="18"/>
    </w:p>
    <w:p w:rsidR="00296618" w:rsidRPr="00EA329E" w:rsidRDefault="00296618" w:rsidP="00296618">
      <w:pPr>
        <w:keepNext/>
      </w:pPr>
      <w:r w:rsidRPr="00272493">
        <w:rPr>
          <w:b/>
        </w:rPr>
        <w:t>Brand</w:t>
      </w:r>
    </w:p>
    <w:p w:rsidR="00296618" w:rsidRPr="00EA329E" w:rsidRDefault="00296618" w:rsidP="00296618">
      <w:pPr>
        <w:keepNext/>
        <w:rPr>
          <w:rFonts w:cs="Arial"/>
        </w:rPr>
      </w:pPr>
      <w:r>
        <w:rPr>
          <w:rFonts w:cs="Arial"/>
        </w:rPr>
        <w:t>Kotler (</w:t>
      </w:r>
      <w:r w:rsidR="00FE3F5D">
        <w:rPr>
          <w:rFonts w:cs="Arial"/>
        </w:rPr>
        <w:t>2009</w:t>
      </w:r>
      <w:r>
        <w:rPr>
          <w:rFonts w:cs="Arial"/>
        </w:rPr>
        <w:t xml:space="preserve">) states that a </w:t>
      </w:r>
      <w:r w:rsidRPr="00EA329E">
        <w:rPr>
          <w:rFonts w:cs="Arial"/>
        </w:rPr>
        <w:t>brand as</w:t>
      </w:r>
      <w:r>
        <w:rPr>
          <w:rFonts w:cs="Arial"/>
        </w:rPr>
        <w:t xml:space="preserve"> a</w:t>
      </w:r>
      <w:r w:rsidRPr="00EA329E">
        <w:rPr>
          <w:rFonts w:cs="Arial"/>
        </w:rPr>
        <w:t xml:space="preserve"> </w:t>
      </w:r>
      <w:r>
        <w:rPr>
          <w:rFonts w:cs="Arial"/>
        </w:rPr>
        <w:t>name</w:t>
      </w:r>
      <w:r w:rsidRPr="00EA329E">
        <w:rPr>
          <w:rFonts w:cs="Arial"/>
        </w:rPr>
        <w:t>,</w:t>
      </w:r>
      <w:r>
        <w:rPr>
          <w:rFonts w:cs="Arial"/>
        </w:rPr>
        <w:t xml:space="preserve"> </w:t>
      </w:r>
      <w:r w:rsidRPr="00EA329E">
        <w:rPr>
          <w:rFonts w:cs="Arial"/>
        </w:rPr>
        <w:t>term</w:t>
      </w:r>
      <w:r>
        <w:rPr>
          <w:rFonts w:cs="Arial"/>
        </w:rPr>
        <w:t xml:space="preserve">, </w:t>
      </w:r>
      <w:r w:rsidRPr="00EA329E">
        <w:rPr>
          <w:rFonts w:cs="Arial"/>
        </w:rPr>
        <w:t>symbol</w:t>
      </w:r>
      <w:r>
        <w:rPr>
          <w:rFonts w:cs="Arial"/>
        </w:rPr>
        <w:t>,</w:t>
      </w:r>
      <w:r w:rsidRPr="00EA329E">
        <w:rPr>
          <w:rFonts w:cs="Arial"/>
        </w:rPr>
        <w:t xml:space="preserve"> design or a mixture of these</w:t>
      </w:r>
      <w:r>
        <w:rPr>
          <w:rFonts w:cs="Arial"/>
        </w:rPr>
        <w:t xml:space="preserve"> features</w:t>
      </w:r>
      <w:r w:rsidRPr="00EA329E">
        <w:rPr>
          <w:rFonts w:cs="Arial"/>
        </w:rPr>
        <w:t xml:space="preserve"> </w:t>
      </w:r>
      <w:r>
        <w:rPr>
          <w:rFonts w:cs="Arial"/>
        </w:rPr>
        <w:t xml:space="preserve">which serve to </w:t>
      </w:r>
      <w:r w:rsidRPr="00EA329E">
        <w:rPr>
          <w:rFonts w:cs="Arial"/>
        </w:rPr>
        <w:t xml:space="preserve">differentiate </w:t>
      </w:r>
      <w:r>
        <w:rPr>
          <w:rFonts w:cs="Arial"/>
        </w:rPr>
        <w:t>products</w:t>
      </w:r>
      <w:r w:rsidRPr="00EA329E">
        <w:rPr>
          <w:rFonts w:cs="Arial"/>
        </w:rPr>
        <w:t xml:space="preserve"> </w:t>
      </w:r>
      <w:r>
        <w:rPr>
          <w:rFonts w:cs="Arial"/>
        </w:rPr>
        <w:t>and/</w:t>
      </w:r>
      <w:r w:rsidRPr="00EA329E">
        <w:rPr>
          <w:rFonts w:cs="Arial"/>
        </w:rPr>
        <w:t xml:space="preserve">or services of </w:t>
      </w:r>
      <w:r>
        <w:rPr>
          <w:rFonts w:cs="Arial"/>
        </w:rPr>
        <w:t xml:space="preserve">a company </w:t>
      </w:r>
      <w:r w:rsidRPr="00EA329E">
        <w:rPr>
          <w:rFonts w:cs="Arial"/>
        </w:rPr>
        <w:t>from competitors</w:t>
      </w:r>
      <w:r>
        <w:rPr>
          <w:rFonts w:cs="Arial"/>
        </w:rPr>
        <w:t xml:space="preserve">. </w:t>
      </w:r>
    </w:p>
    <w:p w:rsidR="00296618" w:rsidRPr="00272493" w:rsidRDefault="00296618" w:rsidP="00296618">
      <w:pPr>
        <w:keepNext/>
        <w:rPr>
          <w:b/>
        </w:rPr>
      </w:pPr>
      <w:r w:rsidRPr="00272493">
        <w:rPr>
          <w:b/>
        </w:rPr>
        <w:t>Brand equity</w:t>
      </w:r>
    </w:p>
    <w:p w:rsidR="00296618" w:rsidRPr="00EA329E" w:rsidRDefault="00296618" w:rsidP="00296618">
      <w:pPr>
        <w:keepNext/>
      </w:pPr>
      <w:r>
        <w:t>Feldwick (</w:t>
      </w:r>
      <w:r w:rsidRPr="00EA329E">
        <w:t>1996)</w:t>
      </w:r>
      <w:r w:rsidRPr="00115817">
        <w:t xml:space="preserve"> </w:t>
      </w:r>
      <w:r w:rsidRPr="00EA329E">
        <w:t>define</w:t>
      </w:r>
      <w:r>
        <w:t>s b</w:t>
      </w:r>
      <w:r w:rsidRPr="00EA329E">
        <w:t>rand equity,</w:t>
      </w:r>
      <w:r>
        <w:t xml:space="preserve"> </w:t>
      </w:r>
      <w:r w:rsidRPr="00EA329E">
        <w:t xml:space="preserve">as the total value of a brand which </w:t>
      </w:r>
      <w:r>
        <w:t>as a</w:t>
      </w:r>
      <w:r w:rsidRPr="00EA329E">
        <w:t xml:space="preserve"> separable asset included in </w:t>
      </w:r>
      <w:r>
        <w:t>the</w:t>
      </w:r>
      <w:r w:rsidRPr="00EA329E">
        <w:t xml:space="preserve"> balance sheet. </w:t>
      </w:r>
      <w:r>
        <w:t>Simon and Sullivan (</w:t>
      </w:r>
      <w:r w:rsidRPr="00EA329E">
        <w:t>1993</w:t>
      </w:r>
      <w:r>
        <w:t xml:space="preserve">) define brand equity </w:t>
      </w:r>
      <w:r w:rsidRPr="00EA329E">
        <w:t xml:space="preserve">as </w:t>
      </w:r>
      <w:r>
        <w:t>an</w:t>
      </w:r>
      <w:r w:rsidRPr="00EA329E">
        <w:t xml:space="preserve"> incremen</w:t>
      </w:r>
      <w:r>
        <w:t>t of</w:t>
      </w:r>
      <w:r w:rsidRPr="00EA329E">
        <w:t xml:space="preserve"> cash flows accumulate</w:t>
      </w:r>
      <w:r>
        <w:t>d</w:t>
      </w:r>
      <w:r w:rsidRPr="00EA329E">
        <w:t xml:space="preserve"> </w:t>
      </w:r>
      <w:r>
        <w:t>by</w:t>
      </w:r>
      <w:r w:rsidRPr="00EA329E">
        <w:t xml:space="preserve"> branded pr</w:t>
      </w:r>
      <w:r>
        <w:t>oducts over unbranded products.</w:t>
      </w:r>
    </w:p>
    <w:p w:rsidR="00296618" w:rsidRPr="00272493" w:rsidRDefault="00296618" w:rsidP="00296618">
      <w:pPr>
        <w:keepNext/>
        <w:rPr>
          <w:b/>
        </w:rPr>
      </w:pPr>
      <w:r w:rsidRPr="00272493">
        <w:rPr>
          <w:b/>
        </w:rPr>
        <w:t>Corporate rebranding</w:t>
      </w:r>
    </w:p>
    <w:p w:rsidR="00296618" w:rsidRPr="009F14CE" w:rsidRDefault="00296618" w:rsidP="00296618">
      <w:pPr>
        <w:rPr>
          <w:rFonts w:cs="Arial"/>
        </w:rPr>
      </w:pPr>
      <w:r w:rsidRPr="00942B9B">
        <w:rPr>
          <w:rFonts w:cs="Arial"/>
        </w:rPr>
        <w:t>Rebranding</w:t>
      </w:r>
      <w:r w:rsidRPr="00EA329E">
        <w:rPr>
          <w:rFonts w:cs="Arial"/>
        </w:rPr>
        <w:t xml:space="preserve"> relates to the proposal </w:t>
      </w:r>
      <w:r>
        <w:rPr>
          <w:rFonts w:cs="Arial"/>
        </w:rPr>
        <w:t xml:space="preserve">to create </w:t>
      </w:r>
      <w:r w:rsidRPr="00EA329E">
        <w:rPr>
          <w:rFonts w:cs="Arial"/>
        </w:rPr>
        <w:t xml:space="preserve">a new name, symbol, design or a mixture of </w:t>
      </w:r>
      <w:r>
        <w:rPr>
          <w:rFonts w:cs="Arial"/>
        </w:rPr>
        <w:t>these elements</w:t>
      </w:r>
      <w:r w:rsidRPr="00EA329E">
        <w:rPr>
          <w:rFonts w:cs="Arial"/>
        </w:rPr>
        <w:t xml:space="preserve"> for a recognized brand with the </w:t>
      </w:r>
      <w:r>
        <w:rPr>
          <w:rFonts w:cs="Arial"/>
        </w:rPr>
        <w:t xml:space="preserve">key </w:t>
      </w:r>
      <w:r w:rsidRPr="00EA329E">
        <w:rPr>
          <w:rFonts w:cs="Arial"/>
        </w:rPr>
        <w:t xml:space="preserve">objective of </w:t>
      </w:r>
      <w:r>
        <w:rPr>
          <w:rFonts w:cs="Arial"/>
        </w:rPr>
        <w:t>creating</w:t>
      </w:r>
      <w:r w:rsidRPr="00EA329E">
        <w:rPr>
          <w:rFonts w:cs="Arial"/>
        </w:rPr>
        <w:t xml:space="preserve"> a differentiated position in the mind of stakeholders</w:t>
      </w:r>
      <w:r>
        <w:rPr>
          <w:rFonts w:cs="Arial"/>
        </w:rPr>
        <w:t>, consumers and</w:t>
      </w:r>
      <w:r w:rsidRPr="00EA329E">
        <w:rPr>
          <w:rFonts w:cs="Arial"/>
        </w:rPr>
        <w:t xml:space="preserve"> competitors. Merrilees and Miller (2007) define the concept by highlighting the </w:t>
      </w:r>
      <w:r>
        <w:rPr>
          <w:rFonts w:cs="Arial"/>
        </w:rPr>
        <w:t>modification from</w:t>
      </w:r>
      <w:r w:rsidRPr="00EA329E">
        <w:rPr>
          <w:rFonts w:cs="Arial"/>
        </w:rPr>
        <w:t xml:space="preserve"> an initially articulated corporate brand and a new design. </w:t>
      </w:r>
      <w:r>
        <w:rPr>
          <w:rFonts w:cs="Arial"/>
        </w:rPr>
        <w:t>Furthermore, c</w:t>
      </w:r>
      <w:r w:rsidRPr="00EA329E">
        <w:rPr>
          <w:rFonts w:cs="Arial"/>
        </w:rPr>
        <w:t xml:space="preserve">orporate </w:t>
      </w:r>
      <w:r w:rsidRPr="00942B9B">
        <w:rPr>
          <w:rFonts w:cs="Arial"/>
        </w:rPr>
        <w:t>rebranding</w:t>
      </w:r>
      <w:r w:rsidRPr="00EA329E">
        <w:rPr>
          <w:rFonts w:cs="Arial"/>
        </w:rPr>
        <w:t xml:space="preserve"> entails that all elements need to be </w:t>
      </w:r>
      <w:r>
        <w:rPr>
          <w:rFonts w:cs="Arial"/>
        </w:rPr>
        <w:t>shifted</w:t>
      </w:r>
      <w:r w:rsidRPr="00EA329E">
        <w:rPr>
          <w:rFonts w:cs="Arial"/>
        </w:rPr>
        <w:t xml:space="preserve"> from one mind-set to another (Merrilees and Miller, 2007). </w:t>
      </w:r>
    </w:p>
    <w:p w:rsidR="00296618" w:rsidRPr="009F14CE" w:rsidRDefault="00296618" w:rsidP="00296618">
      <w:pPr>
        <w:pStyle w:val="Heading2"/>
        <w:numPr>
          <w:ilvl w:val="1"/>
          <w:numId w:val="19"/>
        </w:numPr>
      </w:pPr>
      <w:bookmarkStart w:id="19" w:name="_Toc380687047"/>
      <w:r w:rsidRPr="009F14CE">
        <w:t>Assumptions</w:t>
      </w:r>
      <w:bookmarkEnd w:id="19"/>
    </w:p>
    <w:p w:rsidR="00296618" w:rsidRPr="00EA329E" w:rsidRDefault="00296618" w:rsidP="00296618">
      <w:pPr>
        <w:keepNext/>
      </w:pPr>
      <w:r w:rsidRPr="00EA329E">
        <w:t xml:space="preserve">The following assumptions </w:t>
      </w:r>
      <w:r>
        <w:t>were</w:t>
      </w:r>
      <w:r w:rsidRPr="00EA329E">
        <w:t xml:space="preserve"> made regarding this study:</w:t>
      </w:r>
    </w:p>
    <w:p w:rsidR="00296618" w:rsidRDefault="00296618" w:rsidP="00296618">
      <w:pPr>
        <w:pStyle w:val="ListParagraph"/>
        <w:keepNext/>
        <w:numPr>
          <w:ilvl w:val="0"/>
          <w:numId w:val="12"/>
        </w:numPr>
      </w:pPr>
      <w:r w:rsidRPr="00EA329E">
        <w:t xml:space="preserve">Data collected </w:t>
      </w:r>
      <w:r>
        <w:t>were deemed</w:t>
      </w:r>
      <w:r w:rsidRPr="00EA329E">
        <w:t xml:space="preserve"> reliable.</w:t>
      </w:r>
    </w:p>
    <w:p w:rsidR="00296618" w:rsidRPr="00EA329E" w:rsidRDefault="00296618" w:rsidP="00296618">
      <w:pPr>
        <w:pStyle w:val="ListParagraph"/>
        <w:keepNext/>
        <w:numPr>
          <w:ilvl w:val="0"/>
          <w:numId w:val="12"/>
        </w:numPr>
      </w:pPr>
      <w:r>
        <w:t>Respondents understood the effect of corporate rebranding</w:t>
      </w:r>
    </w:p>
    <w:p w:rsidR="00296618" w:rsidRPr="00942B9B" w:rsidRDefault="00296618" w:rsidP="00296618"/>
    <w:p w:rsidR="00296618" w:rsidRPr="00EA329E" w:rsidRDefault="00296618" w:rsidP="00296618">
      <w:pPr>
        <w:pStyle w:val="Heading1"/>
        <w:numPr>
          <w:ilvl w:val="0"/>
          <w:numId w:val="19"/>
        </w:numPr>
      </w:pPr>
      <w:r w:rsidRPr="00EA329E">
        <w:lastRenderedPageBreak/>
        <w:t xml:space="preserve"> </w:t>
      </w:r>
      <w:bookmarkStart w:id="20" w:name="_Toc380687048"/>
      <w:r w:rsidRPr="00EA329E">
        <w:t>Literature review</w:t>
      </w:r>
      <w:bookmarkEnd w:id="20"/>
    </w:p>
    <w:p w:rsidR="00296618" w:rsidRDefault="00296618" w:rsidP="00296618">
      <w:pPr>
        <w:pStyle w:val="Heading2"/>
        <w:numPr>
          <w:ilvl w:val="1"/>
          <w:numId w:val="19"/>
        </w:numPr>
      </w:pPr>
      <w:bookmarkStart w:id="21" w:name="_Toc380687049"/>
      <w:r w:rsidRPr="00EA329E">
        <w:t>Introduction</w:t>
      </w:r>
      <w:bookmarkEnd w:id="21"/>
    </w:p>
    <w:p w:rsidR="00296618" w:rsidRPr="001428FD" w:rsidRDefault="00296618" w:rsidP="00296618">
      <w:r>
        <w:t>This literature review focused on corporate rebranding and brand equity and the interrelationship between the two constructs.</w:t>
      </w:r>
    </w:p>
    <w:p w:rsidR="00296618" w:rsidRPr="00EA329E" w:rsidRDefault="00296618" w:rsidP="00296618">
      <w:pPr>
        <w:pStyle w:val="Heading2"/>
        <w:numPr>
          <w:ilvl w:val="1"/>
          <w:numId w:val="19"/>
        </w:numPr>
      </w:pPr>
      <w:bookmarkStart w:id="22" w:name="_Toc380687050"/>
      <w:r w:rsidRPr="00EA329E">
        <w:t xml:space="preserve">Corporate </w:t>
      </w:r>
      <w:r>
        <w:t>b</w:t>
      </w:r>
      <w:r w:rsidRPr="00EA329E">
        <w:t>randing</w:t>
      </w:r>
      <w:bookmarkEnd w:id="22"/>
      <w:r w:rsidRPr="00EA329E">
        <w:t xml:space="preserve"> </w:t>
      </w:r>
    </w:p>
    <w:p w:rsidR="00296618" w:rsidRDefault="00296618" w:rsidP="00296618">
      <w:pPr>
        <w:pStyle w:val="Heading3"/>
        <w:numPr>
          <w:ilvl w:val="2"/>
          <w:numId w:val="19"/>
        </w:numPr>
      </w:pPr>
      <w:bookmarkStart w:id="23" w:name="_Toc380687051"/>
      <w:r w:rsidRPr="00EA329E">
        <w:t xml:space="preserve">Definition of </w:t>
      </w:r>
      <w:r>
        <w:t>a b</w:t>
      </w:r>
      <w:r w:rsidRPr="00EA329E">
        <w:t>rand</w:t>
      </w:r>
      <w:bookmarkEnd w:id="23"/>
    </w:p>
    <w:p w:rsidR="00296618" w:rsidRDefault="00296618" w:rsidP="00296618">
      <w:pPr>
        <w:keepNext/>
      </w:pPr>
      <w:r>
        <w:t xml:space="preserve">There are numerous definitions of a brand in the literature. </w:t>
      </w:r>
      <w:r w:rsidRPr="00EA329E">
        <w:t xml:space="preserve">According to Kotler </w:t>
      </w:r>
      <w:r>
        <w:t xml:space="preserve">and Keller </w:t>
      </w:r>
      <w:r w:rsidRPr="00EA329E">
        <w:t>(200</w:t>
      </w:r>
      <w:r>
        <w:t>9</w:t>
      </w:r>
      <w:r w:rsidRPr="00EA329E">
        <w:t xml:space="preserve">), a brand is usually defined as </w:t>
      </w:r>
      <w:r>
        <w:rPr>
          <w:rFonts w:cs="Arial"/>
        </w:rPr>
        <w:t>a</w:t>
      </w:r>
      <w:r w:rsidRPr="00EA329E">
        <w:rPr>
          <w:rFonts w:cs="Arial"/>
        </w:rPr>
        <w:t xml:space="preserve"> </w:t>
      </w:r>
      <w:r>
        <w:rPr>
          <w:rFonts w:cs="Arial"/>
        </w:rPr>
        <w:t>name</w:t>
      </w:r>
      <w:r w:rsidRPr="00EA329E">
        <w:rPr>
          <w:rFonts w:cs="Arial"/>
        </w:rPr>
        <w:t>,</w:t>
      </w:r>
      <w:r>
        <w:rPr>
          <w:rFonts w:cs="Arial"/>
        </w:rPr>
        <w:t xml:space="preserve"> </w:t>
      </w:r>
      <w:r w:rsidRPr="00EA329E">
        <w:rPr>
          <w:rFonts w:cs="Arial"/>
        </w:rPr>
        <w:t>term</w:t>
      </w:r>
      <w:r>
        <w:rPr>
          <w:rFonts w:cs="Arial"/>
        </w:rPr>
        <w:t xml:space="preserve">, </w:t>
      </w:r>
      <w:r w:rsidRPr="00EA329E">
        <w:rPr>
          <w:rFonts w:cs="Arial"/>
        </w:rPr>
        <w:t>symbol</w:t>
      </w:r>
      <w:r>
        <w:rPr>
          <w:rFonts w:cs="Arial"/>
        </w:rPr>
        <w:t>,</w:t>
      </w:r>
      <w:r w:rsidRPr="00EA329E">
        <w:rPr>
          <w:rFonts w:cs="Arial"/>
        </w:rPr>
        <w:t xml:space="preserve"> design or a mixture of these</w:t>
      </w:r>
      <w:r>
        <w:rPr>
          <w:rFonts w:cs="Arial"/>
        </w:rPr>
        <w:t xml:space="preserve"> features</w:t>
      </w:r>
      <w:r w:rsidRPr="00EA329E">
        <w:rPr>
          <w:rFonts w:cs="Arial"/>
        </w:rPr>
        <w:t xml:space="preserve"> </w:t>
      </w:r>
      <w:r>
        <w:rPr>
          <w:rFonts w:cs="Arial"/>
        </w:rPr>
        <w:t xml:space="preserve">which serve to </w:t>
      </w:r>
      <w:r w:rsidRPr="00EA329E">
        <w:rPr>
          <w:rFonts w:cs="Arial"/>
        </w:rPr>
        <w:t xml:space="preserve">differentiate </w:t>
      </w:r>
      <w:r>
        <w:rPr>
          <w:rFonts w:cs="Arial"/>
        </w:rPr>
        <w:t>products</w:t>
      </w:r>
      <w:r w:rsidRPr="00EA329E">
        <w:rPr>
          <w:rFonts w:cs="Arial"/>
        </w:rPr>
        <w:t xml:space="preserve"> </w:t>
      </w:r>
      <w:r>
        <w:rPr>
          <w:rFonts w:cs="Arial"/>
        </w:rPr>
        <w:t>and/</w:t>
      </w:r>
      <w:r w:rsidRPr="00EA329E">
        <w:rPr>
          <w:rFonts w:cs="Arial"/>
        </w:rPr>
        <w:t xml:space="preserve">or services of </w:t>
      </w:r>
      <w:r>
        <w:rPr>
          <w:rFonts w:cs="Arial"/>
        </w:rPr>
        <w:t xml:space="preserve">a company </w:t>
      </w:r>
      <w:r w:rsidRPr="00EA329E">
        <w:rPr>
          <w:rFonts w:cs="Arial"/>
        </w:rPr>
        <w:t>from competitors</w:t>
      </w:r>
      <w:r>
        <w:rPr>
          <w:rFonts w:cs="Arial"/>
        </w:rPr>
        <w:t xml:space="preserve">. </w:t>
      </w:r>
      <w:r w:rsidRPr="006007A8">
        <w:t xml:space="preserve">O’Malley’s (1991) definition is closely related to that of Kotler and Keller (2009). </w:t>
      </w:r>
    </w:p>
    <w:p w:rsidR="00296618" w:rsidRDefault="00296618" w:rsidP="00296618">
      <w:r w:rsidRPr="006007A8">
        <w:t xml:space="preserve">Franzen and Bouwman (2001) define a brand differently.  They relate a brand to a </w:t>
      </w:r>
      <w:r>
        <w:t>series</w:t>
      </w:r>
      <w:r w:rsidRPr="006007A8">
        <w:t xml:space="preserve"> of associations with a </w:t>
      </w:r>
      <w:r>
        <w:t xml:space="preserve">symbol or a </w:t>
      </w:r>
      <w:r w:rsidRPr="006007A8">
        <w:t xml:space="preserve">name in the </w:t>
      </w:r>
      <w:r>
        <w:t>mind of a</w:t>
      </w:r>
      <w:r w:rsidRPr="006007A8">
        <w:t xml:space="preserve"> consumer. In their view, brands are portions of </w:t>
      </w:r>
      <w:r>
        <w:t xml:space="preserve">experiences, emotions, </w:t>
      </w:r>
      <w:r w:rsidRPr="006007A8">
        <w:t>information, meanings,</w:t>
      </w:r>
      <w:r w:rsidRPr="00BA76DC">
        <w:t xml:space="preserve"> </w:t>
      </w:r>
      <w:r>
        <w:t xml:space="preserve">and images </w:t>
      </w:r>
      <w:r w:rsidRPr="006007A8">
        <w:t>connected by associations of variable strength. Organi</w:t>
      </w:r>
      <w:r>
        <w:t>s</w:t>
      </w:r>
      <w:r w:rsidRPr="006007A8">
        <w:t>ations invest in brands as a way to appeal and keep customers by promoting value</w:t>
      </w:r>
      <w:r>
        <w:t>,</w:t>
      </w:r>
      <w:r w:rsidRPr="00BA76DC">
        <w:t xml:space="preserve"> </w:t>
      </w:r>
      <w:r w:rsidRPr="006007A8">
        <w:t>lifestyle</w:t>
      </w:r>
      <w:r>
        <w:t xml:space="preserve"> </w:t>
      </w:r>
      <w:r w:rsidR="0063507B">
        <w:t xml:space="preserve">and </w:t>
      </w:r>
      <w:r w:rsidR="0063507B" w:rsidRPr="006007A8">
        <w:t>image</w:t>
      </w:r>
      <w:r w:rsidRPr="006007A8">
        <w:t>. By choosing particular brands, consumers can create a positive image</w:t>
      </w:r>
      <w:r>
        <w:t xml:space="preserve">, </w:t>
      </w:r>
      <w:r w:rsidRPr="006007A8">
        <w:t xml:space="preserve">thus reducing the risk </w:t>
      </w:r>
      <w:r w:rsidRPr="0097440C">
        <w:t>(Ginden, 1993</w:t>
      </w:r>
      <w:r>
        <w:t>;</w:t>
      </w:r>
      <w:r w:rsidRPr="0097440C">
        <w:t xml:space="preserve"> Montgomery and Wernerfelt, 1992). A </w:t>
      </w:r>
      <w:r>
        <w:t>successful</w:t>
      </w:r>
      <w:r w:rsidRPr="0097440C">
        <w:t xml:space="preserve"> brand promises customer</w:t>
      </w:r>
      <w:r>
        <w:t>s</w:t>
      </w:r>
      <w:r w:rsidRPr="0097440C">
        <w:t xml:space="preserve"> value and </w:t>
      </w:r>
      <w:r>
        <w:t>promotes</w:t>
      </w:r>
      <w:r w:rsidRPr="0097440C">
        <w:t xml:space="preserve"> employees satisfaction and confidence in their products</w:t>
      </w:r>
      <w:r>
        <w:t>,</w:t>
      </w:r>
      <w:r w:rsidRPr="0097440C">
        <w:t xml:space="preserve"> </w:t>
      </w:r>
      <w:r>
        <w:t xml:space="preserve">which </w:t>
      </w:r>
      <w:r w:rsidRPr="0097440C">
        <w:t>may result in accelerate</w:t>
      </w:r>
      <w:r>
        <w:t>d</w:t>
      </w:r>
      <w:r w:rsidRPr="0097440C">
        <w:t xml:space="preserve"> market awareness and acceptance (O’Malley, 1991 and Berry et al., 1988). </w:t>
      </w:r>
    </w:p>
    <w:p w:rsidR="00296618" w:rsidRPr="0097440C" w:rsidRDefault="00296618" w:rsidP="00296618">
      <w:pPr>
        <w:pStyle w:val="Heading3"/>
        <w:numPr>
          <w:ilvl w:val="2"/>
          <w:numId w:val="19"/>
        </w:numPr>
      </w:pPr>
      <w:bookmarkStart w:id="24" w:name="_Toc380687052"/>
      <w:r w:rsidRPr="0097440C">
        <w:lastRenderedPageBreak/>
        <w:t xml:space="preserve">Definition of </w:t>
      </w:r>
      <w:r>
        <w:t>b</w:t>
      </w:r>
      <w:r w:rsidRPr="0097440C">
        <w:t>randing</w:t>
      </w:r>
      <w:bookmarkEnd w:id="24"/>
    </w:p>
    <w:p w:rsidR="00296618" w:rsidRDefault="00296618" w:rsidP="00296618">
      <w:r w:rsidRPr="0097440C">
        <w:t xml:space="preserve">Branding is the </w:t>
      </w:r>
      <w:r>
        <w:t>process</w:t>
      </w:r>
      <w:r w:rsidRPr="0097440C">
        <w:t xml:space="preserve"> </w:t>
      </w:r>
      <w:r>
        <w:t xml:space="preserve">of associating the brand </w:t>
      </w:r>
      <w:r w:rsidRPr="0097440C">
        <w:t>name information, meanings, images</w:t>
      </w:r>
      <w:r>
        <w:t xml:space="preserve">, </w:t>
      </w:r>
      <w:r w:rsidRPr="0097440C">
        <w:t xml:space="preserve">emotions, intentions that are of significant sin the </w:t>
      </w:r>
      <w:r>
        <w:t>consumer’s</w:t>
      </w:r>
      <w:r w:rsidRPr="0097440C">
        <w:t xml:space="preserve"> decision making process (Franzen and Bouwman, 2001). Branding can further be defined as </w:t>
      </w:r>
      <w:r>
        <w:t xml:space="preserve">the </w:t>
      </w:r>
      <w:r w:rsidRPr="0097440C">
        <w:t xml:space="preserve">establishment of effective, associations with the brand name </w:t>
      </w:r>
      <w:r>
        <w:t xml:space="preserve">or concept </w:t>
      </w:r>
      <w:r w:rsidRPr="0097440C">
        <w:t xml:space="preserve">in relation </w:t>
      </w:r>
      <w:r>
        <w:t>to</w:t>
      </w:r>
      <w:r w:rsidRPr="0097440C">
        <w:t xml:space="preserve"> the target market (Walvis, 2007). This definition correlates with the notion that brands attempt to be </w:t>
      </w:r>
      <w:r>
        <w:t xml:space="preserve">the preferred choice among its consumers </w:t>
      </w:r>
      <w:r w:rsidRPr="0097440C">
        <w:t>and that branding, as an action, increases that possibility (Walvis, 2007). O’Malley (1991) purports</w:t>
      </w:r>
      <w:r>
        <w:t>,</w:t>
      </w:r>
      <w:r w:rsidRPr="0097440C">
        <w:t xml:space="preserve"> that branding is a practice </w:t>
      </w:r>
      <w:r>
        <w:t xml:space="preserve">of </w:t>
      </w:r>
      <w:r w:rsidRPr="0097440C">
        <w:t>build</w:t>
      </w:r>
      <w:r>
        <w:t>ing</w:t>
      </w:r>
      <w:r w:rsidRPr="0097440C">
        <w:t xml:space="preserve"> a defensible, different</w:t>
      </w:r>
      <w:r>
        <w:t>iated</w:t>
      </w:r>
      <w:r w:rsidRPr="0097440C">
        <w:t xml:space="preserve"> advantage by playing on the nature of human</w:t>
      </w:r>
      <w:r>
        <w:t>s</w:t>
      </w:r>
      <w:r w:rsidRPr="0097440C">
        <w:t xml:space="preserve">. Only humans can assign meaning and feeling to non-living objects and symbols, which proposes the appeal of </w:t>
      </w:r>
      <w:r w:rsidR="0038367A" w:rsidRPr="0097440C">
        <w:t>branding,</w:t>
      </w:r>
      <w:r w:rsidRPr="0097440C">
        <w:t xml:space="preserve"> is not completely rational. Once customers become familiari</w:t>
      </w:r>
      <w:r>
        <w:t>s</w:t>
      </w:r>
      <w:r w:rsidRPr="0097440C">
        <w:t xml:space="preserve">ed with a </w:t>
      </w:r>
      <w:r>
        <w:t>particular</w:t>
      </w:r>
      <w:r w:rsidRPr="0097440C">
        <w:t xml:space="preserve"> brand, they do not voluntarily accept </w:t>
      </w:r>
      <w:r>
        <w:t xml:space="preserve">alternative or </w:t>
      </w:r>
      <w:r w:rsidRPr="0097440C">
        <w:t>substitute</w:t>
      </w:r>
      <w:r>
        <w:t xml:space="preserve"> brands</w:t>
      </w:r>
      <w:r w:rsidRPr="0097440C">
        <w:t xml:space="preserve"> (Ginden, 1993). </w:t>
      </w:r>
    </w:p>
    <w:p w:rsidR="00296618" w:rsidRPr="00223F76" w:rsidRDefault="00296618" w:rsidP="00296618">
      <w:pPr>
        <w:pStyle w:val="Heading3"/>
        <w:numPr>
          <w:ilvl w:val="2"/>
          <w:numId w:val="19"/>
        </w:numPr>
      </w:pPr>
      <w:bookmarkStart w:id="25" w:name="_Toc380687053"/>
      <w:r w:rsidRPr="00223F76">
        <w:t>Brand equity</w:t>
      </w:r>
      <w:bookmarkEnd w:id="25"/>
    </w:p>
    <w:p w:rsidR="00296618" w:rsidRDefault="00296618" w:rsidP="00296618">
      <w:pPr>
        <w:keepNext/>
      </w:pPr>
      <w:r>
        <w:t>Feldwick (</w:t>
      </w:r>
      <w:r w:rsidRPr="00EA329E">
        <w:t>1996)</w:t>
      </w:r>
      <w:r w:rsidRPr="00115817">
        <w:t xml:space="preserve"> </w:t>
      </w:r>
      <w:r w:rsidRPr="00EA329E">
        <w:t>define</w:t>
      </w:r>
      <w:r>
        <w:t>s b</w:t>
      </w:r>
      <w:r w:rsidRPr="00EA329E">
        <w:t>rand equity,</w:t>
      </w:r>
      <w:r>
        <w:t xml:space="preserve"> </w:t>
      </w:r>
      <w:r w:rsidRPr="00EA329E">
        <w:t xml:space="preserve">as the total value of a brand which </w:t>
      </w:r>
      <w:r>
        <w:t>as a</w:t>
      </w:r>
      <w:r w:rsidRPr="00EA329E">
        <w:t xml:space="preserve"> separable asset included in </w:t>
      </w:r>
      <w:r>
        <w:t>the</w:t>
      </w:r>
      <w:r w:rsidRPr="00EA329E">
        <w:t xml:space="preserve"> balance sheet. </w:t>
      </w:r>
      <w:r>
        <w:t>Simon and Sullivan (</w:t>
      </w:r>
      <w:r w:rsidRPr="00EA329E">
        <w:t>1993</w:t>
      </w:r>
      <w:r>
        <w:t xml:space="preserve">) define brand equity </w:t>
      </w:r>
      <w:r w:rsidRPr="00EA329E">
        <w:t xml:space="preserve">as </w:t>
      </w:r>
      <w:r>
        <w:t>an</w:t>
      </w:r>
      <w:r w:rsidRPr="00EA329E">
        <w:t xml:space="preserve"> incremen</w:t>
      </w:r>
      <w:r>
        <w:t>t of</w:t>
      </w:r>
      <w:r w:rsidRPr="00EA329E">
        <w:t xml:space="preserve"> cash flows accumulate</w:t>
      </w:r>
      <w:r>
        <w:t>d</w:t>
      </w:r>
      <w:r w:rsidRPr="00EA329E">
        <w:t xml:space="preserve"> </w:t>
      </w:r>
      <w:r>
        <w:t>by</w:t>
      </w:r>
      <w:r w:rsidRPr="00EA329E">
        <w:t xml:space="preserve"> branded pr</w:t>
      </w:r>
      <w:r>
        <w:t>oducts over unbranded products.</w:t>
      </w:r>
    </w:p>
    <w:p w:rsidR="005B639C" w:rsidRPr="0097440C" w:rsidRDefault="005B639C" w:rsidP="005B639C">
      <w:pPr>
        <w:pStyle w:val="Heading3"/>
        <w:numPr>
          <w:ilvl w:val="2"/>
          <w:numId w:val="19"/>
        </w:numPr>
      </w:pPr>
      <w:bookmarkStart w:id="26" w:name="_Toc377763814"/>
      <w:bookmarkStart w:id="27" w:name="_Toc380687054"/>
      <w:r w:rsidRPr="0097440C">
        <w:t xml:space="preserve">Brand </w:t>
      </w:r>
      <w:r>
        <w:t>v</w:t>
      </w:r>
      <w:r w:rsidRPr="0097440C">
        <w:t>aluation</w:t>
      </w:r>
      <w:bookmarkEnd w:id="26"/>
      <w:bookmarkEnd w:id="27"/>
    </w:p>
    <w:p w:rsidR="005B639C" w:rsidRPr="0097440C" w:rsidRDefault="005B639C" w:rsidP="005B639C">
      <w:r w:rsidRPr="0097440C">
        <w:t>Initial research into the valuation of brands originated from two areas: marketing measurement of brand equity, and the financial treatment of brands. The first was populari</w:t>
      </w:r>
      <w:r>
        <w:t>s</w:t>
      </w:r>
      <w:r w:rsidRPr="0097440C">
        <w:t>ed by Keller (1993), and included subsequent studies by Lassar et al</w:t>
      </w:r>
      <w:r>
        <w:t>.</w:t>
      </w:r>
      <w:r w:rsidRPr="0097440C">
        <w:t xml:space="preserve"> (1995) on the measure of brand strength, by Park and Srinivasan (1994) on evaluating the equity of brand extension, Kamakura and Russell (1993) on single</w:t>
      </w:r>
      <w:r>
        <w:t>-</w:t>
      </w:r>
      <w:r w:rsidRPr="0097440C">
        <w:t xml:space="preserve"> source scanner panel data to estimate brand equity, and Aaker (1996) and Montameni and Shahrokhi (1998) on the issue of valuing brand equity across </w:t>
      </w:r>
      <w:r w:rsidRPr="0097440C">
        <w:lastRenderedPageBreak/>
        <w:t>local and global markets. The financial treatment of brands has traditionally stemmed from the recognition of brands on the balance sheet (Barwise et.al., 1989</w:t>
      </w:r>
      <w:r>
        <w:t>;</w:t>
      </w:r>
      <w:r w:rsidRPr="0097440C">
        <w:t xml:space="preserve"> Oldroyd, 1994, 1998), which presents problems to the accounting profession due to the uncertainty of dealing with the future nature of the benefits associated with brands, and hence the reliability of the information presented. Tollington (1989) has debated the distinction between goodwill and intangible brand assets. Further studies investigated the impact on</w:t>
      </w:r>
      <w:r>
        <w:t xml:space="preserve"> </w:t>
      </w:r>
      <w:r w:rsidRPr="0097440C">
        <w:t>the stock price of customer perceptions of perceived quality, a component of brand equity (Aaker and Jacobson, 1994), and on the linkage between shareholder value and the financial value of a company’s brands (Kerin and Sethuraman, 1998). Simon and Sullivan (1993) developed a technique for measuring brand equity, based on the financial market estimates of profits attributable to brands. The co-dependency of the marketing and accounting professions in providing joint assessments of the valuation of brands has been recogni</w:t>
      </w:r>
      <w:r>
        <w:t>s</w:t>
      </w:r>
      <w:r w:rsidRPr="0097440C">
        <w:t xml:space="preserve">ed by Cravens and Guilding (1999). They provide useful alternatives to the traditional marketing perspectives of brands (Aaker, 1991; Keller, 1998; Aaker </w:t>
      </w:r>
      <w:r>
        <w:t>and</w:t>
      </w:r>
      <w:r w:rsidRPr="0097440C">
        <w:t xml:space="preserve"> Joachimsthaler, 2000). The debate over the appropriate method of valuation continues in the literature (Perrier, 1997) and in the commercial world. </w:t>
      </w:r>
    </w:p>
    <w:p w:rsidR="005B639C" w:rsidRPr="00EA329E" w:rsidRDefault="005B639C" w:rsidP="00296618">
      <w:pPr>
        <w:keepNext/>
      </w:pPr>
    </w:p>
    <w:p w:rsidR="00296618" w:rsidRPr="0097440C" w:rsidRDefault="00296618" w:rsidP="00296618">
      <w:pPr>
        <w:pStyle w:val="Heading3"/>
        <w:numPr>
          <w:ilvl w:val="2"/>
          <w:numId w:val="19"/>
        </w:numPr>
      </w:pPr>
      <w:bookmarkStart w:id="28" w:name="_Toc380687055"/>
      <w:r w:rsidRPr="0097440C">
        <w:t xml:space="preserve">Definition of </w:t>
      </w:r>
      <w:r>
        <w:t>c</w:t>
      </w:r>
      <w:r w:rsidRPr="0097440C">
        <w:t xml:space="preserve">orporate </w:t>
      </w:r>
      <w:r>
        <w:t>b</w:t>
      </w:r>
      <w:r w:rsidRPr="0097440C">
        <w:t>randing</w:t>
      </w:r>
      <w:bookmarkEnd w:id="28"/>
    </w:p>
    <w:p w:rsidR="00296618" w:rsidRDefault="00296618" w:rsidP="00296618">
      <w:r w:rsidRPr="0097440C">
        <w:t xml:space="preserve">Corporate branding </w:t>
      </w:r>
      <w:r>
        <w:t>is characterised by the</w:t>
      </w:r>
      <w:r w:rsidRPr="0097440C">
        <w:t xml:space="preserve"> </w:t>
      </w:r>
      <w:r>
        <w:t>principles</w:t>
      </w:r>
      <w:r w:rsidRPr="0097440C">
        <w:t xml:space="preserve"> of product branding</w:t>
      </w:r>
      <w:r>
        <w:t>,</w:t>
      </w:r>
      <w:r w:rsidRPr="0097440C">
        <w:t xml:space="preserve"> in that it shares the same </w:t>
      </w:r>
      <w:r>
        <w:t>drive</w:t>
      </w:r>
      <w:r w:rsidRPr="0097440C">
        <w:t xml:space="preserve"> of building differentiation and </w:t>
      </w:r>
      <w:r>
        <w:t xml:space="preserve">increasing </w:t>
      </w:r>
      <w:r w:rsidRPr="0097440C">
        <w:t xml:space="preserve">preference. Einwiller and Will (2002) define corporate branding as a methodically planned and applied process of </w:t>
      </w:r>
      <w:r>
        <w:t>building</w:t>
      </w:r>
      <w:r w:rsidRPr="0097440C">
        <w:t xml:space="preserve"> and </w:t>
      </w:r>
      <w:r>
        <w:t>sustaining</w:t>
      </w:r>
      <w:r w:rsidRPr="0097440C">
        <w:t xml:space="preserve"> a positive image and consequently a good reputation of the </w:t>
      </w:r>
      <w:r>
        <w:t xml:space="preserve">brand. This is achieved </w:t>
      </w:r>
      <w:r w:rsidRPr="0097440C">
        <w:t xml:space="preserve">by sending </w:t>
      </w:r>
      <w:r>
        <w:t>messaging</w:t>
      </w:r>
      <w:r w:rsidRPr="0097440C">
        <w:t xml:space="preserve"> to all stakeholders </w:t>
      </w:r>
      <w:r>
        <w:t xml:space="preserve">through management of the company’s </w:t>
      </w:r>
      <w:r w:rsidRPr="0097440C">
        <w:t>communication</w:t>
      </w:r>
      <w:r>
        <w:t xml:space="preserve"> and</w:t>
      </w:r>
      <w:r w:rsidRPr="0097440C">
        <w:t xml:space="preserve"> behaviour. Kay (2006) agrees that corporate branding is the technique an organisation </w:t>
      </w:r>
      <w:r>
        <w:t>articulates</w:t>
      </w:r>
      <w:r w:rsidRPr="0097440C">
        <w:t xml:space="preserve"> its </w:t>
      </w:r>
      <w:r>
        <w:t xml:space="preserve">brand position and/or </w:t>
      </w:r>
      <w:r w:rsidRPr="0097440C">
        <w:t>identity. Moreover, corporate brands are central and strategic</w:t>
      </w:r>
      <w:r>
        <w:t xml:space="preserve"> and managed </w:t>
      </w:r>
      <w:r w:rsidRPr="0097440C">
        <w:t xml:space="preserve">by </w:t>
      </w:r>
      <w:r>
        <w:t>senior</w:t>
      </w:r>
      <w:r w:rsidRPr="0097440C">
        <w:t xml:space="preserve"> management</w:t>
      </w:r>
      <w:r>
        <w:t xml:space="preserve"> according </w:t>
      </w:r>
      <w:r>
        <w:lastRenderedPageBreak/>
        <w:t xml:space="preserve">to </w:t>
      </w:r>
      <w:r w:rsidRPr="0097440C">
        <w:t>Hatch and Schultz</w:t>
      </w:r>
      <w:r>
        <w:t xml:space="preserve"> (</w:t>
      </w:r>
      <w:r w:rsidRPr="0097440C">
        <w:t>2003)</w:t>
      </w:r>
      <w:r>
        <w:t xml:space="preserve">. Corporate brands are </w:t>
      </w:r>
      <w:r w:rsidRPr="0097440C">
        <w:t>more abstract</w:t>
      </w:r>
      <w:r>
        <w:t xml:space="preserve"> and complex</w:t>
      </w:r>
      <w:r w:rsidRPr="0097440C">
        <w:t xml:space="preserve">, representing higher-order values </w:t>
      </w:r>
      <w:r>
        <w:t>(</w:t>
      </w:r>
      <w:r w:rsidRPr="0097440C">
        <w:t>Chernatony</w:t>
      </w:r>
      <w:r>
        <w:t xml:space="preserve">, </w:t>
      </w:r>
      <w:r w:rsidRPr="0097440C">
        <w:t>2002)</w:t>
      </w:r>
      <w:r>
        <w:t>. Additionally, they also represent</w:t>
      </w:r>
      <w:r w:rsidRPr="0097440C">
        <w:t xml:space="preserve"> different meanings for different stakeholders when compared to product brands</w:t>
      </w:r>
      <w:r>
        <w:t xml:space="preserve"> </w:t>
      </w:r>
      <w:r w:rsidRPr="0097440C">
        <w:t>(Balmer and Greyser, 2002)</w:t>
      </w:r>
      <w:r>
        <w:t>.</w:t>
      </w:r>
    </w:p>
    <w:p w:rsidR="00296618" w:rsidRDefault="001A3651" w:rsidP="00296618">
      <w:r>
        <w:t xml:space="preserve">Abratt and Mofokeng (2001) </w:t>
      </w:r>
      <w:r w:rsidR="00296618">
        <w:t xml:space="preserve">state that the literature supports the </w:t>
      </w:r>
      <w:r w:rsidR="00296618" w:rsidRPr="0097440C">
        <w:t>increas</w:t>
      </w:r>
      <w:r w:rsidR="00296618">
        <w:t>ed</w:t>
      </w:r>
      <w:r w:rsidR="00296618" w:rsidRPr="0097440C">
        <w:t xml:space="preserve"> attention on the role of the organisation as a strategic element in the branding process</w:t>
      </w:r>
    </w:p>
    <w:p w:rsidR="00296618" w:rsidRPr="0097440C" w:rsidRDefault="00296618" w:rsidP="00296618">
      <w:r w:rsidRPr="0097440C">
        <w:t xml:space="preserve">King (1991) </w:t>
      </w:r>
      <w:r>
        <w:t xml:space="preserve">argues </w:t>
      </w:r>
      <w:r w:rsidRPr="0097440C">
        <w:t xml:space="preserve">the fact that </w:t>
      </w:r>
      <w:r>
        <w:t xml:space="preserve">the </w:t>
      </w:r>
      <w:r w:rsidRPr="0097440C">
        <w:t xml:space="preserve">audience </w:t>
      </w:r>
      <w:r>
        <w:t xml:space="preserve">of a </w:t>
      </w:r>
      <w:r w:rsidRPr="0097440C">
        <w:t xml:space="preserve">corporate brand </w:t>
      </w:r>
      <w:r>
        <w:t xml:space="preserve">reach </w:t>
      </w:r>
      <w:r w:rsidRPr="0097440C">
        <w:t xml:space="preserve">beyond </w:t>
      </w:r>
      <w:r>
        <w:t xml:space="preserve">just </w:t>
      </w:r>
      <w:r w:rsidRPr="0097440C">
        <w:t>customers to embrace all stakeholder</w:t>
      </w:r>
      <w:r>
        <w:t>s. T</w:t>
      </w:r>
      <w:r w:rsidRPr="0097440C">
        <w:t>hese stakeholder</w:t>
      </w:r>
      <w:r>
        <w:t>s</w:t>
      </w:r>
      <w:r w:rsidRPr="0097440C" w:rsidDel="0081679F">
        <w:t xml:space="preserve"> </w:t>
      </w:r>
      <w:r>
        <w:t xml:space="preserve">apply </w:t>
      </w:r>
      <w:r w:rsidRPr="0097440C">
        <w:t>a wider range of discriminators, including intangible and tangible product</w:t>
      </w:r>
      <w:r>
        <w:t xml:space="preserve">s or </w:t>
      </w:r>
      <w:r w:rsidRPr="0097440C">
        <w:t>service</w:t>
      </w:r>
      <w:r>
        <w:t>s</w:t>
      </w:r>
      <w:r w:rsidRPr="0097440C">
        <w:t xml:space="preserve"> components.</w:t>
      </w:r>
    </w:p>
    <w:p w:rsidR="00296618" w:rsidRPr="0097440C" w:rsidRDefault="00296618" w:rsidP="00296618">
      <w:pPr>
        <w:pStyle w:val="Heading3"/>
        <w:numPr>
          <w:ilvl w:val="2"/>
          <w:numId w:val="19"/>
        </w:numPr>
      </w:pPr>
      <w:bookmarkStart w:id="29" w:name="_Toc380687056"/>
      <w:r w:rsidRPr="0097440C">
        <w:t>Models of corporate brand management</w:t>
      </w:r>
      <w:bookmarkEnd w:id="29"/>
      <w:r w:rsidRPr="0097440C">
        <w:t xml:space="preserve"> </w:t>
      </w:r>
    </w:p>
    <w:p w:rsidR="00296618" w:rsidRDefault="00296618" w:rsidP="00296618">
      <w:r w:rsidRPr="00E74B43">
        <w:t xml:space="preserve">The literature makes a clear distinction between two schools of thought in relation to the models of corporate branding namely: the macro and micro models. The macro models are from the 1980s and 1990s.and the micro models derived from the recent marketing fields </w:t>
      </w:r>
      <w:r w:rsidR="00C27223">
        <w:t>(</w:t>
      </w:r>
      <w:r w:rsidR="00C27223" w:rsidRPr="00E74B43">
        <w:t>Balmer</w:t>
      </w:r>
      <w:r w:rsidRPr="00E74B43">
        <w:t>, 2001</w:t>
      </w:r>
      <w:r w:rsidR="00C27223">
        <w:t>a</w:t>
      </w:r>
      <w:r w:rsidRPr="00E74B43">
        <w:t xml:space="preserve">). Macro models were </w:t>
      </w:r>
      <w:r>
        <w:t>conceptualised</w:t>
      </w:r>
      <w:r w:rsidRPr="00E74B43">
        <w:t xml:space="preserve"> by Abratt (1989) and Dowling (1993) and their key influence has been to integrate the various constructs, including corporate personality, image</w:t>
      </w:r>
      <w:r>
        <w:t xml:space="preserve"> and </w:t>
      </w:r>
      <w:r w:rsidRPr="0081679F">
        <w:t>identity</w:t>
      </w:r>
      <w:r w:rsidRPr="00E74B43">
        <w:t xml:space="preserve">. Dowling (1993) supplemented the model by including constructs such as organisational culture. Macro models sparked multi-disciplinary interest, however, they appeared to have limitations in relations to insights they offer in clarifying and linking the constructs. Numerous authors have off late conceptualised another micro models as an acknowledgement of these highlighted limitations. Hatch and Schultz (1997, 2001) state that manager need to align three major </w:t>
      </w:r>
      <w:r>
        <w:t>components</w:t>
      </w:r>
      <w:r w:rsidRPr="00E74B43">
        <w:t xml:space="preserve"> of corporate branding namely; vision, culture, and image. Rindova (1997) focuses on the image development process and defines four distinctive categories of image that are shaped by organisations and individuals. This process adds further knowledge and insight into the management of corporate image. Balmer (2000) </w:t>
      </w:r>
      <w:r w:rsidRPr="00E74B43">
        <w:lastRenderedPageBreak/>
        <w:t xml:space="preserve">makes a distinction between five </w:t>
      </w:r>
      <w:r>
        <w:t>aspects</w:t>
      </w:r>
      <w:r w:rsidRPr="00E74B43">
        <w:t xml:space="preserve"> of identity namely; actual, communicated, conceived, ideal, and desired. Balmer (2000) adds that in managing the corporate branding process, manager should explore all these components.  </w:t>
      </w:r>
    </w:p>
    <w:p w:rsidR="00296618" w:rsidRPr="0097440C" w:rsidRDefault="00296618" w:rsidP="00296618"/>
    <w:p w:rsidR="00296618" w:rsidRPr="0097440C" w:rsidRDefault="00296618" w:rsidP="00296618">
      <w:pPr>
        <w:pStyle w:val="Heading3"/>
        <w:numPr>
          <w:ilvl w:val="2"/>
          <w:numId w:val="19"/>
        </w:numPr>
      </w:pPr>
      <w:bookmarkStart w:id="30" w:name="_Toc380687057"/>
      <w:r w:rsidRPr="0097440C">
        <w:t xml:space="preserve">Difference between </w:t>
      </w:r>
      <w:r>
        <w:t>c</w:t>
      </w:r>
      <w:r w:rsidRPr="0097440C">
        <w:t>orporate</w:t>
      </w:r>
      <w:r>
        <w:t xml:space="preserve"> b</w:t>
      </w:r>
      <w:r w:rsidRPr="0097440C">
        <w:t xml:space="preserve">randing and </w:t>
      </w:r>
      <w:r>
        <w:t>p</w:t>
      </w:r>
      <w:r w:rsidRPr="0097440C">
        <w:t xml:space="preserve">roduct </w:t>
      </w:r>
      <w:r>
        <w:t>b</w:t>
      </w:r>
      <w:r w:rsidRPr="0097440C">
        <w:t>randing</w:t>
      </w:r>
      <w:bookmarkEnd w:id="30"/>
    </w:p>
    <w:p w:rsidR="00296618" w:rsidRPr="0097440C" w:rsidRDefault="00296618" w:rsidP="00296618">
      <w:r w:rsidRPr="0097440C">
        <w:t>There are fundamental differences between corporate brands and product brands (King, 1991; De Chernatony, 199</w:t>
      </w:r>
      <w:r w:rsidR="00FE3F5D">
        <w:t>8</w:t>
      </w:r>
      <w:r w:rsidRPr="0097440C">
        <w:t>;</w:t>
      </w:r>
      <w:r w:rsidR="00AD6B7E">
        <w:t xml:space="preserve"> Balmer, 2001a;</w:t>
      </w:r>
      <w:r w:rsidRPr="0097440C">
        <w:t xml:space="preserve"> Balmer and Greyser, 200</w:t>
      </w:r>
      <w:r w:rsidR="001A3651">
        <w:t>2</w:t>
      </w:r>
      <w:r w:rsidRPr="0097440C">
        <w:t>).These fundamental differences are highlighted in the table below.</w:t>
      </w:r>
    </w:p>
    <w:p w:rsidR="00296618" w:rsidRDefault="00296618" w:rsidP="00296618">
      <w:pPr>
        <w:pStyle w:val="Caption"/>
        <w:keepNext/>
        <w:rPr>
          <w:sz w:val="24"/>
        </w:rPr>
      </w:pPr>
      <w:bookmarkStart w:id="31" w:name="_Toc380684347"/>
      <w:r w:rsidRPr="000A1F28">
        <w:rPr>
          <w:sz w:val="24"/>
        </w:rPr>
        <w:t xml:space="preserve">Table </w:t>
      </w:r>
      <w:r w:rsidRPr="000A1F28">
        <w:rPr>
          <w:sz w:val="24"/>
        </w:rPr>
        <w:fldChar w:fldCharType="begin"/>
      </w:r>
      <w:r w:rsidRPr="000A1F28">
        <w:rPr>
          <w:sz w:val="24"/>
        </w:rPr>
        <w:instrText xml:space="preserve"> SEQ Table \* ARABIC </w:instrText>
      </w:r>
      <w:r w:rsidRPr="000A1F28">
        <w:rPr>
          <w:sz w:val="24"/>
        </w:rPr>
        <w:fldChar w:fldCharType="separate"/>
      </w:r>
      <w:r w:rsidR="00D61AFB">
        <w:rPr>
          <w:noProof/>
          <w:sz w:val="24"/>
        </w:rPr>
        <w:t>1</w:t>
      </w:r>
      <w:r w:rsidRPr="000A1F28">
        <w:rPr>
          <w:sz w:val="24"/>
        </w:rPr>
        <w:fldChar w:fldCharType="end"/>
      </w:r>
      <w:r w:rsidRPr="000A1F28">
        <w:rPr>
          <w:sz w:val="24"/>
        </w:rPr>
        <w:t>: Difference between corporate branding and product branding</w:t>
      </w:r>
      <w:r>
        <w:rPr>
          <w:sz w:val="24"/>
        </w:rPr>
        <w:t xml:space="preserve"> </w:t>
      </w:r>
      <w:r w:rsidRPr="00F9436A">
        <w:rPr>
          <w:sz w:val="24"/>
        </w:rPr>
        <w:t>(</w:t>
      </w:r>
      <w:r w:rsidRPr="00336BBE">
        <w:rPr>
          <w:sz w:val="24"/>
        </w:rPr>
        <w:t>King, 1991; De Chernatony, 199</w:t>
      </w:r>
      <w:r w:rsidR="00FE3F5D">
        <w:rPr>
          <w:sz w:val="24"/>
        </w:rPr>
        <w:t>8</w:t>
      </w:r>
      <w:r w:rsidRPr="00336BBE">
        <w:rPr>
          <w:sz w:val="24"/>
        </w:rPr>
        <w:t xml:space="preserve">; </w:t>
      </w:r>
      <w:r w:rsidR="00AD6B7E">
        <w:rPr>
          <w:sz w:val="24"/>
        </w:rPr>
        <w:t>Balmer, 2001a</w:t>
      </w:r>
      <w:r w:rsidRPr="00336BBE">
        <w:rPr>
          <w:sz w:val="24"/>
        </w:rPr>
        <w:t>; Balmer and Greyser, 200</w:t>
      </w:r>
      <w:r w:rsidR="001A3651">
        <w:rPr>
          <w:sz w:val="24"/>
        </w:rPr>
        <w:t>2</w:t>
      </w:r>
      <w:r w:rsidRPr="00336BBE">
        <w:rPr>
          <w:sz w:val="24"/>
        </w:rPr>
        <w:t>)</w:t>
      </w:r>
      <w:bookmarkEnd w:id="31"/>
    </w:p>
    <w:tbl>
      <w:tblPr>
        <w:tblStyle w:val="TableGrid"/>
        <w:tblW w:w="0" w:type="auto"/>
        <w:tblLook w:val="04A0" w:firstRow="1" w:lastRow="0" w:firstColumn="1" w:lastColumn="0" w:noHBand="0" w:noVBand="1"/>
      </w:tblPr>
      <w:tblGrid>
        <w:gridCol w:w="2603"/>
        <w:gridCol w:w="2889"/>
        <w:gridCol w:w="3462"/>
      </w:tblGrid>
      <w:tr w:rsidR="007375E2" w:rsidRPr="0097440C" w:rsidTr="0063507B">
        <w:tc>
          <w:tcPr>
            <w:tcW w:w="2603" w:type="dxa"/>
          </w:tcPr>
          <w:p w:rsidR="007375E2" w:rsidRPr="00272493" w:rsidRDefault="007375E2" w:rsidP="0063507B">
            <w:pPr>
              <w:spacing w:line="240" w:lineRule="auto"/>
              <w:rPr>
                <w:sz w:val="22"/>
                <w:szCs w:val="22"/>
              </w:rPr>
            </w:pPr>
          </w:p>
        </w:tc>
        <w:tc>
          <w:tcPr>
            <w:tcW w:w="2889" w:type="dxa"/>
          </w:tcPr>
          <w:p w:rsidR="007375E2" w:rsidRPr="00272493" w:rsidRDefault="007375E2" w:rsidP="0063507B">
            <w:pPr>
              <w:spacing w:line="240" w:lineRule="auto"/>
              <w:rPr>
                <w:b/>
                <w:sz w:val="22"/>
                <w:szCs w:val="22"/>
              </w:rPr>
            </w:pPr>
            <w:r w:rsidRPr="00272493">
              <w:rPr>
                <w:b/>
                <w:sz w:val="22"/>
                <w:szCs w:val="22"/>
              </w:rPr>
              <w:t xml:space="preserve">Product brands </w:t>
            </w:r>
          </w:p>
        </w:tc>
        <w:tc>
          <w:tcPr>
            <w:tcW w:w="3462" w:type="dxa"/>
          </w:tcPr>
          <w:p w:rsidR="007375E2" w:rsidRPr="00272493" w:rsidRDefault="007375E2" w:rsidP="0063507B">
            <w:pPr>
              <w:spacing w:line="240" w:lineRule="auto"/>
              <w:rPr>
                <w:b/>
                <w:sz w:val="22"/>
                <w:szCs w:val="22"/>
              </w:rPr>
            </w:pPr>
            <w:r w:rsidRPr="00272493">
              <w:rPr>
                <w:b/>
                <w:sz w:val="22"/>
                <w:szCs w:val="22"/>
              </w:rPr>
              <w:t>Corporate brands</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 xml:space="preserve">Management responsibility </w:t>
            </w:r>
          </w:p>
        </w:tc>
        <w:tc>
          <w:tcPr>
            <w:tcW w:w="2889" w:type="dxa"/>
          </w:tcPr>
          <w:p w:rsidR="007375E2" w:rsidRPr="00272493" w:rsidRDefault="007375E2" w:rsidP="0063507B">
            <w:pPr>
              <w:spacing w:line="240" w:lineRule="auto"/>
              <w:rPr>
                <w:sz w:val="22"/>
                <w:szCs w:val="22"/>
              </w:rPr>
            </w:pPr>
            <w:r w:rsidRPr="00272493">
              <w:rPr>
                <w:sz w:val="22"/>
                <w:szCs w:val="22"/>
              </w:rPr>
              <w:t>Brand manager</w:t>
            </w:r>
          </w:p>
        </w:tc>
        <w:tc>
          <w:tcPr>
            <w:tcW w:w="3462" w:type="dxa"/>
          </w:tcPr>
          <w:p w:rsidR="007375E2" w:rsidRPr="00272493" w:rsidRDefault="007375E2" w:rsidP="0063507B">
            <w:pPr>
              <w:spacing w:line="240" w:lineRule="auto"/>
              <w:rPr>
                <w:sz w:val="22"/>
                <w:szCs w:val="22"/>
              </w:rPr>
            </w:pPr>
            <w:r w:rsidRPr="00272493">
              <w:rPr>
                <w:sz w:val="22"/>
                <w:szCs w:val="22"/>
              </w:rPr>
              <w:t>Chief executive</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Functional responsibility</w:t>
            </w:r>
          </w:p>
        </w:tc>
        <w:tc>
          <w:tcPr>
            <w:tcW w:w="2889" w:type="dxa"/>
          </w:tcPr>
          <w:p w:rsidR="007375E2" w:rsidRPr="00272493" w:rsidRDefault="007375E2" w:rsidP="0063507B">
            <w:pPr>
              <w:spacing w:line="240" w:lineRule="auto"/>
              <w:rPr>
                <w:sz w:val="22"/>
                <w:szCs w:val="22"/>
              </w:rPr>
            </w:pPr>
            <w:r w:rsidRPr="00272493">
              <w:rPr>
                <w:sz w:val="22"/>
                <w:szCs w:val="22"/>
              </w:rPr>
              <w:t>Marketing</w:t>
            </w:r>
          </w:p>
        </w:tc>
        <w:tc>
          <w:tcPr>
            <w:tcW w:w="3462" w:type="dxa"/>
          </w:tcPr>
          <w:p w:rsidR="007375E2" w:rsidRPr="00272493" w:rsidRDefault="007375E2" w:rsidP="0063507B">
            <w:pPr>
              <w:spacing w:line="240" w:lineRule="auto"/>
              <w:rPr>
                <w:sz w:val="22"/>
                <w:szCs w:val="22"/>
              </w:rPr>
            </w:pPr>
            <w:r w:rsidRPr="00272493">
              <w:rPr>
                <w:sz w:val="22"/>
                <w:szCs w:val="22"/>
              </w:rPr>
              <w:t>Most/all departments</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General responsibility</w:t>
            </w:r>
          </w:p>
        </w:tc>
        <w:tc>
          <w:tcPr>
            <w:tcW w:w="2889" w:type="dxa"/>
          </w:tcPr>
          <w:p w:rsidR="007375E2" w:rsidRPr="00272493" w:rsidRDefault="007375E2" w:rsidP="0063507B">
            <w:pPr>
              <w:spacing w:line="240" w:lineRule="auto"/>
              <w:rPr>
                <w:sz w:val="22"/>
                <w:szCs w:val="22"/>
              </w:rPr>
            </w:pPr>
            <w:r w:rsidRPr="00272493">
              <w:rPr>
                <w:sz w:val="22"/>
                <w:szCs w:val="22"/>
              </w:rPr>
              <w:t>Marketing personnel</w:t>
            </w:r>
          </w:p>
        </w:tc>
        <w:tc>
          <w:tcPr>
            <w:tcW w:w="3462" w:type="dxa"/>
          </w:tcPr>
          <w:p w:rsidR="007375E2" w:rsidRPr="00272493" w:rsidRDefault="007375E2" w:rsidP="0063507B">
            <w:pPr>
              <w:spacing w:line="240" w:lineRule="auto"/>
              <w:rPr>
                <w:sz w:val="22"/>
                <w:szCs w:val="22"/>
              </w:rPr>
            </w:pPr>
            <w:r w:rsidRPr="00272493">
              <w:rPr>
                <w:sz w:val="22"/>
                <w:szCs w:val="22"/>
              </w:rPr>
              <w:t>All personnel</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Disciplinary roots</w:t>
            </w:r>
          </w:p>
        </w:tc>
        <w:tc>
          <w:tcPr>
            <w:tcW w:w="2889" w:type="dxa"/>
          </w:tcPr>
          <w:p w:rsidR="007375E2" w:rsidRPr="00272493" w:rsidRDefault="007375E2" w:rsidP="0063507B">
            <w:pPr>
              <w:spacing w:line="240" w:lineRule="auto"/>
              <w:rPr>
                <w:sz w:val="22"/>
                <w:szCs w:val="22"/>
              </w:rPr>
            </w:pPr>
            <w:r w:rsidRPr="00272493">
              <w:rPr>
                <w:sz w:val="22"/>
                <w:szCs w:val="22"/>
              </w:rPr>
              <w:t>Marketing</w:t>
            </w:r>
          </w:p>
        </w:tc>
        <w:tc>
          <w:tcPr>
            <w:tcW w:w="3462" w:type="dxa"/>
          </w:tcPr>
          <w:p w:rsidR="007375E2" w:rsidRPr="00272493" w:rsidRDefault="007375E2" w:rsidP="0063507B">
            <w:pPr>
              <w:spacing w:line="240" w:lineRule="auto"/>
              <w:rPr>
                <w:sz w:val="22"/>
                <w:szCs w:val="22"/>
              </w:rPr>
            </w:pPr>
            <w:r w:rsidRPr="00272493">
              <w:rPr>
                <w:sz w:val="22"/>
                <w:szCs w:val="22"/>
              </w:rPr>
              <w:t>Multidisciplinary</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Brand gestation</w:t>
            </w:r>
          </w:p>
        </w:tc>
        <w:tc>
          <w:tcPr>
            <w:tcW w:w="2889" w:type="dxa"/>
          </w:tcPr>
          <w:p w:rsidR="007375E2" w:rsidRPr="00272493" w:rsidRDefault="007375E2" w:rsidP="0063507B">
            <w:pPr>
              <w:spacing w:line="240" w:lineRule="auto"/>
              <w:rPr>
                <w:sz w:val="22"/>
                <w:szCs w:val="22"/>
              </w:rPr>
            </w:pPr>
            <w:r w:rsidRPr="00272493">
              <w:rPr>
                <w:sz w:val="22"/>
                <w:szCs w:val="22"/>
              </w:rPr>
              <w:t>Short</w:t>
            </w:r>
          </w:p>
        </w:tc>
        <w:tc>
          <w:tcPr>
            <w:tcW w:w="3462" w:type="dxa"/>
          </w:tcPr>
          <w:p w:rsidR="007375E2" w:rsidRPr="00272493" w:rsidRDefault="007375E2" w:rsidP="0063507B">
            <w:pPr>
              <w:spacing w:line="240" w:lineRule="auto"/>
              <w:rPr>
                <w:sz w:val="22"/>
                <w:szCs w:val="22"/>
              </w:rPr>
            </w:pPr>
            <w:r w:rsidRPr="00272493">
              <w:rPr>
                <w:sz w:val="22"/>
                <w:szCs w:val="22"/>
              </w:rPr>
              <w:t>Medium to long</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Stakeholder focus</w:t>
            </w:r>
          </w:p>
        </w:tc>
        <w:tc>
          <w:tcPr>
            <w:tcW w:w="2889" w:type="dxa"/>
          </w:tcPr>
          <w:p w:rsidR="007375E2" w:rsidRPr="00272493" w:rsidRDefault="007375E2" w:rsidP="0063507B">
            <w:pPr>
              <w:spacing w:line="240" w:lineRule="auto"/>
              <w:rPr>
                <w:sz w:val="22"/>
                <w:szCs w:val="22"/>
              </w:rPr>
            </w:pPr>
            <w:r w:rsidRPr="00272493">
              <w:rPr>
                <w:sz w:val="22"/>
                <w:szCs w:val="22"/>
              </w:rPr>
              <w:t>Consumers</w:t>
            </w:r>
          </w:p>
        </w:tc>
        <w:tc>
          <w:tcPr>
            <w:tcW w:w="3462" w:type="dxa"/>
          </w:tcPr>
          <w:p w:rsidR="007375E2" w:rsidRPr="00272493" w:rsidRDefault="007375E2" w:rsidP="0063507B">
            <w:pPr>
              <w:spacing w:line="240" w:lineRule="auto"/>
              <w:rPr>
                <w:sz w:val="22"/>
                <w:szCs w:val="22"/>
              </w:rPr>
            </w:pPr>
            <w:r w:rsidRPr="00272493">
              <w:rPr>
                <w:sz w:val="22"/>
                <w:szCs w:val="22"/>
              </w:rPr>
              <w:t>Multiple stakeholders</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t>Values</w:t>
            </w:r>
          </w:p>
        </w:tc>
        <w:tc>
          <w:tcPr>
            <w:tcW w:w="2889" w:type="dxa"/>
          </w:tcPr>
          <w:p w:rsidR="007375E2" w:rsidRPr="00272493" w:rsidRDefault="007375E2" w:rsidP="0063507B">
            <w:pPr>
              <w:spacing w:line="240" w:lineRule="auto"/>
              <w:rPr>
                <w:sz w:val="22"/>
                <w:szCs w:val="22"/>
              </w:rPr>
            </w:pPr>
            <w:r w:rsidRPr="00272493">
              <w:rPr>
                <w:sz w:val="22"/>
                <w:szCs w:val="22"/>
              </w:rPr>
              <w:t xml:space="preserve">Contrived </w:t>
            </w:r>
          </w:p>
        </w:tc>
        <w:tc>
          <w:tcPr>
            <w:tcW w:w="3462" w:type="dxa"/>
          </w:tcPr>
          <w:p w:rsidR="007375E2" w:rsidRPr="00272493" w:rsidRDefault="007375E2" w:rsidP="0063507B">
            <w:pPr>
              <w:spacing w:line="240" w:lineRule="auto"/>
              <w:rPr>
                <w:sz w:val="22"/>
                <w:szCs w:val="22"/>
              </w:rPr>
            </w:pPr>
            <w:r w:rsidRPr="00272493">
              <w:rPr>
                <w:sz w:val="22"/>
                <w:szCs w:val="22"/>
              </w:rPr>
              <w:t>Real</w:t>
            </w:r>
          </w:p>
        </w:tc>
      </w:tr>
      <w:tr w:rsidR="007375E2" w:rsidRPr="0097440C" w:rsidTr="0063507B">
        <w:tc>
          <w:tcPr>
            <w:tcW w:w="2603" w:type="dxa"/>
          </w:tcPr>
          <w:p w:rsidR="007375E2" w:rsidRPr="00272493" w:rsidRDefault="007375E2" w:rsidP="0063507B">
            <w:pPr>
              <w:spacing w:line="240" w:lineRule="auto"/>
              <w:rPr>
                <w:b/>
                <w:sz w:val="22"/>
                <w:szCs w:val="22"/>
              </w:rPr>
            </w:pPr>
            <w:r w:rsidRPr="00272493">
              <w:rPr>
                <w:b/>
                <w:sz w:val="22"/>
                <w:szCs w:val="22"/>
              </w:rPr>
              <w:lastRenderedPageBreak/>
              <w:t>Communications channels</w:t>
            </w:r>
          </w:p>
        </w:tc>
        <w:tc>
          <w:tcPr>
            <w:tcW w:w="2889" w:type="dxa"/>
          </w:tcPr>
          <w:p w:rsidR="007375E2" w:rsidRPr="00272493" w:rsidRDefault="007375E2" w:rsidP="0063507B">
            <w:pPr>
              <w:spacing w:line="240" w:lineRule="auto"/>
              <w:jc w:val="left"/>
              <w:rPr>
                <w:sz w:val="22"/>
                <w:szCs w:val="22"/>
              </w:rPr>
            </w:pPr>
            <w:r w:rsidRPr="00272493">
              <w:rPr>
                <w:sz w:val="22"/>
                <w:szCs w:val="22"/>
              </w:rPr>
              <w:t>The marketing communications mix</w:t>
            </w:r>
          </w:p>
        </w:tc>
        <w:tc>
          <w:tcPr>
            <w:tcW w:w="3462" w:type="dxa"/>
          </w:tcPr>
          <w:p w:rsidR="007375E2" w:rsidRPr="00272493" w:rsidRDefault="007375E2" w:rsidP="0063507B">
            <w:pPr>
              <w:spacing w:line="240" w:lineRule="auto"/>
              <w:jc w:val="left"/>
              <w:rPr>
                <w:sz w:val="22"/>
                <w:szCs w:val="22"/>
              </w:rPr>
            </w:pPr>
            <w:r w:rsidRPr="00272493">
              <w:rPr>
                <w:sz w:val="22"/>
                <w:szCs w:val="22"/>
              </w:rPr>
              <w:t>Total corporate communications</w:t>
            </w:r>
          </w:p>
          <w:p w:rsidR="007375E2" w:rsidRDefault="007375E2" w:rsidP="0063507B">
            <w:pPr>
              <w:spacing w:line="240" w:lineRule="auto"/>
              <w:jc w:val="left"/>
              <w:rPr>
                <w:sz w:val="22"/>
                <w:szCs w:val="22"/>
              </w:rPr>
            </w:pPr>
          </w:p>
          <w:p w:rsidR="007375E2" w:rsidRPr="00272493" w:rsidRDefault="007375E2" w:rsidP="0063507B">
            <w:pPr>
              <w:spacing w:line="240" w:lineRule="auto"/>
              <w:jc w:val="left"/>
              <w:rPr>
                <w:sz w:val="22"/>
                <w:szCs w:val="22"/>
              </w:rPr>
            </w:pPr>
            <w:r w:rsidRPr="00272493">
              <w:rPr>
                <w:sz w:val="22"/>
                <w:szCs w:val="22"/>
              </w:rPr>
              <w:t>Primary: performance of products and services; organisational policies; behaviour of CEO and senior management; experience of personnel and discourse by personnel</w:t>
            </w:r>
          </w:p>
          <w:p w:rsidR="007375E2" w:rsidRPr="00272493" w:rsidRDefault="007375E2" w:rsidP="0063507B">
            <w:pPr>
              <w:spacing w:line="240" w:lineRule="auto"/>
              <w:jc w:val="left"/>
              <w:rPr>
                <w:sz w:val="22"/>
                <w:szCs w:val="22"/>
              </w:rPr>
            </w:pPr>
            <w:r w:rsidRPr="00272493">
              <w:rPr>
                <w:sz w:val="22"/>
                <w:szCs w:val="22"/>
              </w:rPr>
              <w:t>Secondary: marketing and other forms of controlled communication</w:t>
            </w:r>
          </w:p>
          <w:p w:rsidR="007375E2" w:rsidRPr="00272493" w:rsidRDefault="007375E2" w:rsidP="0063507B">
            <w:pPr>
              <w:spacing w:line="240" w:lineRule="auto"/>
              <w:jc w:val="left"/>
              <w:rPr>
                <w:sz w:val="22"/>
                <w:szCs w:val="22"/>
              </w:rPr>
            </w:pPr>
            <w:r w:rsidRPr="00272493">
              <w:rPr>
                <w:sz w:val="22"/>
                <w:szCs w:val="22"/>
              </w:rPr>
              <w:t>Tertiary: word of mouth</w:t>
            </w:r>
          </w:p>
          <w:p w:rsidR="007375E2" w:rsidRPr="00272493" w:rsidRDefault="007375E2" w:rsidP="0063507B">
            <w:pPr>
              <w:spacing w:line="240" w:lineRule="auto"/>
              <w:rPr>
                <w:sz w:val="22"/>
                <w:szCs w:val="22"/>
              </w:rPr>
            </w:pPr>
          </w:p>
        </w:tc>
      </w:tr>
      <w:tr w:rsidR="007375E2" w:rsidRPr="0097440C" w:rsidTr="0063507B">
        <w:tc>
          <w:tcPr>
            <w:tcW w:w="2603" w:type="dxa"/>
            <w:vMerge w:val="restart"/>
          </w:tcPr>
          <w:p w:rsidR="007375E2" w:rsidRPr="00272493" w:rsidRDefault="007375E2" w:rsidP="0063507B">
            <w:pPr>
              <w:spacing w:line="240" w:lineRule="auto"/>
              <w:rPr>
                <w:sz w:val="22"/>
                <w:szCs w:val="22"/>
              </w:rPr>
            </w:pPr>
            <w:r w:rsidRPr="00272493">
              <w:rPr>
                <w:sz w:val="22"/>
                <w:szCs w:val="22"/>
              </w:rPr>
              <w:t>Dimensions requiring alignment</w:t>
            </w:r>
          </w:p>
        </w:tc>
        <w:tc>
          <w:tcPr>
            <w:tcW w:w="2889" w:type="dxa"/>
          </w:tcPr>
          <w:p w:rsidR="007375E2" w:rsidRPr="00272493" w:rsidRDefault="007375E2" w:rsidP="0063507B">
            <w:pPr>
              <w:spacing w:line="240" w:lineRule="auto"/>
              <w:rPr>
                <w:sz w:val="22"/>
                <w:szCs w:val="22"/>
              </w:rPr>
            </w:pPr>
            <w:r w:rsidRPr="00272493">
              <w:rPr>
                <w:sz w:val="22"/>
                <w:szCs w:val="22"/>
              </w:rPr>
              <w:t>Brand values (covenant)</w:t>
            </w:r>
          </w:p>
        </w:tc>
        <w:tc>
          <w:tcPr>
            <w:tcW w:w="3462" w:type="dxa"/>
          </w:tcPr>
          <w:p w:rsidR="007375E2" w:rsidRPr="00272493" w:rsidRDefault="007375E2" w:rsidP="0063507B">
            <w:pPr>
              <w:spacing w:line="240" w:lineRule="auto"/>
              <w:rPr>
                <w:sz w:val="22"/>
                <w:szCs w:val="22"/>
              </w:rPr>
            </w:pPr>
            <w:r w:rsidRPr="00272493">
              <w:rPr>
                <w:sz w:val="22"/>
                <w:szCs w:val="22"/>
              </w:rPr>
              <w:t>Brand values (covenant)</w:t>
            </w:r>
          </w:p>
          <w:p w:rsidR="007375E2" w:rsidRPr="00272493" w:rsidRDefault="007375E2" w:rsidP="0063507B">
            <w:pPr>
              <w:spacing w:line="240" w:lineRule="auto"/>
              <w:rPr>
                <w:sz w:val="22"/>
                <w:szCs w:val="22"/>
              </w:rPr>
            </w:pPr>
          </w:p>
        </w:tc>
      </w:tr>
      <w:tr w:rsidR="007375E2" w:rsidRPr="00EA329E" w:rsidTr="0063507B">
        <w:trPr>
          <w:trHeight w:val="2202"/>
        </w:trPr>
        <w:tc>
          <w:tcPr>
            <w:tcW w:w="2603" w:type="dxa"/>
            <w:vMerge/>
          </w:tcPr>
          <w:p w:rsidR="007375E2" w:rsidRPr="00272493" w:rsidRDefault="007375E2" w:rsidP="0063507B">
            <w:pPr>
              <w:spacing w:line="240" w:lineRule="auto"/>
              <w:rPr>
                <w:sz w:val="22"/>
                <w:szCs w:val="22"/>
              </w:rPr>
            </w:pPr>
          </w:p>
        </w:tc>
        <w:tc>
          <w:tcPr>
            <w:tcW w:w="2889" w:type="dxa"/>
          </w:tcPr>
          <w:p w:rsidR="007375E2" w:rsidRPr="00272493" w:rsidRDefault="007375E2" w:rsidP="0063507B">
            <w:pPr>
              <w:spacing w:after="0" w:line="240" w:lineRule="auto"/>
              <w:rPr>
                <w:sz w:val="22"/>
                <w:szCs w:val="22"/>
              </w:rPr>
            </w:pPr>
            <w:r w:rsidRPr="00272493">
              <w:rPr>
                <w:sz w:val="22"/>
                <w:szCs w:val="22"/>
              </w:rPr>
              <w:t>Product performance</w:t>
            </w:r>
          </w:p>
        </w:tc>
        <w:tc>
          <w:tcPr>
            <w:tcW w:w="3462" w:type="dxa"/>
          </w:tcPr>
          <w:p w:rsidR="007375E2" w:rsidRPr="00272493" w:rsidRDefault="007375E2" w:rsidP="0063507B">
            <w:pPr>
              <w:spacing w:line="240" w:lineRule="auto"/>
              <w:jc w:val="left"/>
              <w:rPr>
                <w:sz w:val="22"/>
                <w:szCs w:val="22"/>
              </w:rPr>
            </w:pPr>
            <w:r w:rsidRPr="00272493">
              <w:rPr>
                <w:sz w:val="22"/>
                <w:szCs w:val="22"/>
              </w:rPr>
              <w:t xml:space="preserve">Identity (corporate attributes/sub-cultures) </w:t>
            </w:r>
          </w:p>
          <w:p w:rsidR="007375E2" w:rsidRPr="00272493" w:rsidRDefault="007375E2" w:rsidP="0063507B">
            <w:pPr>
              <w:spacing w:line="240" w:lineRule="auto"/>
              <w:jc w:val="left"/>
              <w:rPr>
                <w:sz w:val="22"/>
                <w:szCs w:val="22"/>
              </w:rPr>
            </w:pPr>
            <w:r w:rsidRPr="00272493">
              <w:rPr>
                <w:sz w:val="22"/>
                <w:szCs w:val="22"/>
              </w:rPr>
              <w:t>Corporate strategy</w:t>
            </w:r>
          </w:p>
          <w:p w:rsidR="007375E2" w:rsidRPr="00272493" w:rsidRDefault="007375E2" w:rsidP="0063507B">
            <w:pPr>
              <w:spacing w:line="240" w:lineRule="auto"/>
              <w:jc w:val="left"/>
              <w:rPr>
                <w:sz w:val="22"/>
                <w:szCs w:val="22"/>
              </w:rPr>
            </w:pPr>
            <w:r w:rsidRPr="00272493">
              <w:rPr>
                <w:sz w:val="22"/>
                <w:szCs w:val="22"/>
              </w:rPr>
              <w:t>Vision (as held by the CEO and senior management)</w:t>
            </w:r>
          </w:p>
          <w:p w:rsidR="007375E2" w:rsidRPr="00272493" w:rsidRDefault="007375E2" w:rsidP="0063507B">
            <w:pPr>
              <w:spacing w:line="240" w:lineRule="auto"/>
              <w:rPr>
                <w:sz w:val="22"/>
                <w:szCs w:val="22"/>
              </w:rPr>
            </w:pPr>
          </w:p>
        </w:tc>
      </w:tr>
      <w:tr w:rsidR="007375E2" w:rsidRPr="00EA329E" w:rsidTr="0063507B">
        <w:tc>
          <w:tcPr>
            <w:tcW w:w="2603" w:type="dxa"/>
            <w:vMerge/>
          </w:tcPr>
          <w:p w:rsidR="007375E2" w:rsidRPr="00272493" w:rsidRDefault="007375E2" w:rsidP="0063507B">
            <w:pPr>
              <w:spacing w:line="240" w:lineRule="auto"/>
              <w:rPr>
                <w:sz w:val="22"/>
                <w:szCs w:val="22"/>
              </w:rPr>
            </w:pPr>
          </w:p>
        </w:tc>
        <w:tc>
          <w:tcPr>
            <w:tcW w:w="2889" w:type="dxa"/>
          </w:tcPr>
          <w:p w:rsidR="007375E2" w:rsidRPr="00272493" w:rsidRDefault="007375E2" w:rsidP="0063507B">
            <w:pPr>
              <w:spacing w:line="240" w:lineRule="auto"/>
              <w:rPr>
                <w:sz w:val="22"/>
                <w:szCs w:val="22"/>
              </w:rPr>
            </w:pPr>
            <w:r w:rsidRPr="00272493">
              <w:rPr>
                <w:sz w:val="22"/>
                <w:szCs w:val="22"/>
              </w:rPr>
              <w:t>Communication</w:t>
            </w:r>
          </w:p>
        </w:tc>
        <w:tc>
          <w:tcPr>
            <w:tcW w:w="3462" w:type="dxa"/>
          </w:tcPr>
          <w:p w:rsidR="007375E2" w:rsidRPr="00272493" w:rsidRDefault="007375E2" w:rsidP="0063507B">
            <w:pPr>
              <w:spacing w:line="240" w:lineRule="auto"/>
              <w:rPr>
                <w:sz w:val="22"/>
                <w:szCs w:val="22"/>
              </w:rPr>
            </w:pPr>
            <w:r w:rsidRPr="00272493">
              <w:rPr>
                <w:sz w:val="22"/>
                <w:szCs w:val="22"/>
              </w:rPr>
              <w:t>Communication</w:t>
            </w:r>
          </w:p>
        </w:tc>
      </w:tr>
      <w:tr w:rsidR="007375E2" w:rsidRPr="00EA329E" w:rsidTr="0063507B">
        <w:tc>
          <w:tcPr>
            <w:tcW w:w="2603" w:type="dxa"/>
            <w:vMerge/>
          </w:tcPr>
          <w:p w:rsidR="007375E2" w:rsidRPr="00272493" w:rsidRDefault="007375E2" w:rsidP="0063507B">
            <w:pPr>
              <w:spacing w:line="240" w:lineRule="auto"/>
              <w:rPr>
                <w:sz w:val="22"/>
                <w:szCs w:val="22"/>
              </w:rPr>
            </w:pPr>
          </w:p>
        </w:tc>
        <w:tc>
          <w:tcPr>
            <w:tcW w:w="2889" w:type="dxa"/>
          </w:tcPr>
          <w:p w:rsidR="007375E2" w:rsidRPr="00272493" w:rsidRDefault="007375E2" w:rsidP="0063507B">
            <w:pPr>
              <w:spacing w:line="240" w:lineRule="auto"/>
              <w:jc w:val="left"/>
              <w:rPr>
                <w:sz w:val="22"/>
                <w:szCs w:val="22"/>
              </w:rPr>
            </w:pPr>
            <w:r w:rsidRPr="00272493">
              <w:rPr>
                <w:sz w:val="22"/>
                <w:szCs w:val="22"/>
              </w:rPr>
              <w:t>Experience/image and reputation</w:t>
            </w:r>
          </w:p>
        </w:tc>
        <w:tc>
          <w:tcPr>
            <w:tcW w:w="3462" w:type="dxa"/>
          </w:tcPr>
          <w:p w:rsidR="007375E2" w:rsidRPr="00272493" w:rsidRDefault="007375E2" w:rsidP="0063507B">
            <w:pPr>
              <w:spacing w:line="240" w:lineRule="auto"/>
              <w:jc w:val="left"/>
              <w:rPr>
                <w:sz w:val="22"/>
                <w:szCs w:val="22"/>
              </w:rPr>
            </w:pPr>
            <w:r w:rsidRPr="00272493">
              <w:rPr>
                <w:sz w:val="22"/>
                <w:szCs w:val="22"/>
              </w:rPr>
              <w:t>Experience/image and reputation</w:t>
            </w:r>
          </w:p>
        </w:tc>
      </w:tr>
      <w:tr w:rsidR="007375E2" w:rsidRPr="00EA329E" w:rsidTr="0063507B">
        <w:tc>
          <w:tcPr>
            <w:tcW w:w="2603" w:type="dxa"/>
            <w:vMerge/>
          </w:tcPr>
          <w:p w:rsidR="007375E2" w:rsidRPr="00272493" w:rsidRDefault="007375E2" w:rsidP="0063507B">
            <w:pPr>
              <w:spacing w:line="240" w:lineRule="auto"/>
              <w:rPr>
                <w:sz w:val="22"/>
                <w:szCs w:val="22"/>
              </w:rPr>
            </w:pPr>
          </w:p>
        </w:tc>
        <w:tc>
          <w:tcPr>
            <w:tcW w:w="2889" w:type="dxa"/>
          </w:tcPr>
          <w:p w:rsidR="007375E2" w:rsidRPr="00272493" w:rsidRDefault="007375E2" w:rsidP="0063507B">
            <w:pPr>
              <w:spacing w:line="240" w:lineRule="auto"/>
              <w:jc w:val="left"/>
              <w:rPr>
                <w:sz w:val="22"/>
                <w:szCs w:val="22"/>
              </w:rPr>
            </w:pPr>
            <w:r w:rsidRPr="00272493">
              <w:rPr>
                <w:sz w:val="22"/>
                <w:szCs w:val="22"/>
              </w:rPr>
              <w:t>Consumer commitment</w:t>
            </w:r>
          </w:p>
        </w:tc>
        <w:tc>
          <w:tcPr>
            <w:tcW w:w="3462" w:type="dxa"/>
          </w:tcPr>
          <w:p w:rsidR="007375E2" w:rsidRPr="00272493" w:rsidRDefault="007375E2" w:rsidP="0063507B">
            <w:pPr>
              <w:spacing w:line="240" w:lineRule="auto"/>
              <w:jc w:val="left"/>
              <w:rPr>
                <w:sz w:val="22"/>
                <w:szCs w:val="22"/>
              </w:rPr>
            </w:pPr>
            <w:r w:rsidRPr="00272493">
              <w:rPr>
                <w:sz w:val="22"/>
                <w:szCs w:val="22"/>
              </w:rPr>
              <w:t>Stakeholders commitment (internal and external constituencies)</w:t>
            </w:r>
          </w:p>
        </w:tc>
      </w:tr>
      <w:tr w:rsidR="007375E2" w:rsidRPr="00EA329E" w:rsidTr="0063507B">
        <w:tc>
          <w:tcPr>
            <w:tcW w:w="2603" w:type="dxa"/>
            <w:vMerge/>
          </w:tcPr>
          <w:p w:rsidR="007375E2" w:rsidRPr="00EA329E" w:rsidRDefault="007375E2" w:rsidP="0063507B">
            <w:pPr>
              <w:spacing w:line="240" w:lineRule="auto"/>
            </w:pPr>
          </w:p>
        </w:tc>
        <w:tc>
          <w:tcPr>
            <w:tcW w:w="2889" w:type="dxa"/>
          </w:tcPr>
          <w:p w:rsidR="007375E2" w:rsidRPr="00272493" w:rsidRDefault="007375E2" w:rsidP="0063507B">
            <w:pPr>
              <w:spacing w:line="240" w:lineRule="auto"/>
              <w:jc w:val="left"/>
              <w:rPr>
                <w:sz w:val="22"/>
                <w:szCs w:val="22"/>
              </w:rPr>
            </w:pPr>
            <w:r w:rsidRPr="00272493">
              <w:rPr>
                <w:sz w:val="22"/>
                <w:szCs w:val="22"/>
              </w:rPr>
              <w:t xml:space="preserve">Environment (political, </w:t>
            </w:r>
            <w:r w:rsidRPr="00272493">
              <w:rPr>
                <w:sz w:val="22"/>
                <w:szCs w:val="22"/>
              </w:rPr>
              <w:lastRenderedPageBreak/>
              <w:t>economic, ethical, social, technological)</w:t>
            </w:r>
          </w:p>
        </w:tc>
        <w:tc>
          <w:tcPr>
            <w:tcW w:w="3462" w:type="dxa"/>
          </w:tcPr>
          <w:p w:rsidR="007375E2" w:rsidRPr="00272493" w:rsidRDefault="007375E2" w:rsidP="0063507B">
            <w:pPr>
              <w:spacing w:line="240" w:lineRule="auto"/>
              <w:jc w:val="left"/>
              <w:rPr>
                <w:sz w:val="22"/>
                <w:szCs w:val="22"/>
              </w:rPr>
            </w:pPr>
            <w:r w:rsidRPr="00272493">
              <w:rPr>
                <w:sz w:val="22"/>
                <w:szCs w:val="22"/>
              </w:rPr>
              <w:lastRenderedPageBreak/>
              <w:t xml:space="preserve">Environment (political, economic, </w:t>
            </w:r>
            <w:r w:rsidRPr="00272493">
              <w:rPr>
                <w:sz w:val="22"/>
                <w:szCs w:val="22"/>
              </w:rPr>
              <w:lastRenderedPageBreak/>
              <w:t>ethical, social, technological)</w:t>
            </w:r>
          </w:p>
        </w:tc>
      </w:tr>
    </w:tbl>
    <w:p w:rsidR="00296618" w:rsidRPr="001D7394" w:rsidRDefault="00296618" w:rsidP="00296618"/>
    <w:p w:rsidR="00296618" w:rsidRPr="00EA329E" w:rsidRDefault="00296618" w:rsidP="00296618">
      <w:pPr>
        <w:pStyle w:val="Heading2"/>
        <w:numPr>
          <w:ilvl w:val="1"/>
          <w:numId w:val="19"/>
        </w:numPr>
      </w:pPr>
      <w:bookmarkStart w:id="32" w:name="_Toc380687058"/>
      <w:r w:rsidRPr="00EA329E">
        <w:t xml:space="preserve">Corporate </w:t>
      </w:r>
      <w:r>
        <w:t>r</w:t>
      </w:r>
      <w:r w:rsidRPr="00EA329E">
        <w:t>ebranding</w:t>
      </w:r>
      <w:bookmarkEnd w:id="32"/>
    </w:p>
    <w:p w:rsidR="00296618" w:rsidRPr="00EA329E" w:rsidRDefault="00296618" w:rsidP="00296618">
      <w:pPr>
        <w:rPr>
          <w:rFonts w:cs="Arial"/>
        </w:rPr>
      </w:pPr>
      <w:r w:rsidRPr="00EA329E">
        <w:rPr>
          <w:rFonts w:cs="Arial"/>
        </w:rPr>
        <w:t>Merrilees and Miller (200</w:t>
      </w:r>
      <w:r w:rsidR="00AD6B7E">
        <w:rPr>
          <w:rFonts w:cs="Arial"/>
        </w:rPr>
        <w:t>8</w:t>
      </w:r>
      <w:r w:rsidRPr="00EA329E">
        <w:rPr>
          <w:rFonts w:cs="Arial"/>
        </w:rPr>
        <w:t>) define corporate rebranding by first defining the difference between corporate brand and function</w:t>
      </w:r>
      <w:r>
        <w:rPr>
          <w:rFonts w:cs="Arial"/>
        </w:rPr>
        <w:t>-</w:t>
      </w:r>
      <w:r w:rsidRPr="00EA329E">
        <w:rPr>
          <w:rFonts w:cs="Arial"/>
        </w:rPr>
        <w:t>based product brands. According to Hatch and Schultz (2003) as cited by Merrilees and Miller (200</w:t>
      </w:r>
      <w:r w:rsidR="00AD6B7E">
        <w:rPr>
          <w:rFonts w:cs="Arial"/>
        </w:rPr>
        <w:t>8</w:t>
      </w:r>
      <w:r w:rsidRPr="00EA329E">
        <w:rPr>
          <w:rFonts w:cs="Arial"/>
        </w:rPr>
        <w:t xml:space="preserve">), the </w:t>
      </w:r>
      <w:r>
        <w:rPr>
          <w:rFonts w:cs="Arial"/>
        </w:rPr>
        <w:t>company</w:t>
      </w:r>
      <w:r w:rsidRPr="00EA329E">
        <w:rPr>
          <w:rFonts w:cs="Arial"/>
        </w:rPr>
        <w:t xml:space="preserve"> features more clearly in corporate brands as they relate to culture. </w:t>
      </w:r>
      <w:r>
        <w:rPr>
          <w:rFonts w:cs="Arial"/>
        </w:rPr>
        <w:t>Furthermore, s</w:t>
      </w:r>
      <w:r w:rsidRPr="00EA329E">
        <w:rPr>
          <w:rFonts w:cs="Arial"/>
        </w:rPr>
        <w:t xml:space="preserve">tructure is also critical in corporate brands for execution reasons and also as a </w:t>
      </w:r>
      <w:r>
        <w:rPr>
          <w:rFonts w:cs="Arial"/>
        </w:rPr>
        <w:t xml:space="preserve">key component </w:t>
      </w:r>
      <w:r w:rsidRPr="00EA329E">
        <w:rPr>
          <w:rFonts w:cs="Arial"/>
        </w:rPr>
        <w:t xml:space="preserve">of the brand </w:t>
      </w:r>
      <w:r>
        <w:rPr>
          <w:rFonts w:cs="Arial"/>
        </w:rPr>
        <w:t>character</w:t>
      </w:r>
      <w:r w:rsidRPr="00EA329E">
        <w:rPr>
          <w:rFonts w:cs="Arial"/>
        </w:rPr>
        <w:t xml:space="preserve">. </w:t>
      </w:r>
    </w:p>
    <w:p w:rsidR="00296618" w:rsidRPr="00EA329E" w:rsidRDefault="00296618" w:rsidP="00296618">
      <w:pPr>
        <w:keepNext/>
        <w:rPr>
          <w:rFonts w:cs="Arial"/>
        </w:rPr>
      </w:pPr>
      <w:r w:rsidRPr="00EA329E">
        <w:rPr>
          <w:rFonts w:cs="Arial"/>
        </w:rPr>
        <w:t>Merrilees and Miller (200</w:t>
      </w:r>
      <w:r w:rsidR="00AD6B7E">
        <w:rPr>
          <w:rFonts w:cs="Arial"/>
        </w:rPr>
        <w:t>8</w:t>
      </w:r>
      <w:r w:rsidRPr="00EA329E">
        <w:rPr>
          <w:rFonts w:cs="Arial"/>
        </w:rPr>
        <w:t xml:space="preserve">) define the concept further by highlighting the </w:t>
      </w:r>
      <w:r>
        <w:rPr>
          <w:rFonts w:cs="Arial"/>
        </w:rPr>
        <w:t xml:space="preserve">modification from the </w:t>
      </w:r>
      <w:r w:rsidRPr="00EA329E">
        <w:rPr>
          <w:rFonts w:cs="Arial"/>
        </w:rPr>
        <w:t xml:space="preserve">initially </w:t>
      </w:r>
      <w:r>
        <w:rPr>
          <w:rFonts w:cs="Arial"/>
        </w:rPr>
        <w:t>created</w:t>
      </w:r>
      <w:r w:rsidRPr="00EA329E">
        <w:rPr>
          <w:rFonts w:cs="Arial"/>
        </w:rPr>
        <w:t xml:space="preserve"> corporate brand and a new </w:t>
      </w:r>
      <w:r>
        <w:rPr>
          <w:rFonts w:cs="Arial"/>
        </w:rPr>
        <w:t>creation</w:t>
      </w:r>
      <w:r w:rsidRPr="00EA329E">
        <w:rPr>
          <w:rFonts w:cs="Arial"/>
        </w:rPr>
        <w:t xml:space="preserve">. The modification </w:t>
      </w:r>
      <w:r>
        <w:rPr>
          <w:rFonts w:cs="Arial"/>
        </w:rPr>
        <w:t xml:space="preserve">of the </w:t>
      </w:r>
      <w:r w:rsidRPr="00EA329E">
        <w:rPr>
          <w:rFonts w:cs="Arial"/>
        </w:rPr>
        <w:t xml:space="preserve">brand vision </w:t>
      </w:r>
      <w:r>
        <w:rPr>
          <w:rFonts w:cs="Arial"/>
        </w:rPr>
        <w:t>is termed</w:t>
      </w:r>
      <w:r w:rsidRPr="00EA329E">
        <w:rPr>
          <w:rFonts w:cs="Arial"/>
        </w:rPr>
        <w:t xml:space="preserve"> as brand revision. The method</w:t>
      </w:r>
      <w:r>
        <w:rPr>
          <w:rFonts w:cs="Arial"/>
        </w:rPr>
        <w:t>ology</w:t>
      </w:r>
      <w:r w:rsidRPr="00EA329E">
        <w:rPr>
          <w:rFonts w:cs="Arial"/>
        </w:rPr>
        <w:t xml:space="preserve"> of implementing the revision </w:t>
      </w:r>
      <w:r>
        <w:rPr>
          <w:rFonts w:cs="Arial"/>
        </w:rPr>
        <w:t>within</w:t>
      </w:r>
      <w:r w:rsidRPr="00EA329E">
        <w:rPr>
          <w:rFonts w:cs="Arial"/>
        </w:rPr>
        <w:t xml:space="preserve"> the </w:t>
      </w:r>
      <w:r>
        <w:rPr>
          <w:rFonts w:cs="Arial"/>
        </w:rPr>
        <w:t>company</w:t>
      </w:r>
      <w:r w:rsidRPr="00EA329E">
        <w:rPr>
          <w:rFonts w:cs="Arial"/>
        </w:rPr>
        <w:t xml:space="preserve"> </w:t>
      </w:r>
      <w:r>
        <w:rPr>
          <w:rFonts w:cs="Arial"/>
        </w:rPr>
        <w:t xml:space="preserve">may </w:t>
      </w:r>
      <w:r w:rsidRPr="00EA329E">
        <w:rPr>
          <w:rFonts w:cs="Arial"/>
        </w:rPr>
        <w:t xml:space="preserve">necessitate a modification </w:t>
      </w:r>
      <w:r>
        <w:rPr>
          <w:rFonts w:cs="Arial"/>
        </w:rPr>
        <w:t xml:space="preserve">of the </w:t>
      </w:r>
      <w:r w:rsidRPr="00EA329E">
        <w:rPr>
          <w:rFonts w:cs="Arial"/>
        </w:rPr>
        <w:t xml:space="preserve">management process. With corporate branding, </w:t>
      </w:r>
      <w:r>
        <w:rPr>
          <w:rFonts w:cs="Arial"/>
        </w:rPr>
        <w:t>company</w:t>
      </w:r>
      <w:r w:rsidRPr="00EA329E">
        <w:rPr>
          <w:rFonts w:cs="Arial"/>
        </w:rPr>
        <w:t xml:space="preserve"> issues may include changes, but the </w:t>
      </w:r>
      <w:r>
        <w:rPr>
          <w:rFonts w:cs="Arial"/>
        </w:rPr>
        <w:t>focus</w:t>
      </w:r>
      <w:r w:rsidRPr="00EA329E">
        <w:rPr>
          <w:rFonts w:cs="Arial"/>
        </w:rPr>
        <w:t xml:space="preserve"> </w:t>
      </w:r>
      <w:r>
        <w:rPr>
          <w:rFonts w:cs="Arial"/>
        </w:rPr>
        <w:t>should be on getting</w:t>
      </w:r>
      <w:r w:rsidRPr="00EA329E">
        <w:rPr>
          <w:rFonts w:cs="Arial"/>
        </w:rPr>
        <w:t xml:space="preserve"> all </w:t>
      </w:r>
      <w:r>
        <w:rPr>
          <w:rFonts w:cs="Arial"/>
        </w:rPr>
        <w:t>departments</w:t>
      </w:r>
      <w:r w:rsidRPr="00EA329E">
        <w:rPr>
          <w:rFonts w:cs="Arial"/>
        </w:rPr>
        <w:t xml:space="preserve"> to consistently </w:t>
      </w:r>
      <w:r>
        <w:rPr>
          <w:rFonts w:cs="Arial"/>
        </w:rPr>
        <w:t>follow</w:t>
      </w:r>
      <w:r w:rsidRPr="00EA329E">
        <w:rPr>
          <w:rFonts w:cs="Arial"/>
        </w:rPr>
        <w:t xml:space="preserve"> policy and procedure specifications. </w:t>
      </w:r>
      <w:r>
        <w:rPr>
          <w:rFonts w:cs="Arial"/>
        </w:rPr>
        <w:t>More importantly</w:t>
      </w:r>
      <w:r w:rsidRPr="00EA329E">
        <w:rPr>
          <w:rFonts w:cs="Arial"/>
        </w:rPr>
        <w:t xml:space="preserve">, with corporate rebranding all </w:t>
      </w:r>
      <w:r>
        <w:rPr>
          <w:rFonts w:cs="Arial"/>
        </w:rPr>
        <w:t>departments and/or business units</w:t>
      </w:r>
      <w:r w:rsidRPr="00EA329E">
        <w:rPr>
          <w:rFonts w:cs="Arial"/>
        </w:rPr>
        <w:t xml:space="preserve"> need to be </w:t>
      </w:r>
      <w:r>
        <w:rPr>
          <w:rFonts w:cs="Arial"/>
        </w:rPr>
        <w:t>migrated</w:t>
      </w:r>
      <w:r w:rsidRPr="00EA329E">
        <w:rPr>
          <w:rFonts w:cs="Arial"/>
        </w:rPr>
        <w:t xml:space="preserve"> from one </w:t>
      </w:r>
      <w:r>
        <w:rPr>
          <w:rFonts w:cs="Arial"/>
        </w:rPr>
        <w:t>state of mind</w:t>
      </w:r>
      <w:r w:rsidRPr="00EA329E">
        <w:rPr>
          <w:rFonts w:cs="Arial"/>
        </w:rPr>
        <w:t xml:space="preserve"> to another (Merrilees and Miller, 200</w:t>
      </w:r>
      <w:r w:rsidR="00AD6B7E">
        <w:rPr>
          <w:rFonts w:cs="Arial"/>
        </w:rPr>
        <w:t>8</w:t>
      </w:r>
      <w:r w:rsidRPr="00EA329E">
        <w:rPr>
          <w:rFonts w:cs="Arial"/>
        </w:rPr>
        <w:t xml:space="preserve">). </w:t>
      </w:r>
      <w:r>
        <w:rPr>
          <w:rFonts w:cs="Arial"/>
        </w:rPr>
        <w:t xml:space="preserve">To this end, </w:t>
      </w:r>
      <w:r w:rsidRPr="00EA329E">
        <w:rPr>
          <w:rFonts w:cs="Arial"/>
        </w:rPr>
        <w:t>Muzellec and Lambkin (200</w:t>
      </w:r>
      <w:r>
        <w:rPr>
          <w:rFonts w:cs="Arial"/>
        </w:rPr>
        <w:t>6</w:t>
      </w:r>
      <w:r w:rsidRPr="00EA329E">
        <w:rPr>
          <w:rFonts w:cs="Arial"/>
        </w:rPr>
        <w:t xml:space="preserve">) refer to the term ‘neologism’ when defining the term ‘rebrand’. They begin by defining the prefix ‘re’ as an ordinary verb of action meaning ‘again’, suggesting that the </w:t>
      </w:r>
      <w:r>
        <w:rPr>
          <w:rFonts w:cs="Arial"/>
        </w:rPr>
        <w:t>process</w:t>
      </w:r>
      <w:r w:rsidRPr="00EA329E">
        <w:rPr>
          <w:rFonts w:cs="Arial"/>
        </w:rPr>
        <w:t xml:space="preserve"> is </w:t>
      </w:r>
      <w:r>
        <w:rPr>
          <w:rFonts w:cs="Arial"/>
        </w:rPr>
        <w:t>repeated</w:t>
      </w:r>
      <w:r w:rsidRPr="00EA329E">
        <w:rPr>
          <w:rFonts w:cs="Arial"/>
        </w:rPr>
        <w:t xml:space="preserve">. A traditional definition of a brand proposed by </w:t>
      </w:r>
      <w:r>
        <w:rPr>
          <w:rFonts w:cs="Arial"/>
        </w:rPr>
        <w:t xml:space="preserve">Kotler and Keller (2009) is that a brand refers to </w:t>
      </w:r>
      <w:r w:rsidRPr="00EA329E">
        <w:rPr>
          <w:rFonts w:cs="Arial"/>
        </w:rPr>
        <w:t>a</w:t>
      </w:r>
      <w:r>
        <w:rPr>
          <w:rFonts w:cs="Arial"/>
        </w:rPr>
        <w:t xml:space="preserve"> name</w:t>
      </w:r>
      <w:r w:rsidRPr="00EA329E">
        <w:rPr>
          <w:rFonts w:cs="Arial"/>
        </w:rPr>
        <w:t>,</w:t>
      </w:r>
      <w:r>
        <w:rPr>
          <w:rFonts w:cs="Arial"/>
        </w:rPr>
        <w:t xml:space="preserve"> </w:t>
      </w:r>
      <w:r w:rsidRPr="00EA329E">
        <w:rPr>
          <w:rFonts w:cs="Arial"/>
        </w:rPr>
        <w:t>term</w:t>
      </w:r>
      <w:r>
        <w:rPr>
          <w:rFonts w:cs="Arial"/>
        </w:rPr>
        <w:t xml:space="preserve">, </w:t>
      </w:r>
      <w:r w:rsidRPr="00EA329E">
        <w:rPr>
          <w:rFonts w:cs="Arial"/>
        </w:rPr>
        <w:t>symbol</w:t>
      </w:r>
      <w:r>
        <w:rPr>
          <w:rFonts w:cs="Arial"/>
        </w:rPr>
        <w:t>,</w:t>
      </w:r>
      <w:r w:rsidRPr="00EA329E">
        <w:rPr>
          <w:rFonts w:cs="Arial"/>
        </w:rPr>
        <w:t xml:space="preserve"> design or a mixture of these</w:t>
      </w:r>
      <w:r>
        <w:rPr>
          <w:rFonts w:cs="Arial"/>
        </w:rPr>
        <w:t xml:space="preserve"> features</w:t>
      </w:r>
      <w:r w:rsidRPr="00EA329E">
        <w:rPr>
          <w:rFonts w:cs="Arial"/>
        </w:rPr>
        <w:t xml:space="preserve"> </w:t>
      </w:r>
      <w:r>
        <w:rPr>
          <w:rFonts w:cs="Arial"/>
        </w:rPr>
        <w:t xml:space="preserve">which serve to </w:t>
      </w:r>
      <w:r w:rsidRPr="00EA329E">
        <w:rPr>
          <w:rFonts w:cs="Arial"/>
        </w:rPr>
        <w:t xml:space="preserve">differentiate </w:t>
      </w:r>
      <w:r>
        <w:rPr>
          <w:rFonts w:cs="Arial"/>
        </w:rPr>
        <w:t>products</w:t>
      </w:r>
      <w:r w:rsidRPr="00EA329E">
        <w:rPr>
          <w:rFonts w:cs="Arial"/>
        </w:rPr>
        <w:t xml:space="preserve"> </w:t>
      </w:r>
      <w:r>
        <w:rPr>
          <w:rFonts w:cs="Arial"/>
        </w:rPr>
        <w:t>and/</w:t>
      </w:r>
      <w:r w:rsidRPr="00EA329E">
        <w:rPr>
          <w:rFonts w:cs="Arial"/>
        </w:rPr>
        <w:t xml:space="preserve">or services of </w:t>
      </w:r>
      <w:r>
        <w:rPr>
          <w:rFonts w:cs="Arial"/>
        </w:rPr>
        <w:t xml:space="preserve">a company </w:t>
      </w:r>
      <w:r w:rsidRPr="00EA329E">
        <w:rPr>
          <w:rFonts w:cs="Arial"/>
        </w:rPr>
        <w:t>from competitors</w:t>
      </w:r>
      <w:r>
        <w:rPr>
          <w:rFonts w:cs="Arial"/>
        </w:rPr>
        <w:t xml:space="preserve">. </w:t>
      </w:r>
    </w:p>
    <w:p w:rsidR="00296618" w:rsidRPr="00EA329E" w:rsidRDefault="00296618" w:rsidP="00296618">
      <w:pPr>
        <w:rPr>
          <w:rFonts w:cs="Arial"/>
        </w:rPr>
      </w:pPr>
      <w:r w:rsidRPr="00EA329E">
        <w:rPr>
          <w:rFonts w:cs="Arial"/>
        </w:rPr>
        <w:t xml:space="preserve">This definition focuses on the </w:t>
      </w:r>
      <w:r>
        <w:rPr>
          <w:rFonts w:cs="Arial"/>
        </w:rPr>
        <w:t>company’s</w:t>
      </w:r>
      <w:r w:rsidRPr="00EA329E">
        <w:rPr>
          <w:rFonts w:cs="Arial"/>
        </w:rPr>
        <w:t xml:space="preserve"> input activity of distinguishing by means of name and visual identity devices </w:t>
      </w:r>
      <w:r>
        <w:rPr>
          <w:rFonts w:cs="Arial"/>
        </w:rPr>
        <w:t xml:space="preserve">according to </w:t>
      </w:r>
      <w:r w:rsidR="00123E2D">
        <w:rPr>
          <w:rFonts w:cs="Arial"/>
        </w:rPr>
        <w:t>De Chernatony and</w:t>
      </w:r>
      <w:r w:rsidRPr="00EA329E">
        <w:rPr>
          <w:rFonts w:cs="Arial"/>
        </w:rPr>
        <w:t xml:space="preserve"> Riley</w:t>
      </w:r>
      <w:r>
        <w:rPr>
          <w:rFonts w:cs="Arial"/>
        </w:rPr>
        <w:t xml:space="preserve"> (</w:t>
      </w:r>
      <w:r w:rsidRPr="00EA329E">
        <w:rPr>
          <w:rFonts w:cs="Arial"/>
        </w:rPr>
        <w:t xml:space="preserve">1998). </w:t>
      </w:r>
      <w:r w:rsidRPr="00EA329E">
        <w:rPr>
          <w:rFonts w:cs="Arial"/>
        </w:rPr>
        <w:lastRenderedPageBreak/>
        <w:t xml:space="preserve">A descriptive model, illustrated in </w:t>
      </w:r>
      <w:r w:rsidRPr="00527A99">
        <w:rPr>
          <w:rFonts w:cs="Arial"/>
        </w:rPr>
        <w:t xml:space="preserve">Figure 3, </w:t>
      </w:r>
      <w:r>
        <w:rPr>
          <w:rFonts w:cs="Arial"/>
        </w:rPr>
        <w:t>considers</w:t>
      </w:r>
      <w:r w:rsidRPr="00EA329E">
        <w:rPr>
          <w:rFonts w:cs="Arial"/>
        </w:rPr>
        <w:t xml:space="preserve"> the two </w:t>
      </w:r>
      <w:r>
        <w:rPr>
          <w:rFonts w:cs="Arial"/>
        </w:rPr>
        <w:t>key</w:t>
      </w:r>
      <w:r w:rsidRPr="00EA329E">
        <w:rPr>
          <w:rFonts w:cs="Arial"/>
        </w:rPr>
        <w:t xml:space="preserve"> </w:t>
      </w:r>
      <w:r>
        <w:rPr>
          <w:rFonts w:cs="Arial"/>
        </w:rPr>
        <w:t>concepts</w:t>
      </w:r>
      <w:r w:rsidRPr="00EA329E">
        <w:rPr>
          <w:rFonts w:cs="Arial"/>
        </w:rPr>
        <w:t xml:space="preserve"> of rebranding and </w:t>
      </w:r>
      <w:r>
        <w:rPr>
          <w:rFonts w:cs="Arial"/>
        </w:rPr>
        <w:t xml:space="preserve">allowing varying amounts of change and variations.  </w:t>
      </w:r>
      <w:r w:rsidRPr="00EA329E">
        <w:rPr>
          <w:rFonts w:cs="Arial"/>
        </w:rPr>
        <w:t xml:space="preserve"> </w:t>
      </w:r>
    </w:p>
    <w:p w:rsidR="00296618" w:rsidRPr="00EA329E" w:rsidRDefault="00296618" w:rsidP="00296618">
      <w:pPr>
        <w:jc w:val="center"/>
        <w:rPr>
          <w:rFonts w:cs="Arial"/>
        </w:rPr>
      </w:pPr>
      <w:r w:rsidRPr="00EA329E">
        <w:rPr>
          <w:noProof/>
          <w:lang w:val="en-ZA" w:eastAsia="en-ZA"/>
        </w:rPr>
        <w:drawing>
          <wp:inline distT="0" distB="0" distL="0" distR="0" wp14:anchorId="7865CB4C" wp14:editId="743507D6">
            <wp:extent cx="4443088" cy="344658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7274" t="13530" r="20590" b="14522"/>
                    <a:stretch/>
                  </pic:blipFill>
                  <pic:spPr bwMode="auto">
                    <a:xfrm>
                      <a:off x="0" y="0"/>
                      <a:ext cx="4465143" cy="3463694"/>
                    </a:xfrm>
                    <a:prstGeom prst="rect">
                      <a:avLst/>
                    </a:prstGeom>
                    <a:ln>
                      <a:noFill/>
                    </a:ln>
                    <a:extLst>
                      <a:ext uri="{53640926-AAD7-44D8-BBD7-CCE9431645EC}">
                        <a14:shadowObscured xmlns:a14="http://schemas.microsoft.com/office/drawing/2010/main"/>
                      </a:ext>
                    </a:extLst>
                  </pic:spPr>
                </pic:pic>
              </a:graphicData>
            </a:graphic>
          </wp:inline>
        </w:drawing>
      </w:r>
    </w:p>
    <w:p w:rsidR="00296618" w:rsidRPr="00272493" w:rsidRDefault="00296618" w:rsidP="00296618">
      <w:pPr>
        <w:pStyle w:val="Caption"/>
        <w:rPr>
          <w:rFonts w:cs="Arial"/>
          <w:sz w:val="24"/>
        </w:rPr>
      </w:pPr>
      <w:bookmarkStart w:id="33" w:name="_Toc380684388"/>
      <w:r w:rsidRPr="00272493">
        <w:rPr>
          <w:sz w:val="24"/>
        </w:rPr>
        <w:t xml:space="preserve">Figure </w:t>
      </w:r>
      <w:r w:rsidRPr="00272493">
        <w:rPr>
          <w:sz w:val="24"/>
        </w:rPr>
        <w:fldChar w:fldCharType="begin"/>
      </w:r>
      <w:r w:rsidRPr="00272493">
        <w:rPr>
          <w:sz w:val="24"/>
        </w:rPr>
        <w:instrText xml:space="preserve"> SEQ Figure \* ARABIC </w:instrText>
      </w:r>
      <w:r w:rsidRPr="00272493">
        <w:rPr>
          <w:sz w:val="24"/>
        </w:rPr>
        <w:fldChar w:fldCharType="separate"/>
      </w:r>
      <w:r>
        <w:rPr>
          <w:noProof/>
          <w:sz w:val="24"/>
        </w:rPr>
        <w:t>3</w:t>
      </w:r>
      <w:r w:rsidRPr="00272493">
        <w:rPr>
          <w:sz w:val="24"/>
        </w:rPr>
        <w:fldChar w:fldCharType="end"/>
      </w:r>
      <w:r w:rsidRPr="00272493">
        <w:rPr>
          <w:sz w:val="24"/>
        </w:rPr>
        <w:t>: Branding as a continuum (Muzellec and Lambkin, 2006)</w:t>
      </w:r>
      <w:bookmarkEnd w:id="33"/>
    </w:p>
    <w:p w:rsidR="00296618" w:rsidRDefault="00296618" w:rsidP="00296618">
      <w:pPr>
        <w:rPr>
          <w:rFonts w:cs="Arial"/>
        </w:rPr>
      </w:pPr>
    </w:p>
    <w:p w:rsidR="00296618" w:rsidRDefault="00296618" w:rsidP="00296618">
      <w:pPr>
        <w:rPr>
          <w:rFonts w:cs="Arial"/>
        </w:rPr>
      </w:pPr>
      <w:r w:rsidRPr="009F14CE">
        <w:rPr>
          <w:rFonts w:cs="Arial"/>
        </w:rPr>
        <w:t xml:space="preserve">Corporate </w:t>
      </w:r>
      <w:r w:rsidRPr="00EA329E">
        <w:rPr>
          <w:rFonts w:cs="Arial"/>
        </w:rPr>
        <w:t xml:space="preserve">rebranding is </w:t>
      </w:r>
      <w:r>
        <w:rPr>
          <w:rFonts w:cs="Arial"/>
        </w:rPr>
        <w:t>characterised by the varying amount of change</w:t>
      </w:r>
      <w:r w:rsidRPr="00EA329E">
        <w:rPr>
          <w:rFonts w:cs="Arial"/>
        </w:rPr>
        <w:t xml:space="preserve"> in the brand position </w:t>
      </w:r>
      <w:r>
        <w:rPr>
          <w:rFonts w:cs="Arial"/>
        </w:rPr>
        <w:t xml:space="preserve">and </w:t>
      </w:r>
      <w:r w:rsidRPr="00EA329E">
        <w:rPr>
          <w:rFonts w:cs="Arial"/>
        </w:rPr>
        <w:t xml:space="preserve">aesthetics. </w:t>
      </w:r>
      <w:r>
        <w:rPr>
          <w:rFonts w:cs="Arial"/>
        </w:rPr>
        <w:t>The model characterises</w:t>
      </w:r>
      <w:r w:rsidRPr="00EA329E">
        <w:rPr>
          <w:rFonts w:cs="Arial"/>
        </w:rPr>
        <w:t xml:space="preserve"> rebranding as </w:t>
      </w:r>
      <w:r>
        <w:rPr>
          <w:rFonts w:cs="Arial"/>
        </w:rPr>
        <w:t xml:space="preserve">either </w:t>
      </w:r>
      <w:r w:rsidRPr="00EA329E">
        <w:rPr>
          <w:rFonts w:cs="Arial"/>
        </w:rPr>
        <w:t xml:space="preserve">evolutionary or revolutionary. Evolutionary rebranding defines </w:t>
      </w:r>
      <w:r>
        <w:rPr>
          <w:rFonts w:cs="Arial"/>
        </w:rPr>
        <w:t>relates to a</w:t>
      </w:r>
      <w:r w:rsidRPr="00EA329E">
        <w:rPr>
          <w:rFonts w:cs="Arial"/>
        </w:rPr>
        <w:t xml:space="preserve"> minor change in the company’s positi</w:t>
      </w:r>
      <w:r w:rsidRPr="009F14CE">
        <w:rPr>
          <w:rFonts w:cs="Arial"/>
        </w:rPr>
        <w:t>o</w:t>
      </w:r>
      <w:r w:rsidRPr="00EA329E">
        <w:rPr>
          <w:rFonts w:cs="Arial"/>
        </w:rPr>
        <w:t xml:space="preserve">ning and aesthetics barely </w:t>
      </w:r>
      <w:r>
        <w:rPr>
          <w:rFonts w:cs="Arial"/>
        </w:rPr>
        <w:t xml:space="preserve">noticeable by consumers. </w:t>
      </w:r>
      <w:r w:rsidRPr="00EA329E">
        <w:rPr>
          <w:rFonts w:cs="Arial"/>
        </w:rPr>
        <w:t xml:space="preserve"> </w:t>
      </w:r>
      <w:r w:rsidRPr="00EA329E">
        <w:t xml:space="preserve">Revolutionary </w:t>
      </w:r>
      <w:r w:rsidRPr="00942B9B">
        <w:t>rebranding</w:t>
      </w:r>
      <w:r w:rsidRPr="00EA329E">
        <w:t xml:space="preserve"> </w:t>
      </w:r>
      <w:r>
        <w:t xml:space="preserve">refers to </w:t>
      </w:r>
      <w:r w:rsidRPr="00EA329E">
        <w:t xml:space="preserve">a major, </w:t>
      </w:r>
      <w:r>
        <w:t>noticeable modification</w:t>
      </w:r>
      <w:r w:rsidRPr="00EA329E">
        <w:t xml:space="preserve"> in positioning and aesthetics that profoundly redefines the company</w:t>
      </w:r>
      <w:r>
        <w:t xml:space="preserve"> image </w:t>
      </w:r>
      <w:r w:rsidRPr="00EA329E">
        <w:rPr>
          <w:rFonts w:cs="Arial"/>
        </w:rPr>
        <w:t>(Muzellec and Lambkin, 2006)</w:t>
      </w:r>
      <w:r>
        <w:t xml:space="preserve">. </w:t>
      </w:r>
      <w:r w:rsidRPr="00EA329E">
        <w:t xml:space="preserve">All in all, corporate rebranding </w:t>
      </w:r>
      <w:r>
        <w:t>varies</w:t>
      </w:r>
      <w:r w:rsidRPr="00EA329E">
        <w:t xml:space="preserve"> from minor, e</w:t>
      </w:r>
      <w:r w:rsidRPr="009F14CE">
        <w:t>volutionary changes in position</w:t>
      </w:r>
      <w:r>
        <w:t>ing</w:t>
      </w:r>
      <w:r w:rsidRPr="009F14CE">
        <w:t xml:space="preserve"> and aesthetics to revolutionary changes in co</w:t>
      </w:r>
      <w:r w:rsidRPr="00EA329E">
        <w:t>rporate name, values, attributes and positioning.</w:t>
      </w:r>
      <w:r>
        <w:rPr>
          <w:rFonts w:cs="Arial"/>
        </w:rPr>
        <w:t xml:space="preserve"> Rebranding can also be </w:t>
      </w:r>
      <w:r w:rsidRPr="00EA329E">
        <w:rPr>
          <w:rFonts w:cs="Arial"/>
        </w:rPr>
        <w:t>conceptualise</w:t>
      </w:r>
      <w:r>
        <w:rPr>
          <w:rFonts w:cs="Arial"/>
        </w:rPr>
        <w:t>d</w:t>
      </w:r>
      <w:r w:rsidRPr="00EA329E">
        <w:rPr>
          <w:rFonts w:cs="Arial"/>
        </w:rPr>
        <w:t xml:space="preserve"> according to the level in the corporate hierarchy at which it </w:t>
      </w:r>
      <w:r>
        <w:rPr>
          <w:rFonts w:cs="Arial"/>
        </w:rPr>
        <w:t>take place</w:t>
      </w:r>
      <w:r w:rsidRPr="00EA329E">
        <w:rPr>
          <w:rFonts w:cs="Arial"/>
        </w:rPr>
        <w:t xml:space="preserve">. </w:t>
      </w:r>
      <w:r>
        <w:rPr>
          <w:rFonts w:cs="Arial"/>
        </w:rPr>
        <w:t xml:space="preserve">According to </w:t>
      </w:r>
      <w:r w:rsidRPr="00EA329E">
        <w:rPr>
          <w:rFonts w:cs="Arial"/>
        </w:rPr>
        <w:t>Keller (2000)</w:t>
      </w:r>
      <w:r>
        <w:rPr>
          <w:rFonts w:cs="Arial"/>
        </w:rPr>
        <w:t xml:space="preserve">, </w:t>
      </w:r>
      <w:r w:rsidRPr="00EA329E">
        <w:rPr>
          <w:rFonts w:cs="Arial"/>
        </w:rPr>
        <w:t xml:space="preserve">brand hierarchy </w:t>
      </w:r>
      <w:r>
        <w:rPr>
          <w:rFonts w:cs="Arial"/>
        </w:rPr>
        <w:t>is</w:t>
      </w:r>
      <w:r w:rsidRPr="00EA329E">
        <w:rPr>
          <w:rFonts w:cs="Arial"/>
        </w:rPr>
        <w:t xml:space="preserve"> made up of a corporate </w:t>
      </w:r>
      <w:r w:rsidRPr="00EA329E">
        <w:rPr>
          <w:rFonts w:cs="Arial"/>
        </w:rPr>
        <w:lastRenderedPageBreak/>
        <w:t>brand</w:t>
      </w:r>
      <w:r>
        <w:rPr>
          <w:rFonts w:cs="Arial"/>
        </w:rPr>
        <w:t>, business unit brand and product brand. To this end, r</w:t>
      </w:r>
      <w:r w:rsidRPr="00EA329E">
        <w:rPr>
          <w:rFonts w:cs="Arial"/>
        </w:rPr>
        <w:t xml:space="preserve">ebranding </w:t>
      </w:r>
      <w:r>
        <w:rPr>
          <w:rFonts w:cs="Arial"/>
        </w:rPr>
        <w:t xml:space="preserve">may be initiated </w:t>
      </w:r>
      <w:r w:rsidRPr="00EA329E">
        <w:rPr>
          <w:rFonts w:cs="Arial"/>
        </w:rPr>
        <w:t>at one level</w:t>
      </w:r>
      <w:r>
        <w:rPr>
          <w:rFonts w:cs="Arial"/>
        </w:rPr>
        <w:t>, several or all levels</w:t>
      </w:r>
      <w:r w:rsidRPr="00EA329E">
        <w:rPr>
          <w:rFonts w:cs="Arial"/>
        </w:rPr>
        <w:t xml:space="preserve"> in this hierarchy</w:t>
      </w:r>
      <w:r>
        <w:rPr>
          <w:rFonts w:cs="Arial"/>
        </w:rPr>
        <w:t>. The</w:t>
      </w:r>
      <w:r w:rsidRPr="00EA329E">
        <w:rPr>
          <w:rFonts w:cs="Arial"/>
        </w:rPr>
        <w:t xml:space="preserve"> simplified three-level brand hierarchy </w:t>
      </w:r>
      <w:r>
        <w:rPr>
          <w:rFonts w:cs="Arial"/>
        </w:rPr>
        <w:t>i</w:t>
      </w:r>
      <w:r w:rsidRPr="00EA329E">
        <w:rPr>
          <w:rFonts w:cs="Arial"/>
        </w:rPr>
        <w:t xml:space="preserve">s shown in Figure </w:t>
      </w:r>
      <w:r>
        <w:rPr>
          <w:rFonts w:cs="Arial"/>
        </w:rPr>
        <w:t>4</w:t>
      </w:r>
      <w:r w:rsidRPr="00EA329E">
        <w:rPr>
          <w:rFonts w:cs="Arial"/>
        </w:rPr>
        <w:t xml:space="preserve">. </w:t>
      </w:r>
    </w:p>
    <w:p w:rsidR="00296618" w:rsidRDefault="00296618" w:rsidP="00296618">
      <w:pPr>
        <w:jc w:val="center"/>
        <w:rPr>
          <w:rFonts w:cs="Arial"/>
        </w:rPr>
      </w:pPr>
      <w:r w:rsidRPr="00EA329E">
        <w:rPr>
          <w:noProof/>
          <w:lang w:val="en-ZA" w:eastAsia="en-ZA"/>
        </w:rPr>
        <w:drawing>
          <wp:inline distT="0" distB="0" distL="0" distR="0" wp14:anchorId="317A85DE" wp14:editId="446E697E">
            <wp:extent cx="3990109" cy="313099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3026" t="15842" r="16137" b="13201"/>
                    <a:stretch/>
                  </pic:blipFill>
                  <pic:spPr bwMode="auto">
                    <a:xfrm>
                      <a:off x="0" y="0"/>
                      <a:ext cx="3997489" cy="3136785"/>
                    </a:xfrm>
                    <a:prstGeom prst="rect">
                      <a:avLst/>
                    </a:prstGeom>
                    <a:ln>
                      <a:noFill/>
                    </a:ln>
                    <a:extLst>
                      <a:ext uri="{53640926-AAD7-44D8-BBD7-CCE9431645EC}">
                        <a14:shadowObscured xmlns:a14="http://schemas.microsoft.com/office/drawing/2010/main"/>
                      </a:ext>
                    </a:extLst>
                  </pic:spPr>
                </pic:pic>
              </a:graphicData>
            </a:graphic>
          </wp:inline>
        </w:drawing>
      </w:r>
    </w:p>
    <w:p w:rsidR="00296618" w:rsidRPr="00EA329E" w:rsidRDefault="00296618" w:rsidP="00296618">
      <w:pPr>
        <w:jc w:val="center"/>
        <w:rPr>
          <w:rFonts w:cs="Arial"/>
        </w:rPr>
      </w:pPr>
    </w:p>
    <w:p w:rsidR="00296618" w:rsidRPr="00272493" w:rsidRDefault="00296618" w:rsidP="00296618">
      <w:pPr>
        <w:pStyle w:val="Caption"/>
        <w:rPr>
          <w:rFonts w:cs="Arial"/>
          <w:sz w:val="24"/>
        </w:rPr>
      </w:pPr>
      <w:bookmarkStart w:id="34" w:name="_Toc380684389"/>
      <w:r w:rsidRPr="00272493">
        <w:rPr>
          <w:sz w:val="24"/>
        </w:rPr>
        <w:t xml:space="preserve">Figure </w:t>
      </w:r>
      <w:r w:rsidRPr="00272493">
        <w:rPr>
          <w:sz w:val="24"/>
        </w:rPr>
        <w:fldChar w:fldCharType="begin"/>
      </w:r>
      <w:r w:rsidRPr="00272493">
        <w:rPr>
          <w:sz w:val="24"/>
        </w:rPr>
        <w:instrText xml:space="preserve"> SEQ Figure \* ARABIC </w:instrText>
      </w:r>
      <w:r w:rsidRPr="00272493">
        <w:rPr>
          <w:sz w:val="24"/>
        </w:rPr>
        <w:fldChar w:fldCharType="separate"/>
      </w:r>
      <w:r>
        <w:rPr>
          <w:noProof/>
          <w:sz w:val="24"/>
        </w:rPr>
        <w:t>4</w:t>
      </w:r>
      <w:r w:rsidRPr="00272493">
        <w:rPr>
          <w:sz w:val="24"/>
        </w:rPr>
        <w:fldChar w:fldCharType="end"/>
      </w:r>
      <w:r w:rsidRPr="00272493">
        <w:rPr>
          <w:sz w:val="24"/>
        </w:rPr>
        <w:t>: Rebranding in a brand hierarchy (Muzellec and Lambkin, 2006)</w:t>
      </w:r>
      <w:bookmarkEnd w:id="34"/>
    </w:p>
    <w:p w:rsidR="00296618" w:rsidRDefault="00296618" w:rsidP="00296618">
      <w:pPr>
        <w:rPr>
          <w:rFonts w:cs="Arial"/>
        </w:rPr>
      </w:pPr>
    </w:p>
    <w:p w:rsidR="00296618" w:rsidRPr="002311BE" w:rsidRDefault="00296618" w:rsidP="00296618">
      <w:pPr>
        <w:rPr>
          <w:rFonts w:cs="Arial"/>
        </w:rPr>
      </w:pPr>
      <w:r>
        <w:rPr>
          <w:rFonts w:cs="Arial"/>
        </w:rPr>
        <w:t xml:space="preserve">More often than not, the primary objective is to integrate different brands into a single corporate brand. This integration is referred to as the concept of a master </w:t>
      </w:r>
      <w:r w:rsidRPr="002311BE">
        <w:rPr>
          <w:rFonts w:cs="Arial"/>
        </w:rPr>
        <w:t>brand (</w:t>
      </w:r>
      <w:r w:rsidRPr="002311BE">
        <w:t>Muzellec and Lambkin, 2008</w:t>
      </w:r>
      <w:r w:rsidRPr="002311BE">
        <w:rPr>
          <w:rFonts w:cs="Arial"/>
        </w:rPr>
        <w:t xml:space="preserve">). This model of a master brand at its </w:t>
      </w:r>
      <w:r>
        <w:rPr>
          <w:rFonts w:cs="Arial"/>
        </w:rPr>
        <w:t>basic</w:t>
      </w:r>
      <w:r w:rsidRPr="002311BE">
        <w:rPr>
          <w:rFonts w:cs="Arial"/>
        </w:rPr>
        <w:t xml:space="preserve"> form is when a company with a </w:t>
      </w:r>
      <w:r>
        <w:rPr>
          <w:rFonts w:cs="Arial"/>
        </w:rPr>
        <w:t>recognisable</w:t>
      </w:r>
      <w:r w:rsidRPr="002311BE">
        <w:rPr>
          <w:rFonts w:cs="Arial"/>
        </w:rPr>
        <w:t xml:space="preserve"> brand changes the brand or brands of all its business units, after an acquisition, to support the corporate brand. Another scenario is when a new brand is conceptualised and applied to business units. An alternative scenario is when a carries out a rebranding process with the primary objective of separating the corporate brand from business units (</w:t>
      </w:r>
      <w:r w:rsidRPr="002311BE">
        <w:t>Muzellec and Lambkin, 2008)</w:t>
      </w:r>
      <w:r w:rsidR="0063507B">
        <w:rPr>
          <w:rFonts w:cs="Arial"/>
        </w:rPr>
        <w:t xml:space="preserve">. </w:t>
      </w:r>
      <w:r w:rsidRPr="002311BE">
        <w:rPr>
          <w:rFonts w:cs="Arial"/>
        </w:rPr>
        <w:t xml:space="preserve">According to Aaker and Joachimsthaler (2000) when master brand extents across the three levels of the hierarchy and </w:t>
      </w:r>
      <w:r>
        <w:rPr>
          <w:rFonts w:cs="Arial"/>
        </w:rPr>
        <w:t>supports</w:t>
      </w:r>
      <w:r w:rsidRPr="002311BE">
        <w:rPr>
          <w:rFonts w:cs="Arial"/>
        </w:rPr>
        <w:t xml:space="preserve">, the brand </w:t>
      </w:r>
      <w:r w:rsidRPr="002311BE">
        <w:rPr>
          <w:rFonts w:cs="Arial"/>
        </w:rPr>
        <w:lastRenderedPageBreak/>
        <w:t>architecture is referred to as a ‘branded house’, Conversely , ‘house of brands’ is when a company maintains each product line identity which may be differ from the corporate brand</w:t>
      </w:r>
    </w:p>
    <w:p w:rsidR="00296618" w:rsidRDefault="00296618" w:rsidP="00296618">
      <w:pPr>
        <w:rPr>
          <w:rFonts w:cs="Arial"/>
          <w:highlight w:val="yellow"/>
        </w:rPr>
      </w:pPr>
    </w:p>
    <w:p w:rsidR="00296618" w:rsidRPr="002311BE" w:rsidRDefault="00296618" w:rsidP="00296618">
      <w:pPr>
        <w:rPr>
          <w:rFonts w:cs="Arial"/>
        </w:rPr>
      </w:pPr>
      <w:r w:rsidRPr="002311BE">
        <w:rPr>
          <w:rFonts w:cs="Arial"/>
        </w:rPr>
        <w:t>According to Muzellec and Lambkin (200</w:t>
      </w:r>
      <w:r w:rsidR="00E81B4E">
        <w:rPr>
          <w:rFonts w:cs="Arial"/>
        </w:rPr>
        <w:t>6</w:t>
      </w:r>
      <w:r w:rsidRPr="002311BE">
        <w:rPr>
          <w:rFonts w:cs="Arial"/>
        </w:rPr>
        <w:t xml:space="preserve">), the concept of rebranding primarily affects services, however, no industry is unaffected by the renaming phenomenon. Corporate rebranding occurs as a result of modifications in company structure, strategy or performance </w:t>
      </w:r>
      <w:r>
        <w:rPr>
          <w:rFonts w:cs="Arial"/>
        </w:rPr>
        <w:t>of</w:t>
      </w:r>
      <w:r w:rsidRPr="002311BE">
        <w:rPr>
          <w:rFonts w:cs="Arial"/>
        </w:rPr>
        <w:t xml:space="preserve"> </w:t>
      </w:r>
      <w:r>
        <w:rPr>
          <w:rFonts w:cs="Arial"/>
        </w:rPr>
        <w:t>adequate</w:t>
      </w:r>
      <w:r w:rsidRPr="002311BE">
        <w:rPr>
          <w:rFonts w:cs="Arial"/>
        </w:rPr>
        <w:t xml:space="preserve"> scale to recommend the need for a</w:t>
      </w:r>
      <w:r>
        <w:rPr>
          <w:rFonts w:cs="Arial"/>
        </w:rPr>
        <w:t>n</w:t>
      </w:r>
      <w:r w:rsidRPr="002311BE">
        <w:rPr>
          <w:rFonts w:cs="Arial"/>
        </w:rPr>
        <w:t xml:space="preserve"> essential redefinition of its </w:t>
      </w:r>
      <w:r>
        <w:rPr>
          <w:rFonts w:cs="Arial"/>
        </w:rPr>
        <w:t xml:space="preserve">brand </w:t>
      </w:r>
      <w:r w:rsidRPr="002311BE">
        <w:rPr>
          <w:rFonts w:cs="Arial"/>
        </w:rPr>
        <w:t>identity. These modifications are often driven by mergers and acquisitions, loss of market share and/ or decline in a company’s reputation</w:t>
      </w:r>
      <w:r>
        <w:rPr>
          <w:rFonts w:cs="Arial"/>
        </w:rPr>
        <w:t>.</w:t>
      </w:r>
      <w:r w:rsidRPr="002311BE">
        <w:rPr>
          <w:rFonts w:cs="Arial"/>
        </w:rPr>
        <w:t xml:space="preserve"> </w:t>
      </w:r>
    </w:p>
    <w:p w:rsidR="00296618" w:rsidRPr="00EA329E" w:rsidRDefault="00296618" w:rsidP="00296618">
      <w:pPr>
        <w:rPr>
          <w:rFonts w:cs="Arial"/>
        </w:rPr>
      </w:pPr>
    </w:p>
    <w:p w:rsidR="00296618" w:rsidRPr="00065B58" w:rsidRDefault="00296618" w:rsidP="00296618">
      <w:pPr>
        <w:pStyle w:val="Heading3"/>
        <w:numPr>
          <w:ilvl w:val="2"/>
          <w:numId w:val="19"/>
        </w:numPr>
      </w:pPr>
      <w:bookmarkStart w:id="35" w:name="_Toc380687059"/>
      <w:r>
        <w:t>The role of rebranding</w:t>
      </w:r>
      <w:bookmarkEnd w:id="35"/>
      <w:r w:rsidRPr="00EA329E">
        <w:t xml:space="preserve"> </w:t>
      </w:r>
      <w:r w:rsidRPr="00065B58">
        <w:rPr>
          <w:lang w:val="en-ZA"/>
        </w:rPr>
        <w:t xml:space="preserve"> </w:t>
      </w:r>
    </w:p>
    <w:p w:rsidR="00296618" w:rsidRDefault="00296618" w:rsidP="00296618">
      <w:pPr>
        <w:rPr>
          <w:lang w:val="en-ZA"/>
        </w:rPr>
      </w:pPr>
      <w:r>
        <w:rPr>
          <w:lang w:val="en-ZA"/>
        </w:rPr>
        <w:t xml:space="preserve">According to the literature, the primary objective </w:t>
      </w:r>
      <w:r w:rsidRPr="0097440C">
        <w:rPr>
          <w:lang w:val="en-ZA"/>
        </w:rPr>
        <w:t>of rebranding is to improve brand equity (Aaker, 1991; Causon, 2004</w:t>
      </w:r>
      <w:r>
        <w:rPr>
          <w:lang w:val="en-ZA"/>
        </w:rPr>
        <w:t xml:space="preserve">; </w:t>
      </w:r>
      <w:r w:rsidRPr="0097440C">
        <w:rPr>
          <w:lang w:val="en-ZA"/>
        </w:rPr>
        <w:t>Boyle, 2002</w:t>
      </w:r>
      <w:r>
        <w:rPr>
          <w:lang w:val="en-ZA"/>
        </w:rPr>
        <w:t>;</w:t>
      </w:r>
      <w:r w:rsidRPr="0097440C">
        <w:rPr>
          <w:lang w:val="en-ZA"/>
        </w:rPr>
        <w:t xml:space="preserve"> Muzellec and Lambkin, 2006).</w:t>
      </w:r>
      <w:r>
        <w:rPr>
          <w:lang w:val="en-ZA"/>
        </w:rPr>
        <w:t xml:space="preserve"> Melewar (</w:t>
      </w:r>
      <w:r w:rsidRPr="0097440C">
        <w:rPr>
          <w:lang w:val="en-ZA"/>
        </w:rPr>
        <w:t>200</w:t>
      </w:r>
      <w:r w:rsidR="009A5BA3">
        <w:rPr>
          <w:lang w:val="en-ZA"/>
        </w:rPr>
        <w:t>5</w:t>
      </w:r>
      <w:r w:rsidRPr="0097440C">
        <w:rPr>
          <w:lang w:val="en-ZA"/>
        </w:rPr>
        <w:t>)</w:t>
      </w:r>
      <w:r>
        <w:rPr>
          <w:lang w:val="en-ZA"/>
        </w:rPr>
        <w:t xml:space="preserve"> stated that the other objective of corporate rebranding is to reduce the negative effects of brand equity. However, corporate rebranding could increase or decrease brand equity according to Boyle (</w:t>
      </w:r>
      <w:r w:rsidRPr="0097440C">
        <w:rPr>
          <w:lang w:val="en-ZA"/>
        </w:rPr>
        <w:t>2002</w:t>
      </w:r>
      <w:r>
        <w:rPr>
          <w:lang w:val="en-ZA"/>
        </w:rPr>
        <w:t xml:space="preserve">) and </w:t>
      </w:r>
      <w:r w:rsidRPr="0097440C">
        <w:rPr>
          <w:lang w:val="en-ZA"/>
        </w:rPr>
        <w:t>Muzellec and Lambkin (2006)</w:t>
      </w:r>
      <w:r w:rsidR="005B639C">
        <w:rPr>
          <w:lang w:val="en-ZA"/>
        </w:rPr>
        <w:t xml:space="preserve">. </w:t>
      </w:r>
      <w:r w:rsidRPr="0097440C">
        <w:rPr>
          <w:lang w:val="en-ZA"/>
        </w:rPr>
        <w:t>In other words, when rebranding is conceptuali</w:t>
      </w:r>
      <w:r>
        <w:rPr>
          <w:lang w:val="en-ZA"/>
        </w:rPr>
        <w:t>s</w:t>
      </w:r>
      <w:r w:rsidRPr="0097440C">
        <w:rPr>
          <w:lang w:val="en-ZA"/>
        </w:rPr>
        <w:t xml:space="preserve">ed as a modification </w:t>
      </w:r>
      <w:r>
        <w:rPr>
          <w:lang w:val="en-ZA"/>
        </w:rPr>
        <w:t xml:space="preserve">to </w:t>
      </w:r>
      <w:r w:rsidRPr="0097440C">
        <w:rPr>
          <w:lang w:val="en-ZA"/>
        </w:rPr>
        <w:t xml:space="preserve">self-identity and/or an attempt to </w:t>
      </w:r>
      <w:r>
        <w:rPr>
          <w:lang w:val="en-ZA"/>
        </w:rPr>
        <w:t>modify</w:t>
      </w:r>
      <w:r w:rsidRPr="0097440C">
        <w:rPr>
          <w:lang w:val="en-ZA"/>
        </w:rPr>
        <w:t xml:space="preserve"> perceptions among stakeholders, this strategy </w:t>
      </w:r>
      <w:r>
        <w:rPr>
          <w:lang w:val="en-ZA"/>
        </w:rPr>
        <w:t>may</w:t>
      </w:r>
      <w:r w:rsidRPr="0097440C">
        <w:rPr>
          <w:lang w:val="en-ZA"/>
        </w:rPr>
        <w:t xml:space="preserve"> either </w:t>
      </w:r>
      <w:r>
        <w:rPr>
          <w:lang w:val="en-ZA"/>
        </w:rPr>
        <w:t>positively</w:t>
      </w:r>
      <w:r w:rsidRPr="0097440C">
        <w:rPr>
          <w:lang w:val="en-ZA"/>
        </w:rPr>
        <w:t xml:space="preserve"> or </w:t>
      </w:r>
      <w:r>
        <w:rPr>
          <w:lang w:val="en-ZA"/>
        </w:rPr>
        <w:t>negatively impact</w:t>
      </w:r>
      <w:r w:rsidRPr="0097440C">
        <w:rPr>
          <w:lang w:val="en-ZA"/>
        </w:rPr>
        <w:t xml:space="preserve"> brand equity (Muzellec and Lambkin, 2006). </w:t>
      </w:r>
    </w:p>
    <w:p w:rsidR="00296618" w:rsidRDefault="00296618" w:rsidP="00296618">
      <w:pPr>
        <w:rPr>
          <w:lang w:val="en-ZA"/>
        </w:rPr>
      </w:pPr>
    </w:p>
    <w:p w:rsidR="00296618" w:rsidRPr="0097440C" w:rsidRDefault="00296618" w:rsidP="00296618">
      <w:pPr>
        <w:rPr>
          <w:lang w:val="en-ZA"/>
        </w:rPr>
      </w:pPr>
      <w:r>
        <w:rPr>
          <w:lang w:val="en-ZA"/>
        </w:rPr>
        <w:t>According to Rosenthal (</w:t>
      </w:r>
      <w:r w:rsidRPr="0097440C">
        <w:rPr>
          <w:lang w:val="en-ZA"/>
        </w:rPr>
        <w:t>2003</w:t>
      </w:r>
      <w:r>
        <w:rPr>
          <w:lang w:val="en-ZA"/>
        </w:rPr>
        <w:t>), c</w:t>
      </w:r>
      <w:r w:rsidRPr="0097440C">
        <w:rPr>
          <w:lang w:val="en-ZA"/>
        </w:rPr>
        <w:t xml:space="preserve">onstant </w:t>
      </w:r>
      <w:r>
        <w:rPr>
          <w:lang w:val="en-ZA"/>
        </w:rPr>
        <w:t>focus on the macro conditions</w:t>
      </w:r>
      <w:r w:rsidRPr="0097440C">
        <w:rPr>
          <w:lang w:val="en-ZA"/>
        </w:rPr>
        <w:t xml:space="preserve"> and growth is crucial </w:t>
      </w:r>
      <w:r>
        <w:rPr>
          <w:lang w:val="en-ZA"/>
        </w:rPr>
        <w:t>when considering rebranding</w:t>
      </w:r>
      <w:r w:rsidRPr="0097440C">
        <w:rPr>
          <w:lang w:val="en-ZA"/>
        </w:rPr>
        <w:t xml:space="preserve">. </w:t>
      </w:r>
      <w:r>
        <w:rPr>
          <w:lang w:val="en-ZA"/>
        </w:rPr>
        <w:t>D</w:t>
      </w:r>
      <w:r w:rsidRPr="0097440C">
        <w:rPr>
          <w:lang w:val="en-ZA"/>
        </w:rPr>
        <w:t>e Chernatony et al. (2004</w:t>
      </w:r>
      <w:r>
        <w:rPr>
          <w:lang w:val="en-ZA"/>
        </w:rPr>
        <w:t>) argues</w:t>
      </w:r>
      <w:r w:rsidRPr="0097440C">
        <w:rPr>
          <w:lang w:val="en-ZA"/>
        </w:rPr>
        <w:t xml:space="preserve"> that if a brand </w:t>
      </w:r>
      <w:r>
        <w:rPr>
          <w:lang w:val="en-ZA"/>
        </w:rPr>
        <w:t>is to be consistently successful,</w:t>
      </w:r>
      <w:r w:rsidRPr="0097440C">
        <w:rPr>
          <w:lang w:val="en-ZA"/>
        </w:rPr>
        <w:t xml:space="preserve"> </w:t>
      </w:r>
      <w:r>
        <w:rPr>
          <w:lang w:val="en-ZA"/>
        </w:rPr>
        <w:t xml:space="preserve">it needs to regularly modify </w:t>
      </w:r>
      <w:r>
        <w:rPr>
          <w:lang w:val="en-ZA"/>
        </w:rPr>
        <w:lastRenderedPageBreak/>
        <w:t xml:space="preserve">its </w:t>
      </w:r>
      <w:r w:rsidRPr="0097440C">
        <w:rPr>
          <w:lang w:val="en-ZA"/>
        </w:rPr>
        <w:t>values that form part of its identity</w:t>
      </w:r>
      <w:r>
        <w:rPr>
          <w:lang w:val="en-ZA"/>
        </w:rPr>
        <w:t xml:space="preserve"> to changing needs of its consumers. </w:t>
      </w:r>
      <w:r w:rsidRPr="0097440C">
        <w:rPr>
          <w:lang w:val="en-ZA"/>
        </w:rPr>
        <w:t xml:space="preserve">Rebranding targets to increase, reclaim, transfer and/or </w:t>
      </w:r>
      <w:r>
        <w:rPr>
          <w:lang w:val="en-ZA"/>
        </w:rPr>
        <w:t>rebuild</w:t>
      </w:r>
      <w:r w:rsidRPr="0097440C">
        <w:rPr>
          <w:lang w:val="en-ZA"/>
        </w:rPr>
        <w:t xml:space="preserve"> the corporate brand equity </w:t>
      </w:r>
      <w:r>
        <w:rPr>
          <w:lang w:val="en-ZA"/>
        </w:rPr>
        <w:t xml:space="preserve">according to </w:t>
      </w:r>
      <w:r w:rsidRPr="0097440C">
        <w:rPr>
          <w:lang w:val="en-ZA"/>
        </w:rPr>
        <w:t>Muzellec and Lambkin</w:t>
      </w:r>
      <w:r>
        <w:rPr>
          <w:lang w:val="en-ZA"/>
        </w:rPr>
        <w:t xml:space="preserve"> (</w:t>
      </w:r>
      <w:r w:rsidRPr="0097440C">
        <w:rPr>
          <w:lang w:val="en-ZA"/>
        </w:rPr>
        <w:t xml:space="preserve">2006). </w:t>
      </w:r>
      <w:r>
        <w:rPr>
          <w:lang w:val="en-ZA"/>
        </w:rPr>
        <w:t>The literature</w:t>
      </w:r>
      <w:r w:rsidRPr="0097440C">
        <w:rPr>
          <w:lang w:val="en-ZA"/>
        </w:rPr>
        <w:t xml:space="preserve"> suggest</w:t>
      </w:r>
      <w:r>
        <w:rPr>
          <w:lang w:val="en-ZA"/>
        </w:rPr>
        <w:t>s</w:t>
      </w:r>
      <w:r w:rsidRPr="0097440C">
        <w:rPr>
          <w:lang w:val="en-ZA"/>
        </w:rPr>
        <w:t xml:space="preserve"> that </w:t>
      </w:r>
      <w:r>
        <w:rPr>
          <w:lang w:val="en-ZA"/>
        </w:rPr>
        <w:t xml:space="preserve">a change to a name is not an automatic indicator of an </w:t>
      </w:r>
      <w:r w:rsidRPr="0097440C">
        <w:rPr>
          <w:lang w:val="en-ZA"/>
        </w:rPr>
        <w:t>increase</w:t>
      </w:r>
      <w:r>
        <w:rPr>
          <w:lang w:val="en-ZA"/>
        </w:rPr>
        <w:t xml:space="preserve"> in</w:t>
      </w:r>
      <w:r w:rsidRPr="0097440C">
        <w:rPr>
          <w:lang w:val="en-ZA"/>
        </w:rPr>
        <w:t xml:space="preserve"> profitability and investors</w:t>
      </w:r>
      <w:r>
        <w:rPr>
          <w:lang w:val="en-ZA"/>
        </w:rPr>
        <w:t>’</w:t>
      </w:r>
      <w:r w:rsidRPr="0097440C">
        <w:rPr>
          <w:lang w:val="en-ZA"/>
        </w:rPr>
        <w:t xml:space="preserve"> perception of </w:t>
      </w:r>
      <w:r>
        <w:rPr>
          <w:lang w:val="en-ZA"/>
        </w:rPr>
        <w:t>a company’s</w:t>
      </w:r>
      <w:r w:rsidRPr="0097440C">
        <w:rPr>
          <w:lang w:val="en-ZA"/>
        </w:rPr>
        <w:t xml:space="preserve"> value (Kilic and Dursun, 2006). </w:t>
      </w:r>
      <w:r>
        <w:rPr>
          <w:lang w:val="en-ZA"/>
        </w:rPr>
        <w:t>M</w:t>
      </w:r>
      <w:r w:rsidRPr="0097440C">
        <w:rPr>
          <w:lang w:val="en-ZA"/>
        </w:rPr>
        <w:t xml:space="preserve">ost </w:t>
      </w:r>
      <w:r>
        <w:rPr>
          <w:lang w:val="en-ZA"/>
        </w:rPr>
        <w:t>companies</w:t>
      </w:r>
      <w:r w:rsidRPr="0097440C">
        <w:rPr>
          <w:lang w:val="en-ZA"/>
        </w:rPr>
        <w:t xml:space="preserve"> do not properly </w:t>
      </w:r>
      <w:r>
        <w:rPr>
          <w:lang w:val="en-ZA"/>
        </w:rPr>
        <w:t>solicit input from their stakeholders</w:t>
      </w:r>
      <w:r w:rsidRPr="0097440C">
        <w:rPr>
          <w:lang w:val="en-ZA"/>
        </w:rPr>
        <w:t xml:space="preserve"> on rebranding practice </w:t>
      </w:r>
      <w:r>
        <w:rPr>
          <w:lang w:val="en-ZA"/>
        </w:rPr>
        <w:t xml:space="preserve">according to </w:t>
      </w:r>
      <w:r w:rsidRPr="0097440C">
        <w:rPr>
          <w:lang w:val="en-ZA"/>
        </w:rPr>
        <w:t>Lomax and Mador</w:t>
      </w:r>
      <w:r>
        <w:rPr>
          <w:lang w:val="en-ZA"/>
        </w:rPr>
        <w:t xml:space="preserve"> (</w:t>
      </w:r>
      <w:r w:rsidRPr="0097440C">
        <w:rPr>
          <w:lang w:val="en-ZA"/>
        </w:rPr>
        <w:t xml:space="preserve">2006). Braun (1999) </w:t>
      </w:r>
      <w:r>
        <w:rPr>
          <w:lang w:val="en-ZA"/>
        </w:rPr>
        <w:t>concludes</w:t>
      </w:r>
      <w:r w:rsidRPr="0097440C">
        <w:rPr>
          <w:lang w:val="en-ZA"/>
        </w:rPr>
        <w:t xml:space="preserve"> that </w:t>
      </w:r>
      <w:r>
        <w:rPr>
          <w:lang w:val="en-ZA"/>
        </w:rPr>
        <w:t>brand managers</w:t>
      </w:r>
      <w:r w:rsidRPr="0097440C">
        <w:rPr>
          <w:lang w:val="en-ZA"/>
        </w:rPr>
        <w:t xml:space="preserve"> </w:t>
      </w:r>
      <w:r>
        <w:rPr>
          <w:lang w:val="en-ZA"/>
        </w:rPr>
        <w:t>may</w:t>
      </w:r>
      <w:r w:rsidRPr="0097440C">
        <w:rPr>
          <w:lang w:val="en-ZA"/>
        </w:rPr>
        <w:t xml:space="preserve"> </w:t>
      </w:r>
      <w:r>
        <w:rPr>
          <w:lang w:val="en-ZA"/>
        </w:rPr>
        <w:t>influence</w:t>
      </w:r>
      <w:r w:rsidRPr="0097440C">
        <w:rPr>
          <w:lang w:val="en-ZA"/>
        </w:rPr>
        <w:t xml:space="preserve"> consumers</w:t>
      </w:r>
      <w:r>
        <w:rPr>
          <w:lang w:val="en-ZA"/>
        </w:rPr>
        <w:t>’</w:t>
      </w:r>
      <w:r w:rsidRPr="0097440C">
        <w:rPr>
          <w:lang w:val="en-ZA"/>
        </w:rPr>
        <w:t xml:space="preserve"> experiential memories </w:t>
      </w:r>
      <w:r>
        <w:rPr>
          <w:lang w:val="en-ZA"/>
        </w:rPr>
        <w:t>through</w:t>
      </w:r>
      <w:r w:rsidRPr="0097440C">
        <w:rPr>
          <w:lang w:val="en-ZA"/>
        </w:rPr>
        <w:t xml:space="preserve"> messag</w:t>
      </w:r>
      <w:r>
        <w:rPr>
          <w:lang w:val="en-ZA"/>
        </w:rPr>
        <w:t>ing</w:t>
      </w:r>
      <w:r w:rsidRPr="0097440C">
        <w:rPr>
          <w:lang w:val="en-ZA"/>
        </w:rPr>
        <w:t xml:space="preserve">. </w:t>
      </w:r>
      <w:r>
        <w:rPr>
          <w:lang w:val="en-ZA"/>
        </w:rPr>
        <w:t>Therefore</w:t>
      </w:r>
      <w:r w:rsidRPr="0097440C">
        <w:rPr>
          <w:lang w:val="en-ZA"/>
        </w:rPr>
        <w:t xml:space="preserve">, to </w:t>
      </w:r>
      <w:r>
        <w:rPr>
          <w:lang w:val="en-ZA"/>
        </w:rPr>
        <w:t>modify</w:t>
      </w:r>
      <w:r w:rsidRPr="0097440C">
        <w:rPr>
          <w:lang w:val="en-ZA"/>
        </w:rPr>
        <w:t xml:space="preserve"> consumer memory, rebranding </w:t>
      </w:r>
      <w:r>
        <w:rPr>
          <w:lang w:val="en-ZA"/>
        </w:rPr>
        <w:t>has</w:t>
      </w:r>
      <w:r w:rsidRPr="0097440C">
        <w:rPr>
          <w:lang w:val="en-ZA"/>
        </w:rPr>
        <w:t xml:space="preserve"> a </w:t>
      </w:r>
      <w:r>
        <w:rPr>
          <w:lang w:val="en-ZA"/>
        </w:rPr>
        <w:t>pivotal</w:t>
      </w:r>
      <w:r w:rsidRPr="0097440C">
        <w:rPr>
          <w:lang w:val="en-ZA"/>
        </w:rPr>
        <w:t xml:space="preserve"> role in the rebuilding of a consumer’s memory. </w:t>
      </w:r>
      <w:r>
        <w:rPr>
          <w:lang w:val="en-ZA"/>
        </w:rPr>
        <w:t>Boyle (2002) agrees that a</w:t>
      </w:r>
      <w:r w:rsidRPr="0097440C">
        <w:rPr>
          <w:lang w:val="en-ZA"/>
        </w:rPr>
        <w:t xml:space="preserve">lthough a </w:t>
      </w:r>
      <w:r>
        <w:rPr>
          <w:lang w:val="en-ZA"/>
        </w:rPr>
        <w:t>company’s</w:t>
      </w:r>
      <w:r w:rsidRPr="0097440C">
        <w:rPr>
          <w:lang w:val="en-ZA"/>
        </w:rPr>
        <w:t xml:space="preserve"> objective </w:t>
      </w:r>
      <w:r>
        <w:rPr>
          <w:lang w:val="en-ZA"/>
        </w:rPr>
        <w:t>in</w:t>
      </w:r>
      <w:r w:rsidRPr="0097440C">
        <w:rPr>
          <w:lang w:val="en-ZA"/>
        </w:rPr>
        <w:t xml:space="preserve"> rebrand</w:t>
      </w:r>
      <w:r>
        <w:rPr>
          <w:lang w:val="en-ZA"/>
        </w:rPr>
        <w:t>ing</w:t>
      </w:r>
      <w:r w:rsidRPr="0097440C">
        <w:rPr>
          <w:lang w:val="en-ZA"/>
        </w:rPr>
        <w:t xml:space="preserve"> is to offer customers a unique organi</w:t>
      </w:r>
      <w:r>
        <w:rPr>
          <w:lang w:val="en-ZA"/>
        </w:rPr>
        <w:t>s</w:t>
      </w:r>
      <w:r w:rsidRPr="0097440C">
        <w:rPr>
          <w:lang w:val="en-ZA"/>
        </w:rPr>
        <w:t xml:space="preserve">ational value proposition, the rebranding </w:t>
      </w:r>
      <w:r>
        <w:rPr>
          <w:lang w:val="en-ZA"/>
        </w:rPr>
        <w:t>process</w:t>
      </w:r>
      <w:r w:rsidRPr="0097440C">
        <w:rPr>
          <w:lang w:val="en-ZA"/>
        </w:rPr>
        <w:t xml:space="preserve"> </w:t>
      </w:r>
      <w:r>
        <w:rPr>
          <w:lang w:val="en-ZA"/>
        </w:rPr>
        <w:t>may</w:t>
      </w:r>
      <w:r w:rsidRPr="0097440C">
        <w:rPr>
          <w:lang w:val="en-ZA"/>
        </w:rPr>
        <w:t xml:space="preserve"> not positively</w:t>
      </w:r>
      <w:r>
        <w:rPr>
          <w:lang w:val="en-ZA"/>
        </w:rPr>
        <w:t xml:space="preserve"> influence</w:t>
      </w:r>
      <w:r w:rsidRPr="0097440C">
        <w:rPr>
          <w:lang w:val="en-ZA"/>
        </w:rPr>
        <w:t xml:space="preserve"> brand equity</w:t>
      </w:r>
      <w:r>
        <w:rPr>
          <w:lang w:val="en-ZA"/>
        </w:rPr>
        <w:t xml:space="preserve">. </w:t>
      </w:r>
      <w:r w:rsidRPr="0097440C">
        <w:rPr>
          <w:lang w:val="en-ZA"/>
        </w:rPr>
        <w:t xml:space="preserve">Muzellec and Lambkin (2006) </w:t>
      </w:r>
      <w:r>
        <w:rPr>
          <w:lang w:val="en-ZA"/>
        </w:rPr>
        <w:t>state</w:t>
      </w:r>
      <w:r w:rsidRPr="0097440C">
        <w:rPr>
          <w:lang w:val="en-ZA"/>
        </w:rPr>
        <w:t xml:space="preserve"> that brand awareness is a </w:t>
      </w:r>
      <w:r>
        <w:rPr>
          <w:lang w:val="en-ZA"/>
        </w:rPr>
        <w:t>fundamental</w:t>
      </w:r>
      <w:r w:rsidRPr="0097440C">
        <w:rPr>
          <w:lang w:val="en-ZA"/>
        </w:rPr>
        <w:t xml:space="preserve"> </w:t>
      </w:r>
      <w:r>
        <w:rPr>
          <w:lang w:val="en-ZA"/>
        </w:rPr>
        <w:t xml:space="preserve">trigger </w:t>
      </w:r>
      <w:r w:rsidRPr="0097440C">
        <w:rPr>
          <w:lang w:val="en-ZA"/>
        </w:rPr>
        <w:t>of brand equity</w:t>
      </w:r>
      <w:r>
        <w:rPr>
          <w:lang w:val="en-ZA"/>
        </w:rPr>
        <w:t xml:space="preserve"> and thus </w:t>
      </w:r>
      <w:r w:rsidRPr="0097440C">
        <w:rPr>
          <w:lang w:val="en-ZA"/>
        </w:rPr>
        <w:t xml:space="preserve">rebranding </w:t>
      </w:r>
      <w:r>
        <w:rPr>
          <w:lang w:val="en-ZA"/>
        </w:rPr>
        <w:t>may</w:t>
      </w:r>
      <w:r w:rsidRPr="0097440C">
        <w:rPr>
          <w:lang w:val="en-ZA"/>
        </w:rPr>
        <w:t xml:space="preserve"> </w:t>
      </w:r>
      <w:r>
        <w:rPr>
          <w:lang w:val="en-ZA"/>
        </w:rPr>
        <w:t>decrease</w:t>
      </w:r>
      <w:r w:rsidRPr="0097440C">
        <w:rPr>
          <w:lang w:val="en-ZA"/>
        </w:rPr>
        <w:t xml:space="preserve"> the equity of a brand. </w:t>
      </w:r>
    </w:p>
    <w:p w:rsidR="00296618" w:rsidRPr="0097440C" w:rsidRDefault="00296618" w:rsidP="00296618">
      <w:pPr>
        <w:pStyle w:val="Heading3"/>
        <w:numPr>
          <w:ilvl w:val="2"/>
          <w:numId w:val="19"/>
        </w:numPr>
      </w:pPr>
      <w:bookmarkStart w:id="36" w:name="_Toc380687060"/>
      <w:r w:rsidRPr="0097440C">
        <w:t xml:space="preserve">Drivers of </w:t>
      </w:r>
      <w:r>
        <w:t>c</w:t>
      </w:r>
      <w:r w:rsidRPr="0097440C">
        <w:t xml:space="preserve">orporate </w:t>
      </w:r>
      <w:r>
        <w:t>r</w:t>
      </w:r>
      <w:r w:rsidRPr="0097440C">
        <w:t>ebranding</w:t>
      </w:r>
      <w:bookmarkEnd w:id="36"/>
      <w:r w:rsidRPr="0097440C">
        <w:t xml:space="preserve"> </w:t>
      </w:r>
    </w:p>
    <w:p w:rsidR="00296618" w:rsidRDefault="00296618" w:rsidP="00296618">
      <w:r w:rsidRPr="002311BE">
        <w:rPr>
          <w:rFonts w:cs="Arial"/>
        </w:rPr>
        <w:t xml:space="preserve">Corporate rebranding occurs as a result of modifications in company structure, strategy or performance </w:t>
      </w:r>
      <w:r>
        <w:rPr>
          <w:rFonts w:cs="Arial"/>
        </w:rPr>
        <w:t>of</w:t>
      </w:r>
      <w:r w:rsidRPr="002311BE">
        <w:rPr>
          <w:rFonts w:cs="Arial"/>
        </w:rPr>
        <w:t xml:space="preserve"> sufficient scale to recommend the need for a</w:t>
      </w:r>
      <w:r>
        <w:rPr>
          <w:rFonts w:cs="Arial"/>
        </w:rPr>
        <w:t>n</w:t>
      </w:r>
      <w:r w:rsidRPr="002311BE">
        <w:rPr>
          <w:rFonts w:cs="Arial"/>
        </w:rPr>
        <w:t xml:space="preserve"> essential redefinition of its </w:t>
      </w:r>
      <w:r>
        <w:rPr>
          <w:rFonts w:cs="Arial"/>
        </w:rPr>
        <w:t xml:space="preserve">brand </w:t>
      </w:r>
      <w:r w:rsidRPr="002311BE">
        <w:rPr>
          <w:rFonts w:cs="Arial"/>
        </w:rPr>
        <w:t xml:space="preserve">identity. </w:t>
      </w:r>
      <w:r>
        <w:t>According to</w:t>
      </w:r>
      <w:r w:rsidRPr="0097440C">
        <w:t xml:space="preserve"> the literature, corporate rebranding drivers </w:t>
      </w:r>
      <w:r>
        <w:t>are</w:t>
      </w:r>
      <w:r w:rsidRPr="0097440C">
        <w:t xml:space="preserve"> divided into </w:t>
      </w:r>
      <w:r>
        <w:t>four</w:t>
      </w:r>
      <w:r w:rsidRPr="0097440C">
        <w:t xml:space="preserve"> major groups: </w:t>
      </w:r>
      <w:r w:rsidR="005B639C">
        <w:t xml:space="preserve">change in </w:t>
      </w:r>
      <w:r>
        <w:t>ownership</w:t>
      </w:r>
      <w:r w:rsidR="005B639C">
        <w:t xml:space="preserve"> structure</w:t>
      </w:r>
      <w:r>
        <w:t xml:space="preserve">, </w:t>
      </w:r>
      <w:r w:rsidR="005B639C">
        <w:t xml:space="preserve">change </w:t>
      </w:r>
      <w:r>
        <w:t xml:space="preserve">in corporate strategy, </w:t>
      </w:r>
      <w:r w:rsidR="005B639C">
        <w:t>change in competitive</w:t>
      </w:r>
      <w:r>
        <w:t xml:space="preserve"> position and changes in the external environment</w:t>
      </w:r>
      <w:r w:rsidRPr="0097440C">
        <w:t xml:space="preserve"> (Boyle, 2002; Causon, 2004; Gambles and Shuster, 2003; Lomax, Mador and Fitzhenry, 2002; Kaikati and Kaikati, 2003; Muzellec and Lambkin, 2006; Stuart and Muzellec; 2004). </w:t>
      </w:r>
      <w:r>
        <w:t xml:space="preserve">These drivers are further explained in Table 2. </w:t>
      </w:r>
    </w:p>
    <w:p w:rsidR="0063507B" w:rsidRDefault="0063507B" w:rsidP="00296618"/>
    <w:p w:rsidR="00296618" w:rsidRDefault="00296618" w:rsidP="00296618">
      <w:pPr>
        <w:pStyle w:val="Caption"/>
        <w:rPr>
          <w:sz w:val="24"/>
        </w:rPr>
      </w:pPr>
      <w:bookmarkStart w:id="37" w:name="_Toc380684348"/>
      <w:r w:rsidRPr="000A1F28">
        <w:rPr>
          <w:sz w:val="24"/>
        </w:rPr>
        <w:t xml:space="preserve">Table </w:t>
      </w:r>
      <w:r w:rsidRPr="000A1F28">
        <w:rPr>
          <w:sz w:val="24"/>
        </w:rPr>
        <w:fldChar w:fldCharType="begin"/>
      </w:r>
      <w:r w:rsidRPr="000A1F28">
        <w:rPr>
          <w:sz w:val="24"/>
        </w:rPr>
        <w:instrText xml:space="preserve"> SEQ Table \* ARABIC </w:instrText>
      </w:r>
      <w:r w:rsidRPr="000A1F28">
        <w:rPr>
          <w:sz w:val="24"/>
        </w:rPr>
        <w:fldChar w:fldCharType="separate"/>
      </w:r>
      <w:r w:rsidR="00D61AFB">
        <w:rPr>
          <w:noProof/>
          <w:sz w:val="24"/>
        </w:rPr>
        <w:t>2</w:t>
      </w:r>
      <w:r w:rsidRPr="000A1F28">
        <w:rPr>
          <w:sz w:val="24"/>
        </w:rPr>
        <w:fldChar w:fldCharType="end"/>
      </w:r>
      <w:r w:rsidRPr="000A1F28">
        <w:rPr>
          <w:sz w:val="24"/>
        </w:rPr>
        <w:t>: Corporate Rebranding Drivers</w:t>
      </w:r>
      <w:bookmarkEnd w:id="37"/>
    </w:p>
    <w:tbl>
      <w:tblPr>
        <w:tblStyle w:val="TableGrid"/>
        <w:tblW w:w="0" w:type="auto"/>
        <w:tblLook w:val="04A0" w:firstRow="1" w:lastRow="0" w:firstColumn="1" w:lastColumn="0" w:noHBand="0" w:noVBand="1"/>
      </w:tblPr>
      <w:tblGrid>
        <w:gridCol w:w="2518"/>
        <w:gridCol w:w="4252"/>
        <w:gridCol w:w="2184"/>
      </w:tblGrid>
      <w:tr w:rsidR="007375E2" w:rsidRPr="0097440C" w:rsidTr="0063507B">
        <w:trPr>
          <w:trHeight w:val="459"/>
        </w:trPr>
        <w:tc>
          <w:tcPr>
            <w:tcW w:w="8954" w:type="dxa"/>
            <w:gridSpan w:val="3"/>
          </w:tcPr>
          <w:p w:rsidR="007375E2" w:rsidRPr="00272493" w:rsidRDefault="007375E2" w:rsidP="0063507B">
            <w:pPr>
              <w:spacing w:line="240" w:lineRule="auto"/>
              <w:jc w:val="center"/>
              <w:rPr>
                <w:b/>
              </w:rPr>
            </w:pPr>
            <w:r w:rsidRPr="00272493">
              <w:rPr>
                <w:b/>
              </w:rPr>
              <w:lastRenderedPageBreak/>
              <w:t>Corporate Rebranding Drivers</w:t>
            </w:r>
          </w:p>
        </w:tc>
      </w:tr>
      <w:tr w:rsidR="007375E2" w:rsidRPr="0097440C" w:rsidTr="0063507B">
        <w:tc>
          <w:tcPr>
            <w:tcW w:w="2518" w:type="dxa"/>
          </w:tcPr>
          <w:p w:rsidR="007375E2" w:rsidRPr="00A15BBD" w:rsidRDefault="007375E2" w:rsidP="0063507B">
            <w:pPr>
              <w:spacing w:line="240" w:lineRule="auto"/>
              <w:jc w:val="left"/>
              <w:rPr>
                <w:b/>
              </w:rPr>
            </w:pPr>
            <w:r>
              <w:rPr>
                <w:b/>
              </w:rPr>
              <w:t>Driver</w:t>
            </w:r>
          </w:p>
        </w:tc>
        <w:tc>
          <w:tcPr>
            <w:tcW w:w="4252" w:type="dxa"/>
          </w:tcPr>
          <w:p w:rsidR="007375E2" w:rsidRPr="00A15BBD" w:rsidRDefault="007375E2" w:rsidP="0063507B">
            <w:pPr>
              <w:spacing w:line="240" w:lineRule="auto"/>
              <w:jc w:val="left"/>
            </w:pPr>
            <w:r>
              <w:t>Factor</w:t>
            </w:r>
          </w:p>
        </w:tc>
        <w:tc>
          <w:tcPr>
            <w:tcW w:w="2184" w:type="dxa"/>
          </w:tcPr>
          <w:p w:rsidR="007375E2" w:rsidRPr="0097440C" w:rsidRDefault="007375E2" w:rsidP="0063507B">
            <w:pPr>
              <w:spacing w:line="240" w:lineRule="auto"/>
            </w:pPr>
            <w:r>
              <w:t>Reference</w:t>
            </w:r>
          </w:p>
        </w:tc>
      </w:tr>
      <w:tr w:rsidR="007375E2" w:rsidRPr="0097440C" w:rsidTr="0063507B">
        <w:tc>
          <w:tcPr>
            <w:tcW w:w="2518" w:type="dxa"/>
          </w:tcPr>
          <w:p w:rsidR="007375E2" w:rsidRPr="00A15BBD" w:rsidRDefault="007375E2" w:rsidP="0063507B">
            <w:pPr>
              <w:spacing w:line="240" w:lineRule="auto"/>
              <w:jc w:val="left"/>
              <w:rPr>
                <w:b/>
              </w:rPr>
            </w:pPr>
            <w:r w:rsidRPr="00A15BBD">
              <w:rPr>
                <w:b/>
              </w:rPr>
              <w:t xml:space="preserve">Change in ownership structure </w:t>
            </w:r>
          </w:p>
        </w:tc>
        <w:tc>
          <w:tcPr>
            <w:tcW w:w="4252" w:type="dxa"/>
          </w:tcPr>
          <w:p w:rsidR="007375E2" w:rsidRPr="00A15BBD" w:rsidRDefault="007375E2" w:rsidP="0063507B">
            <w:pPr>
              <w:spacing w:line="240" w:lineRule="auto"/>
              <w:jc w:val="left"/>
            </w:pPr>
            <w:r w:rsidRPr="00A15BBD">
              <w:t>Mergers and acquisitions</w:t>
            </w:r>
          </w:p>
          <w:p w:rsidR="007375E2" w:rsidRPr="00A15BBD" w:rsidRDefault="007375E2" w:rsidP="0063507B">
            <w:pPr>
              <w:spacing w:line="240" w:lineRule="auto"/>
              <w:jc w:val="left"/>
            </w:pPr>
            <w:r w:rsidRPr="00A15BBD">
              <w:t>Spin-offs and demergers</w:t>
            </w:r>
          </w:p>
          <w:p w:rsidR="007375E2" w:rsidRPr="00A15BBD" w:rsidRDefault="007375E2" w:rsidP="0063507B">
            <w:pPr>
              <w:spacing w:line="240" w:lineRule="auto"/>
              <w:jc w:val="left"/>
            </w:pPr>
            <w:r w:rsidRPr="00A15BBD">
              <w:t>Private to public ownership</w:t>
            </w:r>
          </w:p>
          <w:p w:rsidR="007375E2" w:rsidRPr="00A15BBD" w:rsidRDefault="007375E2" w:rsidP="0063507B">
            <w:pPr>
              <w:spacing w:line="240" w:lineRule="auto"/>
              <w:jc w:val="left"/>
            </w:pPr>
          </w:p>
        </w:tc>
        <w:tc>
          <w:tcPr>
            <w:tcW w:w="2184" w:type="dxa"/>
          </w:tcPr>
          <w:p w:rsidR="007375E2" w:rsidRDefault="007375E2" w:rsidP="0063507B">
            <w:pPr>
              <w:spacing w:line="240" w:lineRule="auto"/>
            </w:pPr>
            <w:r w:rsidRPr="0097440C">
              <w:t>Muzellec and Lambkin (2006)</w:t>
            </w:r>
          </w:p>
          <w:p w:rsidR="007375E2" w:rsidRDefault="007375E2" w:rsidP="0063507B">
            <w:pPr>
              <w:spacing w:line="240" w:lineRule="auto"/>
            </w:pPr>
            <w:r w:rsidRPr="0097440C">
              <w:t>Lomax, Mador and Fitzhenry (2002)</w:t>
            </w:r>
          </w:p>
          <w:p w:rsidR="007375E2" w:rsidRDefault="0038367A" w:rsidP="0063507B">
            <w:pPr>
              <w:spacing w:line="240" w:lineRule="auto"/>
              <w:rPr>
                <w:rFonts w:cs="Arial"/>
              </w:rPr>
            </w:pPr>
            <w:r>
              <w:rPr>
                <w:rFonts w:cs="Arial"/>
              </w:rPr>
              <w:t>Basu (</w:t>
            </w:r>
            <w:r w:rsidR="007375E2">
              <w:rPr>
                <w:rFonts w:cs="Arial"/>
              </w:rPr>
              <w:t>2006)</w:t>
            </w:r>
          </w:p>
          <w:p w:rsidR="007375E2" w:rsidRPr="0097440C" w:rsidRDefault="007375E2" w:rsidP="0063507B">
            <w:pPr>
              <w:spacing w:line="240" w:lineRule="auto"/>
            </w:pPr>
          </w:p>
        </w:tc>
      </w:tr>
      <w:tr w:rsidR="007375E2" w:rsidRPr="0097440C" w:rsidTr="0063507B">
        <w:tc>
          <w:tcPr>
            <w:tcW w:w="2518" w:type="dxa"/>
          </w:tcPr>
          <w:p w:rsidR="007375E2" w:rsidRPr="00A15BBD" w:rsidRDefault="005B639C" w:rsidP="0063507B">
            <w:pPr>
              <w:spacing w:line="240" w:lineRule="auto"/>
              <w:jc w:val="left"/>
              <w:rPr>
                <w:b/>
              </w:rPr>
            </w:pPr>
            <w:r>
              <w:rPr>
                <w:b/>
              </w:rPr>
              <w:t>C</w:t>
            </w:r>
            <w:r w:rsidR="007375E2" w:rsidRPr="00A15BBD">
              <w:rPr>
                <w:b/>
              </w:rPr>
              <w:t>hange in corporate strategy</w:t>
            </w:r>
          </w:p>
        </w:tc>
        <w:tc>
          <w:tcPr>
            <w:tcW w:w="4252" w:type="dxa"/>
          </w:tcPr>
          <w:p w:rsidR="007375E2" w:rsidRPr="00A15BBD" w:rsidRDefault="007375E2" w:rsidP="0063507B">
            <w:pPr>
              <w:spacing w:line="240" w:lineRule="auto"/>
              <w:jc w:val="left"/>
            </w:pPr>
            <w:r w:rsidRPr="00A15BBD">
              <w:t>New focus or vision</w:t>
            </w:r>
          </w:p>
          <w:p w:rsidR="007375E2" w:rsidRPr="00A15BBD" w:rsidRDefault="007375E2" w:rsidP="0063507B">
            <w:pPr>
              <w:spacing w:line="240" w:lineRule="auto"/>
              <w:jc w:val="left"/>
            </w:pPr>
            <w:r w:rsidRPr="00A15BBD">
              <w:t>Diversification and divestment</w:t>
            </w:r>
          </w:p>
          <w:p w:rsidR="007375E2" w:rsidRPr="00A15BBD" w:rsidRDefault="007375E2" w:rsidP="0063507B">
            <w:pPr>
              <w:spacing w:line="240" w:lineRule="auto"/>
              <w:jc w:val="left"/>
            </w:pPr>
            <w:r w:rsidRPr="00A15BBD">
              <w:t>Internationalisation and localisation</w:t>
            </w:r>
          </w:p>
          <w:p w:rsidR="007375E2" w:rsidRDefault="007375E2" w:rsidP="0063507B">
            <w:pPr>
              <w:spacing w:line="240" w:lineRule="auto"/>
              <w:jc w:val="left"/>
            </w:pPr>
            <w:r w:rsidRPr="00A15BBD">
              <w:t>Align the culture</w:t>
            </w:r>
          </w:p>
          <w:p w:rsidR="007375E2" w:rsidRPr="00A15BBD" w:rsidRDefault="007375E2" w:rsidP="0063507B">
            <w:pPr>
              <w:spacing w:line="240" w:lineRule="auto"/>
              <w:jc w:val="left"/>
            </w:pPr>
            <w:r w:rsidRPr="00A15BBD">
              <w:t>Unite th</w:t>
            </w:r>
            <w:r>
              <w:t>e organisation behind one brand</w:t>
            </w:r>
          </w:p>
        </w:tc>
        <w:tc>
          <w:tcPr>
            <w:tcW w:w="2184" w:type="dxa"/>
          </w:tcPr>
          <w:p w:rsidR="007375E2" w:rsidRDefault="007375E2" w:rsidP="0063507B">
            <w:pPr>
              <w:spacing w:line="240" w:lineRule="auto"/>
              <w:jc w:val="left"/>
            </w:pPr>
            <w:r w:rsidRPr="0097440C">
              <w:t>Stuart and Muzellec (2004)</w:t>
            </w:r>
          </w:p>
          <w:p w:rsidR="007375E2" w:rsidRPr="0097440C" w:rsidRDefault="007375E2" w:rsidP="0063507B">
            <w:pPr>
              <w:spacing w:line="240" w:lineRule="auto"/>
              <w:jc w:val="left"/>
            </w:pPr>
            <w:r w:rsidRPr="0097440C">
              <w:t>Causon (2004)</w:t>
            </w:r>
          </w:p>
        </w:tc>
      </w:tr>
      <w:tr w:rsidR="007375E2" w:rsidRPr="0097440C" w:rsidTr="0063507B">
        <w:tc>
          <w:tcPr>
            <w:tcW w:w="2518" w:type="dxa"/>
          </w:tcPr>
          <w:p w:rsidR="007375E2" w:rsidRPr="00A15BBD" w:rsidRDefault="005B639C" w:rsidP="0063507B">
            <w:pPr>
              <w:spacing w:line="240" w:lineRule="auto"/>
              <w:jc w:val="left"/>
              <w:rPr>
                <w:b/>
              </w:rPr>
            </w:pPr>
            <w:r>
              <w:rPr>
                <w:b/>
              </w:rPr>
              <w:t>C</w:t>
            </w:r>
            <w:r w:rsidR="007375E2" w:rsidRPr="00A15BBD">
              <w:rPr>
                <w:b/>
              </w:rPr>
              <w:t>hange in competitive position</w:t>
            </w:r>
          </w:p>
        </w:tc>
        <w:tc>
          <w:tcPr>
            <w:tcW w:w="4252" w:type="dxa"/>
          </w:tcPr>
          <w:p w:rsidR="007375E2" w:rsidRPr="00A15BBD" w:rsidRDefault="007375E2" w:rsidP="0063507B">
            <w:pPr>
              <w:spacing w:line="240" w:lineRule="auto"/>
              <w:jc w:val="left"/>
            </w:pPr>
            <w:r w:rsidRPr="00A15BBD">
              <w:t>Erosion of market position</w:t>
            </w:r>
          </w:p>
          <w:p w:rsidR="007375E2" w:rsidRPr="00A15BBD" w:rsidRDefault="007375E2" w:rsidP="0063507B">
            <w:pPr>
              <w:spacing w:line="240" w:lineRule="auto"/>
              <w:jc w:val="left"/>
            </w:pPr>
            <w:r w:rsidRPr="00A15BBD">
              <w:t>Outdated image</w:t>
            </w:r>
          </w:p>
          <w:p w:rsidR="007375E2" w:rsidRDefault="007375E2" w:rsidP="0063507B">
            <w:pPr>
              <w:spacing w:line="240" w:lineRule="auto"/>
              <w:jc w:val="left"/>
            </w:pPr>
            <w:r w:rsidRPr="00A15BBD">
              <w:t>Reputation problems</w:t>
            </w:r>
          </w:p>
          <w:p w:rsidR="007375E2" w:rsidRDefault="007375E2" w:rsidP="0063507B">
            <w:pPr>
              <w:spacing w:line="240" w:lineRule="auto"/>
              <w:jc w:val="left"/>
            </w:pPr>
            <w:r w:rsidRPr="00A15BBD">
              <w:t>Changes the image of the service</w:t>
            </w:r>
          </w:p>
          <w:p w:rsidR="007375E2" w:rsidRPr="00A15BBD" w:rsidRDefault="007375E2" w:rsidP="0063507B">
            <w:pPr>
              <w:spacing w:line="240" w:lineRule="auto"/>
              <w:jc w:val="left"/>
            </w:pPr>
            <w:r w:rsidRPr="0097440C">
              <w:t>Increasing disturbance and competitive environment</w:t>
            </w:r>
          </w:p>
        </w:tc>
        <w:tc>
          <w:tcPr>
            <w:tcW w:w="2184" w:type="dxa"/>
          </w:tcPr>
          <w:p w:rsidR="007375E2" w:rsidRDefault="007375E2" w:rsidP="0063507B">
            <w:pPr>
              <w:spacing w:line="240" w:lineRule="auto"/>
              <w:jc w:val="left"/>
            </w:pPr>
            <w:r w:rsidRPr="0097440C">
              <w:t>Lomax, Mador and Fitzhenry (2002)</w:t>
            </w:r>
          </w:p>
          <w:p w:rsidR="007375E2" w:rsidRPr="0097440C" w:rsidRDefault="007375E2" w:rsidP="0063507B">
            <w:pPr>
              <w:spacing w:line="240" w:lineRule="auto"/>
              <w:jc w:val="left"/>
            </w:pPr>
            <w:r w:rsidRPr="0097440C">
              <w:t>Boyle (2002)</w:t>
            </w:r>
          </w:p>
        </w:tc>
      </w:tr>
      <w:tr w:rsidR="007375E2" w:rsidRPr="0097440C" w:rsidTr="0063507B">
        <w:tc>
          <w:tcPr>
            <w:tcW w:w="2518" w:type="dxa"/>
          </w:tcPr>
          <w:p w:rsidR="007375E2" w:rsidRPr="00A15BBD" w:rsidRDefault="005B639C" w:rsidP="0063507B">
            <w:pPr>
              <w:spacing w:line="240" w:lineRule="auto"/>
              <w:jc w:val="left"/>
              <w:rPr>
                <w:b/>
              </w:rPr>
            </w:pPr>
            <w:r>
              <w:rPr>
                <w:b/>
              </w:rPr>
              <w:t>C</w:t>
            </w:r>
            <w:r w:rsidR="007375E2" w:rsidRPr="00A15BBD">
              <w:rPr>
                <w:b/>
              </w:rPr>
              <w:t>hange in external environment</w:t>
            </w:r>
          </w:p>
        </w:tc>
        <w:tc>
          <w:tcPr>
            <w:tcW w:w="4252" w:type="dxa"/>
          </w:tcPr>
          <w:p w:rsidR="007375E2" w:rsidRPr="00A15BBD" w:rsidRDefault="007375E2" w:rsidP="0063507B">
            <w:pPr>
              <w:spacing w:line="240" w:lineRule="auto"/>
              <w:jc w:val="left"/>
            </w:pPr>
            <w:r w:rsidRPr="00A15BBD">
              <w:t>Economic slowdown</w:t>
            </w:r>
          </w:p>
          <w:p w:rsidR="007375E2" w:rsidRPr="00A15BBD" w:rsidRDefault="007375E2" w:rsidP="0063507B">
            <w:pPr>
              <w:spacing w:line="240" w:lineRule="auto"/>
              <w:jc w:val="left"/>
            </w:pPr>
            <w:r w:rsidRPr="00A15BBD">
              <w:t>Legal obligation</w:t>
            </w:r>
          </w:p>
          <w:p w:rsidR="007375E2" w:rsidRPr="00A15BBD" w:rsidRDefault="007375E2" w:rsidP="0063507B">
            <w:pPr>
              <w:spacing w:line="240" w:lineRule="auto"/>
              <w:jc w:val="left"/>
            </w:pPr>
            <w:r w:rsidRPr="00A15BBD">
              <w:t>Shifts in the marketplace</w:t>
            </w:r>
          </w:p>
          <w:p w:rsidR="007375E2" w:rsidRPr="00A15BBD" w:rsidRDefault="007375E2" w:rsidP="0063507B">
            <w:pPr>
              <w:spacing w:line="240" w:lineRule="auto"/>
              <w:jc w:val="left"/>
            </w:pPr>
          </w:p>
        </w:tc>
        <w:tc>
          <w:tcPr>
            <w:tcW w:w="2184" w:type="dxa"/>
          </w:tcPr>
          <w:p w:rsidR="007375E2" w:rsidRDefault="007375E2" w:rsidP="0063507B">
            <w:pPr>
              <w:spacing w:line="240" w:lineRule="auto"/>
              <w:jc w:val="left"/>
            </w:pPr>
            <w:r w:rsidRPr="0097440C">
              <w:lastRenderedPageBreak/>
              <w:t>Kaikati and Kaikati (2003)</w:t>
            </w:r>
          </w:p>
          <w:p w:rsidR="007375E2" w:rsidRPr="0097440C" w:rsidRDefault="007375E2" w:rsidP="0063507B">
            <w:pPr>
              <w:spacing w:line="240" w:lineRule="auto"/>
              <w:jc w:val="left"/>
            </w:pPr>
            <w:r w:rsidRPr="0097440C">
              <w:t>Stuart and Muzellec (2004</w:t>
            </w:r>
          </w:p>
        </w:tc>
      </w:tr>
    </w:tbl>
    <w:p w:rsidR="00296618" w:rsidRPr="000C1ACF" w:rsidRDefault="00296618" w:rsidP="00296618"/>
    <w:p w:rsidR="00296618" w:rsidRPr="0097440C" w:rsidRDefault="00296618" w:rsidP="00296618">
      <w:pPr>
        <w:pStyle w:val="Heading3"/>
        <w:numPr>
          <w:ilvl w:val="2"/>
          <w:numId w:val="19"/>
        </w:numPr>
      </w:pPr>
      <w:bookmarkStart w:id="38" w:name="_Toc380687061"/>
      <w:r w:rsidRPr="0097440C">
        <w:t>Dimensions of</w:t>
      </w:r>
      <w:r>
        <w:t xml:space="preserve"> c</w:t>
      </w:r>
      <w:r w:rsidRPr="0097440C">
        <w:t xml:space="preserve">orporate </w:t>
      </w:r>
      <w:r>
        <w:t>r</w:t>
      </w:r>
      <w:r w:rsidRPr="0097440C">
        <w:t>ebranding</w:t>
      </w:r>
      <w:bookmarkEnd w:id="38"/>
    </w:p>
    <w:p w:rsidR="00296618" w:rsidRPr="0097440C" w:rsidRDefault="00296618" w:rsidP="00296618">
      <w:r w:rsidRPr="0097440C">
        <w:t>Muzellec</w:t>
      </w:r>
      <w:r w:rsidR="00EC7F5C">
        <w:t xml:space="preserve"> et al.</w:t>
      </w:r>
      <w:r w:rsidRPr="0097440C">
        <w:t xml:space="preserve"> (2003) </w:t>
      </w:r>
      <w:r>
        <w:t>studied</w:t>
      </w:r>
      <w:r w:rsidRPr="0097440C">
        <w:t xml:space="preserve"> 166 publicly </w:t>
      </w:r>
      <w:r>
        <w:t>listed</w:t>
      </w:r>
      <w:r w:rsidRPr="0097440C">
        <w:t xml:space="preserve"> companies that have rebranded and </w:t>
      </w:r>
      <w:r>
        <w:t>termed</w:t>
      </w:r>
      <w:r w:rsidRPr="0097440C">
        <w:t xml:space="preserve"> the dimensions of rebranding which include repositioning, renaming, redesigning, and re-launching.</w:t>
      </w:r>
    </w:p>
    <w:p w:rsidR="00296618" w:rsidRPr="009F5BE6" w:rsidRDefault="00296618" w:rsidP="005B639C">
      <w:pPr>
        <w:pStyle w:val="Heading4"/>
        <w:numPr>
          <w:ilvl w:val="0"/>
          <w:numId w:val="46"/>
        </w:numPr>
        <w:rPr>
          <w:rFonts w:cs="Times New Roman"/>
          <w:bCs w:val="0"/>
          <w:i w:val="0"/>
          <w:iCs w:val="0"/>
        </w:rPr>
      </w:pPr>
      <w:r w:rsidRPr="009F5BE6">
        <w:rPr>
          <w:rFonts w:cs="Times New Roman"/>
          <w:bCs w:val="0"/>
          <w:i w:val="0"/>
          <w:iCs w:val="0"/>
        </w:rPr>
        <w:t>Repositioning</w:t>
      </w:r>
    </w:p>
    <w:p w:rsidR="00296618" w:rsidRPr="0097440C" w:rsidRDefault="00296618" w:rsidP="00296618">
      <w:r w:rsidRPr="0097440C">
        <w:rPr>
          <w:rFonts w:cs="Arial"/>
        </w:rPr>
        <w:t>Brands must be regularly re</w:t>
      </w:r>
      <w:r>
        <w:rPr>
          <w:rFonts w:cs="Arial"/>
        </w:rPr>
        <w:t>-</w:t>
      </w:r>
      <w:r w:rsidRPr="0097440C">
        <w:rPr>
          <w:rFonts w:cs="Arial"/>
        </w:rPr>
        <w:t xml:space="preserve">organised over time to stay relevant to </w:t>
      </w:r>
      <w:r>
        <w:rPr>
          <w:rFonts w:cs="Arial"/>
        </w:rPr>
        <w:t>changing</w:t>
      </w:r>
      <w:r w:rsidRPr="0097440C">
        <w:rPr>
          <w:rFonts w:cs="Arial"/>
        </w:rPr>
        <w:t xml:space="preserve"> market </w:t>
      </w:r>
      <w:r>
        <w:rPr>
          <w:rFonts w:cs="Arial"/>
        </w:rPr>
        <w:t xml:space="preserve">conditions and </w:t>
      </w:r>
      <w:r w:rsidRPr="0097440C">
        <w:rPr>
          <w:rFonts w:cs="Arial"/>
        </w:rPr>
        <w:t xml:space="preserve">trends due to ongoing competitive pressures </w:t>
      </w:r>
      <w:r>
        <w:rPr>
          <w:rFonts w:cs="Arial"/>
        </w:rPr>
        <w:t>including</w:t>
      </w:r>
      <w:r w:rsidRPr="0097440C">
        <w:rPr>
          <w:rFonts w:cs="Arial"/>
        </w:rPr>
        <w:t xml:space="preserve"> broader external events (</w:t>
      </w:r>
      <w:r w:rsidRPr="0097440C">
        <w:t>De Chernatony, 2004</w:t>
      </w:r>
      <w:r w:rsidRPr="0097440C">
        <w:rPr>
          <w:rFonts w:cs="Arial"/>
        </w:rPr>
        <w:t xml:space="preserve">).  Brand positioning is </w:t>
      </w:r>
      <w:r>
        <w:rPr>
          <w:rFonts w:cs="Arial"/>
        </w:rPr>
        <w:t>an on-going</w:t>
      </w:r>
      <w:r w:rsidRPr="0097440C">
        <w:rPr>
          <w:rFonts w:cs="Arial"/>
        </w:rPr>
        <w:t xml:space="preserve"> and incremental process (</w:t>
      </w:r>
      <w:r w:rsidRPr="0097440C">
        <w:t>De</w:t>
      </w:r>
      <w:r>
        <w:t xml:space="preserve"> </w:t>
      </w:r>
      <w:r w:rsidRPr="0097440C">
        <w:t>Chernatony, 2004</w:t>
      </w:r>
      <w:r w:rsidRPr="0097440C">
        <w:rPr>
          <w:rFonts w:cs="Arial"/>
        </w:rPr>
        <w:t>) and circumstances most often dictate level of re</w:t>
      </w:r>
      <w:r>
        <w:rPr>
          <w:rFonts w:cs="Arial"/>
        </w:rPr>
        <w:t>-</w:t>
      </w:r>
      <w:r w:rsidRPr="0097440C">
        <w:rPr>
          <w:rFonts w:cs="Arial"/>
        </w:rPr>
        <w:t>adjustment of the position (</w:t>
      </w:r>
      <w:r w:rsidRPr="0097440C">
        <w:t>Muzellec and Lambkin, 2006)</w:t>
      </w:r>
      <w:r w:rsidRPr="0097440C">
        <w:rPr>
          <w:rFonts w:cs="Arial"/>
        </w:rPr>
        <w:t xml:space="preserve">. Two </w:t>
      </w:r>
      <w:r>
        <w:rPr>
          <w:rFonts w:cs="Arial"/>
        </w:rPr>
        <w:t>fundamental</w:t>
      </w:r>
      <w:r w:rsidRPr="0097440C">
        <w:rPr>
          <w:rFonts w:cs="Arial"/>
        </w:rPr>
        <w:t xml:space="preserve"> levels of repositioning </w:t>
      </w:r>
      <w:r>
        <w:rPr>
          <w:rFonts w:cs="Arial"/>
        </w:rPr>
        <w:t>relate</w:t>
      </w:r>
      <w:r w:rsidRPr="0097440C">
        <w:rPr>
          <w:rFonts w:cs="Arial"/>
        </w:rPr>
        <w:t xml:space="preserve"> to the symbolic and the function of a brand. The</w:t>
      </w:r>
      <w:r>
        <w:rPr>
          <w:rFonts w:cs="Arial"/>
        </w:rPr>
        <w:t>se</w:t>
      </w:r>
      <w:r w:rsidRPr="0097440C">
        <w:rPr>
          <w:rFonts w:cs="Arial"/>
        </w:rPr>
        <w:t xml:space="preserve"> levels </w:t>
      </w:r>
      <w:r>
        <w:rPr>
          <w:rFonts w:cs="Arial"/>
        </w:rPr>
        <w:t>enable</w:t>
      </w:r>
      <w:r w:rsidRPr="0097440C">
        <w:rPr>
          <w:rFonts w:cs="Arial"/>
        </w:rPr>
        <w:t xml:space="preserve"> consumers to identify the</w:t>
      </w:r>
      <w:r>
        <w:rPr>
          <w:rFonts w:cs="Arial"/>
        </w:rPr>
        <w:t xml:space="preserve"> difference/s</w:t>
      </w:r>
      <w:r w:rsidRPr="0097440C">
        <w:rPr>
          <w:rFonts w:cs="Arial"/>
        </w:rPr>
        <w:t xml:space="preserve"> between the old </w:t>
      </w:r>
      <w:r>
        <w:rPr>
          <w:rFonts w:cs="Arial"/>
        </w:rPr>
        <w:t>branding</w:t>
      </w:r>
      <w:r w:rsidRPr="0097440C">
        <w:rPr>
          <w:rFonts w:cs="Arial"/>
        </w:rPr>
        <w:t xml:space="preserve"> and the new </w:t>
      </w:r>
      <w:r>
        <w:rPr>
          <w:rFonts w:cs="Arial"/>
        </w:rPr>
        <w:t>branding</w:t>
      </w:r>
      <w:r w:rsidRPr="0097440C">
        <w:rPr>
          <w:rFonts w:cs="Arial"/>
        </w:rPr>
        <w:t xml:space="preserve"> (Simms and Trott, 2007). According to Simms and Trott (2007)</w:t>
      </w:r>
      <w:r>
        <w:rPr>
          <w:rFonts w:cs="Arial"/>
        </w:rPr>
        <w:t>,</w:t>
      </w:r>
      <w:r w:rsidRPr="0097440C">
        <w:rPr>
          <w:rFonts w:cs="Arial"/>
        </w:rPr>
        <w:t xml:space="preserve"> the symbolism of a brand </w:t>
      </w:r>
      <w:r>
        <w:rPr>
          <w:rFonts w:cs="Arial"/>
        </w:rPr>
        <w:t>is important</w:t>
      </w:r>
      <w:r w:rsidRPr="0097440C">
        <w:rPr>
          <w:rFonts w:cs="Arial"/>
        </w:rPr>
        <w:t xml:space="preserve"> compared to the functional changing consumer perception. </w:t>
      </w:r>
      <w:r>
        <w:rPr>
          <w:rFonts w:cs="Arial"/>
        </w:rPr>
        <w:t>As a result</w:t>
      </w:r>
      <w:r w:rsidRPr="0097440C">
        <w:rPr>
          <w:rFonts w:cs="Arial"/>
        </w:rPr>
        <w:t xml:space="preserve">, </w:t>
      </w:r>
      <w:r>
        <w:rPr>
          <w:rFonts w:cs="Arial"/>
        </w:rPr>
        <w:t>brand managers</w:t>
      </w:r>
      <w:r w:rsidRPr="0097440C">
        <w:rPr>
          <w:rFonts w:cs="Arial"/>
        </w:rPr>
        <w:t xml:space="preserve"> </w:t>
      </w:r>
      <w:r>
        <w:rPr>
          <w:rFonts w:cs="Arial"/>
        </w:rPr>
        <w:t>should</w:t>
      </w:r>
      <w:r w:rsidRPr="0097440C">
        <w:rPr>
          <w:rFonts w:cs="Arial"/>
        </w:rPr>
        <w:t xml:space="preserve"> to </w:t>
      </w:r>
      <w:r>
        <w:rPr>
          <w:rFonts w:cs="Arial"/>
        </w:rPr>
        <w:t>be cognisant of</w:t>
      </w:r>
      <w:r w:rsidRPr="0097440C">
        <w:rPr>
          <w:rFonts w:cs="Arial"/>
        </w:rPr>
        <w:t xml:space="preserve"> the influence </w:t>
      </w:r>
      <w:r>
        <w:rPr>
          <w:rFonts w:cs="Arial"/>
        </w:rPr>
        <w:t>modifications</w:t>
      </w:r>
      <w:r w:rsidRPr="0097440C">
        <w:rPr>
          <w:rFonts w:cs="Arial"/>
        </w:rPr>
        <w:t xml:space="preserve"> to a brand and its positioning </w:t>
      </w:r>
      <w:r>
        <w:rPr>
          <w:rFonts w:cs="Arial"/>
        </w:rPr>
        <w:t>may have on</w:t>
      </w:r>
      <w:r w:rsidRPr="0097440C">
        <w:rPr>
          <w:rFonts w:cs="Arial"/>
        </w:rPr>
        <w:t xml:space="preserve"> consumer’s perception</w:t>
      </w:r>
      <w:r>
        <w:rPr>
          <w:rFonts w:cs="Arial"/>
        </w:rPr>
        <w:t>s</w:t>
      </w:r>
      <w:r w:rsidRPr="0097440C">
        <w:rPr>
          <w:rFonts w:cs="Arial"/>
        </w:rPr>
        <w:t xml:space="preserve">. </w:t>
      </w:r>
    </w:p>
    <w:p w:rsidR="00296618" w:rsidRPr="0097440C" w:rsidRDefault="00296618" w:rsidP="005B639C">
      <w:pPr>
        <w:pStyle w:val="Heading4"/>
        <w:numPr>
          <w:ilvl w:val="0"/>
          <w:numId w:val="46"/>
        </w:numPr>
      </w:pPr>
      <w:r w:rsidRPr="0097440C">
        <w:t>Renaming</w:t>
      </w:r>
    </w:p>
    <w:p w:rsidR="00296618" w:rsidRDefault="00296618" w:rsidP="00296618">
      <w:pPr>
        <w:pStyle w:val="Heading3"/>
        <w:numPr>
          <w:ilvl w:val="0"/>
          <w:numId w:val="0"/>
        </w:numPr>
        <w:rPr>
          <w:b w:val="0"/>
          <w:i w:val="0"/>
        </w:rPr>
      </w:pPr>
      <w:bookmarkStart w:id="39" w:name="_Toc380504808"/>
      <w:bookmarkStart w:id="40" w:name="_Toc380687062"/>
      <w:r w:rsidRPr="0097440C">
        <w:rPr>
          <w:b w:val="0"/>
          <w:i w:val="0"/>
        </w:rPr>
        <w:t>Accor</w:t>
      </w:r>
      <w:r w:rsidR="00BE3077">
        <w:rPr>
          <w:b w:val="0"/>
          <w:i w:val="0"/>
        </w:rPr>
        <w:t>ding to Daly and Moloney (2004), renaming is a</w:t>
      </w:r>
      <w:r w:rsidRPr="0097440C">
        <w:rPr>
          <w:b w:val="0"/>
          <w:i w:val="0"/>
        </w:rPr>
        <w:t xml:space="preserve"> significant process in rebranding and it is </w:t>
      </w:r>
      <w:r>
        <w:rPr>
          <w:b w:val="0"/>
          <w:i w:val="0"/>
        </w:rPr>
        <w:t>most often the initial</w:t>
      </w:r>
      <w:r w:rsidRPr="0097440C">
        <w:rPr>
          <w:b w:val="0"/>
          <w:i w:val="0"/>
        </w:rPr>
        <w:t xml:space="preserve"> and </w:t>
      </w:r>
      <w:r>
        <w:rPr>
          <w:b w:val="0"/>
          <w:i w:val="0"/>
        </w:rPr>
        <w:t>noticeable</w:t>
      </w:r>
      <w:r w:rsidRPr="0097440C">
        <w:rPr>
          <w:b w:val="0"/>
          <w:i w:val="0"/>
        </w:rPr>
        <w:t xml:space="preserve"> action of restructuring of a brand </w:t>
      </w:r>
      <w:r>
        <w:rPr>
          <w:b w:val="0"/>
          <w:i w:val="0"/>
        </w:rPr>
        <w:t xml:space="preserve">according to </w:t>
      </w:r>
      <w:r w:rsidRPr="0097440C">
        <w:rPr>
          <w:b w:val="0"/>
          <w:i w:val="0"/>
        </w:rPr>
        <w:t>Chu</w:t>
      </w:r>
      <w:r>
        <w:rPr>
          <w:b w:val="0"/>
          <w:i w:val="0"/>
        </w:rPr>
        <w:t xml:space="preserve"> (</w:t>
      </w:r>
      <w:r w:rsidRPr="0097440C">
        <w:rPr>
          <w:b w:val="0"/>
          <w:i w:val="0"/>
        </w:rPr>
        <w:t>2001</w:t>
      </w:r>
      <w:r>
        <w:rPr>
          <w:b w:val="0"/>
          <w:i w:val="0"/>
        </w:rPr>
        <w:t xml:space="preserve">) and </w:t>
      </w:r>
      <w:r w:rsidRPr="0097440C">
        <w:rPr>
          <w:b w:val="0"/>
          <w:i w:val="0"/>
        </w:rPr>
        <w:t>Lomax</w:t>
      </w:r>
      <w:r>
        <w:rPr>
          <w:b w:val="0"/>
          <w:i w:val="0"/>
        </w:rPr>
        <w:t xml:space="preserve"> (</w:t>
      </w:r>
      <w:r w:rsidRPr="0097440C">
        <w:rPr>
          <w:b w:val="0"/>
          <w:i w:val="0"/>
        </w:rPr>
        <w:t xml:space="preserve">2002). Muzellec </w:t>
      </w:r>
      <w:r w:rsidR="00EC7F5C">
        <w:rPr>
          <w:b w:val="0"/>
          <w:i w:val="0"/>
        </w:rPr>
        <w:t>et al. (2003) agree</w:t>
      </w:r>
      <w:r w:rsidRPr="0097440C">
        <w:rPr>
          <w:b w:val="0"/>
          <w:i w:val="0"/>
        </w:rPr>
        <w:t xml:space="preserve"> and state that the brand name is the </w:t>
      </w:r>
      <w:r>
        <w:rPr>
          <w:b w:val="0"/>
          <w:i w:val="0"/>
        </w:rPr>
        <w:t>key symbol</w:t>
      </w:r>
      <w:r w:rsidRPr="0097440C">
        <w:rPr>
          <w:b w:val="0"/>
          <w:i w:val="0"/>
        </w:rPr>
        <w:t xml:space="preserve"> of the brand, the base for awareness and communications. </w:t>
      </w:r>
      <w:r>
        <w:rPr>
          <w:b w:val="0"/>
          <w:i w:val="0"/>
        </w:rPr>
        <w:t xml:space="preserve">Conceptualising a new name requires extensive </w:t>
      </w:r>
      <w:r>
        <w:rPr>
          <w:b w:val="0"/>
          <w:i w:val="0"/>
        </w:rPr>
        <w:lastRenderedPageBreak/>
        <w:t xml:space="preserve">and in-depth research in order to capture the company’s desired identity (Kaikati and Kaikati, </w:t>
      </w:r>
      <w:r w:rsidRPr="0097440C">
        <w:rPr>
          <w:b w:val="0"/>
          <w:i w:val="0"/>
        </w:rPr>
        <w:t>2003)</w:t>
      </w:r>
      <w:r>
        <w:rPr>
          <w:b w:val="0"/>
          <w:i w:val="0"/>
        </w:rPr>
        <w:t xml:space="preserve">. According to </w:t>
      </w:r>
      <w:r w:rsidRPr="0097440C">
        <w:rPr>
          <w:b w:val="0"/>
          <w:i w:val="0"/>
        </w:rPr>
        <w:t xml:space="preserve">Zinkhan and Martin, </w:t>
      </w:r>
      <w:r>
        <w:rPr>
          <w:b w:val="0"/>
          <w:i w:val="0"/>
        </w:rPr>
        <w:t xml:space="preserve">(1987), </w:t>
      </w:r>
      <w:r w:rsidRPr="0097440C">
        <w:rPr>
          <w:b w:val="0"/>
          <w:i w:val="0"/>
        </w:rPr>
        <w:t xml:space="preserve">consumers </w:t>
      </w:r>
      <w:r>
        <w:rPr>
          <w:b w:val="0"/>
          <w:i w:val="0"/>
        </w:rPr>
        <w:t xml:space="preserve">are </w:t>
      </w:r>
      <w:r w:rsidRPr="0097440C">
        <w:rPr>
          <w:b w:val="0"/>
          <w:i w:val="0"/>
        </w:rPr>
        <w:t>incline</w:t>
      </w:r>
      <w:r>
        <w:rPr>
          <w:b w:val="0"/>
          <w:i w:val="0"/>
        </w:rPr>
        <w:t>d</w:t>
      </w:r>
      <w:r w:rsidRPr="0097440C">
        <w:rPr>
          <w:b w:val="0"/>
          <w:i w:val="0"/>
        </w:rPr>
        <w:t xml:space="preserve"> to assume a fit of the new brand in that product class</w:t>
      </w:r>
      <w:r>
        <w:rPr>
          <w:b w:val="0"/>
          <w:i w:val="0"/>
        </w:rPr>
        <w:t xml:space="preserve"> if the new brand name is consistent with existing brands in the product category.</w:t>
      </w:r>
      <w:bookmarkEnd w:id="39"/>
      <w:bookmarkEnd w:id="40"/>
      <w:r>
        <w:rPr>
          <w:b w:val="0"/>
          <w:i w:val="0"/>
        </w:rPr>
        <w:t xml:space="preserve"> </w:t>
      </w:r>
    </w:p>
    <w:p w:rsidR="00296618" w:rsidRPr="0097440C" w:rsidRDefault="00296618" w:rsidP="005B639C">
      <w:pPr>
        <w:pStyle w:val="Heading4"/>
        <w:numPr>
          <w:ilvl w:val="0"/>
          <w:numId w:val="46"/>
        </w:numPr>
      </w:pPr>
      <w:r w:rsidRPr="0097440C">
        <w:t>Redesigning</w:t>
      </w:r>
    </w:p>
    <w:p w:rsidR="00296618" w:rsidRPr="0097440C" w:rsidRDefault="00296618" w:rsidP="00296618">
      <w:pPr>
        <w:pStyle w:val="Heading3"/>
        <w:numPr>
          <w:ilvl w:val="0"/>
          <w:numId w:val="0"/>
        </w:numPr>
        <w:rPr>
          <w:rFonts w:ascii="Arial" w:hAnsi="Arial"/>
          <w:b w:val="0"/>
          <w:bCs w:val="0"/>
          <w:i w:val="0"/>
          <w:iCs w:val="0"/>
        </w:rPr>
      </w:pPr>
      <w:bookmarkStart w:id="41" w:name="_Toc380687063"/>
      <w:r>
        <w:rPr>
          <w:rFonts w:ascii="Arial" w:hAnsi="Arial"/>
          <w:b w:val="0"/>
          <w:bCs w:val="0"/>
          <w:i w:val="0"/>
          <w:iCs w:val="0"/>
        </w:rPr>
        <w:t>Gambles and Schuster (2003) state that t</w:t>
      </w:r>
      <w:r w:rsidRPr="0097440C">
        <w:rPr>
          <w:rFonts w:ascii="Arial" w:hAnsi="Arial"/>
          <w:b w:val="0"/>
          <w:bCs w:val="0"/>
          <w:i w:val="0"/>
          <w:iCs w:val="0"/>
        </w:rPr>
        <w:t xml:space="preserve">he logo, styles, and message need to be redesigned in line with the </w:t>
      </w:r>
      <w:r>
        <w:rPr>
          <w:rFonts w:ascii="Arial" w:hAnsi="Arial"/>
          <w:b w:val="0"/>
          <w:bCs w:val="0"/>
          <w:i w:val="0"/>
          <w:iCs w:val="0"/>
        </w:rPr>
        <w:t>envisaged</w:t>
      </w:r>
      <w:r w:rsidRPr="0097440C">
        <w:rPr>
          <w:rFonts w:ascii="Arial" w:hAnsi="Arial"/>
          <w:b w:val="0"/>
          <w:bCs w:val="0"/>
          <w:i w:val="0"/>
          <w:iCs w:val="0"/>
        </w:rPr>
        <w:t xml:space="preserve"> new brand image</w:t>
      </w:r>
      <w:r>
        <w:rPr>
          <w:rFonts w:ascii="Arial" w:hAnsi="Arial"/>
          <w:b w:val="0"/>
          <w:bCs w:val="0"/>
          <w:i w:val="0"/>
          <w:iCs w:val="0"/>
        </w:rPr>
        <w:t>, however, the</w:t>
      </w:r>
      <w:r w:rsidRPr="0097440C">
        <w:rPr>
          <w:rFonts w:ascii="Arial" w:hAnsi="Arial"/>
          <w:b w:val="0"/>
          <w:bCs w:val="0"/>
          <w:i w:val="0"/>
          <w:iCs w:val="0"/>
        </w:rPr>
        <w:t xml:space="preserve"> </w:t>
      </w:r>
      <w:r>
        <w:rPr>
          <w:rFonts w:ascii="Arial" w:hAnsi="Arial"/>
          <w:b w:val="0"/>
          <w:bCs w:val="0"/>
          <w:i w:val="0"/>
          <w:iCs w:val="0"/>
        </w:rPr>
        <w:t>company</w:t>
      </w:r>
      <w:r w:rsidRPr="0097440C">
        <w:rPr>
          <w:rFonts w:ascii="Arial" w:hAnsi="Arial"/>
          <w:b w:val="0"/>
          <w:bCs w:val="0"/>
          <w:i w:val="0"/>
          <w:iCs w:val="0"/>
        </w:rPr>
        <w:t xml:space="preserve"> needs to</w:t>
      </w:r>
      <w:r>
        <w:rPr>
          <w:rFonts w:ascii="Arial" w:hAnsi="Arial"/>
          <w:b w:val="0"/>
          <w:bCs w:val="0"/>
          <w:i w:val="0"/>
          <w:iCs w:val="0"/>
        </w:rPr>
        <w:t xml:space="preserve"> start by</w:t>
      </w:r>
      <w:r w:rsidRPr="0097440C">
        <w:rPr>
          <w:rFonts w:ascii="Arial" w:hAnsi="Arial"/>
          <w:b w:val="0"/>
          <w:bCs w:val="0"/>
          <w:i w:val="0"/>
          <w:iCs w:val="0"/>
        </w:rPr>
        <w:t xml:space="preserve"> establish </w:t>
      </w:r>
      <w:r>
        <w:rPr>
          <w:rFonts w:ascii="Arial" w:hAnsi="Arial"/>
          <w:b w:val="0"/>
          <w:bCs w:val="0"/>
          <w:i w:val="0"/>
          <w:iCs w:val="0"/>
        </w:rPr>
        <w:t xml:space="preserve">the </w:t>
      </w:r>
      <w:r w:rsidRPr="0097440C">
        <w:rPr>
          <w:rFonts w:ascii="Arial" w:hAnsi="Arial"/>
          <w:b w:val="0"/>
          <w:bCs w:val="0"/>
          <w:i w:val="0"/>
          <w:iCs w:val="0"/>
        </w:rPr>
        <w:t xml:space="preserve">mission and values </w:t>
      </w:r>
      <w:r>
        <w:rPr>
          <w:rFonts w:ascii="Arial" w:hAnsi="Arial"/>
          <w:b w:val="0"/>
          <w:bCs w:val="0"/>
          <w:i w:val="0"/>
          <w:iCs w:val="0"/>
        </w:rPr>
        <w:t>as part of</w:t>
      </w:r>
      <w:r w:rsidRPr="0097440C">
        <w:rPr>
          <w:rFonts w:ascii="Arial" w:hAnsi="Arial"/>
          <w:b w:val="0"/>
          <w:bCs w:val="0"/>
          <w:i w:val="0"/>
          <w:iCs w:val="0"/>
        </w:rPr>
        <w:t xml:space="preserve"> rebranding process </w:t>
      </w:r>
      <w:r>
        <w:rPr>
          <w:rFonts w:ascii="Arial" w:hAnsi="Arial"/>
          <w:b w:val="0"/>
          <w:bCs w:val="0"/>
          <w:i w:val="0"/>
          <w:iCs w:val="0"/>
        </w:rPr>
        <w:t xml:space="preserve">according to </w:t>
      </w:r>
      <w:r w:rsidRPr="0097440C">
        <w:rPr>
          <w:rFonts w:ascii="Arial" w:hAnsi="Arial"/>
          <w:b w:val="0"/>
          <w:bCs w:val="0"/>
          <w:i w:val="0"/>
          <w:iCs w:val="0"/>
        </w:rPr>
        <w:t>Lomax</w:t>
      </w:r>
      <w:r>
        <w:rPr>
          <w:rFonts w:ascii="Arial" w:hAnsi="Arial"/>
          <w:b w:val="0"/>
          <w:bCs w:val="0"/>
          <w:i w:val="0"/>
          <w:iCs w:val="0"/>
        </w:rPr>
        <w:t xml:space="preserve"> (</w:t>
      </w:r>
      <w:r w:rsidRPr="0097440C">
        <w:rPr>
          <w:rFonts w:ascii="Arial" w:hAnsi="Arial"/>
          <w:b w:val="0"/>
          <w:bCs w:val="0"/>
          <w:i w:val="0"/>
          <w:iCs w:val="0"/>
        </w:rPr>
        <w:t xml:space="preserve">2002). Lomax and Mador (2006) </w:t>
      </w:r>
      <w:r>
        <w:rPr>
          <w:rFonts w:ascii="Arial" w:hAnsi="Arial"/>
          <w:b w:val="0"/>
          <w:bCs w:val="0"/>
          <w:i w:val="0"/>
          <w:iCs w:val="0"/>
        </w:rPr>
        <w:t>stated</w:t>
      </w:r>
      <w:r w:rsidRPr="0097440C">
        <w:rPr>
          <w:rFonts w:ascii="Arial" w:hAnsi="Arial"/>
          <w:b w:val="0"/>
          <w:bCs w:val="0"/>
          <w:i w:val="0"/>
          <w:iCs w:val="0"/>
        </w:rPr>
        <w:t xml:space="preserve"> the requirement to </w:t>
      </w:r>
      <w:r>
        <w:rPr>
          <w:rFonts w:ascii="Arial" w:hAnsi="Arial"/>
          <w:b w:val="0"/>
          <w:bCs w:val="0"/>
          <w:i w:val="0"/>
          <w:iCs w:val="0"/>
        </w:rPr>
        <w:t>modify the company’s</w:t>
      </w:r>
      <w:r w:rsidRPr="0097440C">
        <w:rPr>
          <w:rFonts w:ascii="Arial" w:hAnsi="Arial"/>
          <w:b w:val="0"/>
          <w:bCs w:val="0"/>
          <w:i w:val="0"/>
          <w:iCs w:val="0"/>
        </w:rPr>
        <w:t xml:space="preserve"> brand values or attributes </w:t>
      </w:r>
      <w:r>
        <w:rPr>
          <w:rFonts w:ascii="Arial" w:hAnsi="Arial"/>
          <w:b w:val="0"/>
          <w:bCs w:val="0"/>
          <w:i w:val="0"/>
          <w:iCs w:val="0"/>
        </w:rPr>
        <w:t>as part of the</w:t>
      </w:r>
      <w:r w:rsidRPr="0097440C">
        <w:rPr>
          <w:rFonts w:ascii="Arial" w:hAnsi="Arial"/>
          <w:b w:val="0"/>
          <w:bCs w:val="0"/>
          <w:i w:val="0"/>
          <w:iCs w:val="0"/>
        </w:rPr>
        <w:t xml:space="preserve"> rebranding </w:t>
      </w:r>
      <w:r>
        <w:rPr>
          <w:rFonts w:ascii="Arial" w:hAnsi="Arial"/>
          <w:b w:val="0"/>
          <w:bCs w:val="0"/>
          <w:i w:val="0"/>
          <w:iCs w:val="0"/>
        </w:rPr>
        <w:t>process</w:t>
      </w:r>
      <w:r w:rsidRPr="0097440C">
        <w:rPr>
          <w:rFonts w:ascii="Arial" w:hAnsi="Arial"/>
          <w:b w:val="0"/>
          <w:bCs w:val="0"/>
          <w:i w:val="0"/>
          <w:iCs w:val="0"/>
        </w:rPr>
        <w:t>. According to Muzellec</w:t>
      </w:r>
      <w:r w:rsidR="00EC7F5C">
        <w:rPr>
          <w:rFonts w:ascii="Arial" w:hAnsi="Arial"/>
          <w:b w:val="0"/>
          <w:bCs w:val="0"/>
          <w:i w:val="0"/>
          <w:iCs w:val="0"/>
        </w:rPr>
        <w:t xml:space="preserve"> et al.</w:t>
      </w:r>
      <w:r w:rsidRPr="0097440C">
        <w:rPr>
          <w:rFonts w:ascii="Arial" w:hAnsi="Arial"/>
          <w:b w:val="0"/>
          <w:bCs w:val="0"/>
          <w:i w:val="0"/>
          <w:iCs w:val="0"/>
        </w:rPr>
        <w:t xml:space="preserve"> (2003), and Lomax and Mador (2006) the redesigning </w:t>
      </w:r>
      <w:r>
        <w:rPr>
          <w:rFonts w:ascii="Arial" w:hAnsi="Arial"/>
          <w:b w:val="0"/>
          <w:bCs w:val="0"/>
          <w:i w:val="0"/>
          <w:iCs w:val="0"/>
        </w:rPr>
        <w:t>touches</w:t>
      </w:r>
      <w:r w:rsidRPr="0097440C">
        <w:rPr>
          <w:rFonts w:ascii="Arial" w:hAnsi="Arial"/>
          <w:b w:val="0"/>
          <w:bCs w:val="0"/>
          <w:i w:val="0"/>
          <w:iCs w:val="0"/>
        </w:rPr>
        <w:t xml:space="preserve"> on all elements of the organisation, which are the visible indicators of the company’s desired positioning</w:t>
      </w:r>
      <w:bookmarkEnd w:id="41"/>
    </w:p>
    <w:p w:rsidR="00296618" w:rsidRPr="0097440C" w:rsidRDefault="00296618" w:rsidP="005B639C">
      <w:pPr>
        <w:pStyle w:val="Heading4"/>
        <w:numPr>
          <w:ilvl w:val="0"/>
          <w:numId w:val="46"/>
        </w:numPr>
      </w:pPr>
      <w:r w:rsidRPr="0097440C">
        <w:t>Re-launching</w:t>
      </w:r>
    </w:p>
    <w:p w:rsidR="00296618" w:rsidRPr="00EA329E" w:rsidRDefault="00296618" w:rsidP="00296618">
      <w:pPr>
        <w:rPr>
          <w:rFonts w:cs="Arial"/>
        </w:rPr>
      </w:pPr>
      <w:r w:rsidRPr="0097440C">
        <w:rPr>
          <w:rFonts w:cs="Arial"/>
        </w:rPr>
        <w:t xml:space="preserve">Muzellec </w:t>
      </w:r>
      <w:r w:rsidR="00EC7F5C">
        <w:rPr>
          <w:rFonts w:cs="Arial"/>
        </w:rPr>
        <w:t xml:space="preserve">et al. </w:t>
      </w:r>
      <w:r w:rsidRPr="0097440C">
        <w:rPr>
          <w:rFonts w:cs="Arial"/>
        </w:rPr>
        <w:t xml:space="preserve">(2003) </w:t>
      </w:r>
      <w:r>
        <w:rPr>
          <w:rFonts w:cs="Arial"/>
        </w:rPr>
        <w:t xml:space="preserve">defines a re-launch as </w:t>
      </w:r>
      <w:r w:rsidRPr="0097440C">
        <w:rPr>
          <w:rFonts w:cs="Arial"/>
        </w:rPr>
        <w:t xml:space="preserve">activities that inform customers </w:t>
      </w:r>
      <w:r>
        <w:rPr>
          <w:rFonts w:cs="Arial"/>
        </w:rPr>
        <w:t xml:space="preserve">of </w:t>
      </w:r>
      <w:r w:rsidRPr="0097440C">
        <w:rPr>
          <w:rFonts w:cs="Arial"/>
        </w:rPr>
        <w:t xml:space="preserve">brand </w:t>
      </w:r>
      <w:r>
        <w:rPr>
          <w:rFonts w:cs="Arial"/>
        </w:rPr>
        <w:t>modifications</w:t>
      </w:r>
      <w:r w:rsidRPr="0097440C">
        <w:rPr>
          <w:rFonts w:cs="Arial"/>
        </w:rPr>
        <w:t xml:space="preserve">. Koku (1997b) </w:t>
      </w:r>
      <w:r>
        <w:rPr>
          <w:rFonts w:cs="Arial"/>
        </w:rPr>
        <w:t xml:space="preserve">purports </w:t>
      </w:r>
      <w:r w:rsidRPr="0097440C">
        <w:rPr>
          <w:rFonts w:cs="Arial"/>
        </w:rPr>
        <w:t xml:space="preserve">that </w:t>
      </w:r>
      <w:r>
        <w:rPr>
          <w:rFonts w:cs="Arial"/>
        </w:rPr>
        <w:t xml:space="preserve">a </w:t>
      </w:r>
      <w:r w:rsidRPr="0097440C">
        <w:rPr>
          <w:rFonts w:cs="Arial"/>
        </w:rPr>
        <w:t>company name</w:t>
      </w:r>
      <w:r w:rsidRPr="006F3544">
        <w:rPr>
          <w:rFonts w:cs="Arial"/>
        </w:rPr>
        <w:t xml:space="preserve"> </w:t>
      </w:r>
      <w:r w:rsidRPr="0097440C">
        <w:rPr>
          <w:rFonts w:cs="Arial"/>
        </w:rPr>
        <w:t xml:space="preserve">change, </w:t>
      </w:r>
      <w:r>
        <w:rPr>
          <w:rFonts w:cs="Arial"/>
        </w:rPr>
        <w:t>may</w:t>
      </w:r>
      <w:r w:rsidRPr="0097440C">
        <w:rPr>
          <w:rFonts w:cs="Arial"/>
        </w:rPr>
        <w:t xml:space="preserve"> change the company’s performance but also the communication </w:t>
      </w:r>
      <w:r>
        <w:rPr>
          <w:rFonts w:cs="Arial"/>
        </w:rPr>
        <w:t>towards</w:t>
      </w:r>
      <w:r w:rsidRPr="0097440C">
        <w:rPr>
          <w:rFonts w:cs="Arial"/>
        </w:rPr>
        <w:t xml:space="preserve"> its consumers. Corporate rebranding is a </w:t>
      </w:r>
      <w:r>
        <w:rPr>
          <w:rFonts w:cs="Arial"/>
        </w:rPr>
        <w:t>time consuming and long process</w:t>
      </w:r>
      <w:r w:rsidRPr="0097440C">
        <w:rPr>
          <w:rFonts w:cs="Arial"/>
        </w:rPr>
        <w:t xml:space="preserve">; </w:t>
      </w:r>
      <w:r>
        <w:rPr>
          <w:rFonts w:cs="Arial"/>
        </w:rPr>
        <w:t>as a result,</w:t>
      </w:r>
      <w:r w:rsidRPr="0097440C">
        <w:rPr>
          <w:rFonts w:cs="Arial"/>
        </w:rPr>
        <w:t xml:space="preserve"> all the stakeholders need to be </w:t>
      </w:r>
      <w:r>
        <w:rPr>
          <w:rFonts w:cs="Arial"/>
        </w:rPr>
        <w:t>partof the</w:t>
      </w:r>
      <w:r w:rsidRPr="0097440C">
        <w:rPr>
          <w:rFonts w:cs="Arial"/>
        </w:rPr>
        <w:t xml:space="preserve"> process (Muzellec, 2003). Furthermore, Lomax (2002) </w:t>
      </w:r>
      <w:r>
        <w:rPr>
          <w:rFonts w:cs="Arial"/>
        </w:rPr>
        <w:t>emphasised</w:t>
      </w:r>
      <w:r w:rsidRPr="0097440C">
        <w:rPr>
          <w:rFonts w:cs="Arial"/>
        </w:rPr>
        <w:t xml:space="preserve"> the significance of </w:t>
      </w:r>
      <w:r>
        <w:rPr>
          <w:rFonts w:cs="Arial"/>
        </w:rPr>
        <w:t xml:space="preserve">continuous </w:t>
      </w:r>
      <w:r w:rsidRPr="0097440C">
        <w:rPr>
          <w:rFonts w:cs="Arial"/>
        </w:rPr>
        <w:t xml:space="preserve">communication </w:t>
      </w:r>
      <w:r>
        <w:rPr>
          <w:rFonts w:cs="Arial"/>
        </w:rPr>
        <w:t xml:space="preserve">as part of </w:t>
      </w:r>
      <w:r w:rsidRPr="0097440C">
        <w:rPr>
          <w:rFonts w:cs="Arial"/>
        </w:rPr>
        <w:t>the rebranding process. Daly and Moloney (2004), and Kaikati and Kaikati (2003) state that</w:t>
      </w:r>
      <w:r>
        <w:rPr>
          <w:rFonts w:cs="Arial"/>
        </w:rPr>
        <w:t xml:space="preserve"> senior management need to constantly communicate to all stakeholders including employees so that they are kept </w:t>
      </w:r>
      <w:r w:rsidRPr="0097440C">
        <w:rPr>
          <w:rFonts w:cs="Arial"/>
        </w:rPr>
        <w:t>well-informed of the proc</w:t>
      </w:r>
      <w:r w:rsidRPr="00EA329E">
        <w:rPr>
          <w:rFonts w:cs="Arial"/>
        </w:rPr>
        <w:t xml:space="preserve">ess of </w:t>
      </w:r>
      <w:r w:rsidRPr="00942B9B">
        <w:rPr>
          <w:rFonts w:cs="Arial"/>
        </w:rPr>
        <w:t>rebranding</w:t>
      </w:r>
      <w:r>
        <w:rPr>
          <w:rFonts w:cs="Arial"/>
        </w:rPr>
        <w:t xml:space="preserve">. </w:t>
      </w:r>
      <w:r w:rsidRPr="00EA329E">
        <w:rPr>
          <w:rFonts w:cs="Arial"/>
        </w:rPr>
        <w:t xml:space="preserve">Muzellec and Lambkin (2006) agree with </w:t>
      </w:r>
      <w:r w:rsidRPr="009F14CE">
        <w:rPr>
          <w:rFonts w:cs="Arial"/>
        </w:rPr>
        <w:t>Daly and Moloney (20</w:t>
      </w:r>
      <w:r w:rsidRPr="00EA329E">
        <w:rPr>
          <w:rFonts w:cs="Arial"/>
        </w:rPr>
        <w:t xml:space="preserve">04), and Kaikati and Kaikati (2003) by pointing out the significance of </w:t>
      </w:r>
      <w:r>
        <w:rPr>
          <w:rFonts w:cs="Arial"/>
        </w:rPr>
        <w:t>considering</w:t>
      </w:r>
      <w:r w:rsidRPr="00EA329E">
        <w:rPr>
          <w:rFonts w:cs="Arial"/>
        </w:rPr>
        <w:t xml:space="preserve"> internal and external stakeholders in the process. Hankinson (2007) also </w:t>
      </w:r>
      <w:r>
        <w:rPr>
          <w:rFonts w:cs="Arial"/>
        </w:rPr>
        <w:t xml:space="preserve">highlighted </w:t>
      </w:r>
      <w:r w:rsidRPr="00EA329E">
        <w:rPr>
          <w:rFonts w:cs="Arial"/>
        </w:rPr>
        <w:t xml:space="preserve">the significance of stakeholder </w:t>
      </w:r>
      <w:r>
        <w:rPr>
          <w:rFonts w:cs="Arial"/>
        </w:rPr>
        <w:t>engagement</w:t>
      </w:r>
      <w:r w:rsidRPr="00EA329E">
        <w:rPr>
          <w:rFonts w:cs="Arial"/>
        </w:rPr>
        <w:t xml:space="preserve"> in </w:t>
      </w:r>
      <w:r w:rsidRPr="00942B9B">
        <w:rPr>
          <w:rFonts w:cs="Arial"/>
        </w:rPr>
        <w:t>rebranding</w:t>
      </w:r>
      <w:r w:rsidRPr="00EA329E">
        <w:rPr>
          <w:rFonts w:cs="Arial"/>
        </w:rPr>
        <w:t xml:space="preserve"> process </w:t>
      </w:r>
      <w:r>
        <w:rPr>
          <w:rFonts w:cs="Arial"/>
        </w:rPr>
        <w:t>as it</w:t>
      </w:r>
      <w:r w:rsidRPr="00EA329E">
        <w:rPr>
          <w:rFonts w:cs="Arial"/>
        </w:rPr>
        <w:t xml:space="preserve"> is not a one-off event. </w:t>
      </w:r>
    </w:p>
    <w:p w:rsidR="00296618" w:rsidRPr="00EA329E" w:rsidRDefault="00296618" w:rsidP="00296618">
      <w:pPr>
        <w:pStyle w:val="Heading3"/>
        <w:numPr>
          <w:ilvl w:val="2"/>
          <w:numId w:val="19"/>
        </w:numPr>
      </w:pPr>
      <w:bookmarkStart w:id="42" w:name="_Toc380687064"/>
      <w:r w:rsidRPr="00EA329E">
        <w:lastRenderedPageBreak/>
        <w:t xml:space="preserve">Types of </w:t>
      </w:r>
      <w:r>
        <w:t>c</w:t>
      </w:r>
      <w:r w:rsidRPr="00EA329E">
        <w:t xml:space="preserve">orporate </w:t>
      </w:r>
      <w:r>
        <w:t>r</w:t>
      </w:r>
      <w:r w:rsidRPr="00EA329E">
        <w:t>ebranding</w:t>
      </w:r>
      <w:bookmarkEnd w:id="42"/>
    </w:p>
    <w:p w:rsidR="00296618" w:rsidRPr="00EA329E" w:rsidRDefault="00296618" w:rsidP="00296618">
      <w:pPr>
        <w:rPr>
          <w:rFonts w:cs="Arial"/>
        </w:rPr>
      </w:pPr>
      <w:r w:rsidRPr="009F14CE">
        <w:t>According to Daly and Moloney (2004)</w:t>
      </w:r>
      <w:r>
        <w:t>,</w:t>
      </w:r>
      <w:r w:rsidRPr="009F14CE">
        <w:t xml:space="preserve"> the level of change in corporate branding may include minor, intermediate or comprehensive modification. The minor changes are about aestheti</w:t>
      </w:r>
      <w:r w:rsidRPr="00EA329E">
        <w:t xml:space="preserve">cs, and vary from a simple facelift to restyling or revitalising the brand which may </w:t>
      </w:r>
      <w:r>
        <w:t>require</w:t>
      </w:r>
      <w:r w:rsidRPr="00EA329E">
        <w:t xml:space="preserve"> a change. Intermediate changes are about repositioning</w:t>
      </w:r>
      <w:r>
        <w:t xml:space="preserve">. A </w:t>
      </w:r>
      <w:r w:rsidRPr="00EA329E">
        <w:t xml:space="preserve">new image </w:t>
      </w:r>
      <w:r>
        <w:t xml:space="preserve">can be created by </w:t>
      </w:r>
      <w:r w:rsidRPr="00EA329E">
        <w:t xml:space="preserve">use of </w:t>
      </w:r>
      <w:r>
        <w:t xml:space="preserve">strategic </w:t>
      </w:r>
      <w:r w:rsidRPr="00EA329E">
        <w:t>marketing tactics</w:t>
      </w:r>
      <w:r>
        <w:t xml:space="preserve"> and </w:t>
      </w:r>
      <w:r w:rsidRPr="00EA329E">
        <w:t>customer service techniques to positively reposition an existing brand name</w:t>
      </w:r>
      <w:r>
        <w:t>. T</w:t>
      </w:r>
      <w:r w:rsidRPr="00EA329E">
        <w:t xml:space="preserve">he name is new to stakeholders </w:t>
      </w:r>
      <w:r>
        <w:t>with</w:t>
      </w:r>
      <w:r w:rsidRPr="00EA329E">
        <w:t xml:space="preserve"> a complete </w:t>
      </w:r>
      <w:r>
        <w:t>modification</w:t>
      </w:r>
      <w:r w:rsidRPr="00EA329E">
        <w:t xml:space="preserve">, and they may not </w:t>
      </w:r>
      <w:r>
        <w:t>understand the brand positioning</w:t>
      </w:r>
      <w:r w:rsidRPr="00EA329E">
        <w:t xml:space="preserve">. </w:t>
      </w:r>
      <w:r>
        <w:t>Therefore, the v</w:t>
      </w:r>
      <w:r w:rsidRPr="00EA329E">
        <w:t xml:space="preserve">alues and image of the new brand </w:t>
      </w:r>
      <w:r>
        <w:t>should be</w:t>
      </w:r>
      <w:r w:rsidRPr="00EA329E">
        <w:t xml:space="preserve"> communicated to all stakeholders </w:t>
      </w:r>
      <w:r>
        <w:t xml:space="preserve">by means of </w:t>
      </w:r>
      <w:r w:rsidRPr="00EA329E">
        <w:t>an integrated marketing communications campaign (</w:t>
      </w:r>
      <w:r w:rsidRPr="00EA329E">
        <w:rPr>
          <w:rFonts w:cs="Arial"/>
        </w:rPr>
        <w:t xml:space="preserve">Muzellec, 2003). </w:t>
      </w:r>
    </w:p>
    <w:p w:rsidR="00296618" w:rsidRPr="00EA329E" w:rsidRDefault="00296618" w:rsidP="00296618">
      <w:r w:rsidRPr="00EA329E">
        <w:t>Stuart and Muzellec (2004) advocate a range of corporate rebranding varying from evolutionary changes in slogan or logo only, to revolutionary change incorporating the elements of name, logo and slogan. They advocate that the types of changes can be categorised into name, logo, and slogan change. The basic variations possible are</w:t>
      </w:r>
      <w:r>
        <w:t>:</w:t>
      </w:r>
      <w:r w:rsidRPr="00EA329E">
        <w:t xml:space="preserve"> a) name and logo, b) name, logo and slogan, c) logo only, d) logo and slogan, e) slogan only. Change in only one of the elements will result in evolutionary change to the brand, while changing name, logo and slogan simultaneously will cause revolutionary change.</w:t>
      </w:r>
    </w:p>
    <w:p w:rsidR="00296618" w:rsidRPr="00EA329E" w:rsidRDefault="00296618" w:rsidP="00296618"/>
    <w:p w:rsidR="00296618" w:rsidRPr="00EA329E" w:rsidRDefault="00296618" w:rsidP="00296618">
      <w:pPr>
        <w:pStyle w:val="Heading2"/>
        <w:numPr>
          <w:ilvl w:val="1"/>
          <w:numId w:val="19"/>
        </w:numPr>
      </w:pPr>
      <w:bookmarkStart w:id="43" w:name="_Toc380687065"/>
      <w:r w:rsidRPr="00EA329E">
        <w:t xml:space="preserve">Brand </w:t>
      </w:r>
      <w:r>
        <w:t>e</w:t>
      </w:r>
      <w:r w:rsidRPr="00EA329E">
        <w:t>quity</w:t>
      </w:r>
      <w:bookmarkEnd w:id="43"/>
    </w:p>
    <w:p w:rsidR="00296618" w:rsidRPr="00EA329E" w:rsidRDefault="00296618" w:rsidP="00296618">
      <w:pPr>
        <w:pStyle w:val="Heading3"/>
        <w:numPr>
          <w:ilvl w:val="2"/>
          <w:numId w:val="19"/>
        </w:numPr>
      </w:pPr>
      <w:bookmarkStart w:id="44" w:name="_Toc380687066"/>
      <w:r w:rsidRPr="00EA329E">
        <w:t xml:space="preserve">Definition of </w:t>
      </w:r>
      <w:r>
        <w:t>b</w:t>
      </w:r>
      <w:r w:rsidRPr="00EA329E">
        <w:t xml:space="preserve">rand </w:t>
      </w:r>
      <w:r>
        <w:t>e</w:t>
      </w:r>
      <w:r w:rsidRPr="00EA329E">
        <w:t>quity</w:t>
      </w:r>
      <w:bookmarkEnd w:id="44"/>
    </w:p>
    <w:p w:rsidR="00296618" w:rsidRPr="005B639C" w:rsidRDefault="00296618" w:rsidP="00296618">
      <w:pPr>
        <w:rPr>
          <w:noProof/>
          <w:lang w:val="en-ZA" w:eastAsia="en-ZA"/>
        </w:rPr>
      </w:pPr>
      <w:r w:rsidRPr="005B639C">
        <w:rPr>
          <w:noProof/>
          <w:lang w:val="en-ZA" w:eastAsia="en-ZA"/>
        </w:rPr>
        <w:t>The accounting and marketing literatures have argued the concept of brand equity and have also emphasized the significance of having a long-term focus within brand management.</w:t>
      </w:r>
      <w:r w:rsidRPr="00216E4E">
        <w:rPr>
          <w:noProof/>
          <w:lang w:val="en-ZA" w:eastAsia="en-ZA"/>
        </w:rPr>
        <w:t xml:space="preserve"> The </w:t>
      </w:r>
      <w:r>
        <w:rPr>
          <w:noProof/>
          <w:lang w:val="en-ZA" w:eastAsia="en-ZA"/>
        </w:rPr>
        <w:t>focus</w:t>
      </w:r>
      <w:r w:rsidRPr="00216E4E">
        <w:rPr>
          <w:noProof/>
          <w:lang w:val="en-ZA" w:eastAsia="en-ZA"/>
        </w:rPr>
        <w:t xml:space="preserve"> to </w:t>
      </w:r>
      <w:r>
        <w:rPr>
          <w:noProof/>
          <w:lang w:val="en-ZA" w:eastAsia="en-ZA"/>
        </w:rPr>
        <w:t>create</w:t>
      </w:r>
      <w:r w:rsidRPr="00216E4E">
        <w:rPr>
          <w:noProof/>
          <w:lang w:val="en-ZA" w:eastAsia="en-ZA"/>
        </w:rPr>
        <w:t xml:space="preserve"> and maintain are two of the most significant subjects in </w:t>
      </w:r>
      <w:r>
        <w:rPr>
          <w:noProof/>
          <w:lang w:val="en-ZA" w:eastAsia="en-ZA"/>
        </w:rPr>
        <w:t>increasing</w:t>
      </w:r>
      <w:r w:rsidRPr="00216E4E">
        <w:rPr>
          <w:noProof/>
          <w:lang w:val="en-ZA" w:eastAsia="en-ZA"/>
        </w:rPr>
        <w:t xml:space="preserve"> brand equity </w:t>
      </w:r>
      <w:r>
        <w:rPr>
          <w:noProof/>
          <w:lang w:val="en-ZA" w:eastAsia="en-ZA"/>
        </w:rPr>
        <w:t xml:space="preserve">according to </w:t>
      </w:r>
      <w:r w:rsidRPr="00216E4E">
        <w:rPr>
          <w:noProof/>
          <w:lang w:val="en-ZA" w:eastAsia="en-ZA"/>
        </w:rPr>
        <w:t>Rosenthal</w:t>
      </w:r>
      <w:r>
        <w:rPr>
          <w:noProof/>
          <w:lang w:val="en-ZA" w:eastAsia="en-ZA"/>
        </w:rPr>
        <w:t xml:space="preserve"> (</w:t>
      </w:r>
      <w:r w:rsidRPr="00216E4E">
        <w:rPr>
          <w:noProof/>
          <w:lang w:val="en-ZA" w:eastAsia="en-ZA"/>
        </w:rPr>
        <w:t>2003).</w:t>
      </w:r>
    </w:p>
    <w:p w:rsidR="00296618" w:rsidRPr="00EA329E" w:rsidRDefault="00296618" w:rsidP="00296618">
      <w:r w:rsidRPr="00EA329E">
        <w:rPr>
          <w:noProof/>
          <w:lang w:val="en-ZA" w:eastAsia="en-ZA"/>
        </w:rPr>
        <w:lastRenderedPageBreak/>
        <w:t>There are two fund</w:t>
      </w:r>
      <w:r>
        <w:rPr>
          <w:noProof/>
          <w:lang w:val="en-ZA" w:eastAsia="en-ZA"/>
        </w:rPr>
        <w:t>a</w:t>
      </w:r>
      <w:r w:rsidRPr="00EA329E">
        <w:rPr>
          <w:noProof/>
          <w:lang w:val="en-ZA" w:eastAsia="en-ZA"/>
        </w:rPr>
        <w:t xml:space="preserve">mantal schools of thought that attempt to define the concept </w:t>
      </w:r>
      <w:r>
        <w:rPr>
          <w:noProof/>
          <w:lang w:val="en-ZA" w:eastAsia="en-ZA"/>
        </w:rPr>
        <w:t>‘b</w:t>
      </w:r>
      <w:r w:rsidRPr="00EA329E">
        <w:rPr>
          <w:noProof/>
          <w:lang w:val="en-ZA" w:eastAsia="en-ZA"/>
        </w:rPr>
        <w:t xml:space="preserve">rand </w:t>
      </w:r>
      <w:r>
        <w:rPr>
          <w:noProof/>
          <w:lang w:val="en-ZA" w:eastAsia="en-ZA"/>
        </w:rPr>
        <w:t>e</w:t>
      </w:r>
      <w:r w:rsidRPr="00EA329E">
        <w:rPr>
          <w:noProof/>
          <w:lang w:val="en-ZA" w:eastAsia="en-ZA"/>
        </w:rPr>
        <w:t>quity</w:t>
      </w:r>
      <w:r>
        <w:rPr>
          <w:noProof/>
          <w:lang w:val="en-ZA" w:eastAsia="en-ZA"/>
        </w:rPr>
        <w:t>’</w:t>
      </w:r>
      <w:r w:rsidRPr="00EA329E">
        <w:rPr>
          <w:noProof/>
          <w:lang w:val="en-ZA" w:eastAsia="en-ZA"/>
        </w:rPr>
        <w:t xml:space="preserve"> (Barwise, 1993; Franzen, 1999). There are advocates of the financial </w:t>
      </w:r>
      <w:r>
        <w:rPr>
          <w:noProof/>
          <w:lang w:val="en-ZA" w:eastAsia="en-ZA"/>
        </w:rPr>
        <w:t>narative</w:t>
      </w:r>
      <w:r w:rsidRPr="00EA329E">
        <w:rPr>
          <w:noProof/>
          <w:lang w:val="en-ZA" w:eastAsia="en-ZA"/>
        </w:rPr>
        <w:t xml:space="preserve"> </w:t>
      </w:r>
      <w:r>
        <w:rPr>
          <w:noProof/>
          <w:lang w:val="en-ZA" w:eastAsia="en-ZA"/>
        </w:rPr>
        <w:t>who</w:t>
      </w:r>
      <w:r w:rsidRPr="00EA329E">
        <w:rPr>
          <w:noProof/>
          <w:lang w:val="en-ZA" w:eastAsia="en-ZA"/>
        </w:rPr>
        <w:t xml:space="preserve"> </w:t>
      </w:r>
      <w:r>
        <w:rPr>
          <w:noProof/>
          <w:lang w:val="en-ZA" w:eastAsia="en-ZA"/>
        </w:rPr>
        <w:t>term</w:t>
      </w:r>
      <w:r w:rsidRPr="00EA329E">
        <w:rPr>
          <w:noProof/>
          <w:lang w:val="en-ZA" w:eastAsia="en-ZA"/>
        </w:rPr>
        <w:t xml:space="preserve"> brand equity as the </w:t>
      </w:r>
      <w:r w:rsidRPr="00EA329E">
        <w:t xml:space="preserve">total value of a brand which </w:t>
      </w:r>
      <w:r>
        <w:t>as a</w:t>
      </w:r>
      <w:r w:rsidRPr="00EA329E">
        <w:t xml:space="preserve"> separable asset included in </w:t>
      </w:r>
      <w:r>
        <w:t>the</w:t>
      </w:r>
      <w:r w:rsidRPr="00EA329E">
        <w:t xml:space="preserve"> balance sheet.</w:t>
      </w:r>
      <w:r w:rsidRPr="00EA329E" w:rsidDel="00AF20A8">
        <w:rPr>
          <w:noProof/>
          <w:lang w:val="en-ZA" w:eastAsia="en-ZA"/>
        </w:rPr>
        <w:t xml:space="preserve"> </w:t>
      </w:r>
      <w:r w:rsidRPr="00EA329E">
        <w:rPr>
          <w:noProof/>
          <w:lang w:val="en-ZA" w:eastAsia="en-ZA"/>
        </w:rPr>
        <w:t xml:space="preserve">(Feldwick, 1996). On the other hand, the customer-based school of thought defines </w:t>
      </w:r>
      <w:r>
        <w:rPr>
          <w:noProof/>
          <w:lang w:val="en-ZA" w:eastAsia="en-ZA"/>
        </w:rPr>
        <w:t>b</w:t>
      </w:r>
      <w:r w:rsidRPr="00EA329E">
        <w:rPr>
          <w:noProof/>
          <w:lang w:val="en-ZA" w:eastAsia="en-ZA"/>
        </w:rPr>
        <w:t xml:space="preserve">rand </w:t>
      </w:r>
      <w:r>
        <w:rPr>
          <w:noProof/>
          <w:lang w:val="en-ZA" w:eastAsia="en-ZA"/>
        </w:rPr>
        <w:t>e</w:t>
      </w:r>
      <w:r w:rsidRPr="00EA329E">
        <w:rPr>
          <w:noProof/>
          <w:lang w:val="en-ZA" w:eastAsia="en-ZA"/>
        </w:rPr>
        <w:t>quity as the differential effect that brand knowledge has on a consumer response to the marketing of that brand.</w:t>
      </w:r>
      <w:r>
        <w:rPr>
          <w:noProof/>
          <w:lang w:val="en-ZA" w:eastAsia="en-ZA"/>
        </w:rPr>
        <w:t xml:space="preserve"> </w:t>
      </w:r>
      <w:r w:rsidRPr="00EA329E">
        <w:rPr>
          <w:noProof/>
          <w:lang w:val="en-ZA" w:eastAsia="en-ZA"/>
        </w:rPr>
        <w:t>The consumer is the integral pa</w:t>
      </w:r>
      <w:r w:rsidR="0086651C">
        <w:rPr>
          <w:noProof/>
          <w:lang w:val="en-ZA" w:eastAsia="en-ZA"/>
        </w:rPr>
        <w:t>rt of the meaning (Keller, 1993 and</w:t>
      </w:r>
      <w:r w:rsidRPr="00EA329E">
        <w:rPr>
          <w:noProof/>
          <w:lang w:val="en-ZA" w:eastAsia="en-ZA"/>
        </w:rPr>
        <w:t xml:space="preserve"> Cobb-Walgren and R</w:t>
      </w:r>
      <w:r w:rsidR="0086651C">
        <w:rPr>
          <w:noProof/>
          <w:lang w:val="en-ZA" w:eastAsia="en-ZA"/>
        </w:rPr>
        <w:t>uble, 1995</w:t>
      </w:r>
      <w:r w:rsidRPr="00EA329E">
        <w:rPr>
          <w:noProof/>
          <w:lang w:val="en-ZA" w:eastAsia="en-ZA"/>
        </w:rPr>
        <w:t>).</w:t>
      </w:r>
    </w:p>
    <w:p w:rsidR="00296618" w:rsidRPr="00EA329E" w:rsidRDefault="00296618" w:rsidP="00296618">
      <w:r>
        <w:t xml:space="preserve">According to </w:t>
      </w:r>
      <w:r w:rsidRPr="00EA329E">
        <w:t>Aaker and Joachimsthaler (2000)</w:t>
      </w:r>
      <w:r>
        <w:t xml:space="preserve">, </w:t>
      </w:r>
      <w:r w:rsidRPr="00EA329E">
        <w:t xml:space="preserve">brand equity </w:t>
      </w:r>
      <w:r>
        <w:t>is</w:t>
      </w:r>
      <w:r w:rsidRPr="00EA329E">
        <w:t xml:space="preserve"> the assets </w:t>
      </w:r>
      <w:r>
        <w:t xml:space="preserve">and/or </w:t>
      </w:r>
      <w:r w:rsidRPr="00EA329E">
        <w:t xml:space="preserve">liability related to a brand’s </w:t>
      </w:r>
      <w:r>
        <w:t>image</w:t>
      </w:r>
      <w:r w:rsidRPr="00EA329E">
        <w:t xml:space="preserve"> that add to or subtract from a product or service. These assets </w:t>
      </w:r>
      <w:r>
        <w:t>may</w:t>
      </w:r>
      <w:r w:rsidRPr="00EA329E">
        <w:t xml:space="preserve"> be </w:t>
      </w:r>
      <w:r>
        <w:t>categorised</w:t>
      </w:r>
      <w:r w:rsidRPr="00EA329E">
        <w:t xml:space="preserve"> into </w:t>
      </w:r>
      <w:r>
        <w:t>five</w:t>
      </w:r>
      <w:r w:rsidRPr="00EA329E">
        <w:t xml:space="preserve"> dimensions of the Aaker and Joachimsthaler (2000) brand equity model, namely brand loyalty, brand awareness, perceived quality, brand association and other proprietary brand assets. </w:t>
      </w:r>
    </w:p>
    <w:p w:rsidR="00296618" w:rsidRPr="00EA329E" w:rsidRDefault="00296618" w:rsidP="00296618">
      <w:pPr>
        <w:pStyle w:val="Heading3"/>
        <w:numPr>
          <w:ilvl w:val="2"/>
          <w:numId w:val="19"/>
        </w:numPr>
      </w:pPr>
      <w:bookmarkStart w:id="45" w:name="_Toc380687067"/>
      <w:r w:rsidRPr="00EA329E">
        <w:t xml:space="preserve">Brand </w:t>
      </w:r>
      <w:r>
        <w:t>e</w:t>
      </w:r>
      <w:r w:rsidRPr="00EA329E">
        <w:t>quity models</w:t>
      </w:r>
      <w:bookmarkEnd w:id="45"/>
    </w:p>
    <w:p w:rsidR="00296618" w:rsidRPr="00EA329E" w:rsidRDefault="00296618" w:rsidP="00296618">
      <w:r w:rsidRPr="00EA329E">
        <w:t>The literature reveals that there are numerous brand equity models (Wood, 2002)</w:t>
      </w:r>
      <w:r>
        <w:t xml:space="preserve">; </w:t>
      </w:r>
      <w:r w:rsidRPr="00EA329E">
        <w:t xml:space="preserve">however, Aaker (1991) is the most frequently cited (Eagle and Kitchen, 2000; Faircloth, 2001; Washburn and Plank, 2002). The Aaker model, shown in Figure </w:t>
      </w:r>
      <w:r>
        <w:t>5</w:t>
      </w:r>
      <w:r w:rsidRPr="00EA329E">
        <w:t xml:space="preserve">, has been examined in </w:t>
      </w:r>
      <w:r>
        <w:t>numerous</w:t>
      </w:r>
      <w:r w:rsidRPr="00EA329E">
        <w:t xml:space="preserve"> empirical investigations (Eagle and Kitchen, 2000; Faircloth et al., 2001; Washburn and Plank, 2002).  </w:t>
      </w:r>
    </w:p>
    <w:p w:rsidR="00296618" w:rsidRPr="00EA329E" w:rsidRDefault="00296618" w:rsidP="00296618">
      <w:pPr>
        <w:jc w:val="center"/>
      </w:pPr>
      <w:r w:rsidRPr="00EA329E">
        <w:rPr>
          <w:noProof/>
          <w:lang w:val="en-ZA" w:eastAsia="en-ZA"/>
        </w:rPr>
        <w:lastRenderedPageBreak/>
        <w:drawing>
          <wp:inline distT="0" distB="0" distL="0" distR="0" wp14:anchorId="5AD1EA6D" wp14:editId="421B47C4">
            <wp:extent cx="5148277" cy="31525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54111" cy="3156114"/>
                    </a:xfrm>
                    <a:prstGeom prst="rect">
                      <a:avLst/>
                    </a:prstGeom>
                    <a:noFill/>
                  </pic:spPr>
                </pic:pic>
              </a:graphicData>
            </a:graphic>
          </wp:inline>
        </w:drawing>
      </w:r>
    </w:p>
    <w:p w:rsidR="00296618" w:rsidRPr="0017084A" w:rsidRDefault="00296618" w:rsidP="00296618">
      <w:pPr>
        <w:pStyle w:val="Caption"/>
        <w:rPr>
          <w:sz w:val="24"/>
        </w:rPr>
      </w:pPr>
      <w:bookmarkStart w:id="46" w:name="_Toc380684390"/>
      <w:r w:rsidRPr="0017084A">
        <w:rPr>
          <w:sz w:val="24"/>
        </w:rPr>
        <w:t xml:space="preserve">Figure </w:t>
      </w:r>
      <w:r w:rsidRPr="0017084A">
        <w:rPr>
          <w:sz w:val="24"/>
        </w:rPr>
        <w:fldChar w:fldCharType="begin"/>
      </w:r>
      <w:r w:rsidRPr="0017084A">
        <w:rPr>
          <w:sz w:val="24"/>
        </w:rPr>
        <w:instrText xml:space="preserve"> SEQ Figure \* ARABIC </w:instrText>
      </w:r>
      <w:r w:rsidRPr="0017084A">
        <w:rPr>
          <w:sz w:val="24"/>
        </w:rPr>
        <w:fldChar w:fldCharType="separate"/>
      </w:r>
      <w:r w:rsidRPr="0017084A">
        <w:rPr>
          <w:noProof/>
          <w:sz w:val="24"/>
        </w:rPr>
        <w:t>5</w:t>
      </w:r>
      <w:r w:rsidRPr="0017084A">
        <w:rPr>
          <w:sz w:val="24"/>
        </w:rPr>
        <w:fldChar w:fldCharType="end"/>
      </w:r>
      <w:r w:rsidRPr="0017084A">
        <w:rPr>
          <w:sz w:val="24"/>
        </w:rPr>
        <w:t>: Aaker Brand Equity Model (1991)</w:t>
      </w:r>
      <w:bookmarkEnd w:id="46"/>
    </w:p>
    <w:p w:rsidR="00296618" w:rsidRPr="005B639C" w:rsidRDefault="00296618" w:rsidP="005B639C">
      <w:pPr>
        <w:pStyle w:val="ListParagraph"/>
        <w:numPr>
          <w:ilvl w:val="0"/>
          <w:numId w:val="16"/>
        </w:numPr>
        <w:rPr>
          <w:b/>
        </w:rPr>
      </w:pPr>
      <w:r w:rsidRPr="005B639C">
        <w:rPr>
          <w:b/>
        </w:rPr>
        <w:t xml:space="preserve">Brand Loyalty </w:t>
      </w:r>
    </w:p>
    <w:p w:rsidR="00296618" w:rsidRDefault="00296618" w:rsidP="00296618">
      <w:r w:rsidRPr="00EA329E">
        <w:t xml:space="preserve">Aaker (1991) </w:t>
      </w:r>
      <w:r>
        <w:t>states that</w:t>
      </w:r>
      <w:r w:rsidRPr="00EA329E">
        <w:t xml:space="preserve"> brand loyalty </w:t>
      </w:r>
      <w:r>
        <w:t xml:space="preserve">is the </w:t>
      </w:r>
      <w:r w:rsidRPr="00EA329E">
        <w:t>likel</w:t>
      </w:r>
      <w:r>
        <w:t xml:space="preserve">ihood of a customer switching brands due to either a modification in product price and/ or features. </w:t>
      </w:r>
      <w:r w:rsidRPr="00EA329E">
        <w:t>Javalgi and Moberg</w:t>
      </w:r>
      <w:r>
        <w:t>’s</w:t>
      </w:r>
      <w:r w:rsidRPr="00EA329E">
        <w:t xml:space="preserve"> (1997) defi</w:t>
      </w:r>
      <w:r>
        <w:t>nition of</w:t>
      </w:r>
      <w:r w:rsidRPr="00EA329E">
        <w:t xml:space="preserve"> brand loyalty </w:t>
      </w:r>
      <w:r>
        <w:t xml:space="preserve">relates </w:t>
      </w:r>
      <w:r w:rsidRPr="00EA329E">
        <w:t xml:space="preserve">to behavioural, attitudinal, and choice perspectives. </w:t>
      </w:r>
      <w:r>
        <w:t>The</w:t>
      </w:r>
      <w:r w:rsidRPr="00EA329E">
        <w:t xml:space="preserve"> behavioural </w:t>
      </w:r>
      <w:r>
        <w:t>dimension relates to</w:t>
      </w:r>
      <w:r w:rsidRPr="00EA329E">
        <w:t xml:space="preserve"> the volume of purchases </w:t>
      </w:r>
      <w:r>
        <w:t>of</w:t>
      </w:r>
      <w:r w:rsidRPr="00EA329E">
        <w:t xml:space="preserve"> a particular bran</w:t>
      </w:r>
      <w:r>
        <w:t xml:space="preserve">d and the </w:t>
      </w:r>
      <w:r w:rsidRPr="00EA329E">
        <w:t xml:space="preserve">attitudinal </w:t>
      </w:r>
      <w:r>
        <w:t>dimension</w:t>
      </w:r>
      <w:r w:rsidRPr="00EA329E">
        <w:t xml:space="preserve"> includes consumer preferences towards brands. </w:t>
      </w:r>
      <w:r>
        <w:t>The</w:t>
      </w:r>
      <w:r w:rsidRPr="00EA329E">
        <w:t xml:space="preserve"> choice </w:t>
      </w:r>
      <w:r>
        <w:t>dimension</w:t>
      </w:r>
      <w:r w:rsidRPr="00EA329E">
        <w:t xml:space="preserve"> </w:t>
      </w:r>
      <w:r>
        <w:t xml:space="preserve">relates to the </w:t>
      </w:r>
      <w:r w:rsidRPr="00EA329E">
        <w:t xml:space="preserve">reasons for purchases </w:t>
      </w:r>
      <w:r>
        <w:t>and</w:t>
      </w:r>
      <w:r w:rsidRPr="00EA329E">
        <w:t xml:space="preserve"> the aspects that may </w:t>
      </w:r>
      <w:r>
        <w:t>drive preferences</w:t>
      </w:r>
      <w:r w:rsidRPr="00EA329E">
        <w:t xml:space="preserve">. </w:t>
      </w:r>
    </w:p>
    <w:p w:rsidR="00296618" w:rsidRPr="00EA329E" w:rsidRDefault="00296618" w:rsidP="00296618">
      <w:r>
        <w:t xml:space="preserve">According to </w:t>
      </w:r>
      <w:r w:rsidRPr="00EA329E">
        <w:t xml:space="preserve">Keller (2003), </w:t>
      </w:r>
      <w:r>
        <w:t xml:space="preserve">brand loyalty may be </w:t>
      </w:r>
      <w:r w:rsidRPr="00EA329E">
        <w:t>examine</w:t>
      </w:r>
      <w:r>
        <w:t>d</w:t>
      </w:r>
      <w:r w:rsidRPr="00EA329E">
        <w:t xml:space="preserve"> </w:t>
      </w:r>
      <w:r>
        <w:t>using</w:t>
      </w:r>
      <w:r w:rsidRPr="00EA329E">
        <w:t xml:space="preserve"> the term ‘brand resonance’</w:t>
      </w:r>
      <w:r>
        <w:t xml:space="preserve">. This term </w:t>
      </w:r>
      <w:r w:rsidRPr="00EA329E">
        <w:t xml:space="preserve">refers to </w:t>
      </w:r>
      <w:r>
        <w:t xml:space="preserve">the extent of </w:t>
      </w:r>
      <w:r w:rsidRPr="00EA329E">
        <w:t xml:space="preserve">customer-brand relationship and the degree to which customers feel that they are ‘in sync’ with the brand. </w:t>
      </w:r>
      <w:r>
        <w:t xml:space="preserve">Keller (2003) further states that there is a high correlation between </w:t>
      </w:r>
      <w:r w:rsidRPr="00EA329E">
        <w:t xml:space="preserve">brand resonance </w:t>
      </w:r>
      <w:r>
        <w:t>and brand</w:t>
      </w:r>
      <w:r w:rsidRPr="00EA329E">
        <w:t xml:space="preserve"> loyalty</w:t>
      </w:r>
      <w:r>
        <w:t xml:space="preserve">. </w:t>
      </w:r>
      <w:r w:rsidRPr="00EA329E">
        <w:t xml:space="preserve"> These definitions of brand loyalty </w:t>
      </w:r>
      <w:r>
        <w:t>indicate a</w:t>
      </w:r>
      <w:r w:rsidRPr="00EA329E">
        <w:t xml:space="preserve"> direct </w:t>
      </w:r>
      <w:r>
        <w:t>correlation</w:t>
      </w:r>
      <w:r w:rsidRPr="00EA329E">
        <w:t xml:space="preserve"> between brand loyalty and brand equity where brand loyalty is </w:t>
      </w:r>
      <w:r>
        <w:t>the</w:t>
      </w:r>
      <w:r w:rsidRPr="00EA329E">
        <w:t xml:space="preserve"> core dimension of brand equity </w:t>
      </w:r>
      <w:r>
        <w:t xml:space="preserve">according to </w:t>
      </w:r>
      <w:r w:rsidRPr="00EA329E">
        <w:t>Aaker</w:t>
      </w:r>
      <w:r>
        <w:t xml:space="preserve"> (</w:t>
      </w:r>
      <w:r w:rsidRPr="00EA329E">
        <w:t>1991).</w:t>
      </w:r>
    </w:p>
    <w:p w:rsidR="00296618" w:rsidRPr="006D68EB" w:rsidRDefault="00296618" w:rsidP="00296618">
      <w:pPr>
        <w:pStyle w:val="ListParagraph"/>
        <w:numPr>
          <w:ilvl w:val="0"/>
          <w:numId w:val="16"/>
        </w:numPr>
        <w:rPr>
          <w:b/>
        </w:rPr>
      </w:pPr>
      <w:r w:rsidRPr="006D68EB">
        <w:rPr>
          <w:b/>
        </w:rPr>
        <w:lastRenderedPageBreak/>
        <w:t>Perceived quality</w:t>
      </w:r>
    </w:p>
    <w:p w:rsidR="00296618" w:rsidRPr="00EA329E" w:rsidRDefault="00296618" w:rsidP="00296618">
      <w:r>
        <w:t>P</w:t>
      </w:r>
      <w:r w:rsidRPr="00EA329E">
        <w:t xml:space="preserve">erceived quality </w:t>
      </w:r>
      <w:r>
        <w:t>relates to</w:t>
      </w:r>
      <w:r w:rsidRPr="00EA329E">
        <w:t xml:space="preserve"> the customer’s perception of the general superiority of a product or service </w:t>
      </w:r>
      <w:r>
        <w:t>in relation</w:t>
      </w:r>
      <w:r w:rsidRPr="00EA329E">
        <w:t xml:space="preserve"> to its envisioned purpose </w:t>
      </w:r>
      <w:r>
        <w:t>compared to its direct competitors</w:t>
      </w:r>
      <w:r w:rsidRPr="00A93D61">
        <w:t xml:space="preserve"> </w:t>
      </w:r>
      <w:r>
        <w:t xml:space="preserve">(Zeithaml, </w:t>
      </w:r>
      <w:r w:rsidRPr="00EA329E">
        <w:t xml:space="preserve">1988).  Kotler (2000) </w:t>
      </w:r>
      <w:r>
        <w:t xml:space="preserve">highlights the </w:t>
      </w:r>
      <w:r w:rsidRPr="00EA329E">
        <w:t>close</w:t>
      </w:r>
      <w:r>
        <w:t xml:space="preserve"> link</w:t>
      </w:r>
      <w:r w:rsidRPr="00EA329E">
        <w:t xml:space="preserve"> </w:t>
      </w:r>
      <w:r>
        <w:t xml:space="preserve">between </w:t>
      </w:r>
      <w:r w:rsidRPr="00EA329E">
        <w:t>product and service quality, customer satisfaction, and company profitability.</w:t>
      </w:r>
    </w:p>
    <w:p w:rsidR="00296618" w:rsidRPr="006D68EB" w:rsidRDefault="00296618" w:rsidP="00296618">
      <w:pPr>
        <w:pStyle w:val="ListParagraph"/>
        <w:numPr>
          <w:ilvl w:val="0"/>
          <w:numId w:val="16"/>
        </w:numPr>
        <w:rPr>
          <w:b/>
        </w:rPr>
      </w:pPr>
      <w:r w:rsidRPr="006D68EB">
        <w:rPr>
          <w:b/>
        </w:rPr>
        <w:t>Brand awareness</w:t>
      </w:r>
    </w:p>
    <w:p w:rsidR="00296618" w:rsidRPr="00EA329E" w:rsidRDefault="00296618" w:rsidP="00296618">
      <w:r>
        <w:t>B</w:t>
      </w:r>
      <w:r w:rsidRPr="00EA329E">
        <w:t xml:space="preserve">rand awareness </w:t>
      </w:r>
      <w:r>
        <w:t>is</w:t>
      </w:r>
      <w:r w:rsidRPr="00EA329E">
        <w:t xml:space="preserve"> the capability of </w:t>
      </w:r>
      <w:r>
        <w:t xml:space="preserve">a </w:t>
      </w:r>
      <w:r w:rsidRPr="00EA329E">
        <w:t xml:space="preserve">potential </w:t>
      </w:r>
      <w:r>
        <w:t>consumer</w:t>
      </w:r>
      <w:r w:rsidRPr="00EA329E">
        <w:t xml:space="preserve"> to recognise and recall that a brand is </w:t>
      </w:r>
      <w:r>
        <w:t>part</w:t>
      </w:r>
      <w:r w:rsidRPr="00EA329E">
        <w:t xml:space="preserve"> of a certain product category</w:t>
      </w:r>
      <w:r w:rsidRPr="00A93D61">
        <w:t xml:space="preserve"> </w:t>
      </w:r>
      <w:r>
        <w:t xml:space="preserve">(Aaker, </w:t>
      </w:r>
      <w:r w:rsidRPr="00EA329E">
        <w:t xml:space="preserve">1991). According to Keller (2003), brand awareness </w:t>
      </w:r>
      <w:r>
        <w:t>is critical</w:t>
      </w:r>
      <w:r w:rsidRPr="00EA329E">
        <w:t xml:space="preserve"> in </w:t>
      </w:r>
      <w:r>
        <w:t xml:space="preserve">the </w:t>
      </w:r>
      <w:r w:rsidRPr="00EA329E">
        <w:t>consumer</w:t>
      </w:r>
      <w:r>
        <w:t xml:space="preserve">’s </w:t>
      </w:r>
      <w:r w:rsidRPr="00EA329E">
        <w:t>decision-making</w:t>
      </w:r>
      <w:r>
        <w:t xml:space="preserve"> process. This process is</w:t>
      </w:r>
      <w:r w:rsidRPr="00EA329E">
        <w:t xml:space="preserve"> </w:t>
      </w:r>
      <w:r>
        <w:t xml:space="preserve">characterised by three key advantages namely; </w:t>
      </w:r>
      <w:r w:rsidRPr="00EA329E">
        <w:t xml:space="preserve">learning, consideration, and choice advantages. Customer-based brand equity </w:t>
      </w:r>
      <w:r>
        <w:t xml:space="preserve">relates to </w:t>
      </w:r>
      <w:r w:rsidRPr="00EA329E">
        <w:t>consumer</w:t>
      </w:r>
      <w:r>
        <w:t>’s</w:t>
      </w:r>
      <w:r w:rsidRPr="00EA329E">
        <w:t xml:space="preserve"> high level of awareness and knowledge </w:t>
      </w:r>
      <w:r>
        <w:t>of</w:t>
      </w:r>
      <w:r w:rsidRPr="00EA329E">
        <w:t xml:space="preserve"> the brand and </w:t>
      </w:r>
      <w:r>
        <w:t>has</w:t>
      </w:r>
      <w:r w:rsidRPr="00EA329E">
        <w:t xml:space="preserve"> unique brand associations in memory.</w:t>
      </w:r>
      <w:r w:rsidRPr="00EA329E">
        <w:rPr>
          <w:sz w:val="23"/>
          <w:szCs w:val="23"/>
        </w:rPr>
        <w:t xml:space="preserve"> </w:t>
      </w:r>
      <w:r w:rsidRPr="00EA329E">
        <w:t>Brand awareness is a</w:t>
      </w:r>
      <w:r>
        <w:t>n</w:t>
      </w:r>
      <w:r w:rsidRPr="00EA329E">
        <w:t xml:space="preserve"> element of brand equity</w:t>
      </w:r>
      <w:r>
        <w:t xml:space="preserve"> as a result, </w:t>
      </w:r>
      <w:r w:rsidRPr="00EA329E">
        <w:t xml:space="preserve">rebranding </w:t>
      </w:r>
      <w:r>
        <w:t>may have an adverse influence on the</w:t>
      </w:r>
      <w:r w:rsidRPr="00EA329E">
        <w:t xml:space="preserve"> equity of the brand and </w:t>
      </w:r>
      <w:r>
        <w:t xml:space="preserve">may </w:t>
      </w:r>
      <w:r w:rsidRPr="00EA329E">
        <w:t>not positive</w:t>
      </w:r>
      <w:r>
        <w:t>ly</w:t>
      </w:r>
      <w:r w:rsidRPr="00EA329E">
        <w:t xml:space="preserve"> </w:t>
      </w:r>
      <w:r>
        <w:t xml:space="preserve">impact </w:t>
      </w:r>
      <w:r w:rsidRPr="00EA329E">
        <w:t>brand equity</w:t>
      </w:r>
      <w:r>
        <w:t xml:space="preserve"> as intended</w:t>
      </w:r>
      <w:r w:rsidRPr="00EA329E">
        <w:t xml:space="preserve"> (Boyle, 2002; Muzellec and Lambkin, 2006).</w:t>
      </w:r>
    </w:p>
    <w:p w:rsidR="00296618" w:rsidRPr="006D68EB" w:rsidRDefault="00296618" w:rsidP="00296618">
      <w:pPr>
        <w:pStyle w:val="ListParagraph"/>
        <w:numPr>
          <w:ilvl w:val="0"/>
          <w:numId w:val="16"/>
        </w:numPr>
        <w:rPr>
          <w:b/>
        </w:rPr>
      </w:pPr>
      <w:r w:rsidRPr="006D68EB">
        <w:rPr>
          <w:b/>
        </w:rPr>
        <w:t>Brand association</w:t>
      </w:r>
    </w:p>
    <w:p w:rsidR="00296618" w:rsidRDefault="00296618" w:rsidP="00296618">
      <w:r w:rsidRPr="00EA329E">
        <w:t xml:space="preserve">Brand associations mirror features of the product or </w:t>
      </w:r>
      <w:r>
        <w:t>service</w:t>
      </w:r>
      <w:r w:rsidRPr="00EA329E">
        <w:t xml:space="preserve"> independent of the product</w:t>
      </w:r>
      <w:r>
        <w:t xml:space="preserve"> or service</w:t>
      </w:r>
      <w:r w:rsidRPr="00EA329E">
        <w:t xml:space="preserve"> itself</w:t>
      </w:r>
      <w:r>
        <w:t xml:space="preserve"> according to </w:t>
      </w:r>
      <w:r w:rsidRPr="00EA329E">
        <w:t>Chen</w:t>
      </w:r>
      <w:r>
        <w:t xml:space="preserve"> (</w:t>
      </w:r>
      <w:r w:rsidRPr="00EA329E">
        <w:t xml:space="preserve">2001).  </w:t>
      </w:r>
      <w:r>
        <w:t>Chen (2001) argues further that p</w:t>
      </w:r>
      <w:r w:rsidRPr="00EA329E">
        <w:t>roduct associations and organi</w:t>
      </w:r>
      <w:r w:rsidRPr="009F14CE">
        <w:t>s</w:t>
      </w:r>
      <w:r w:rsidRPr="00EA329E">
        <w:t xml:space="preserve">ational associations are </w:t>
      </w:r>
      <w:r>
        <w:t>regarded</w:t>
      </w:r>
      <w:r w:rsidRPr="00EA329E">
        <w:t xml:space="preserve"> as the two categories most referred to</w:t>
      </w:r>
      <w:r>
        <w:t xml:space="preserve"> in relation to </w:t>
      </w:r>
      <w:r w:rsidRPr="00EA329E">
        <w:t xml:space="preserve">brand association typology. </w:t>
      </w:r>
      <w:r>
        <w:t>These a</w:t>
      </w:r>
      <w:r w:rsidRPr="00EA329E">
        <w:t xml:space="preserve">ssociations </w:t>
      </w:r>
      <w:r>
        <w:t>are symbolic of the</w:t>
      </w:r>
      <w:r w:rsidRPr="00EA329E">
        <w:t xml:space="preserve"> basis for purchase decisions for brand loyalty</w:t>
      </w:r>
      <w:r>
        <w:t xml:space="preserve"> creating</w:t>
      </w:r>
      <w:r w:rsidRPr="00EA329E">
        <w:t xml:space="preserve"> value </w:t>
      </w:r>
      <w:r>
        <w:t>for the company</w:t>
      </w:r>
      <w:r w:rsidRPr="00EA329E">
        <w:t xml:space="preserve"> and its customers. </w:t>
      </w:r>
      <w:r>
        <w:t>The benefits of brand associations include; helping with the process of information, brand differentiation, creating a reason to buy and promoting positive attitudes and feelings towards a particular brand</w:t>
      </w:r>
      <w:r w:rsidRPr="00111046">
        <w:t xml:space="preserve"> </w:t>
      </w:r>
      <w:r>
        <w:t xml:space="preserve">(Aaker, </w:t>
      </w:r>
      <w:r w:rsidRPr="00EA329E">
        <w:t>1991)</w:t>
      </w:r>
      <w:r>
        <w:t>. B</w:t>
      </w:r>
      <w:r w:rsidRPr="00DC029D">
        <w:t xml:space="preserve">rand associations influence consumer preference and behaviour according to Woodside and Trappey (1992). Castleberry and Ehrenberg (1990) </w:t>
      </w:r>
      <w:r>
        <w:t xml:space="preserve">state there is a high correlation between </w:t>
      </w:r>
      <w:r w:rsidRPr="00DC029D">
        <w:t xml:space="preserve">associations </w:t>
      </w:r>
      <w:r>
        <w:t>and</w:t>
      </w:r>
      <w:r w:rsidRPr="00DC029D">
        <w:t xml:space="preserve"> </w:t>
      </w:r>
      <w:r w:rsidRPr="00DC029D">
        <w:lastRenderedPageBreak/>
        <w:t xml:space="preserve">market share of a brand. </w:t>
      </w:r>
      <w:r>
        <w:t xml:space="preserve">The literature also refers to a phenomenon called the </w:t>
      </w:r>
      <w:r w:rsidRPr="00DC029D">
        <w:t>country-of-origin effect</w:t>
      </w:r>
      <w:r>
        <w:t xml:space="preserve">, whereby </w:t>
      </w:r>
      <w:r w:rsidRPr="00DC029D">
        <w:t>products from countries with certain associations are preferred above those produced in other nations</w:t>
      </w:r>
      <w:r>
        <w:t xml:space="preserve"> </w:t>
      </w:r>
      <w:r w:rsidRPr="00DC029D">
        <w:t>(Verlegh, 2001 and Peterson and Jolibert, 1995).</w:t>
      </w:r>
    </w:p>
    <w:p w:rsidR="00296618" w:rsidRDefault="00296618" w:rsidP="00296618"/>
    <w:p w:rsidR="00296618" w:rsidRPr="00EA329E" w:rsidRDefault="00296618" w:rsidP="00296618">
      <w:pPr>
        <w:pStyle w:val="Heading3"/>
        <w:numPr>
          <w:ilvl w:val="2"/>
          <w:numId w:val="19"/>
        </w:numPr>
      </w:pPr>
      <w:bookmarkStart w:id="47" w:name="_Toc380687068"/>
      <w:r w:rsidRPr="00EA329E">
        <w:t xml:space="preserve">Measurement of </w:t>
      </w:r>
      <w:r>
        <w:t>b</w:t>
      </w:r>
      <w:r w:rsidRPr="00EA329E">
        <w:t xml:space="preserve">rand </w:t>
      </w:r>
      <w:r>
        <w:t>e</w:t>
      </w:r>
      <w:r w:rsidRPr="00EA329E">
        <w:t>quity</w:t>
      </w:r>
      <w:bookmarkEnd w:id="47"/>
    </w:p>
    <w:p w:rsidR="00296618" w:rsidRPr="00EA329E" w:rsidRDefault="00296618" w:rsidP="00296618">
      <w:r w:rsidRPr="00EA329E">
        <w:t xml:space="preserve">The literature review suggests that the measurement of brand equity can be grouped into two </w:t>
      </w:r>
      <w:r>
        <w:t>schools of thought namely; financial or customer-based measurement</w:t>
      </w:r>
      <w:r w:rsidRPr="00EA329E">
        <w:t>. Cravens and Guilding</w:t>
      </w:r>
      <w:r>
        <w:t xml:space="preserve"> (</w:t>
      </w:r>
      <w:r w:rsidRPr="00EA329E">
        <w:t>1999)</w:t>
      </w:r>
      <w:r>
        <w:t xml:space="preserve"> have deliberated the financial measurement while Aaker (</w:t>
      </w:r>
      <w:r w:rsidRPr="00EA329E">
        <w:t>1991</w:t>
      </w:r>
      <w:r>
        <w:t>), Kapferer (</w:t>
      </w:r>
      <w:r w:rsidRPr="00EA329E">
        <w:t>1997</w:t>
      </w:r>
      <w:r>
        <w:t>), Keller (</w:t>
      </w:r>
      <w:r w:rsidRPr="00EA329E">
        <w:t>1998</w:t>
      </w:r>
      <w:r>
        <w:t>), and Aaker and Joachimsthaler (</w:t>
      </w:r>
      <w:r w:rsidRPr="00EA329E">
        <w:t>2000</w:t>
      </w:r>
      <w:r>
        <w:t>) focussed</w:t>
      </w:r>
      <w:r w:rsidRPr="00EA329E">
        <w:t xml:space="preserve"> on the customer-based measurement</w:t>
      </w:r>
      <w:r>
        <w:t xml:space="preserve">. </w:t>
      </w:r>
      <w:r w:rsidRPr="00EA329E">
        <w:t xml:space="preserve">Simon and Sullivan (1993) </w:t>
      </w:r>
      <w:r>
        <w:t>extracted</w:t>
      </w:r>
      <w:r w:rsidRPr="00EA329E">
        <w:t xml:space="preserve"> the value of brand equity from the value of the </w:t>
      </w:r>
      <w:r>
        <w:t>company’s</w:t>
      </w:r>
      <w:r w:rsidRPr="00EA329E">
        <w:t xml:space="preserve"> other assets</w:t>
      </w:r>
      <w:r>
        <w:t xml:space="preserve"> by using macro and micro approaches as an estimation technique. </w:t>
      </w:r>
      <w:r w:rsidRPr="00EA329E">
        <w:t>Aaker (1991) focused on five brand equity dimensions – brand awareness, brand associations, brand loyalty, perceived quality, and other proprietary brand assets</w:t>
      </w:r>
      <w:r>
        <w:t xml:space="preserve">. </w:t>
      </w:r>
      <w:r w:rsidRPr="00EA329E">
        <w:t>Keller</w:t>
      </w:r>
      <w:r>
        <w:t xml:space="preserve"> (</w:t>
      </w:r>
      <w:r w:rsidRPr="00EA329E">
        <w:t>1993</w:t>
      </w:r>
      <w:r>
        <w:t>) used</w:t>
      </w:r>
      <w:r w:rsidRPr="00EA329E">
        <w:t xml:space="preserve"> direct and indirec</w:t>
      </w:r>
      <w:r>
        <w:t>t approaches</w:t>
      </w:r>
      <w:r w:rsidRPr="00EA329E">
        <w:t xml:space="preserve"> to measuring customer-based brand equity </w:t>
      </w:r>
      <w:r>
        <w:t xml:space="preserve">with emphasis on </w:t>
      </w:r>
      <w:r w:rsidRPr="00EA329E">
        <w:t xml:space="preserve">two constructs: brand awareness and brand image.  Silverman </w:t>
      </w:r>
      <w:r w:rsidR="00C128C9">
        <w:t xml:space="preserve">et al. </w:t>
      </w:r>
      <w:r w:rsidRPr="00EA329E">
        <w:t xml:space="preserve">(1999) </w:t>
      </w:r>
      <w:r>
        <w:t>studied</w:t>
      </w:r>
      <w:r w:rsidRPr="00EA329E">
        <w:t xml:space="preserve"> the </w:t>
      </w:r>
      <w:r>
        <w:t>correlation</w:t>
      </w:r>
      <w:r w:rsidRPr="00EA329E">
        <w:t xml:space="preserve"> between customer-based and financial</w:t>
      </w:r>
      <w:r>
        <w:t xml:space="preserve"> </w:t>
      </w:r>
      <w:r w:rsidRPr="00EA329E">
        <w:t xml:space="preserve">based brand equity measurements. The </w:t>
      </w:r>
      <w:r>
        <w:t>outcome of</w:t>
      </w:r>
      <w:r w:rsidRPr="00EA329E">
        <w:t xml:space="preserve"> customer-based research suggests that measures of brand perceptions are accurate reflections of brand performance in the market</w:t>
      </w:r>
      <w:r>
        <w:t xml:space="preserve"> </w:t>
      </w:r>
      <w:r w:rsidRPr="00EA329E">
        <w:t xml:space="preserve">place.  According to Lassar </w:t>
      </w:r>
      <w:r w:rsidR="00A1371B">
        <w:t xml:space="preserve">et al. </w:t>
      </w:r>
      <w:r w:rsidRPr="00EA329E">
        <w:t>(1995)</w:t>
      </w:r>
      <w:r>
        <w:t>,</w:t>
      </w:r>
      <w:r w:rsidRPr="00EA329E">
        <w:t xml:space="preserve"> customer-based brand equity</w:t>
      </w:r>
      <w:r>
        <w:t xml:space="preserve"> </w:t>
      </w:r>
      <w:r w:rsidRPr="00EA329E">
        <w:t xml:space="preserve">drives incremental financial gains </w:t>
      </w:r>
      <w:r>
        <w:t>for a company</w:t>
      </w:r>
      <w:r w:rsidRPr="00EA329E">
        <w:t xml:space="preserve">. </w:t>
      </w:r>
    </w:p>
    <w:p w:rsidR="00296618" w:rsidRDefault="00296618" w:rsidP="00296618">
      <w:pPr>
        <w:pStyle w:val="Heading3"/>
        <w:numPr>
          <w:ilvl w:val="2"/>
          <w:numId w:val="19"/>
        </w:numPr>
      </w:pPr>
      <w:bookmarkStart w:id="48" w:name="_Toc380687069"/>
      <w:r w:rsidRPr="00EA329E">
        <w:t xml:space="preserve">Brand </w:t>
      </w:r>
      <w:r>
        <w:t>e</w:t>
      </w:r>
      <w:r w:rsidRPr="00EA329E">
        <w:t>quity</w:t>
      </w:r>
      <w:r>
        <w:t xml:space="preserve"> valuations</w:t>
      </w:r>
      <w:bookmarkEnd w:id="48"/>
      <w:r w:rsidRPr="00EA329E">
        <w:t xml:space="preserve"> </w:t>
      </w:r>
    </w:p>
    <w:p w:rsidR="00296618" w:rsidRPr="00A611A2" w:rsidRDefault="00296618" w:rsidP="00296618">
      <w:r>
        <w:t xml:space="preserve">Abratt and Bick (2003) identified five categories of valuation approaches for brand equity, namely cost-based, market-based, economic use or income-based, formulary, and special situation. The cost-based approaches are calculated as </w:t>
      </w:r>
      <w:r>
        <w:lastRenderedPageBreak/>
        <w:t xml:space="preserve">either the accumulated costs of building the brand or the replacement cost of launching a new product. The market-based approaches are based on the value derived from the price that can be attained on the open market by assessing the amount paid for a comparable brand. The economic use or income-based approaches are derived from the estimation of future net earnings. The formulary approaches, generally used by organisations, approximates the additional profits attained by the brand over and above an unbranded product. The special situation approaches are derived from premium prices paid for the strategic purchases, discounted liquidation sales or special purposes.  </w:t>
      </w:r>
    </w:p>
    <w:p w:rsidR="00296618" w:rsidRPr="00EA329E" w:rsidRDefault="00296618" w:rsidP="00296618">
      <w:pPr>
        <w:pStyle w:val="Heading3"/>
        <w:numPr>
          <w:ilvl w:val="2"/>
          <w:numId w:val="19"/>
        </w:numPr>
      </w:pPr>
      <w:bookmarkStart w:id="49" w:name="_Toc380687070"/>
      <w:r w:rsidRPr="00EA329E">
        <w:t xml:space="preserve">Benefits of </w:t>
      </w:r>
      <w:r>
        <w:t>b</w:t>
      </w:r>
      <w:r w:rsidRPr="00EA329E">
        <w:t xml:space="preserve">rand </w:t>
      </w:r>
      <w:r>
        <w:t>e</w:t>
      </w:r>
      <w:r w:rsidRPr="00EA329E">
        <w:t>quity</w:t>
      </w:r>
      <w:bookmarkEnd w:id="49"/>
      <w:r w:rsidRPr="00A611A2">
        <w:t xml:space="preserve"> </w:t>
      </w:r>
    </w:p>
    <w:p w:rsidR="00296618" w:rsidRPr="00EA329E" w:rsidRDefault="00296618" w:rsidP="00296618">
      <w:r w:rsidRPr="00EA329E">
        <w:t xml:space="preserve">Keller (1998) </w:t>
      </w:r>
      <w:r>
        <w:t>stated</w:t>
      </w:r>
      <w:r w:rsidRPr="00EA329E">
        <w:t xml:space="preserve"> </w:t>
      </w:r>
      <w:r>
        <w:t xml:space="preserve">that a strong brand results in a </w:t>
      </w:r>
      <w:r w:rsidRPr="00EA329E">
        <w:t xml:space="preserve">number of benefits </w:t>
      </w:r>
      <w:r>
        <w:t>including</w:t>
      </w:r>
      <w:r w:rsidRPr="00EA329E">
        <w:t xml:space="preserve"> greater revenue and lower costs. According to </w:t>
      </w:r>
      <w:r w:rsidR="00FE3F5D">
        <w:t>Keller</w:t>
      </w:r>
      <w:r w:rsidRPr="00EA329E">
        <w:t xml:space="preserve"> (199</w:t>
      </w:r>
      <w:r w:rsidR="00FE3F5D">
        <w:t>8</w:t>
      </w:r>
      <w:r w:rsidRPr="00EA329E">
        <w:t xml:space="preserve">), factors that create financial value for strong brands can be divided into two categories: </w:t>
      </w:r>
    </w:p>
    <w:p w:rsidR="00296618" w:rsidRPr="00EA329E" w:rsidRDefault="00296618" w:rsidP="00296618">
      <w:pPr>
        <w:pStyle w:val="ListParagraph"/>
        <w:numPr>
          <w:ilvl w:val="0"/>
          <w:numId w:val="14"/>
        </w:numPr>
      </w:pPr>
      <w:r w:rsidRPr="00EA329E">
        <w:t xml:space="preserve">Factors related to </w:t>
      </w:r>
      <w:r>
        <w:t xml:space="preserve">the </w:t>
      </w:r>
      <w:r w:rsidRPr="00EA329E">
        <w:t>growth</w:t>
      </w:r>
      <w:r>
        <w:t xml:space="preserve"> of the company. These factors include the </w:t>
      </w:r>
      <w:r w:rsidRPr="00EA329E">
        <w:t xml:space="preserve">capability to appeal </w:t>
      </w:r>
      <w:r>
        <w:t xml:space="preserve">to </w:t>
      </w:r>
      <w:r w:rsidRPr="00EA329E">
        <w:t xml:space="preserve">new customers, </w:t>
      </w:r>
      <w:r>
        <w:t>reduce</w:t>
      </w:r>
      <w:r w:rsidRPr="00EA329E">
        <w:t xml:space="preserve"> competitive activi</w:t>
      </w:r>
      <w:r>
        <w:t>tie</w:t>
      </w:r>
      <w:r w:rsidRPr="00EA329E">
        <w:t xml:space="preserve">s, </w:t>
      </w:r>
      <w:r>
        <w:t>promote product</w:t>
      </w:r>
      <w:r w:rsidRPr="00EA329E">
        <w:t xml:space="preserve"> extensions, and </w:t>
      </w:r>
      <w:r>
        <w:t xml:space="preserve">market </w:t>
      </w:r>
      <w:r w:rsidRPr="00EA329E">
        <w:t>cross international borders.</w:t>
      </w:r>
    </w:p>
    <w:p w:rsidR="00296618" w:rsidRPr="00EA329E" w:rsidRDefault="00296618" w:rsidP="00296618">
      <w:pPr>
        <w:pStyle w:val="ListParagraph"/>
        <w:numPr>
          <w:ilvl w:val="0"/>
          <w:numId w:val="14"/>
        </w:numPr>
      </w:pPr>
      <w:r w:rsidRPr="00EA329E">
        <w:t xml:space="preserve">Factors related to </w:t>
      </w:r>
      <w:r>
        <w:t xml:space="preserve">increased </w:t>
      </w:r>
      <w:r w:rsidRPr="00EA329E">
        <w:t>profitability</w:t>
      </w:r>
      <w:r>
        <w:t xml:space="preserve"> namely; </w:t>
      </w:r>
      <w:r w:rsidRPr="00EA329E">
        <w:t>brand loyalty, premium price, lower price elasticity, lower advertising sales/ratio and trade leverage.</w:t>
      </w:r>
    </w:p>
    <w:p w:rsidR="00296618" w:rsidRDefault="00296618" w:rsidP="00296618"/>
    <w:p w:rsidR="00296618" w:rsidRPr="00EA329E" w:rsidRDefault="00296618" w:rsidP="00296618">
      <w:r>
        <w:t xml:space="preserve">According to the literature, high brand equity may present a sustainable competitive advantage presenting the company with the opportunity for the following: </w:t>
      </w:r>
    </w:p>
    <w:p w:rsidR="00296618" w:rsidRPr="00EA329E" w:rsidRDefault="00296618" w:rsidP="00296618">
      <w:pPr>
        <w:pStyle w:val="ListParagraph"/>
        <w:numPr>
          <w:ilvl w:val="0"/>
          <w:numId w:val="12"/>
        </w:numPr>
      </w:pPr>
      <w:r>
        <w:t xml:space="preserve">obtaining </w:t>
      </w:r>
      <w:r w:rsidRPr="00EA329E">
        <w:t>price premium (Wood, 2000)</w:t>
      </w:r>
      <w:r>
        <w:t>;</w:t>
      </w:r>
    </w:p>
    <w:p w:rsidR="00296618" w:rsidRPr="00EA329E" w:rsidRDefault="00296618" w:rsidP="00296618">
      <w:pPr>
        <w:pStyle w:val="ListParagraph"/>
        <w:numPr>
          <w:ilvl w:val="0"/>
          <w:numId w:val="12"/>
        </w:numPr>
      </w:pPr>
      <w:r>
        <w:t xml:space="preserve">consumers’ demand for </w:t>
      </w:r>
      <w:r w:rsidRPr="00EA329E">
        <w:t>the product/s (Wood, 2000)</w:t>
      </w:r>
      <w:r>
        <w:t>;</w:t>
      </w:r>
      <w:r w:rsidRPr="00EA329E">
        <w:t xml:space="preserve">, </w:t>
      </w:r>
    </w:p>
    <w:p w:rsidR="00296618" w:rsidRPr="00EA329E" w:rsidRDefault="00296618" w:rsidP="00296618">
      <w:pPr>
        <w:pStyle w:val="ListParagraph"/>
        <w:numPr>
          <w:ilvl w:val="0"/>
          <w:numId w:val="12"/>
        </w:numPr>
      </w:pPr>
      <w:r>
        <w:t xml:space="preserve">rejection of </w:t>
      </w:r>
      <w:r w:rsidRPr="00EA329E">
        <w:t>competitive brands</w:t>
      </w:r>
      <w:r>
        <w:t xml:space="preserve">, </w:t>
      </w:r>
      <w:r w:rsidRPr="00EA329E">
        <w:t>communications</w:t>
      </w:r>
      <w:r>
        <w:t xml:space="preserve"> are </w:t>
      </w:r>
      <w:r w:rsidRPr="00EA329E">
        <w:t>more readily accepted (Wood, 2000)</w:t>
      </w:r>
      <w:r>
        <w:t>;</w:t>
      </w:r>
    </w:p>
    <w:p w:rsidR="00296618" w:rsidRPr="00EA329E" w:rsidRDefault="00296618" w:rsidP="00296618">
      <w:pPr>
        <w:pStyle w:val="ListParagraph"/>
        <w:numPr>
          <w:ilvl w:val="0"/>
          <w:numId w:val="12"/>
        </w:numPr>
      </w:pPr>
      <w:r w:rsidRPr="00EA329E">
        <w:t xml:space="preserve">the brand can be built on, customer satisfaction </w:t>
      </w:r>
      <w:r>
        <w:t>is</w:t>
      </w:r>
      <w:r w:rsidRPr="00EA329E">
        <w:t xml:space="preserve"> improved (Wood, 2000)</w:t>
      </w:r>
      <w:r>
        <w:t>;</w:t>
      </w:r>
    </w:p>
    <w:p w:rsidR="00296618" w:rsidRPr="00EA329E" w:rsidRDefault="00296618" w:rsidP="00296618">
      <w:pPr>
        <w:pStyle w:val="ListParagraph"/>
        <w:numPr>
          <w:ilvl w:val="0"/>
          <w:numId w:val="12"/>
        </w:numPr>
      </w:pPr>
      <w:r>
        <w:lastRenderedPageBreak/>
        <w:t xml:space="preserve">increased </w:t>
      </w:r>
      <w:r w:rsidRPr="00EA329E">
        <w:t>power in the distribution network (Wood, 2000)</w:t>
      </w:r>
      <w:r>
        <w:t>;</w:t>
      </w:r>
    </w:p>
    <w:p w:rsidR="00296618" w:rsidRPr="00EA329E" w:rsidRDefault="00296618" w:rsidP="00296618">
      <w:pPr>
        <w:pStyle w:val="ListParagraph"/>
        <w:numPr>
          <w:ilvl w:val="0"/>
          <w:numId w:val="12"/>
        </w:numPr>
      </w:pPr>
      <w:r>
        <w:t xml:space="preserve">opening of </w:t>
      </w:r>
      <w:r w:rsidRPr="00EA329E">
        <w:t>licensing opportunities (Wood, 2000)</w:t>
      </w:r>
      <w:r>
        <w:t>;</w:t>
      </w:r>
      <w:r w:rsidRPr="00EA329E">
        <w:t xml:space="preserve"> and, </w:t>
      </w:r>
    </w:p>
    <w:p w:rsidR="00296618" w:rsidRDefault="00296618" w:rsidP="00296618">
      <w:pPr>
        <w:pStyle w:val="ListParagraph"/>
        <w:numPr>
          <w:ilvl w:val="0"/>
          <w:numId w:val="12"/>
        </w:numPr>
      </w:pPr>
      <w:r w:rsidRPr="00EA329E">
        <w:t xml:space="preserve">the company </w:t>
      </w:r>
      <w:r>
        <w:t>is</w:t>
      </w:r>
      <w:r w:rsidRPr="00EA329E">
        <w:t xml:space="preserve"> worth more when it is sold (Hague and Jackson, 1994; Wood, 2000).</w:t>
      </w:r>
    </w:p>
    <w:p w:rsidR="00296618" w:rsidRPr="00EA329E" w:rsidRDefault="00296618" w:rsidP="00296618">
      <w:pPr>
        <w:pStyle w:val="ListParagraph"/>
      </w:pPr>
    </w:p>
    <w:p w:rsidR="00296618" w:rsidRDefault="00296618" w:rsidP="00296618">
      <w:pPr>
        <w:pStyle w:val="Heading2"/>
        <w:numPr>
          <w:ilvl w:val="1"/>
          <w:numId w:val="19"/>
        </w:numPr>
      </w:pPr>
      <w:bookmarkStart w:id="50" w:name="_Toc380687071"/>
      <w:r w:rsidRPr="005659D0">
        <w:t>Linking corporate rebranding and brand equity</w:t>
      </w:r>
      <w:bookmarkEnd w:id="50"/>
    </w:p>
    <w:p w:rsidR="00296618" w:rsidRDefault="00296618" w:rsidP="00296618">
      <w:r w:rsidRPr="005659D0">
        <w:t xml:space="preserve">The </w:t>
      </w:r>
      <w:r>
        <w:t>fundamental</w:t>
      </w:r>
      <w:r w:rsidRPr="005659D0">
        <w:t xml:space="preserve"> </w:t>
      </w:r>
      <w:r>
        <w:t>objective</w:t>
      </w:r>
      <w:r w:rsidRPr="005659D0">
        <w:t xml:space="preserve"> of corporate rebranding is to </w:t>
      </w:r>
      <w:r>
        <w:t>improve</w:t>
      </w:r>
      <w:r w:rsidRPr="005659D0">
        <w:t xml:space="preserve"> brand equity </w:t>
      </w:r>
      <w:r>
        <w:t>according to Aaker (</w:t>
      </w:r>
      <w:r w:rsidRPr="005659D0">
        <w:t>1991</w:t>
      </w:r>
      <w:r>
        <w:t>),</w:t>
      </w:r>
      <w:r w:rsidRPr="005659D0">
        <w:t xml:space="preserve"> Boyle</w:t>
      </w:r>
      <w:r>
        <w:t xml:space="preserve"> (</w:t>
      </w:r>
      <w:r w:rsidRPr="005659D0">
        <w:t>2002</w:t>
      </w:r>
      <w:r>
        <w:t xml:space="preserve">), </w:t>
      </w:r>
      <w:r w:rsidRPr="005659D0">
        <w:t>Causon</w:t>
      </w:r>
      <w:r>
        <w:t xml:space="preserve"> (</w:t>
      </w:r>
      <w:r w:rsidRPr="005659D0">
        <w:t>2004</w:t>
      </w:r>
      <w:r>
        <w:t>),</w:t>
      </w:r>
      <w:r w:rsidRPr="005659D0">
        <w:t xml:space="preserve"> Muzellec and Lambkin</w:t>
      </w:r>
      <w:r>
        <w:t xml:space="preserve"> (</w:t>
      </w:r>
      <w:r w:rsidRPr="005659D0">
        <w:t xml:space="preserve">2006). Aaker (1991) and Keller (2000) used the term ‘revitalisation’ to describe the corporate rebranding concept. Revitalisation </w:t>
      </w:r>
      <w:r>
        <w:t xml:space="preserve">means improving </w:t>
      </w:r>
      <w:r w:rsidRPr="005659D0">
        <w:t xml:space="preserve">in order to </w:t>
      </w:r>
      <w:r>
        <w:t>adapt</w:t>
      </w:r>
      <w:r w:rsidRPr="005659D0">
        <w:t xml:space="preserve"> to changes in the </w:t>
      </w:r>
      <w:r>
        <w:t>external</w:t>
      </w:r>
      <w:r w:rsidRPr="005659D0">
        <w:t xml:space="preserve"> environment. </w:t>
      </w:r>
      <w:r>
        <w:t xml:space="preserve">There are seven strategies for </w:t>
      </w:r>
      <w:r w:rsidRPr="005659D0">
        <w:t>brand revitalisation</w:t>
      </w:r>
      <w:r w:rsidRPr="00FD77CF">
        <w:t xml:space="preserve"> </w:t>
      </w:r>
      <w:r>
        <w:t xml:space="preserve">according to </w:t>
      </w:r>
      <w:r w:rsidRPr="005659D0">
        <w:t>Aaker (1991)</w:t>
      </w:r>
      <w:r>
        <w:t>, namely;</w:t>
      </w:r>
      <w:r w:rsidRPr="005659D0">
        <w:t xml:space="preserve"> finding new </w:t>
      </w:r>
      <w:r>
        <w:t xml:space="preserve">or modifying </w:t>
      </w:r>
      <w:r w:rsidRPr="005659D0">
        <w:t>uses, increasing usage</w:t>
      </w:r>
      <w:r>
        <w:t xml:space="preserve">, </w:t>
      </w:r>
      <w:r w:rsidRPr="005659D0">
        <w:t>repositioning the brand</w:t>
      </w:r>
      <w:r>
        <w:t xml:space="preserve">, </w:t>
      </w:r>
      <w:r w:rsidRPr="005659D0">
        <w:t xml:space="preserve">entering new markets,  augmenting the product/service, </w:t>
      </w:r>
      <w:r>
        <w:t>modifying</w:t>
      </w:r>
      <w:r w:rsidRPr="005659D0">
        <w:t xml:space="preserve"> existing products with new-generation technologies, and brand extension</w:t>
      </w:r>
      <w:r>
        <w:t>s</w:t>
      </w:r>
      <w:r w:rsidRPr="005659D0">
        <w:t xml:space="preserve">.  </w:t>
      </w:r>
      <w:r>
        <w:rPr>
          <w:lang w:val="en-ZA"/>
        </w:rPr>
        <w:t>D</w:t>
      </w:r>
      <w:r w:rsidRPr="0097440C">
        <w:rPr>
          <w:lang w:val="en-ZA"/>
        </w:rPr>
        <w:t>e Chernatony et al. (2004</w:t>
      </w:r>
      <w:r>
        <w:rPr>
          <w:lang w:val="en-ZA"/>
        </w:rPr>
        <w:t>) argues</w:t>
      </w:r>
      <w:r w:rsidRPr="0097440C">
        <w:rPr>
          <w:lang w:val="en-ZA"/>
        </w:rPr>
        <w:t xml:space="preserve"> </w:t>
      </w:r>
      <w:r>
        <w:rPr>
          <w:lang w:val="en-ZA"/>
        </w:rPr>
        <w:t xml:space="preserve">for a </w:t>
      </w:r>
      <w:r w:rsidRPr="0097440C">
        <w:rPr>
          <w:lang w:val="en-ZA"/>
        </w:rPr>
        <w:t xml:space="preserve">brand </w:t>
      </w:r>
      <w:r>
        <w:rPr>
          <w:lang w:val="en-ZA"/>
        </w:rPr>
        <w:t>is to be consistently successful,</w:t>
      </w:r>
      <w:r w:rsidRPr="0097440C">
        <w:rPr>
          <w:lang w:val="en-ZA"/>
        </w:rPr>
        <w:t xml:space="preserve"> </w:t>
      </w:r>
      <w:r>
        <w:rPr>
          <w:lang w:val="en-ZA"/>
        </w:rPr>
        <w:t xml:space="preserve">it needs to regularly modify its </w:t>
      </w:r>
      <w:r w:rsidRPr="0097440C">
        <w:rPr>
          <w:lang w:val="en-ZA"/>
        </w:rPr>
        <w:t>values that form part of its identity</w:t>
      </w:r>
      <w:r>
        <w:rPr>
          <w:lang w:val="en-ZA"/>
        </w:rPr>
        <w:t xml:space="preserve"> to changing needs of its consumers.</w:t>
      </w:r>
    </w:p>
    <w:p w:rsidR="00296618" w:rsidRPr="00EA329E" w:rsidRDefault="00296618" w:rsidP="00296618">
      <w:pPr>
        <w:pStyle w:val="Heading2"/>
        <w:numPr>
          <w:ilvl w:val="1"/>
          <w:numId w:val="19"/>
        </w:numPr>
      </w:pPr>
      <w:bookmarkStart w:id="51" w:name="_Toc380687072"/>
      <w:r w:rsidRPr="00EA329E">
        <w:t xml:space="preserve">Conclusion of Literature Review: Research </w:t>
      </w:r>
      <w:r>
        <w:t>p</w:t>
      </w:r>
      <w:r w:rsidRPr="00EA329E">
        <w:t>ropositions</w:t>
      </w:r>
      <w:bookmarkEnd w:id="51"/>
    </w:p>
    <w:p w:rsidR="00296618" w:rsidRPr="00EA329E" w:rsidRDefault="00296618" w:rsidP="00296618">
      <w:r w:rsidRPr="00EA329E">
        <w:t xml:space="preserve">The literature explains that the </w:t>
      </w:r>
      <w:r>
        <w:t>fundamental objective</w:t>
      </w:r>
      <w:r w:rsidRPr="00EA329E">
        <w:t xml:space="preserve"> of rebranding is to </w:t>
      </w:r>
      <w:r>
        <w:t>improve</w:t>
      </w:r>
      <w:r w:rsidRPr="00EA329E">
        <w:t xml:space="preserve"> brand equity </w:t>
      </w:r>
      <w:r>
        <w:t>according to Aaker (</w:t>
      </w:r>
      <w:r w:rsidRPr="005659D0">
        <w:t>1991</w:t>
      </w:r>
      <w:r>
        <w:t>),</w:t>
      </w:r>
      <w:r w:rsidRPr="005659D0">
        <w:t xml:space="preserve"> Boyle</w:t>
      </w:r>
      <w:r>
        <w:t xml:space="preserve"> (</w:t>
      </w:r>
      <w:r w:rsidRPr="005659D0">
        <w:t>2002</w:t>
      </w:r>
      <w:r>
        <w:t xml:space="preserve">), </w:t>
      </w:r>
      <w:r w:rsidRPr="005659D0">
        <w:t>Causon</w:t>
      </w:r>
      <w:r>
        <w:t xml:space="preserve"> (</w:t>
      </w:r>
      <w:r w:rsidRPr="005659D0">
        <w:t>2004</w:t>
      </w:r>
      <w:r>
        <w:t>),</w:t>
      </w:r>
      <w:r w:rsidRPr="005659D0">
        <w:t xml:space="preserve"> Muzellec and Lambkin</w:t>
      </w:r>
      <w:r>
        <w:t xml:space="preserve"> (</w:t>
      </w:r>
      <w:r w:rsidRPr="005659D0">
        <w:t xml:space="preserve">2006). </w:t>
      </w:r>
      <w:r>
        <w:rPr>
          <w:lang w:val="en-ZA"/>
        </w:rPr>
        <w:t>Another key objective of corporate rebranding is to reduce the negative effects of brand equity</w:t>
      </w:r>
      <w:r w:rsidRPr="00EA329E">
        <w:t xml:space="preserve"> (Melewar, 200</w:t>
      </w:r>
      <w:r w:rsidR="009A5BA3">
        <w:t>5</w:t>
      </w:r>
      <w:r w:rsidRPr="00EA329E">
        <w:t xml:space="preserve">). </w:t>
      </w:r>
      <w:r>
        <w:t xml:space="preserve">Muzellec and Lambkin (2006) who suggested that even though rebranding may positively affect a firm’s reputation, it may also diminish some of the desired attributes associated with the brand. </w:t>
      </w:r>
      <w:r w:rsidRPr="00EA329E">
        <w:t xml:space="preserve">Building on these findings, this </w:t>
      </w:r>
      <w:r>
        <w:t>research</w:t>
      </w:r>
      <w:r w:rsidRPr="00EA329E">
        <w:t xml:space="preserve"> argues that the</w:t>
      </w:r>
      <w:r w:rsidR="00286427">
        <w:t xml:space="preserve">re </w:t>
      </w:r>
      <w:r>
        <w:t xml:space="preserve">is </w:t>
      </w:r>
      <w:r w:rsidR="00286427">
        <w:t xml:space="preserve">a </w:t>
      </w:r>
      <w:r>
        <w:t xml:space="preserve">high correlation between </w:t>
      </w:r>
      <w:r w:rsidRPr="00EA329E">
        <w:t xml:space="preserve">rebranding </w:t>
      </w:r>
      <w:r w:rsidR="00423865">
        <w:t xml:space="preserve">and </w:t>
      </w:r>
      <w:r w:rsidR="00423865" w:rsidRPr="00EA329E">
        <w:t>of</w:t>
      </w:r>
      <w:r w:rsidRPr="00EA329E">
        <w:t xml:space="preserve"> brand equity.</w:t>
      </w:r>
    </w:p>
    <w:p w:rsidR="00296618" w:rsidRDefault="00296618" w:rsidP="00296618">
      <w:r w:rsidRPr="00EA329E">
        <w:lastRenderedPageBreak/>
        <w:t xml:space="preserve">This prior </w:t>
      </w:r>
      <w:r>
        <w:t xml:space="preserve">literature review </w:t>
      </w:r>
      <w:r w:rsidRPr="00EA329E">
        <w:t>leads to the</w:t>
      </w:r>
      <w:r w:rsidR="005B639C">
        <w:t xml:space="preserve"> following</w:t>
      </w:r>
      <w:r w:rsidRPr="00EA329E">
        <w:t xml:space="preserve"> research propositions</w:t>
      </w:r>
      <w:r w:rsidR="005B639C">
        <w:t>:</w:t>
      </w:r>
    </w:p>
    <w:p w:rsidR="00296618" w:rsidRDefault="00296618" w:rsidP="00296618"/>
    <w:p w:rsidR="00296618" w:rsidRPr="00EA329E" w:rsidRDefault="00296618" w:rsidP="00296618">
      <w:pPr>
        <w:pStyle w:val="Heading3"/>
        <w:numPr>
          <w:ilvl w:val="2"/>
          <w:numId w:val="19"/>
        </w:numPr>
      </w:pPr>
      <w:bookmarkStart w:id="52" w:name="_Toc380687073"/>
      <w:r w:rsidRPr="00EA329E">
        <w:t>Research Proposition 1</w:t>
      </w:r>
      <w:bookmarkEnd w:id="52"/>
    </w:p>
    <w:p w:rsidR="00296618" w:rsidRPr="001F453B" w:rsidRDefault="00296618" w:rsidP="00296618">
      <w:r w:rsidRPr="001F453B">
        <w:t xml:space="preserve">The following are primary drivers of corporate rebranding for South African telecommunications companies: </w:t>
      </w:r>
    </w:p>
    <w:p w:rsidR="00296618" w:rsidRDefault="00296618" w:rsidP="00296618">
      <w:pPr>
        <w:pStyle w:val="ListParagraph"/>
        <w:numPr>
          <w:ilvl w:val="0"/>
          <w:numId w:val="15"/>
        </w:numPr>
      </w:pPr>
      <w:r w:rsidRPr="00EA329E">
        <w:t>Corporate structural change</w:t>
      </w:r>
      <w:r>
        <w:t>s (Lomax, Mador and Fitzhenry, 2002)</w:t>
      </w:r>
    </w:p>
    <w:p w:rsidR="00296618" w:rsidRPr="00EA329E" w:rsidRDefault="00296618" w:rsidP="00296618">
      <w:pPr>
        <w:pStyle w:val="ListParagraph"/>
        <w:numPr>
          <w:ilvl w:val="0"/>
          <w:numId w:val="15"/>
        </w:numPr>
      </w:pPr>
      <w:r w:rsidRPr="00EA329E">
        <w:t>Change</w:t>
      </w:r>
      <w:r>
        <w:t>s</w:t>
      </w:r>
      <w:r w:rsidRPr="00EA329E">
        <w:t xml:space="preserve"> in corporate strategy including new focus or vision</w:t>
      </w:r>
      <w:r>
        <w:t xml:space="preserve"> (Causon, 2004)</w:t>
      </w:r>
    </w:p>
    <w:p w:rsidR="00296618" w:rsidRPr="00EA329E" w:rsidRDefault="00296618" w:rsidP="00296618">
      <w:pPr>
        <w:pStyle w:val="ListParagraph"/>
        <w:numPr>
          <w:ilvl w:val="0"/>
          <w:numId w:val="15"/>
        </w:numPr>
      </w:pPr>
      <w:r w:rsidRPr="00EA329E">
        <w:t>Change</w:t>
      </w:r>
      <w:r>
        <w:t>s</w:t>
      </w:r>
      <w:r w:rsidRPr="00EA329E">
        <w:t xml:space="preserve"> in </w:t>
      </w:r>
      <w:r>
        <w:t xml:space="preserve">the </w:t>
      </w:r>
      <w:r w:rsidRPr="00EA329E">
        <w:t>ownership structure including mergers and acquisitions; and divestitures</w:t>
      </w:r>
      <w:r w:rsidRPr="00274B03">
        <w:t xml:space="preserve"> </w:t>
      </w:r>
      <w:r>
        <w:t>(Lomax, Mador and Fitzhenry, 2002; Muzellec and Lambkin , 2006; Stuart and Muzellec, 2004)</w:t>
      </w:r>
    </w:p>
    <w:p w:rsidR="00296618" w:rsidRPr="00EA329E" w:rsidRDefault="00296618" w:rsidP="00296618">
      <w:pPr>
        <w:pStyle w:val="ListParagraph"/>
        <w:numPr>
          <w:ilvl w:val="0"/>
          <w:numId w:val="15"/>
        </w:numPr>
      </w:pPr>
      <w:r>
        <w:t>O</w:t>
      </w:r>
      <w:r w:rsidRPr="00EA329E">
        <w:t>utdated</w:t>
      </w:r>
      <w:r w:rsidRPr="001F453B">
        <w:t xml:space="preserve"> </w:t>
      </w:r>
      <w:r>
        <w:t>image (Gambles and Shuster, 2003)</w:t>
      </w:r>
      <w:r w:rsidRPr="00EA329E">
        <w:tab/>
      </w:r>
      <w:r>
        <w:t xml:space="preserve"> </w:t>
      </w:r>
    </w:p>
    <w:p w:rsidR="00296618" w:rsidRPr="00EA329E" w:rsidRDefault="00296618" w:rsidP="00296618">
      <w:pPr>
        <w:pStyle w:val="ListParagraph"/>
        <w:numPr>
          <w:ilvl w:val="0"/>
          <w:numId w:val="15"/>
        </w:numPr>
      </w:pPr>
      <w:r w:rsidRPr="00EA329E">
        <w:t xml:space="preserve">Concerns </w:t>
      </w:r>
      <w:r>
        <w:t>regarding</w:t>
      </w:r>
      <w:r w:rsidRPr="00EA329E">
        <w:t xml:space="preserve"> perceptions of the organisation and its activities</w:t>
      </w:r>
      <w:r>
        <w:t xml:space="preserve"> from external stakeholders (Lomax, Mador and Fitzhenry, 2002)</w:t>
      </w:r>
    </w:p>
    <w:p w:rsidR="00296618" w:rsidRPr="00EA329E" w:rsidRDefault="00296618" w:rsidP="00296618">
      <w:pPr>
        <w:pStyle w:val="ListParagraph"/>
        <w:numPr>
          <w:ilvl w:val="0"/>
          <w:numId w:val="15"/>
        </w:numPr>
      </w:pPr>
      <w:r w:rsidRPr="00EA329E">
        <w:t>Changes in economic or legal conditions including economic slowdown</w:t>
      </w:r>
      <w:r>
        <w:t xml:space="preserve"> (Kaikati and Kaikati, 2003)</w:t>
      </w:r>
    </w:p>
    <w:p w:rsidR="00296618" w:rsidRPr="00EA329E" w:rsidRDefault="00296618" w:rsidP="00296618">
      <w:pPr>
        <w:pStyle w:val="ListParagraph"/>
        <w:numPr>
          <w:ilvl w:val="0"/>
          <w:numId w:val="15"/>
        </w:numPr>
      </w:pPr>
      <w:r w:rsidRPr="00EA329E">
        <w:t>Change</w:t>
      </w:r>
      <w:r>
        <w:t>s</w:t>
      </w:r>
      <w:r w:rsidRPr="00EA329E">
        <w:t xml:space="preserve"> in competitive position</w:t>
      </w:r>
      <w:r>
        <w:t xml:space="preserve"> (Boyle, 2002)</w:t>
      </w:r>
    </w:p>
    <w:p w:rsidR="00296618" w:rsidRPr="00EA329E" w:rsidRDefault="00296618" w:rsidP="00296618">
      <w:pPr>
        <w:pStyle w:val="ListParagraph"/>
        <w:numPr>
          <w:ilvl w:val="0"/>
          <w:numId w:val="15"/>
        </w:numPr>
      </w:pPr>
      <w:r w:rsidRPr="00EA329E">
        <w:t>Change</w:t>
      </w:r>
      <w:r>
        <w:t>s</w:t>
      </w:r>
      <w:r w:rsidRPr="00EA329E">
        <w:t xml:space="preserve"> in external environment</w:t>
      </w:r>
      <w:r>
        <w:t xml:space="preserve"> (Muzellec and Lambkin, 2006).</w:t>
      </w:r>
    </w:p>
    <w:p w:rsidR="00296618" w:rsidRPr="00EA329E" w:rsidRDefault="00296618" w:rsidP="00296618">
      <w:pPr>
        <w:pStyle w:val="Heading3"/>
        <w:numPr>
          <w:ilvl w:val="2"/>
          <w:numId w:val="19"/>
        </w:numPr>
      </w:pPr>
      <w:bookmarkStart w:id="53" w:name="_Toc380687074"/>
      <w:r w:rsidRPr="00EA329E">
        <w:t xml:space="preserve">Research Proposition </w:t>
      </w:r>
      <w:r>
        <w:t>2</w:t>
      </w:r>
      <w:bookmarkEnd w:id="53"/>
    </w:p>
    <w:p w:rsidR="00296618" w:rsidRPr="001F453B" w:rsidRDefault="00296618" w:rsidP="00296618">
      <w:pPr>
        <w:pStyle w:val="ListParagraph"/>
        <w:ind w:left="0"/>
      </w:pPr>
      <w:r w:rsidRPr="001F453B">
        <w:t>Corporate rebranding has a direct influence on brand equity for South African telecommunications companies.</w:t>
      </w:r>
    </w:p>
    <w:p w:rsidR="00296618" w:rsidRPr="00EA329E" w:rsidRDefault="00296618" w:rsidP="00296618">
      <w:r w:rsidRPr="00EA329E">
        <w:t xml:space="preserve">The literature review highlights that the main objective/s of corporate rebranding is to increase brand equity </w:t>
      </w:r>
      <w:r>
        <w:t>according to Aaker (</w:t>
      </w:r>
      <w:r w:rsidRPr="005659D0">
        <w:t>1991</w:t>
      </w:r>
      <w:r>
        <w:t>),</w:t>
      </w:r>
      <w:r w:rsidRPr="005659D0">
        <w:t xml:space="preserve"> Boyle</w:t>
      </w:r>
      <w:r>
        <w:t xml:space="preserve"> (</w:t>
      </w:r>
      <w:r w:rsidRPr="005659D0">
        <w:t>2002</w:t>
      </w:r>
      <w:r>
        <w:t xml:space="preserve">), </w:t>
      </w:r>
      <w:r w:rsidRPr="005659D0">
        <w:t>Causon</w:t>
      </w:r>
      <w:r>
        <w:t xml:space="preserve"> (</w:t>
      </w:r>
      <w:r w:rsidRPr="005659D0">
        <w:t>2004</w:t>
      </w:r>
      <w:r>
        <w:t>),</w:t>
      </w:r>
      <w:r w:rsidRPr="005659D0">
        <w:t xml:space="preserve"> Muzellec and Lambkin</w:t>
      </w:r>
      <w:r>
        <w:t xml:space="preserve"> (</w:t>
      </w:r>
      <w:r w:rsidRPr="005659D0">
        <w:t>2006).</w:t>
      </w:r>
      <w:r w:rsidRPr="00EA329E">
        <w:t xml:space="preserve"> Boyle (2002) and Muzellec and Lambkin (2006)</w:t>
      </w:r>
      <w:r>
        <w:t xml:space="preserve"> </w:t>
      </w:r>
      <w:r>
        <w:lastRenderedPageBreak/>
        <w:t>stated that</w:t>
      </w:r>
      <w:r w:rsidRPr="00EA329E">
        <w:t xml:space="preserve"> corporate rebranding </w:t>
      </w:r>
      <w:r>
        <w:t>will</w:t>
      </w:r>
      <w:r w:rsidRPr="00EA329E">
        <w:t xml:space="preserve"> either </w:t>
      </w:r>
      <w:r>
        <w:t xml:space="preserve">have a </w:t>
      </w:r>
      <w:r w:rsidRPr="00EA329E">
        <w:t xml:space="preserve">positive or negative effect on brand equity.  </w:t>
      </w:r>
    </w:p>
    <w:p w:rsidR="00296618" w:rsidRPr="00EA329E" w:rsidRDefault="00296618" w:rsidP="00296618"/>
    <w:p w:rsidR="00296618" w:rsidRPr="00EA329E" w:rsidRDefault="00296618" w:rsidP="00296618">
      <w:pPr>
        <w:spacing w:before="0" w:after="0" w:line="240" w:lineRule="auto"/>
        <w:jc w:val="left"/>
      </w:pPr>
      <w:r w:rsidRPr="00EA329E">
        <w:br w:type="page"/>
      </w:r>
    </w:p>
    <w:p w:rsidR="00296618" w:rsidRPr="00EA329E" w:rsidRDefault="00296618" w:rsidP="00296618">
      <w:pPr>
        <w:pStyle w:val="Heading1"/>
        <w:numPr>
          <w:ilvl w:val="0"/>
          <w:numId w:val="19"/>
        </w:numPr>
      </w:pPr>
      <w:bookmarkStart w:id="54" w:name="_Toc380687075"/>
      <w:r w:rsidRPr="00EA329E">
        <w:lastRenderedPageBreak/>
        <w:t>RESEARCH METHODOLOGY</w:t>
      </w:r>
      <w:bookmarkEnd w:id="54"/>
    </w:p>
    <w:p w:rsidR="00296618" w:rsidRPr="00EA329E" w:rsidRDefault="00296618" w:rsidP="00296618">
      <w:pPr>
        <w:rPr>
          <w:noProof/>
          <w:lang w:val="en-ZA" w:eastAsia="en-ZA"/>
        </w:rPr>
      </w:pPr>
      <w:r w:rsidRPr="00EA329E">
        <w:rPr>
          <w:noProof/>
          <w:lang w:val="en-ZA" w:eastAsia="en-ZA"/>
        </w:rPr>
        <w:t xml:space="preserve">This section explains the methodology that </w:t>
      </w:r>
      <w:r>
        <w:rPr>
          <w:noProof/>
          <w:lang w:val="en-ZA" w:eastAsia="en-ZA"/>
        </w:rPr>
        <w:t>was</w:t>
      </w:r>
      <w:r w:rsidRPr="00EA329E">
        <w:rPr>
          <w:noProof/>
          <w:lang w:val="en-ZA" w:eastAsia="en-ZA"/>
        </w:rPr>
        <w:t xml:space="preserve"> used to conduct the research.</w:t>
      </w:r>
    </w:p>
    <w:p w:rsidR="00296618" w:rsidRPr="00EA329E" w:rsidRDefault="00296618" w:rsidP="00296618">
      <w:pPr>
        <w:pStyle w:val="Heading2"/>
        <w:numPr>
          <w:ilvl w:val="1"/>
          <w:numId w:val="19"/>
        </w:numPr>
      </w:pPr>
      <w:bookmarkStart w:id="55" w:name="_Toc380687076"/>
      <w:r w:rsidRPr="00EA329E">
        <w:t>Research methodology</w:t>
      </w:r>
      <w:bookmarkEnd w:id="55"/>
    </w:p>
    <w:p w:rsidR="00296618" w:rsidRDefault="00296618" w:rsidP="00296618">
      <w:r>
        <w:t xml:space="preserve">The purpose of the research was to develop answers for the propositions highlighted in the previous chapter. </w:t>
      </w:r>
      <w:r w:rsidRPr="00EA329E">
        <w:t>The research approach use</w:t>
      </w:r>
      <w:r>
        <w:t>d</w:t>
      </w:r>
      <w:r w:rsidRPr="00EA329E">
        <w:t xml:space="preserve"> a quantitative method</w:t>
      </w:r>
      <w:r>
        <w:t xml:space="preserve"> (Figure 6)</w:t>
      </w:r>
      <w:r w:rsidRPr="00EA329E">
        <w:t xml:space="preserve">. Zikmund (2003) defines quantitative research as descriptive research that is designed to define features of a population or a phenomenon. </w:t>
      </w:r>
      <w:r>
        <w:t xml:space="preserve">Moreover, according to </w:t>
      </w:r>
      <w:r w:rsidRPr="00EA329E">
        <w:t xml:space="preserve">Cresswell </w:t>
      </w:r>
      <w:r>
        <w:t>(1994),</w:t>
      </w:r>
      <w:r w:rsidRPr="00EA329E">
        <w:t xml:space="preserve"> </w:t>
      </w:r>
      <w:r>
        <w:t>q</w:t>
      </w:r>
      <w:r w:rsidRPr="00EA329E">
        <w:t>uantitative research is defined as being an inquiry based on testing a theory measured and analysed with statistical procedures in order to determine whether the predictive generalisation of the theory holds true</w:t>
      </w:r>
      <w:r>
        <w:t xml:space="preserve">. </w:t>
      </w:r>
    </w:p>
    <w:p w:rsidR="00296618" w:rsidRDefault="00296618" w:rsidP="00296618">
      <w:pPr>
        <w:jc w:val="left"/>
      </w:pPr>
      <w:r>
        <w:t xml:space="preserve"> </w:t>
      </w:r>
      <w:r w:rsidRPr="00EA329E">
        <w:t xml:space="preserve"> </w:t>
      </w:r>
      <w:r>
        <w:rPr>
          <w:noProof/>
          <w:lang w:val="en-ZA" w:eastAsia="en-ZA"/>
        </w:rPr>
        <w:drawing>
          <wp:inline distT="0" distB="0" distL="0" distR="0" wp14:anchorId="2B9D00D2" wp14:editId="4135513B">
            <wp:extent cx="5382092" cy="184889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92877" cy="1852602"/>
                    </a:xfrm>
                    <a:prstGeom prst="rect">
                      <a:avLst/>
                    </a:prstGeom>
                    <a:noFill/>
                  </pic:spPr>
                </pic:pic>
              </a:graphicData>
            </a:graphic>
          </wp:inline>
        </w:drawing>
      </w:r>
    </w:p>
    <w:p w:rsidR="00296618" w:rsidRPr="0063507B" w:rsidRDefault="00296618" w:rsidP="00296618">
      <w:pPr>
        <w:jc w:val="left"/>
        <w:rPr>
          <w:sz w:val="28"/>
        </w:rPr>
      </w:pPr>
      <w:bookmarkStart w:id="56" w:name="_Toc380684391"/>
      <w:r w:rsidRPr="0063507B">
        <w:t xml:space="preserve">Figure </w:t>
      </w:r>
      <w:r w:rsidRPr="0063507B">
        <w:fldChar w:fldCharType="begin"/>
      </w:r>
      <w:r w:rsidRPr="0063507B">
        <w:instrText xml:space="preserve"> SEQ Figure \* ARABIC </w:instrText>
      </w:r>
      <w:r w:rsidRPr="0063507B">
        <w:fldChar w:fldCharType="separate"/>
      </w:r>
      <w:r w:rsidRPr="0063507B">
        <w:rPr>
          <w:noProof/>
        </w:rPr>
        <w:t>6</w:t>
      </w:r>
      <w:r w:rsidRPr="0063507B">
        <w:fldChar w:fldCharType="end"/>
      </w:r>
      <w:r w:rsidRPr="0063507B">
        <w:t>: Research design and methodology</w:t>
      </w:r>
      <w:bookmarkEnd w:id="56"/>
    </w:p>
    <w:p w:rsidR="00296618" w:rsidRDefault="00296618" w:rsidP="00296618">
      <w:pPr>
        <w:pStyle w:val="Heading2"/>
        <w:numPr>
          <w:ilvl w:val="1"/>
          <w:numId w:val="19"/>
        </w:numPr>
      </w:pPr>
      <w:r>
        <w:t xml:space="preserve">  </w:t>
      </w:r>
      <w:bookmarkStart w:id="57" w:name="_Toc380687077"/>
      <w:r>
        <w:t>Population and sample</w:t>
      </w:r>
      <w:bookmarkEnd w:id="57"/>
      <w:r>
        <w:t xml:space="preserve"> </w:t>
      </w:r>
    </w:p>
    <w:p w:rsidR="00296618" w:rsidRPr="00925560" w:rsidRDefault="00296618" w:rsidP="00296618">
      <w:r>
        <w:t xml:space="preserve">The study commenced with a pilot phase </w:t>
      </w:r>
      <w:r w:rsidR="00BC6169">
        <w:t>to</w:t>
      </w:r>
      <w:r>
        <w:t xml:space="preserve"> test or validate the questionnaire in order to ensure the reliability of the outcome. Modifications were done to the questionnaire as deemed necessary. </w:t>
      </w:r>
    </w:p>
    <w:p w:rsidR="00296618" w:rsidRDefault="00296618" w:rsidP="00296618">
      <w:pPr>
        <w:pStyle w:val="Heading3"/>
        <w:numPr>
          <w:ilvl w:val="2"/>
          <w:numId w:val="19"/>
        </w:numPr>
      </w:pPr>
      <w:bookmarkStart w:id="58" w:name="_Toc380687078"/>
      <w:r>
        <w:lastRenderedPageBreak/>
        <w:t>Population</w:t>
      </w:r>
      <w:bookmarkEnd w:id="58"/>
    </w:p>
    <w:p w:rsidR="00296618" w:rsidRPr="00925560" w:rsidRDefault="00296618" w:rsidP="00296618">
      <w:r>
        <w:t>The research population were all employees of Vodacom based in South Africa and excluded employees in other markets.</w:t>
      </w:r>
    </w:p>
    <w:p w:rsidR="00296618" w:rsidRDefault="00296618" w:rsidP="00296618">
      <w:pPr>
        <w:pStyle w:val="Heading3"/>
        <w:numPr>
          <w:ilvl w:val="2"/>
          <w:numId w:val="19"/>
        </w:numPr>
      </w:pPr>
      <w:bookmarkStart w:id="59" w:name="_Toc380687079"/>
      <w:r>
        <w:t>Sample</w:t>
      </w:r>
      <w:bookmarkEnd w:id="59"/>
    </w:p>
    <w:p w:rsidR="00296618" w:rsidRPr="00527A99" w:rsidRDefault="00296618" w:rsidP="00296618">
      <w:pPr>
        <w:pStyle w:val="Heading2"/>
        <w:numPr>
          <w:ilvl w:val="0"/>
          <w:numId w:val="0"/>
        </w:numPr>
        <w:jc w:val="both"/>
        <w:rPr>
          <w:rFonts w:ascii="Arial" w:hAnsi="Arial"/>
          <w:b w:val="0"/>
          <w:bCs w:val="0"/>
          <w:sz w:val="24"/>
          <w:szCs w:val="24"/>
        </w:rPr>
      </w:pPr>
      <w:bookmarkStart w:id="60" w:name="_Toc380504829"/>
      <w:bookmarkStart w:id="61" w:name="_Toc380687080"/>
      <w:r w:rsidRPr="00527A99">
        <w:rPr>
          <w:rFonts w:ascii="Arial" w:hAnsi="Arial"/>
          <w:b w:val="0"/>
          <w:bCs w:val="0"/>
          <w:sz w:val="24"/>
          <w:szCs w:val="24"/>
        </w:rPr>
        <w:t>The sampling method used was convenien</w:t>
      </w:r>
      <w:r w:rsidR="00BC6169">
        <w:rPr>
          <w:rFonts w:ascii="Arial" w:hAnsi="Arial"/>
          <w:b w:val="0"/>
          <w:bCs w:val="0"/>
          <w:sz w:val="24"/>
          <w:szCs w:val="24"/>
        </w:rPr>
        <w:t>ce</w:t>
      </w:r>
      <w:r w:rsidRPr="00527A99">
        <w:rPr>
          <w:rFonts w:ascii="Arial" w:hAnsi="Arial"/>
          <w:b w:val="0"/>
          <w:bCs w:val="0"/>
          <w:sz w:val="24"/>
          <w:szCs w:val="24"/>
        </w:rPr>
        <w:t xml:space="preserve"> sampling. </w:t>
      </w:r>
      <w:r>
        <w:rPr>
          <w:rFonts w:ascii="Arial" w:hAnsi="Arial"/>
          <w:b w:val="0"/>
          <w:bCs w:val="0"/>
          <w:sz w:val="24"/>
          <w:szCs w:val="24"/>
        </w:rPr>
        <w:t xml:space="preserve">This method does not control bias and makes no pretence of identifying a representative subset of a population (Leedy and Ormrod, 2005). </w:t>
      </w:r>
      <w:r w:rsidRPr="00527A99">
        <w:rPr>
          <w:rFonts w:ascii="Arial" w:hAnsi="Arial"/>
          <w:b w:val="0"/>
          <w:bCs w:val="0"/>
          <w:sz w:val="24"/>
          <w:szCs w:val="24"/>
        </w:rPr>
        <w:t>The employees of Vodacom were targeted. The sample size was 262 and covered all areas of the business. The research instruments</w:t>
      </w:r>
      <w:r>
        <w:rPr>
          <w:rFonts w:ascii="Arial" w:hAnsi="Arial"/>
          <w:b w:val="0"/>
          <w:bCs w:val="0"/>
          <w:sz w:val="24"/>
          <w:szCs w:val="24"/>
        </w:rPr>
        <w:t xml:space="preserve"> </w:t>
      </w:r>
      <w:r w:rsidRPr="00527A99">
        <w:rPr>
          <w:rFonts w:ascii="Arial" w:hAnsi="Arial"/>
          <w:b w:val="0"/>
          <w:bCs w:val="0"/>
          <w:sz w:val="24"/>
          <w:szCs w:val="24"/>
        </w:rPr>
        <w:t>used in this study was a questionnaire (Appendix B). According to Leedy and Ormrod (2005), a questionnaire is an instrument for observing data beyond the physical reach of the researcher. The survey questionnaire contained only closed-ended questions.</w:t>
      </w:r>
      <w:bookmarkEnd w:id="60"/>
      <w:bookmarkEnd w:id="61"/>
      <w:r w:rsidRPr="00527A99">
        <w:rPr>
          <w:rFonts w:ascii="Arial" w:hAnsi="Arial"/>
          <w:b w:val="0"/>
          <w:bCs w:val="0"/>
          <w:sz w:val="24"/>
          <w:szCs w:val="24"/>
        </w:rPr>
        <w:t xml:space="preserve"> </w:t>
      </w:r>
    </w:p>
    <w:p w:rsidR="00296618" w:rsidRDefault="00296618" w:rsidP="00296618">
      <w:r>
        <w:t>The questionnaire was divided into four sections:</w:t>
      </w:r>
    </w:p>
    <w:p w:rsidR="00296618" w:rsidRDefault="00296618" w:rsidP="00296618">
      <w:r>
        <w:t>A cover</w:t>
      </w:r>
      <w:r w:rsidRPr="00EA329E">
        <w:t xml:space="preserve"> letter to respondents</w:t>
      </w:r>
      <w:r>
        <w:t xml:space="preserve"> provided information about the objectives of the study (</w:t>
      </w:r>
      <w:r w:rsidRPr="00EA329E">
        <w:t>Appendix A</w:t>
      </w:r>
      <w:r>
        <w:t>):</w:t>
      </w:r>
    </w:p>
    <w:p w:rsidR="00296618" w:rsidRDefault="00296618" w:rsidP="00296618">
      <w:pPr>
        <w:pStyle w:val="ListParagraph"/>
        <w:numPr>
          <w:ilvl w:val="0"/>
          <w:numId w:val="20"/>
        </w:numPr>
      </w:pPr>
      <w:r>
        <w:t>Section A captured demographic data of the sample population.</w:t>
      </w:r>
    </w:p>
    <w:p w:rsidR="00296618" w:rsidRPr="00581F5A" w:rsidRDefault="00296618" w:rsidP="00296618">
      <w:pPr>
        <w:pStyle w:val="ListParagraph"/>
        <w:numPr>
          <w:ilvl w:val="0"/>
          <w:numId w:val="20"/>
        </w:numPr>
      </w:pPr>
      <w:r>
        <w:t xml:space="preserve">Section B explored the drivers of corporate rebranding. </w:t>
      </w:r>
      <w:r w:rsidRPr="00BF090E">
        <w:rPr>
          <w:sz w:val="23"/>
          <w:szCs w:val="23"/>
        </w:rPr>
        <w:t xml:space="preserve">In the Literature </w:t>
      </w:r>
      <w:r w:rsidRPr="00272493">
        <w:t>Review (Chapter 2), the drivers of corporate rebranding were identified based on past literature.</w:t>
      </w:r>
    </w:p>
    <w:p w:rsidR="00296618" w:rsidRDefault="00296618" w:rsidP="00296618">
      <w:pPr>
        <w:pStyle w:val="ListParagraph"/>
        <w:numPr>
          <w:ilvl w:val="0"/>
          <w:numId w:val="20"/>
        </w:numPr>
      </w:pPr>
      <w:r>
        <w:t xml:space="preserve">Section C investigated the impact of rebranding on brand equity. This section comprised 36 questions: 18 questions each for old and new Vodacom branding, respectively. These questions related to the dimensions of brand equity and were adapted from Aaker (1991) and Yoo and Donthu (2001). </w:t>
      </w:r>
    </w:p>
    <w:p w:rsidR="00296618" w:rsidRDefault="00296618" w:rsidP="00296618">
      <w:pPr>
        <w:pStyle w:val="ListParagraph"/>
        <w:numPr>
          <w:ilvl w:val="0"/>
          <w:numId w:val="20"/>
        </w:numPr>
      </w:pPr>
      <w:r>
        <w:t>Section D involved general questions about overall attitudes in relation to the old and new Vodacom branding.</w:t>
      </w:r>
    </w:p>
    <w:p w:rsidR="00296618" w:rsidRDefault="00296618" w:rsidP="00296618">
      <w:pPr>
        <w:rPr>
          <w:lang w:val="en"/>
        </w:rPr>
      </w:pPr>
      <w:r w:rsidRPr="00925560">
        <w:rPr>
          <w:lang w:val="en"/>
        </w:rPr>
        <w:lastRenderedPageBreak/>
        <w:t xml:space="preserve">A </w:t>
      </w:r>
      <w:r w:rsidRPr="00925560">
        <w:rPr>
          <w:bCs/>
          <w:lang w:val="en"/>
        </w:rPr>
        <w:t>Likert scale</w:t>
      </w:r>
      <w:r w:rsidRPr="00925560">
        <w:rPr>
          <w:lang w:val="en"/>
        </w:rPr>
        <w:t xml:space="preserve"> </w:t>
      </w:r>
      <w:r>
        <w:rPr>
          <w:lang w:val="en"/>
        </w:rPr>
        <w:t>was</w:t>
      </w:r>
      <w:r w:rsidRPr="00925560">
        <w:rPr>
          <w:lang w:val="en"/>
        </w:rPr>
        <w:t xml:space="preserve"> used. This is a </w:t>
      </w:r>
      <w:hyperlink r:id="rId16" w:tooltip="Psychometrics" w:history="1">
        <w:r w:rsidRPr="00925560">
          <w:rPr>
            <w:rStyle w:val="Hyperlink"/>
            <w:color w:val="auto"/>
            <w:u w:val="none"/>
            <w:lang w:val="en"/>
          </w:rPr>
          <w:t>psychometric</w:t>
        </w:r>
      </w:hyperlink>
      <w:r w:rsidRPr="00925560">
        <w:rPr>
          <w:lang w:val="en"/>
        </w:rPr>
        <w:t xml:space="preserve"> scale commonly </w:t>
      </w:r>
      <w:r>
        <w:rPr>
          <w:lang w:val="en"/>
        </w:rPr>
        <w:t>used</w:t>
      </w:r>
      <w:r w:rsidRPr="00925560">
        <w:rPr>
          <w:lang w:val="en"/>
        </w:rPr>
        <w:t xml:space="preserve"> in research that </w:t>
      </w:r>
      <w:r>
        <w:rPr>
          <w:lang w:val="en"/>
        </w:rPr>
        <w:t>involves</w:t>
      </w:r>
      <w:r w:rsidRPr="00925560">
        <w:rPr>
          <w:lang w:val="en"/>
        </w:rPr>
        <w:t xml:space="preserve"> </w:t>
      </w:r>
      <w:hyperlink r:id="rId17" w:tooltip="Questionnaire" w:history="1">
        <w:r w:rsidRPr="00925560">
          <w:rPr>
            <w:rStyle w:val="Hyperlink"/>
            <w:color w:val="auto"/>
            <w:u w:val="none"/>
            <w:lang w:val="en"/>
          </w:rPr>
          <w:t>questionnaires</w:t>
        </w:r>
      </w:hyperlink>
      <w:r w:rsidRPr="00925560">
        <w:rPr>
          <w:lang w:val="en"/>
        </w:rPr>
        <w:t xml:space="preserve">. </w:t>
      </w:r>
      <w:r>
        <w:t>Wuensch (</w:t>
      </w:r>
      <w:r w:rsidRPr="00925560">
        <w:t>2005)</w:t>
      </w:r>
      <w:r>
        <w:t xml:space="preserve"> argues that</w:t>
      </w:r>
      <w:r>
        <w:rPr>
          <w:lang w:val="en"/>
        </w:rPr>
        <w:t>i</w:t>
      </w:r>
      <w:r w:rsidRPr="00925560">
        <w:rPr>
          <w:lang w:val="en"/>
        </w:rPr>
        <w:t xml:space="preserve">t is </w:t>
      </w:r>
      <w:r>
        <w:rPr>
          <w:lang w:val="en"/>
        </w:rPr>
        <w:t xml:space="preserve">a </w:t>
      </w:r>
      <w:r w:rsidRPr="00925560">
        <w:rPr>
          <w:lang w:val="en"/>
        </w:rPr>
        <w:t>widely</w:t>
      </w:r>
      <w:r>
        <w:rPr>
          <w:lang w:val="en"/>
        </w:rPr>
        <w:t xml:space="preserve"> </w:t>
      </w:r>
      <w:r w:rsidRPr="00925560">
        <w:rPr>
          <w:lang w:val="en"/>
        </w:rPr>
        <w:t xml:space="preserve">used </w:t>
      </w:r>
      <w:r>
        <w:rPr>
          <w:lang w:val="en"/>
        </w:rPr>
        <w:t>methodology in</w:t>
      </w:r>
      <w:r w:rsidRPr="00925560">
        <w:rPr>
          <w:lang w:val="en"/>
        </w:rPr>
        <w:t xml:space="preserve"> scaling responses </w:t>
      </w:r>
      <w:r>
        <w:rPr>
          <w:lang w:val="en"/>
        </w:rPr>
        <w:t>from</w:t>
      </w:r>
      <w:r w:rsidRPr="00925560">
        <w:rPr>
          <w:lang w:val="en"/>
        </w:rPr>
        <w:t xml:space="preserve"> research survey</w:t>
      </w:r>
      <w:r>
        <w:rPr>
          <w:lang w:val="en"/>
        </w:rPr>
        <w:t>.</w:t>
      </w:r>
      <w:r w:rsidRPr="00925560">
        <w:rPr>
          <w:lang w:val="en"/>
        </w:rPr>
        <w:t xml:space="preserve"> </w:t>
      </w:r>
      <w:r w:rsidRPr="00527A99">
        <w:rPr>
          <w:lang w:val="en"/>
        </w:rPr>
        <w:t xml:space="preserve">An example of such a scale can be seen in Figure </w:t>
      </w:r>
      <w:r>
        <w:rPr>
          <w:lang w:val="en"/>
        </w:rPr>
        <w:t>7</w:t>
      </w:r>
      <w:r w:rsidRPr="00527A99">
        <w:rPr>
          <w:lang w:val="en"/>
        </w:rPr>
        <w:t xml:space="preserve"> below.</w:t>
      </w:r>
    </w:p>
    <w:p w:rsidR="00296618" w:rsidRPr="00527A99" w:rsidRDefault="00296618" w:rsidP="00296618">
      <w:pPr>
        <w:rPr>
          <w:lang w:val="en"/>
        </w:rPr>
      </w:pPr>
      <w:r w:rsidRPr="000C1ACF">
        <w:rPr>
          <w:noProof/>
          <w:lang w:val="en-ZA" w:eastAsia="en-ZA"/>
        </w:rPr>
        <w:drawing>
          <wp:inline distT="0" distB="0" distL="0" distR="0" wp14:anchorId="357A0F37" wp14:editId="26A66F19">
            <wp:extent cx="5548630" cy="299958"/>
            <wp:effectExtent l="0" t="0" r="0" b="5080"/>
            <wp:docPr id="105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8630" cy="299958"/>
                    </a:xfrm>
                    <a:prstGeom prst="rect">
                      <a:avLst/>
                    </a:prstGeom>
                    <a:noFill/>
                    <a:ln>
                      <a:noFill/>
                    </a:ln>
                    <a:effectLst/>
                    <a:extLst/>
                  </pic:spPr>
                </pic:pic>
              </a:graphicData>
            </a:graphic>
          </wp:inline>
        </w:drawing>
      </w:r>
    </w:p>
    <w:p w:rsidR="00296618" w:rsidRPr="00527A99" w:rsidRDefault="00296618" w:rsidP="00296618">
      <w:pPr>
        <w:pStyle w:val="Caption"/>
        <w:rPr>
          <w:sz w:val="24"/>
        </w:rPr>
      </w:pPr>
      <w:bookmarkStart w:id="62" w:name="_Toc380684392"/>
      <w:r w:rsidRPr="00527A99">
        <w:rPr>
          <w:sz w:val="24"/>
        </w:rPr>
        <w:t xml:space="preserve">Figure </w:t>
      </w:r>
      <w:r w:rsidRPr="00527A99">
        <w:rPr>
          <w:sz w:val="24"/>
        </w:rPr>
        <w:fldChar w:fldCharType="begin"/>
      </w:r>
      <w:r w:rsidRPr="00527A99">
        <w:rPr>
          <w:sz w:val="24"/>
        </w:rPr>
        <w:instrText xml:space="preserve"> SEQ Figure \* ARABIC </w:instrText>
      </w:r>
      <w:r w:rsidRPr="00527A99">
        <w:rPr>
          <w:sz w:val="24"/>
        </w:rPr>
        <w:fldChar w:fldCharType="separate"/>
      </w:r>
      <w:r>
        <w:rPr>
          <w:noProof/>
          <w:sz w:val="24"/>
        </w:rPr>
        <w:t>7</w:t>
      </w:r>
      <w:r w:rsidRPr="00527A99">
        <w:rPr>
          <w:sz w:val="24"/>
        </w:rPr>
        <w:fldChar w:fldCharType="end"/>
      </w:r>
      <w:r w:rsidRPr="00527A99">
        <w:rPr>
          <w:sz w:val="24"/>
        </w:rPr>
        <w:t>: An example of seven-point scale.</w:t>
      </w:r>
      <w:bookmarkEnd w:id="62"/>
      <w:r w:rsidRPr="00527A99">
        <w:rPr>
          <w:sz w:val="24"/>
        </w:rPr>
        <w:t xml:space="preserve"> </w:t>
      </w:r>
    </w:p>
    <w:p w:rsidR="00296618" w:rsidRPr="00EA329E" w:rsidRDefault="00296618" w:rsidP="00296618">
      <w:pPr>
        <w:pStyle w:val="Heading2"/>
        <w:numPr>
          <w:ilvl w:val="1"/>
          <w:numId w:val="19"/>
        </w:numPr>
      </w:pPr>
      <w:bookmarkStart w:id="63" w:name="_Toc380687081"/>
      <w:r w:rsidRPr="00EA329E">
        <w:t>Procedure for data collection</w:t>
      </w:r>
      <w:bookmarkEnd w:id="63"/>
    </w:p>
    <w:p w:rsidR="00296618" w:rsidRPr="00EA329E" w:rsidRDefault="00296618" w:rsidP="00296618">
      <w:pPr>
        <w:spacing w:after="0"/>
      </w:pPr>
      <w:r w:rsidRPr="00EA329E">
        <w:t xml:space="preserve">A list of prospective respondents </w:t>
      </w:r>
      <w:r>
        <w:t>was</w:t>
      </w:r>
      <w:r w:rsidRPr="00EA329E">
        <w:t xml:space="preserve"> used as a basis from which to conduct comprehensive interviews. For the survey data collection, an online platform </w:t>
      </w:r>
      <w:r>
        <w:t>was</w:t>
      </w:r>
      <w:r w:rsidRPr="00EA329E">
        <w:t xml:space="preserve"> created using Survey Monkey (</w:t>
      </w:r>
      <w:hyperlink r:id="rId19" w:history="1">
        <w:r w:rsidRPr="00EA329E">
          <w:rPr>
            <w:rStyle w:val="Hyperlink"/>
            <w:color w:val="auto"/>
          </w:rPr>
          <w:t>http://www.surveymonkey.com</w:t>
        </w:r>
      </w:hyperlink>
      <w:r w:rsidRPr="00EA329E">
        <w:t xml:space="preserve">). </w:t>
      </w:r>
      <w:r>
        <w:t>Prior to conducting the research, a pilot survey was conducted to check for any ambiguity in the questions.</w:t>
      </w:r>
    </w:p>
    <w:p w:rsidR="00296618" w:rsidRPr="00EA329E" w:rsidRDefault="00296618" w:rsidP="00296618">
      <w:pPr>
        <w:pStyle w:val="Heading2"/>
        <w:numPr>
          <w:ilvl w:val="1"/>
          <w:numId w:val="19"/>
        </w:numPr>
      </w:pPr>
      <w:bookmarkStart w:id="64" w:name="_Toc380687082"/>
      <w:r w:rsidRPr="00EA329E">
        <w:t>Data analysis and interpretation</w:t>
      </w:r>
      <w:bookmarkEnd w:id="64"/>
    </w:p>
    <w:p w:rsidR="00296618" w:rsidRPr="003124ED" w:rsidRDefault="00296618" w:rsidP="00296618">
      <w:r w:rsidRPr="00EA329E">
        <w:t xml:space="preserve">The qualitative information from the personal interviews </w:t>
      </w:r>
      <w:r>
        <w:t>was</w:t>
      </w:r>
      <w:r w:rsidRPr="00EA329E">
        <w:t xml:space="preserve"> transcribed and categorised into key themes. This form</w:t>
      </w:r>
      <w:r w:rsidR="00BC6169">
        <w:t>ed</w:t>
      </w:r>
      <w:r w:rsidRPr="00EA329E">
        <w:t xml:space="preserve"> the basis to prove and substantiate whether each research proposition was supported</w:t>
      </w:r>
      <w:r>
        <w:t xml:space="preserve"> </w:t>
      </w:r>
      <w:r w:rsidR="00BC6169">
        <w:rPr>
          <w:rFonts w:cs="Arial"/>
        </w:rPr>
        <w:t>P</w:t>
      </w:r>
      <w:r>
        <w:rPr>
          <w:rFonts w:cs="Arial"/>
        </w:rPr>
        <w:t>rincipal c</w:t>
      </w:r>
      <w:r w:rsidRPr="003124ED">
        <w:rPr>
          <w:rFonts w:cs="Arial"/>
        </w:rPr>
        <w:t xml:space="preserve">omponent </w:t>
      </w:r>
      <w:r>
        <w:rPr>
          <w:rFonts w:cs="Arial"/>
        </w:rPr>
        <w:t>a</w:t>
      </w:r>
      <w:r w:rsidRPr="003124ED">
        <w:rPr>
          <w:rFonts w:cs="Arial"/>
        </w:rPr>
        <w:t xml:space="preserve">nalysis was chosen as the extraction method using the SPSS software. </w:t>
      </w:r>
    </w:p>
    <w:p w:rsidR="00296618" w:rsidRDefault="00296618" w:rsidP="00296618">
      <w:r>
        <w:t>The literature suggests several methods in determining the number of factors loading on one dimension. These methods include:</w:t>
      </w:r>
    </w:p>
    <w:p w:rsidR="00296618" w:rsidRPr="0097440C" w:rsidRDefault="00296618" w:rsidP="00296618">
      <w:pPr>
        <w:pStyle w:val="ListParagraph"/>
        <w:numPr>
          <w:ilvl w:val="0"/>
          <w:numId w:val="18"/>
        </w:numPr>
      </w:pPr>
      <w:r w:rsidRPr="0097440C">
        <w:t>Scree plot</w:t>
      </w:r>
      <w:r>
        <w:t xml:space="preserve">: </w:t>
      </w:r>
      <w:r w:rsidRPr="0097440C">
        <w:t xml:space="preserve">plot of </w:t>
      </w:r>
      <w:r>
        <w:t>E</w:t>
      </w:r>
      <w:r w:rsidRPr="0097440C">
        <w:t>igenvalues against factors. The distinct break between the steep slope of factors indicates number of factors to be included (Malhorta and Birks, 2003; Costello and Osborne, 2005)</w:t>
      </w:r>
      <w:r>
        <w:t>.</w:t>
      </w:r>
    </w:p>
    <w:p w:rsidR="00296618" w:rsidRDefault="00296618" w:rsidP="00296618">
      <w:pPr>
        <w:pStyle w:val="ListParagraph"/>
        <w:numPr>
          <w:ilvl w:val="0"/>
          <w:numId w:val="18"/>
        </w:numPr>
      </w:pPr>
      <w:r w:rsidRPr="0097440C">
        <w:t>Eigenvalues</w:t>
      </w:r>
      <w:r>
        <w:t xml:space="preserve">: </w:t>
      </w:r>
      <w:r w:rsidRPr="0097440C">
        <w:t xml:space="preserve">values greater than 1.0 are retained. This method is often referred to as the Kaiser Criterion (Preacher and MacCallum, 2003). </w:t>
      </w:r>
    </w:p>
    <w:p w:rsidR="00296618" w:rsidRDefault="00296618" w:rsidP="00296618">
      <w:pPr>
        <w:pStyle w:val="ListParagraph"/>
        <w:numPr>
          <w:ilvl w:val="0"/>
          <w:numId w:val="18"/>
        </w:numPr>
      </w:pPr>
      <w:r>
        <w:lastRenderedPageBreak/>
        <w:t>Split half reliability: sample split in half. Retain factors with high correspondence of factor loadings across two sub samples (Malhorta and Birks, 2003).</w:t>
      </w:r>
    </w:p>
    <w:p w:rsidR="00296618" w:rsidRDefault="00296618" w:rsidP="00296618">
      <w:pPr>
        <w:pStyle w:val="ListParagraph"/>
        <w:numPr>
          <w:ilvl w:val="0"/>
          <w:numId w:val="18"/>
        </w:numPr>
      </w:pPr>
      <w:r>
        <w:t>Percentage of variance: factors should be account for &gt;60% of variance (Malhorta and Birks, 2003).</w:t>
      </w:r>
    </w:p>
    <w:p w:rsidR="00296618" w:rsidRPr="0017084A" w:rsidRDefault="00296618" w:rsidP="00296618">
      <w:pPr>
        <w:pStyle w:val="ListParagraph"/>
        <w:numPr>
          <w:ilvl w:val="0"/>
          <w:numId w:val="18"/>
        </w:numPr>
        <w:rPr>
          <w:sz w:val="23"/>
          <w:szCs w:val="23"/>
        </w:rPr>
      </w:pPr>
      <w:r>
        <w:t>Significance tests (Malhorta and Birks, 2003).</w:t>
      </w:r>
    </w:p>
    <w:p w:rsidR="00296618" w:rsidRDefault="00296618" w:rsidP="00296618">
      <w:r>
        <w:t>The scree plot method was chosen for this report.</w:t>
      </w:r>
    </w:p>
    <w:p w:rsidR="00296618" w:rsidRPr="0006174D" w:rsidRDefault="00296618" w:rsidP="00296618">
      <w:r w:rsidRPr="00726FE0">
        <w:t>Secondly, linear regression was used to determine the impact of corporate rebranding on brand equity. Regression analysis is a modelling and analysis technique of numerical data consisting of values of a dependent variable and of one or more independent variables also known as explanatory variables or predictors. The dependent variable is modelled as a function of the independent variables, corresponding parameters and an error term. Linear regression examines the linear relationship between a dependent variable and one or more independent variables. To</w:t>
      </w:r>
      <w:r w:rsidRPr="0006174D">
        <w:t xml:space="preserve"> determine if the regression model fit (the whole model) is statistically significant</w:t>
      </w:r>
      <w:r>
        <w:t>,</w:t>
      </w:r>
      <w:r w:rsidRPr="0006174D">
        <w:t xml:space="preserve"> a statistical test must be conducted</w:t>
      </w:r>
      <w:r>
        <w:t xml:space="preserve"> – i</w:t>
      </w:r>
      <w:r w:rsidRPr="0006174D">
        <w:t>n this case the F-test. A probability value (p-value) is produced which indicate</w:t>
      </w:r>
      <w:r>
        <w:t>s</w:t>
      </w:r>
      <w:r w:rsidRPr="0006174D">
        <w:t xml:space="preserve"> statistical significance if this calculated p-value is smaller than 0.05.    </w:t>
      </w:r>
    </w:p>
    <w:p w:rsidR="00296618" w:rsidRPr="003124ED" w:rsidRDefault="00296618" w:rsidP="00296618">
      <w:r w:rsidRPr="003124ED">
        <w:t>This approach assist</w:t>
      </w:r>
      <w:r w:rsidR="0038367A">
        <w:t>s</w:t>
      </w:r>
      <w:r w:rsidRPr="003124ED">
        <w:t xml:space="preserve"> in accepting or rejecting the proposition that corporate rebranding has an impact on brand equity (Boyle, 2002</w:t>
      </w:r>
      <w:r w:rsidR="00BC6169">
        <w:t>;</w:t>
      </w:r>
      <w:r w:rsidRPr="003124ED">
        <w:t xml:space="preserve"> Causon, 2004, Muzellec and Lambkin, 2006</w:t>
      </w:r>
      <w:r w:rsidR="00BC6169">
        <w:t xml:space="preserve">; </w:t>
      </w:r>
      <w:r w:rsidRPr="003124ED">
        <w:t>Rosenthal, 2003</w:t>
      </w:r>
      <w:r w:rsidR="00BC6169">
        <w:t>;</w:t>
      </w:r>
      <w:r w:rsidRPr="003124ED">
        <w:t xml:space="preserve"> and Stuart and Muzellec, 2004).</w:t>
      </w:r>
    </w:p>
    <w:p w:rsidR="00296618" w:rsidRPr="00EA329E" w:rsidRDefault="00296618" w:rsidP="00296618">
      <w:pPr>
        <w:pStyle w:val="Heading2"/>
        <w:numPr>
          <w:ilvl w:val="1"/>
          <w:numId w:val="19"/>
        </w:numPr>
      </w:pPr>
      <w:bookmarkStart w:id="65" w:name="_Toc380687083"/>
      <w:r w:rsidRPr="00EA329E">
        <w:t>Limitations of the study</w:t>
      </w:r>
      <w:bookmarkEnd w:id="65"/>
    </w:p>
    <w:p w:rsidR="00296618" w:rsidRPr="00942B9B" w:rsidRDefault="00296618" w:rsidP="00296618">
      <w:r w:rsidRPr="00942B9B">
        <w:t>The study analyse</w:t>
      </w:r>
      <w:r>
        <w:t>d a</w:t>
      </w:r>
      <w:r w:rsidRPr="00942B9B">
        <w:t xml:space="preserve"> </w:t>
      </w:r>
      <w:r>
        <w:t xml:space="preserve">telecommunications </w:t>
      </w:r>
      <w:r w:rsidRPr="00942B9B">
        <w:t>compan</w:t>
      </w:r>
      <w:r>
        <w:t>y</w:t>
      </w:r>
      <w:r w:rsidRPr="00942B9B">
        <w:t xml:space="preserve"> </w:t>
      </w:r>
      <w:r>
        <w:t xml:space="preserve">within the South African </w:t>
      </w:r>
      <w:r w:rsidRPr="00942B9B">
        <w:t>economy which mean</w:t>
      </w:r>
      <w:r w:rsidR="00BC6169">
        <w:t>s</w:t>
      </w:r>
      <w:r w:rsidRPr="00942B9B">
        <w:t xml:space="preserve"> that int</w:t>
      </w:r>
      <w:r>
        <w:t>er</w:t>
      </w:r>
      <w:r w:rsidRPr="00942B9B">
        <w:t xml:space="preserve">-industry biases </w:t>
      </w:r>
      <w:r w:rsidR="00BC6169">
        <w:t>may have</w:t>
      </w:r>
      <w:r w:rsidRPr="00942B9B">
        <w:t xml:space="preserve"> reduce</w:t>
      </w:r>
      <w:r w:rsidR="00BC6169">
        <w:t>d</w:t>
      </w:r>
      <w:r w:rsidRPr="00942B9B">
        <w:t xml:space="preserve"> the reliability of the observations to be proxy for the rest of the </w:t>
      </w:r>
      <w:r>
        <w:t>economy</w:t>
      </w:r>
      <w:r w:rsidRPr="00942B9B">
        <w:t xml:space="preserve">. Furthermore, the research looks at </w:t>
      </w:r>
      <w:r>
        <w:t xml:space="preserve">a </w:t>
      </w:r>
      <w:r w:rsidRPr="00942B9B">
        <w:t xml:space="preserve">particular time period, </w:t>
      </w:r>
      <w:r>
        <w:t>2008 – 2012</w:t>
      </w:r>
      <w:r w:rsidRPr="00942B9B">
        <w:t xml:space="preserve">, which is a snapshot in the </w:t>
      </w:r>
      <w:r w:rsidRPr="00942B9B">
        <w:lastRenderedPageBreak/>
        <w:t xml:space="preserve">history of corporate rebranding in South Africa and therefore may not provide a </w:t>
      </w:r>
      <w:r>
        <w:t>‘</w:t>
      </w:r>
      <w:r w:rsidRPr="00942B9B">
        <w:t>before and after</w:t>
      </w:r>
      <w:r>
        <w:t>’</w:t>
      </w:r>
      <w:r w:rsidRPr="00942B9B">
        <w:t xml:space="preserve"> perspective of those particular companies for comparison. </w:t>
      </w:r>
    </w:p>
    <w:p w:rsidR="00296618" w:rsidRPr="00EA329E" w:rsidRDefault="00296618" w:rsidP="00296618">
      <w:pPr>
        <w:pStyle w:val="Heading2"/>
        <w:numPr>
          <w:ilvl w:val="1"/>
          <w:numId w:val="19"/>
        </w:numPr>
      </w:pPr>
      <w:bookmarkStart w:id="66" w:name="_Toc380687084"/>
      <w:r w:rsidRPr="00EA329E">
        <w:t>Validity and reliability</w:t>
      </w:r>
      <w:bookmarkEnd w:id="66"/>
    </w:p>
    <w:p w:rsidR="00296618" w:rsidRDefault="00296618" w:rsidP="00296618">
      <w:r>
        <w:t xml:space="preserve">Hussey and Hussey (1997) define validity as the degree to which the findings of a piece of research accurately represent the reality of a situation. </w:t>
      </w:r>
      <w:r w:rsidRPr="00EA329E">
        <w:t xml:space="preserve">Kalof (2008) </w:t>
      </w:r>
      <w:r>
        <w:t xml:space="preserve">defines validity </w:t>
      </w:r>
      <w:r w:rsidRPr="00EA329E">
        <w:t>as a ‘goodness of fit’ between the details of the research, the evidence and the conclusions by the researchers.</w:t>
      </w:r>
      <w:r>
        <w:t xml:space="preserve"> There are several factors that can weaken validity, namely:</w:t>
      </w:r>
    </w:p>
    <w:p w:rsidR="00296618" w:rsidRDefault="00296618" w:rsidP="00296618">
      <w:pPr>
        <w:pStyle w:val="ListParagraph"/>
        <w:numPr>
          <w:ilvl w:val="0"/>
          <w:numId w:val="25"/>
        </w:numPr>
      </w:pPr>
      <w:r>
        <w:t>Faulty research procedures (Hussey and Hussey, 1997)</w:t>
      </w:r>
    </w:p>
    <w:p w:rsidR="00296618" w:rsidRDefault="00296618" w:rsidP="00296618">
      <w:pPr>
        <w:pStyle w:val="ListParagraph"/>
        <w:numPr>
          <w:ilvl w:val="0"/>
          <w:numId w:val="25"/>
        </w:numPr>
      </w:pPr>
      <w:r>
        <w:t>Poor samples (Hussey and Hussey, 1997)</w:t>
      </w:r>
    </w:p>
    <w:p w:rsidR="00296618" w:rsidRDefault="00296618" w:rsidP="00296618">
      <w:pPr>
        <w:pStyle w:val="ListParagraph"/>
        <w:numPr>
          <w:ilvl w:val="0"/>
          <w:numId w:val="25"/>
        </w:numPr>
      </w:pPr>
      <w:r>
        <w:t>Inaccurate measurement (Hussey and Hussey, 1997)</w:t>
      </w:r>
    </w:p>
    <w:p w:rsidR="00296618" w:rsidRPr="00EA329E" w:rsidRDefault="00296618" w:rsidP="00296618">
      <w:pPr>
        <w:pStyle w:val="ListParagraph"/>
        <w:numPr>
          <w:ilvl w:val="0"/>
          <w:numId w:val="25"/>
        </w:numPr>
      </w:pPr>
      <w:r>
        <w:t>Misleading measurement (Hussey and Hussey, 1997).</w:t>
      </w:r>
    </w:p>
    <w:p w:rsidR="00296618" w:rsidRPr="00EA329E" w:rsidRDefault="00296618" w:rsidP="00296618">
      <w:pPr>
        <w:pStyle w:val="Heading3"/>
        <w:numPr>
          <w:ilvl w:val="2"/>
          <w:numId w:val="19"/>
        </w:numPr>
      </w:pPr>
      <w:bookmarkStart w:id="67" w:name="_Toc380687085"/>
      <w:r w:rsidRPr="00EA329E">
        <w:t>External validity</w:t>
      </w:r>
      <w:bookmarkEnd w:id="67"/>
    </w:p>
    <w:p w:rsidR="00296618" w:rsidRPr="00EA329E" w:rsidRDefault="00296618" w:rsidP="00296618">
      <w:r>
        <w:t>Kalof (</w:t>
      </w:r>
      <w:r w:rsidRPr="00EA329E">
        <w:t>2008)</w:t>
      </w:r>
      <w:r>
        <w:t xml:space="preserve"> defines e</w:t>
      </w:r>
      <w:r w:rsidRPr="00EA329E">
        <w:t xml:space="preserve">xternal validity is the capability to generalise from a study to a larger population. The population size </w:t>
      </w:r>
      <w:r>
        <w:t>was</w:t>
      </w:r>
      <w:r w:rsidRPr="00EA329E">
        <w:t xml:space="preserve"> </w:t>
      </w:r>
      <w:r>
        <w:t>more than</w:t>
      </w:r>
      <w:r w:rsidRPr="00EA329E">
        <w:t xml:space="preserve"> 50 </w:t>
      </w:r>
      <w:r>
        <w:t>people</w:t>
      </w:r>
      <w:r w:rsidRPr="00EA329E">
        <w:t xml:space="preserve"> and accordi</w:t>
      </w:r>
      <w:r w:rsidRPr="009F14CE">
        <w:t>ng to Kalof (2008), it would be possible to use the findings as a generalisati</w:t>
      </w:r>
      <w:r w:rsidRPr="00EA329E">
        <w:t>on for the entire population. Therefore, the finding will have external validity due to the size of the sample.</w:t>
      </w:r>
    </w:p>
    <w:p w:rsidR="00296618" w:rsidRPr="00EA329E" w:rsidRDefault="00296618" w:rsidP="00296618">
      <w:pPr>
        <w:pStyle w:val="Heading3"/>
        <w:numPr>
          <w:ilvl w:val="2"/>
          <w:numId w:val="19"/>
        </w:numPr>
      </w:pPr>
      <w:bookmarkStart w:id="68" w:name="_Toc380687086"/>
      <w:r w:rsidRPr="00EA329E">
        <w:t>Internal validity</w:t>
      </w:r>
      <w:bookmarkEnd w:id="68"/>
    </w:p>
    <w:p w:rsidR="00296618" w:rsidRPr="00EA329E" w:rsidRDefault="00296618" w:rsidP="00296618">
      <w:r w:rsidRPr="00EA329E">
        <w:t xml:space="preserve">Kalof (2008) defines internal validity as the capability of the study to draw appropriate conclusions from the data. To ensure that the research instrument contains all the necessary questions from which to draw appropriate answers to each sub-problem statement, all question numbers </w:t>
      </w:r>
      <w:r>
        <w:t>were</w:t>
      </w:r>
      <w:r w:rsidRPr="00EA329E">
        <w:t xml:space="preserve"> referenced under each sub-problem in a consistency matrix </w:t>
      </w:r>
      <w:r w:rsidR="00490402">
        <w:t xml:space="preserve">(Kalof, </w:t>
      </w:r>
      <w:r w:rsidR="00490402" w:rsidRPr="00EA329E">
        <w:t>2008)</w:t>
      </w:r>
      <w:r w:rsidR="00490402">
        <w:t>.</w:t>
      </w:r>
    </w:p>
    <w:p w:rsidR="00296618" w:rsidRPr="00EA329E" w:rsidRDefault="00296618" w:rsidP="00296618">
      <w:pPr>
        <w:pStyle w:val="Heading3"/>
        <w:numPr>
          <w:ilvl w:val="2"/>
          <w:numId w:val="19"/>
        </w:numPr>
      </w:pPr>
      <w:bookmarkStart w:id="69" w:name="_Toc380687087"/>
      <w:r w:rsidRPr="00EA329E">
        <w:lastRenderedPageBreak/>
        <w:t>Reliability</w:t>
      </w:r>
      <w:bookmarkEnd w:id="69"/>
    </w:p>
    <w:p w:rsidR="00296618" w:rsidRDefault="00296618" w:rsidP="00296618">
      <w:r>
        <w:t xml:space="preserve">According to </w:t>
      </w:r>
      <w:r w:rsidR="00D47A7D">
        <w:t>Kalof</w:t>
      </w:r>
      <w:r>
        <w:t xml:space="preserve"> (</w:t>
      </w:r>
      <w:r w:rsidRPr="00EA329E">
        <w:t>200</w:t>
      </w:r>
      <w:r w:rsidR="00D47A7D">
        <w:t>8</w:t>
      </w:r>
      <w:r w:rsidRPr="00EA329E">
        <w:t>)</w:t>
      </w:r>
      <w:r>
        <w:t>, r</w:t>
      </w:r>
      <w:r w:rsidRPr="00EA329E">
        <w:t xml:space="preserve">eliability is defined as the degree to which </w:t>
      </w:r>
      <w:r>
        <w:t>outcomes</w:t>
      </w:r>
      <w:r w:rsidRPr="00EA329E">
        <w:t xml:space="preserve"> are consistent over time</w:t>
      </w:r>
      <w:r>
        <w:t xml:space="preserve">. The </w:t>
      </w:r>
      <w:r w:rsidRPr="00EA329E">
        <w:t>precise depiction of the total</w:t>
      </w:r>
      <w:r>
        <w:t xml:space="preserve"> studied </w:t>
      </w:r>
      <w:r w:rsidRPr="00EA329E">
        <w:t xml:space="preserve">population is referred to as reliability and if the results can be replicated </w:t>
      </w:r>
      <w:r>
        <w:t>using</w:t>
      </w:r>
      <w:r w:rsidRPr="00EA329E">
        <w:t xml:space="preserve"> similar methodology, and then the research instrument is considered to be reliable. Kalof (2008) refers to reliability as </w:t>
      </w:r>
      <w:r>
        <w:t>‘</w:t>
      </w:r>
      <w:r w:rsidRPr="00EA329E">
        <w:t>consistency</w:t>
      </w:r>
      <w:r>
        <w:t>’</w:t>
      </w:r>
      <w:r w:rsidRPr="00EA329E">
        <w:t xml:space="preserve">. </w:t>
      </w:r>
      <w:r>
        <w:t xml:space="preserve"> The literature suggests the following approaches to determine the reliability of a research instrument:</w:t>
      </w:r>
    </w:p>
    <w:p w:rsidR="00296618" w:rsidRDefault="00296618" w:rsidP="00296618">
      <w:pPr>
        <w:pStyle w:val="ListParagraph"/>
        <w:numPr>
          <w:ilvl w:val="0"/>
          <w:numId w:val="26"/>
        </w:numPr>
      </w:pPr>
      <w:r>
        <w:t>Inter-rater reliability – the degree at which two or more respondents participating in the same study or using an identical questionnaire provide identical answers (Leedy and Ormrod, 2005).</w:t>
      </w:r>
    </w:p>
    <w:p w:rsidR="00296618" w:rsidRDefault="00296618" w:rsidP="00296618">
      <w:pPr>
        <w:pStyle w:val="ListParagraph"/>
        <w:numPr>
          <w:ilvl w:val="0"/>
          <w:numId w:val="26"/>
        </w:numPr>
      </w:pPr>
      <w:r>
        <w:t>Internal consistency reliability – the degree to which all items within a single instrument yield a similar result (Leedy and Ormrod, 2005).</w:t>
      </w:r>
    </w:p>
    <w:p w:rsidR="00296618" w:rsidRDefault="00296618" w:rsidP="00296618">
      <w:pPr>
        <w:pStyle w:val="ListParagraph"/>
        <w:numPr>
          <w:ilvl w:val="0"/>
          <w:numId w:val="26"/>
        </w:numPr>
      </w:pPr>
      <w:r>
        <w:t>Equivalent forms reliability – the degree to which two different instruments yield similar results to each other (Leedy and Ormrod, 2005).</w:t>
      </w:r>
    </w:p>
    <w:p w:rsidR="00296618" w:rsidRDefault="00296618" w:rsidP="00296618">
      <w:pPr>
        <w:pStyle w:val="ListParagraph"/>
        <w:numPr>
          <w:ilvl w:val="0"/>
          <w:numId w:val="26"/>
        </w:numPr>
      </w:pPr>
      <w:r>
        <w:t>Test-retest reliability – the degree to which the same instrument provides the same result on different occasions (Leedy and Ormrod, 2005).</w:t>
      </w:r>
    </w:p>
    <w:p w:rsidR="00296618" w:rsidRPr="00EA329E" w:rsidRDefault="00296618" w:rsidP="00296618">
      <w:pPr>
        <w:pStyle w:val="ListParagraph"/>
        <w:ind w:left="780"/>
      </w:pPr>
    </w:p>
    <w:p w:rsidR="00296618" w:rsidRDefault="00296618" w:rsidP="00296618">
      <w:r w:rsidRPr="00EA329E">
        <w:t xml:space="preserve">The research instrument </w:t>
      </w:r>
      <w:r>
        <w:t>used in this study asked</w:t>
      </w:r>
      <w:r w:rsidRPr="00EA329E">
        <w:t xml:space="preserve"> multiple questions on one dimension of corporate rebranding and the impact of brand equity. The aggregation of multiple questions offers more reliability than one question.</w:t>
      </w:r>
      <w:r>
        <w:t xml:space="preserve"> </w:t>
      </w:r>
      <w:r w:rsidRPr="00EA329E">
        <w:t xml:space="preserve">Furthermore, Yoo and Donthu’s (2001) brand equity </w:t>
      </w:r>
      <w:r>
        <w:t>research questionnaire</w:t>
      </w:r>
      <w:r w:rsidRPr="00EA329E">
        <w:t xml:space="preserve"> </w:t>
      </w:r>
      <w:r>
        <w:t>was</w:t>
      </w:r>
      <w:r w:rsidRPr="00EA329E">
        <w:t xml:space="preserve"> </w:t>
      </w:r>
      <w:r>
        <w:t>modified</w:t>
      </w:r>
      <w:r w:rsidRPr="00EA329E">
        <w:t xml:space="preserve">, </w:t>
      </w:r>
      <w:r>
        <w:t xml:space="preserve">and </w:t>
      </w:r>
      <w:r w:rsidRPr="00EA329E">
        <w:t>provide</w:t>
      </w:r>
      <w:r>
        <w:t>d</w:t>
      </w:r>
      <w:r w:rsidRPr="00EA329E">
        <w:t xml:space="preserve"> a valid and reliable measure of brand equity. </w:t>
      </w:r>
    </w:p>
    <w:p w:rsidR="00296618" w:rsidRDefault="00296618" w:rsidP="00296618">
      <w:pPr>
        <w:spacing w:before="0" w:after="0" w:line="240" w:lineRule="auto"/>
        <w:jc w:val="left"/>
      </w:pPr>
      <w:r>
        <w:br w:type="page"/>
      </w:r>
    </w:p>
    <w:p w:rsidR="00296618" w:rsidRDefault="00296618" w:rsidP="00296618">
      <w:pPr>
        <w:pStyle w:val="Heading1"/>
        <w:numPr>
          <w:ilvl w:val="0"/>
          <w:numId w:val="19"/>
        </w:numPr>
      </w:pPr>
      <w:r>
        <w:lastRenderedPageBreak/>
        <w:t xml:space="preserve"> </w:t>
      </w:r>
      <w:bookmarkStart w:id="70" w:name="_Toc380687088"/>
      <w:r>
        <w:t>PRESENTATION AND DISCUSSION OF RESULTS</w:t>
      </w:r>
      <w:bookmarkEnd w:id="70"/>
    </w:p>
    <w:p w:rsidR="00296618" w:rsidRDefault="00296618" w:rsidP="00296618">
      <w:pPr>
        <w:pStyle w:val="Heading2"/>
        <w:numPr>
          <w:ilvl w:val="1"/>
          <w:numId w:val="19"/>
        </w:numPr>
      </w:pPr>
      <w:bookmarkStart w:id="71" w:name="_Toc380687089"/>
      <w:r>
        <w:t>Introduction</w:t>
      </w:r>
      <w:bookmarkEnd w:id="71"/>
    </w:p>
    <w:p w:rsidR="00296618" w:rsidRPr="00793126" w:rsidRDefault="00296618" w:rsidP="00296618">
      <w:pPr>
        <w:pStyle w:val="Heading2"/>
        <w:numPr>
          <w:ilvl w:val="0"/>
          <w:numId w:val="0"/>
        </w:numPr>
        <w:jc w:val="both"/>
        <w:rPr>
          <w:rFonts w:ascii="Arial" w:hAnsi="Arial"/>
          <w:b w:val="0"/>
          <w:bCs w:val="0"/>
          <w:sz w:val="24"/>
          <w:szCs w:val="24"/>
        </w:rPr>
      </w:pPr>
      <w:bookmarkStart w:id="72" w:name="_Toc380504839"/>
      <w:bookmarkStart w:id="73" w:name="_Toc380687090"/>
      <w:r w:rsidRPr="00793126">
        <w:rPr>
          <w:rFonts w:ascii="Arial" w:hAnsi="Arial"/>
          <w:b w:val="0"/>
          <w:bCs w:val="0"/>
          <w:sz w:val="24"/>
          <w:szCs w:val="24"/>
        </w:rPr>
        <w:t>This chapter presents the results of the data collection, analysis and interpretation. The conclusions drawn from this analysis, in response to the research proposition, have been provided in the next chapter.</w:t>
      </w:r>
      <w:bookmarkEnd w:id="72"/>
      <w:bookmarkEnd w:id="73"/>
      <w:r w:rsidRPr="00793126">
        <w:rPr>
          <w:rFonts w:ascii="Arial" w:hAnsi="Arial"/>
          <w:b w:val="0"/>
          <w:bCs w:val="0"/>
          <w:sz w:val="24"/>
          <w:szCs w:val="24"/>
        </w:rPr>
        <w:t xml:space="preserve"> </w:t>
      </w:r>
    </w:p>
    <w:p w:rsidR="00296618" w:rsidRDefault="00296618" w:rsidP="00296618">
      <w:pPr>
        <w:pStyle w:val="Heading2"/>
        <w:numPr>
          <w:ilvl w:val="1"/>
          <w:numId w:val="19"/>
        </w:numPr>
      </w:pPr>
      <w:bookmarkStart w:id="74" w:name="_Toc380687091"/>
      <w:r>
        <w:t>Results</w:t>
      </w:r>
      <w:bookmarkEnd w:id="74"/>
    </w:p>
    <w:p w:rsidR="00296618" w:rsidRDefault="00296618" w:rsidP="00296618">
      <w:r>
        <w:t xml:space="preserve">The questionnaire was sent to 266 (two hundred and sixty six) respondents who were all Vodacom employees using a secure online portal. Of the 134 (one hundred and thirty two) responses received, only 109 were completed. Incomplete questionnaires, 25 in total, were excluded from the final analysis. </w:t>
      </w:r>
    </w:p>
    <w:p w:rsidR="00296618" w:rsidRPr="00756232" w:rsidRDefault="00296618" w:rsidP="00296618">
      <w:pPr>
        <w:pStyle w:val="Heading2"/>
        <w:numPr>
          <w:ilvl w:val="1"/>
          <w:numId w:val="19"/>
        </w:numPr>
      </w:pPr>
      <w:bookmarkStart w:id="75" w:name="_Toc380687092"/>
      <w:r>
        <w:t>Demographics</w:t>
      </w:r>
      <w:bookmarkEnd w:id="75"/>
    </w:p>
    <w:p w:rsidR="00296618" w:rsidRDefault="00296618" w:rsidP="00296618">
      <w:r>
        <w:t xml:space="preserve">The first part of the questionnaire looked at demographics of each respondent. </w:t>
      </w:r>
    </w:p>
    <w:p w:rsidR="00296618" w:rsidRDefault="00296618" w:rsidP="00296618">
      <w:pPr>
        <w:pStyle w:val="Heading3"/>
        <w:numPr>
          <w:ilvl w:val="2"/>
          <w:numId w:val="19"/>
        </w:numPr>
      </w:pPr>
      <w:bookmarkStart w:id="76" w:name="_Toc380687093"/>
      <w:r>
        <w:t>Gender</w:t>
      </w:r>
      <w:bookmarkEnd w:id="76"/>
    </w:p>
    <w:p w:rsidR="00296618" w:rsidRDefault="00296618" w:rsidP="00296618">
      <w:r>
        <w:t xml:space="preserve">The respondents were asked to state their gender. A larger proportion of females completed the questionnaire. The results can be seen in Figure 8 table. </w:t>
      </w:r>
    </w:p>
    <w:p w:rsidR="00296618" w:rsidRDefault="00296618" w:rsidP="00296618">
      <w:pPr>
        <w:pStyle w:val="Caption"/>
        <w:rPr>
          <w:b w:val="0"/>
          <w:sz w:val="24"/>
        </w:rPr>
      </w:pPr>
    </w:p>
    <w:p w:rsidR="00296618" w:rsidRDefault="00296618" w:rsidP="00296618">
      <w:pPr>
        <w:pStyle w:val="Caption"/>
        <w:rPr>
          <w:b w:val="0"/>
          <w:sz w:val="24"/>
        </w:rPr>
      </w:pPr>
    </w:p>
    <w:p w:rsidR="00296618" w:rsidRDefault="00296618" w:rsidP="00296618">
      <w:pPr>
        <w:pStyle w:val="Caption"/>
        <w:rPr>
          <w:b w:val="0"/>
          <w:sz w:val="24"/>
        </w:rPr>
      </w:pPr>
    </w:p>
    <w:p w:rsidR="00296618" w:rsidRDefault="00296618" w:rsidP="00296618">
      <w:pPr>
        <w:pStyle w:val="Caption"/>
        <w:rPr>
          <w:b w:val="0"/>
          <w:sz w:val="24"/>
        </w:rPr>
      </w:pPr>
    </w:p>
    <w:p w:rsidR="00296618" w:rsidRDefault="00296618" w:rsidP="00296618">
      <w:pPr>
        <w:jc w:val="center"/>
      </w:pPr>
      <w:r>
        <w:rPr>
          <w:noProof/>
          <w:lang w:val="en-ZA" w:eastAsia="en-ZA"/>
        </w:rPr>
        <w:lastRenderedPageBreak/>
        <w:drawing>
          <wp:inline distT="0" distB="0" distL="0" distR="0" wp14:anchorId="5A00DBCF" wp14:editId="6DFD8A35">
            <wp:extent cx="5177641" cy="2909455"/>
            <wp:effectExtent l="0" t="0" r="4445" b="571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96618" w:rsidRPr="00272493" w:rsidRDefault="00296618" w:rsidP="00296618">
      <w:pPr>
        <w:pStyle w:val="Caption"/>
        <w:rPr>
          <w:sz w:val="24"/>
        </w:rPr>
      </w:pPr>
      <w:bookmarkStart w:id="77" w:name="_Toc380684393"/>
      <w:r w:rsidRPr="00272493">
        <w:rPr>
          <w:sz w:val="24"/>
        </w:rPr>
        <w:t xml:space="preserve">Figure </w:t>
      </w:r>
      <w:r w:rsidRPr="00272493">
        <w:rPr>
          <w:sz w:val="24"/>
        </w:rPr>
        <w:fldChar w:fldCharType="begin"/>
      </w:r>
      <w:r w:rsidRPr="00272493">
        <w:rPr>
          <w:sz w:val="24"/>
        </w:rPr>
        <w:instrText xml:space="preserve"> SEQ Figure \* ARABIC </w:instrText>
      </w:r>
      <w:r w:rsidRPr="00272493">
        <w:rPr>
          <w:sz w:val="24"/>
        </w:rPr>
        <w:fldChar w:fldCharType="separate"/>
      </w:r>
      <w:r>
        <w:rPr>
          <w:noProof/>
          <w:sz w:val="24"/>
        </w:rPr>
        <w:t>8</w:t>
      </w:r>
      <w:r w:rsidRPr="00272493">
        <w:rPr>
          <w:sz w:val="24"/>
        </w:rPr>
        <w:fldChar w:fldCharType="end"/>
      </w:r>
      <w:r w:rsidRPr="00272493">
        <w:rPr>
          <w:sz w:val="24"/>
        </w:rPr>
        <w:t>: Gender</w:t>
      </w:r>
      <w:bookmarkEnd w:id="77"/>
    </w:p>
    <w:p w:rsidR="00296618" w:rsidRDefault="00296618" w:rsidP="00296618">
      <w:pPr>
        <w:pStyle w:val="Heading3"/>
        <w:numPr>
          <w:ilvl w:val="2"/>
          <w:numId w:val="19"/>
        </w:numPr>
      </w:pPr>
      <w:bookmarkStart w:id="78" w:name="_Toc380687094"/>
      <w:r>
        <w:t>Education level of education</w:t>
      </w:r>
      <w:bookmarkEnd w:id="78"/>
    </w:p>
    <w:p w:rsidR="00296618" w:rsidRDefault="00296618" w:rsidP="00296618">
      <w:r w:rsidRPr="00A575A9">
        <w:t xml:space="preserve">The respondents were then asked the highest level of education that they had obtained. The results </w:t>
      </w:r>
      <w:r w:rsidRPr="00997F9E">
        <w:t>can be seen in Table</w:t>
      </w:r>
      <w:r>
        <w:t xml:space="preserve"> 3</w:t>
      </w:r>
      <w:r w:rsidRPr="00997F9E">
        <w:t>. More tha</w:t>
      </w:r>
      <w:r w:rsidRPr="00954CF3">
        <w:t xml:space="preserve">n half of the respondents </w:t>
      </w:r>
      <w:r>
        <w:t>(</w:t>
      </w:r>
      <w:r w:rsidRPr="00954CF3">
        <w:t>52.6%</w:t>
      </w:r>
      <w:r>
        <w:t>)</w:t>
      </w:r>
      <w:r w:rsidRPr="00954CF3">
        <w:t xml:space="preserve"> had a Certificate/Diploma</w:t>
      </w:r>
      <w:r>
        <w:t xml:space="preserve">. </w:t>
      </w:r>
      <w:r w:rsidRPr="00954CF3">
        <w:t>Bachelor’s Degree</w:t>
      </w:r>
      <w:r>
        <w:t>s</w:t>
      </w:r>
      <w:r w:rsidRPr="00954CF3">
        <w:t xml:space="preserve"> had the second highest ranking with 25.6</w:t>
      </w:r>
      <w:r w:rsidRPr="00A44AC5">
        <w:t xml:space="preserve">% of respondents having achieved the qualification. </w:t>
      </w:r>
      <w:r w:rsidRPr="00C70D24">
        <w:t>Only 21.8% of</w:t>
      </w:r>
      <w:r w:rsidRPr="001672F3">
        <w:t xml:space="preserve"> respondents had an Honours degree or higher. </w:t>
      </w:r>
    </w:p>
    <w:p w:rsidR="00296618" w:rsidRPr="00336BBE" w:rsidRDefault="00296618" w:rsidP="00296618">
      <w:pPr>
        <w:pStyle w:val="Caption"/>
        <w:rPr>
          <w:sz w:val="24"/>
        </w:rPr>
      </w:pPr>
      <w:bookmarkStart w:id="79" w:name="_Toc380684349"/>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w:t>
      </w:r>
      <w:r w:rsidRPr="00336BBE">
        <w:rPr>
          <w:sz w:val="24"/>
        </w:rPr>
        <w:fldChar w:fldCharType="end"/>
      </w:r>
      <w:r w:rsidRPr="00336BBE">
        <w:rPr>
          <w:sz w:val="24"/>
        </w:rPr>
        <w:t>: Highest level of education</w:t>
      </w:r>
      <w:bookmarkEnd w:id="79"/>
    </w:p>
    <w:tbl>
      <w:tblPr>
        <w:tblW w:w="7953" w:type="dxa"/>
        <w:tblInd w:w="93" w:type="dxa"/>
        <w:tblLook w:val="04A0" w:firstRow="1" w:lastRow="0" w:firstColumn="1" w:lastColumn="0" w:noHBand="0" w:noVBand="1"/>
      </w:tblPr>
      <w:tblGrid>
        <w:gridCol w:w="2567"/>
        <w:gridCol w:w="2835"/>
        <w:gridCol w:w="2551"/>
      </w:tblGrid>
      <w:tr w:rsidR="00296618" w:rsidRPr="00BC4ABD" w:rsidTr="0063507B">
        <w:trPr>
          <w:trHeight w:val="300"/>
        </w:trPr>
        <w:tc>
          <w:tcPr>
            <w:tcW w:w="2567" w:type="dxa"/>
            <w:tcBorders>
              <w:top w:val="single" w:sz="8" w:space="0" w:color="auto"/>
              <w:left w:val="single" w:sz="8" w:space="0" w:color="auto"/>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Education Level</w:t>
            </w:r>
          </w:p>
        </w:tc>
        <w:tc>
          <w:tcPr>
            <w:tcW w:w="2835" w:type="dxa"/>
            <w:tcBorders>
              <w:top w:val="single" w:sz="8" w:space="0" w:color="auto"/>
              <w:left w:val="nil"/>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Number of respondents</w:t>
            </w:r>
          </w:p>
        </w:tc>
        <w:tc>
          <w:tcPr>
            <w:tcW w:w="2551" w:type="dxa"/>
            <w:tcBorders>
              <w:top w:val="single" w:sz="8" w:space="0" w:color="auto"/>
              <w:left w:val="nil"/>
              <w:bottom w:val="single" w:sz="4" w:space="0" w:color="auto"/>
              <w:right w:val="single" w:sz="8"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of respondents</w:t>
            </w:r>
          </w:p>
        </w:tc>
      </w:tr>
      <w:tr w:rsidR="00296618" w:rsidRPr="00BC4ABD" w:rsidTr="0063507B">
        <w:trPr>
          <w:trHeight w:val="300"/>
        </w:trPr>
        <w:tc>
          <w:tcPr>
            <w:tcW w:w="2567"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xml:space="preserve">Matric </w:t>
            </w:r>
          </w:p>
        </w:tc>
        <w:tc>
          <w:tcPr>
            <w:tcW w:w="2835" w:type="dxa"/>
            <w:tcBorders>
              <w:top w:val="nil"/>
              <w:left w:val="nil"/>
              <w:bottom w:val="single" w:sz="4" w:space="0" w:color="auto"/>
              <w:right w:val="single" w:sz="4"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BC4ABD">
              <w:rPr>
                <w:rFonts w:cs="Arial"/>
                <w:color w:val="000000"/>
                <w:lang w:val="en-ZA" w:eastAsia="en-ZA"/>
              </w:rPr>
              <w:t>8</w:t>
            </w:r>
          </w:p>
        </w:tc>
        <w:tc>
          <w:tcPr>
            <w:tcW w:w="2551" w:type="dxa"/>
            <w:tcBorders>
              <w:top w:val="nil"/>
              <w:left w:val="nil"/>
              <w:bottom w:val="single" w:sz="4" w:space="0" w:color="auto"/>
              <w:right w:val="single" w:sz="8"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1672F3">
              <w:rPr>
                <w:rFonts w:cs="Arial"/>
                <w:color w:val="000000"/>
                <w:lang w:val="en-ZA" w:eastAsia="en-ZA"/>
              </w:rPr>
              <w:t>6.02%</w:t>
            </w:r>
          </w:p>
        </w:tc>
      </w:tr>
      <w:tr w:rsidR="00296618" w:rsidRPr="00BC4ABD" w:rsidTr="0063507B">
        <w:trPr>
          <w:trHeight w:val="300"/>
        </w:trPr>
        <w:tc>
          <w:tcPr>
            <w:tcW w:w="2567"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xml:space="preserve">Certificate/ Diploma </w:t>
            </w:r>
          </w:p>
        </w:tc>
        <w:tc>
          <w:tcPr>
            <w:tcW w:w="2835" w:type="dxa"/>
            <w:tcBorders>
              <w:top w:val="nil"/>
              <w:left w:val="nil"/>
              <w:bottom w:val="single" w:sz="4" w:space="0" w:color="auto"/>
              <w:right w:val="single" w:sz="4"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BC4ABD">
              <w:rPr>
                <w:rFonts w:cs="Arial"/>
                <w:color w:val="000000"/>
                <w:lang w:val="en-ZA" w:eastAsia="en-ZA"/>
              </w:rPr>
              <w:t>62</w:t>
            </w:r>
          </w:p>
        </w:tc>
        <w:tc>
          <w:tcPr>
            <w:tcW w:w="2551" w:type="dxa"/>
            <w:tcBorders>
              <w:top w:val="nil"/>
              <w:left w:val="nil"/>
              <w:bottom w:val="single" w:sz="4" w:space="0" w:color="auto"/>
              <w:right w:val="single" w:sz="8"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1672F3">
              <w:rPr>
                <w:rFonts w:cs="Arial"/>
                <w:color w:val="000000"/>
                <w:lang w:val="en-ZA" w:eastAsia="en-ZA"/>
              </w:rPr>
              <w:t>46.62%</w:t>
            </w:r>
          </w:p>
        </w:tc>
      </w:tr>
      <w:tr w:rsidR="00296618" w:rsidRPr="00BC4ABD" w:rsidTr="0063507B">
        <w:trPr>
          <w:trHeight w:val="300"/>
        </w:trPr>
        <w:tc>
          <w:tcPr>
            <w:tcW w:w="2567"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xml:space="preserve">Bachelor's degree </w:t>
            </w:r>
          </w:p>
        </w:tc>
        <w:tc>
          <w:tcPr>
            <w:tcW w:w="2835" w:type="dxa"/>
            <w:tcBorders>
              <w:top w:val="nil"/>
              <w:left w:val="nil"/>
              <w:bottom w:val="single" w:sz="4" w:space="0" w:color="auto"/>
              <w:right w:val="single" w:sz="4"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BC4ABD">
              <w:rPr>
                <w:rFonts w:cs="Arial"/>
                <w:color w:val="000000"/>
                <w:lang w:val="en-ZA" w:eastAsia="en-ZA"/>
              </w:rPr>
              <w:t>34</w:t>
            </w:r>
          </w:p>
        </w:tc>
        <w:tc>
          <w:tcPr>
            <w:tcW w:w="2551" w:type="dxa"/>
            <w:tcBorders>
              <w:top w:val="nil"/>
              <w:left w:val="nil"/>
              <w:bottom w:val="single" w:sz="4" w:space="0" w:color="auto"/>
              <w:right w:val="single" w:sz="8"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1672F3">
              <w:rPr>
                <w:rFonts w:cs="Arial"/>
                <w:color w:val="000000"/>
                <w:lang w:val="en-ZA" w:eastAsia="en-ZA"/>
              </w:rPr>
              <w:t>25.56%</w:t>
            </w:r>
          </w:p>
        </w:tc>
      </w:tr>
      <w:tr w:rsidR="00296618" w:rsidRPr="00BC4ABD" w:rsidTr="0063507B">
        <w:trPr>
          <w:trHeight w:val="300"/>
        </w:trPr>
        <w:tc>
          <w:tcPr>
            <w:tcW w:w="2567"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xml:space="preserve">Honours Degree </w:t>
            </w:r>
          </w:p>
        </w:tc>
        <w:tc>
          <w:tcPr>
            <w:tcW w:w="2835" w:type="dxa"/>
            <w:tcBorders>
              <w:top w:val="nil"/>
              <w:left w:val="nil"/>
              <w:bottom w:val="single" w:sz="4" w:space="0" w:color="auto"/>
              <w:right w:val="single" w:sz="4"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BC4ABD">
              <w:rPr>
                <w:rFonts w:cs="Arial"/>
                <w:color w:val="000000"/>
                <w:lang w:val="en-ZA" w:eastAsia="en-ZA"/>
              </w:rPr>
              <w:t>17</w:t>
            </w:r>
          </w:p>
        </w:tc>
        <w:tc>
          <w:tcPr>
            <w:tcW w:w="2551" w:type="dxa"/>
            <w:tcBorders>
              <w:top w:val="nil"/>
              <w:left w:val="nil"/>
              <w:bottom w:val="single" w:sz="4" w:space="0" w:color="auto"/>
              <w:right w:val="single" w:sz="8"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1672F3">
              <w:rPr>
                <w:rFonts w:cs="Arial"/>
                <w:color w:val="000000"/>
                <w:lang w:val="en-ZA" w:eastAsia="en-ZA"/>
              </w:rPr>
              <w:t>12.78%</w:t>
            </w:r>
          </w:p>
        </w:tc>
      </w:tr>
      <w:tr w:rsidR="00296618" w:rsidRPr="00BC4ABD" w:rsidTr="0063507B">
        <w:trPr>
          <w:trHeight w:val="300"/>
        </w:trPr>
        <w:tc>
          <w:tcPr>
            <w:tcW w:w="2567"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xml:space="preserve">Master’s Degree </w:t>
            </w:r>
          </w:p>
        </w:tc>
        <w:tc>
          <w:tcPr>
            <w:tcW w:w="2835" w:type="dxa"/>
            <w:tcBorders>
              <w:top w:val="nil"/>
              <w:left w:val="nil"/>
              <w:bottom w:val="single" w:sz="4" w:space="0" w:color="auto"/>
              <w:right w:val="single" w:sz="4"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BC4ABD">
              <w:rPr>
                <w:rFonts w:cs="Arial"/>
                <w:color w:val="000000"/>
                <w:lang w:val="en-ZA" w:eastAsia="en-ZA"/>
              </w:rPr>
              <w:t>11</w:t>
            </w:r>
          </w:p>
        </w:tc>
        <w:tc>
          <w:tcPr>
            <w:tcW w:w="2551" w:type="dxa"/>
            <w:tcBorders>
              <w:top w:val="nil"/>
              <w:left w:val="nil"/>
              <w:bottom w:val="single" w:sz="4" w:space="0" w:color="auto"/>
              <w:right w:val="single" w:sz="8"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1672F3">
              <w:rPr>
                <w:rFonts w:cs="Arial"/>
                <w:color w:val="000000"/>
                <w:lang w:val="en-ZA" w:eastAsia="en-ZA"/>
              </w:rPr>
              <w:t>8.27%</w:t>
            </w:r>
          </w:p>
        </w:tc>
      </w:tr>
      <w:tr w:rsidR="00296618" w:rsidRPr="00BC4ABD" w:rsidTr="0063507B">
        <w:trPr>
          <w:trHeight w:val="315"/>
        </w:trPr>
        <w:tc>
          <w:tcPr>
            <w:tcW w:w="2567" w:type="dxa"/>
            <w:tcBorders>
              <w:top w:val="nil"/>
              <w:left w:val="single" w:sz="8" w:space="0" w:color="auto"/>
              <w:bottom w:val="single" w:sz="8" w:space="0" w:color="auto"/>
              <w:right w:val="single" w:sz="4" w:space="0" w:color="auto"/>
            </w:tcBorders>
            <w:shd w:val="clear" w:color="000000" w:fill="A6A6A6"/>
            <w:noWrap/>
            <w:vAlign w:val="bottom"/>
            <w:hideMark/>
          </w:tcPr>
          <w:p w:rsidR="00296618" w:rsidRPr="00BC4ABD" w:rsidRDefault="00296618" w:rsidP="0063507B">
            <w:pPr>
              <w:spacing w:before="0" w:after="0" w:line="240" w:lineRule="auto"/>
              <w:jc w:val="left"/>
              <w:rPr>
                <w:rFonts w:cs="Arial"/>
                <w:color w:val="000000"/>
                <w:lang w:val="en-ZA" w:eastAsia="en-ZA"/>
              </w:rPr>
            </w:pPr>
            <w:r w:rsidRPr="00BC4ABD">
              <w:rPr>
                <w:rFonts w:cs="Arial"/>
                <w:color w:val="000000"/>
                <w:lang w:val="en-ZA" w:eastAsia="en-ZA"/>
              </w:rPr>
              <w:t xml:space="preserve">Doctoral Degree </w:t>
            </w:r>
          </w:p>
        </w:tc>
        <w:tc>
          <w:tcPr>
            <w:tcW w:w="2835" w:type="dxa"/>
            <w:tcBorders>
              <w:top w:val="nil"/>
              <w:left w:val="nil"/>
              <w:bottom w:val="single" w:sz="8" w:space="0" w:color="auto"/>
              <w:right w:val="single" w:sz="4" w:space="0" w:color="auto"/>
            </w:tcBorders>
            <w:shd w:val="clear" w:color="auto" w:fill="auto"/>
            <w:noWrap/>
            <w:vAlign w:val="bottom"/>
            <w:hideMark/>
          </w:tcPr>
          <w:p w:rsidR="00296618" w:rsidRPr="00BC4ABD" w:rsidRDefault="00296618" w:rsidP="0063507B">
            <w:pPr>
              <w:spacing w:before="0" w:after="0" w:line="240" w:lineRule="auto"/>
              <w:jc w:val="center"/>
              <w:rPr>
                <w:rFonts w:cs="Arial"/>
                <w:color w:val="000000"/>
                <w:lang w:val="en-ZA" w:eastAsia="en-ZA"/>
              </w:rPr>
            </w:pPr>
            <w:r w:rsidRPr="00BC4ABD">
              <w:rPr>
                <w:rFonts w:cs="Arial"/>
                <w:color w:val="000000"/>
                <w:lang w:val="en-ZA" w:eastAsia="en-ZA"/>
              </w:rPr>
              <w:t>1</w:t>
            </w:r>
          </w:p>
        </w:tc>
        <w:tc>
          <w:tcPr>
            <w:tcW w:w="2551" w:type="dxa"/>
            <w:tcBorders>
              <w:top w:val="nil"/>
              <w:left w:val="nil"/>
              <w:bottom w:val="single" w:sz="8" w:space="0" w:color="auto"/>
              <w:right w:val="single" w:sz="8" w:space="0" w:color="auto"/>
            </w:tcBorders>
            <w:shd w:val="clear" w:color="auto" w:fill="auto"/>
            <w:noWrap/>
            <w:vAlign w:val="bottom"/>
            <w:hideMark/>
          </w:tcPr>
          <w:p w:rsidR="00296618" w:rsidRPr="00BC4ABD" w:rsidRDefault="00296618" w:rsidP="0063507B">
            <w:pPr>
              <w:keepNext/>
              <w:spacing w:before="0" w:after="0" w:line="240" w:lineRule="auto"/>
              <w:jc w:val="center"/>
              <w:rPr>
                <w:rFonts w:cs="Arial"/>
                <w:color w:val="000000"/>
                <w:lang w:val="en-ZA" w:eastAsia="en-ZA"/>
              </w:rPr>
            </w:pPr>
            <w:r w:rsidRPr="001672F3">
              <w:rPr>
                <w:rFonts w:cs="Arial"/>
                <w:color w:val="000000"/>
                <w:lang w:val="en-ZA" w:eastAsia="en-ZA"/>
              </w:rPr>
              <w:t>0.75%</w:t>
            </w:r>
          </w:p>
        </w:tc>
      </w:tr>
    </w:tbl>
    <w:p w:rsidR="00296618" w:rsidRDefault="00296618" w:rsidP="00296618">
      <w:pPr>
        <w:pStyle w:val="Heading3"/>
        <w:numPr>
          <w:ilvl w:val="2"/>
          <w:numId w:val="19"/>
        </w:numPr>
      </w:pPr>
      <w:bookmarkStart w:id="80" w:name="_Toc380687095"/>
      <w:r>
        <w:lastRenderedPageBreak/>
        <w:t>Number of years as a Vodacom employee</w:t>
      </w:r>
      <w:bookmarkEnd w:id="80"/>
    </w:p>
    <w:p w:rsidR="00296618" w:rsidRDefault="00296618" w:rsidP="00296618">
      <w:r>
        <w:t xml:space="preserve">The respondents were requested to specify the number of years they had been employed by Vodacom. The results can be seen in Table 4. Almost half of the respondents had been with the company for five (5) years or less with 15.2% of those respondents having been with the company for less than two (2) years. More than a quarter of respondents have been with Vodacom for more than nine (9) years. </w:t>
      </w:r>
    </w:p>
    <w:p w:rsidR="00296618" w:rsidRPr="00336BBE" w:rsidRDefault="00296618" w:rsidP="00296618">
      <w:pPr>
        <w:pStyle w:val="Caption"/>
        <w:rPr>
          <w:sz w:val="24"/>
        </w:rPr>
      </w:pPr>
      <w:bookmarkStart w:id="81" w:name="_Toc380684350"/>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4</w:t>
      </w:r>
      <w:r w:rsidRPr="00336BBE">
        <w:rPr>
          <w:sz w:val="24"/>
        </w:rPr>
        <w:fldChar w:fldCharType="end"/>
      </w:r>
      <w:r w:rsidRPr="00336BBE">
        <w:rPr>
          <w:sz w:val="24"/>
        </w:rPr>
        <w:t>: Number of years as a Vodacom employee</w:t>
      </w:r>
      <w:bookmarkEnd w:id="81"/>
    </w:p>
    <w:tbl>
      <w:tblPr>
        <w:tblW w:w="7812" w:type="dxa"/>
        <w:tblInd w:w="93" w:type="dxa"/>
        <w:tblLook w:val="04A0" w:firstRow="1" w:lastRow="0" w:firstColumn="1" w:lastColumn="0" w:noHBand="0" w:noVBand="1"/>
      </w:tblPr>
      <w:tblGrid>
        <w:gridCol w:w="2425"/>
        <w:gridCol w:w="3119"/>
        <w:gridCol w:w="2268"/>
      </w:tblGrid>
      <w:tr w:rsidR="00296618" w:rsidRPr="00997F9E" w:rsidTr="0063507B">
        <w:trPr>
          <w:trHeight w:val="300"/>
        </w:trPr>
        <w:tc>
          <w:tcPr>
            <w:tcW w:w="2425" w:type="dxa"/>
            <w:tcBorders>
              <w:top w:val="single" w:sz="8" w:space="0" w:color="auto"/>
              <w:left w:val="single" w:sz="8" w:space="0" w:color="auto"/>
              <w:bottom w:val="single" w:sz="4"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Number of Years</w:t>
            </w:r>
          </w:p>
        </w:tc>
        <w:tc>
          <w:tcPr>
            <w:tcW w:w="3119" w:type="dxa"/>
            <w:tcBorders>
              <w:top w:val="single" w:sz="8" w:space="0" w:color="auto"/>
              <w:left w:val="nil"/>
              <w:bottom w:val="single" w:sz="4"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Number of respondents</w:t>
            </w:r>
          </w:p>
        </w:tc>
        <w:tc>
          <w:tcPr>
            <w:tcW w:w="2268" w:type="dxa"/>
            <w:tcBorders>
              <w:top w:val="single" w:sz="8" w:space="0" w:color="auto"/>
              <w:left w:val="nil"/>
              <w:bottom w:val="single" w:sz="4" w:space="0" w:color="auto"/>
              <w:right w:val="single" w:sz="8"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 of respondents</w:t>
            </w:r>
          </w:p>
        </w:tc>
      </w:tr>
      <w:tr w:rsidR="00296618" w:rsidRPr="00997F9E"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 xml:space="preserve">Less than 2 years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20</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15.15%</w:t>
            </w:r>
          </w:p>
        </w:tc>
      </w:tr>
      <w:tr w:rsidR="00296618" w:rsidRPr="00997F9E"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3</w:t>
            </w:r>
            <w:r w:rsidRPr="00997F9E">
              <w:rPr>
                <w:rFonts w:cs="Arial"/>
                <w:color w:val="000000"/>
                <w:lang w:val="en-ZA" w:eastAsia="en-ZA"/>
              </w:rPr>
              <w:noBreakHyphen/>
              <w:t xml:space="preserve">5 years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48</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36.36%</w:t>
            </w:r>
          </w:p>
        </w:tc>
      </w:tr>
      <w:tr w:rsidR="00296618" w:rsidRPr="00997F9E"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6</w:t>
            </w:r>
            <w:r w:rsidRPr="00997F9E">
              <w:rPr>
                <w:rFonts w:cs="Arial"/>
                <w:color w:val="000000"/>
                <w:lang w:val="en-ZA" w:eastAsia="en-ZA"/>
              </w:rPr>
              <w:noBreakHyphen/>
              <w:t xml:space="preserve">8 years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28</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21.21%</w:t>
            </w:r>
          </w:p>
        </w:tc>
      </w:tr>
      <w:tr w:rsidR="00296618" w:rsidRPr="00997F9E"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9</w:t>
            </w:r>
            <w:r w:rsidRPr="00997F9E">
              <w:rPr>
                <w:rFonts w:cs="Arial"/>
                <w:color w:val="000000"/>
                <w:lang w:val="en-ZA" w:eastAsia="en-ZA"/>
              </w:rPr>
              <w:noBreakHyphen/>
              <w:t xml:space="preserve">11 years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17</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12.88%</w:t>
            </w:r>
          </w:p>
        </w:tc>
      </w:tr>
      <w:tr w:rsidR="00296618" w:rsidRPr="00997F9E" w:rsidTr="0063507B">
        <w:trPr>
          <w:trHeight w:val="315"/>
        </w:trPr>
        <w:tc>
          <w:tcPr>
            <w:tcW w:w="2425" w:type="dxa"/>
            <w:tcBorders>
              <w:top w:val="nil"/>
              <w:left w:val="single" w:sz="8" w:space="0" w:color="auto"/>
              <w:bottom w:val="single" w:sz="8" w:space="0" w:color="auto"/>
              <w:right w:val="single" w:sz="4" w:space="0" w:color="auto"/>
            </w:tcBorders>
            <w:shd w:val="clear" w:color="000000" w:fill="A6A6A6"/>
            <w:noWrap/>
            <w:vAlign w:val="bottom"/>
            <w:hideMark/>
          </w:tcPr>
          <w:p w:rsidR="00296618" w:rsidRPr="00997F9E" w:rsidRDefault="00296618" w:rsidP="0063507B">
            <w:pPr>
              <w:spacing w:before="0" w:after="0" w:line="240" w:lineRule="auto"/>
              <w:jc w:val="left"/>
              <w:rPr>
                <w:rFonts w:cs="Arial"/>
                <w:color w:val="000000"/>
                <w:lang w:val="en-ZA" w:eastAsia="en-ZA"/>
              </w:rPr>
            </w:pPr>
            <w:r w:rsidRPr="00997F9E">
              <w:rPr>
                <w:rFonts w:cs="Arial"/>
                <w:color w:val="000000"/>
                <w:lang w:val="en-ZA" w:eastAsia="en-ZA"/>
              </w:rPr>
              <w:t xml:space="preserve">More than 12 years </w:t>
            </w:r>
          </w:p>
        </w:tc>
        <w:tc>
          <w:tcPr>
            <w:tcW w:w="3119" w:type="dxa"/>
            <w:tcBorders>
              <w:top w:val="nil"/>
              <w:left w:val="nil"/>
              <w:bottom w:val="single" w:sz="8" w:space="0" w:color="auto"/>
              <w:right w:val="single" w:sz="4" w:space="0" w:color="auto"/>
            </w:tcBorders>
            <w:shd w:val="clear" w:color="auto" w:fill="auto"/>
            <w:noWrap/>
            <w:vAlign w:val="bottom"/>
            <w:hideMark/>
          </w:tcPr>
          <w:p w:rsidR="00296618" w:rsidRPr="00997F9E" w:rsidRDefault="00296618" w:rsidP="0063507B">
            <w:pPr>
              <w:spacing w:before="0" w:after="0" w:line="240" w:lineRule="auto"/>
              <w:jc w:val="center"/>
              <w:rPr>
                <w:rFonts w:cs="Arial"/>
                <w:color w:val="000000"/>
                <w:lang w:val="en-ZA" w:eastAsia="en-ZA"/>
              </w:rPr>
            </w:pPr>
            <w:r w:rsidRPr="00997F9E">
              <w:rPr>
                <w:rFonts w:cs="Arial"/>
                <w:color w:val="000000"/>
                <w:lang w:val="en-ZA" w:eastAsia="en-ZA"/>
              </w:rPr>
              <w:t>19</w:t>
            </w:r>
          </w:p>
        </w:tc>
        <w:tc>
          <w:tcPr>
            <w:tcW w:w="2268" w:type="dxa"/>
            <w:tcBorders>
              <w:top w:val="nil"/>
              <w:left w:val="nil"/>
              <w:bottom w:val="single" w:sz="8" w:space="0" w:color="auto"/>
              <w:right w:val="single" w:sz="8" w:space="0" w:color="auto"/>
            </w:tcBorders>
            <w:shd w:val="clear" w:color="auto" w:fill="auto"/>
            <w:noWrap/>
            <w:vAlign w:val="bottom"/>
            <w:hideMark/>
          </w:tcPr>
          <w:p w:rsidR="00296618" w:rsidRPr="00997F9E" w:rsidRDefault="00296618" w:rsidP="0063507B">
            <w:pPr>
              <w:keepNext/>
              <w:spacing w:before="0" w:after="0" w:line="240" w:lineRule="auto"/>
              <w:jc w:val="center"/>
              <w:rPr>
                <w:rFonts w:cs="Arial"/>
                <w:color w:val="000000"/>
                <w:lang w:val="en-ZA" w:eastAsia="en-ZA"/>
              </w:rPr>
            </w:pPr>
            <w:r w:rsidRPr="00997F9E">
              <w:rPr>
                <w:rFonts w:cs="Arial"/>
                <w:color w:val="000000"/>
                <w:lang w:val="en-ZA" w:eastAsia="en-ZA"/>
              </w:rPr>
              <w:t>14.39%</w:t>
            </w:r>
          </w:p>
        </w:tc>
      </w:tr>
    </w:tbl>
    <w:p w:rsidR="00296618" w:rsidRDefault="00296618" w:rsidP="00296618">
      <w:pPr>
        <w:pStyle w:val="Heading3"/>
        <w:numPr>
          <w:ilvl w:val="2"/>
          <w:numId w:val="19"/>
        </w:numPr>
      </w:pPr>
      <w:bookmarkStart w:id="82" w:name="_Toc380687096"/>
      <w:r>
        <w:t>Function</w:t>
      </w:r>
      <w:bookmarkEnd w:id="82"/>
    </w:p>
    <w:p w:rsidR="00296618" w:rsidRDefault="00296618" w:rsidP="00296618">
      <w:r>
        <w:t>Lastly, respondents were asked to indicate their function with the organisation; the results are presented in Table 5. More than a third of the respondents were in Sales and almost a quarter were in Customer Service. One of Vodacom’s strategic pillars is ‘Unmatched customer experience’. From that perspective, just under two thirds (63%) of the respondents had direct (Sales and Customer Service) or indirect (Marketing) proximity to the customer.</w:t>
      </w:r>
    </w:p>
    <w:p w:rsidR="00296618" w:rsidRPr="00272493" w:rsidRDefault="00296618" w:rsidP="00296618">
      <w:pPr>
        <w:pStyle w:val="Caption"/>
        <w:rPr>
          <w:sz w:val="24"/>
        </w:rPr>
      </w:pPr>
      <w:bookmarkStart w:id="83" w:name="_Toc380684351"/>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5</w:t>
      </w:r>
      <w:r w:rsidRPr="00336BBE">
        <w:rPr>
          <w:sz w:val="24"/>
        </w:rPr>
        <w:fldChar w:fldCharType="end"/>
      </w:r>
      <w:r w:rsidRPr="00336BBE">
        <w:rPr>
          <w:sz w:val="24"/>
        </w:rPr>
        <w:t>: Function</w:t>
      </w:r>
      <w:bookmarkEnd w:id="83"/>
    </w:p>
    <w:tbl>
      <w:tblPr>
        <w:tblW w:w="7812" w:type="dxa"/>
        <w:tblInd w:w="93" w:type="dxa"/>
        <w:tblLook w:val="04A0" w:firstRow="1" w:lastRow="0" w:firstColumn="1" w:lastColumn="0" w:noHBand="0" w:noVBand="1"/>
      </w:tblPr>
      <w:tblGrid>
        <w:gridCol w:w="2425"/>
        <w:gridCol w:w="3119"/>
        <w:gridCol w:w="2268"/>
      </w:tblGrid>
      <w:tr w:rsidR="00296618" w:rsidRPr="00954CF3" w:rsidTr="0063507B">
        <w:trPr>
          <w:trHeight w:val="300"/>
        </w:trPr>
        <w:tc>
          <w:tcPr>
            <w:tcW w:w="2425" w:type="dxa"/>
            <w:tcBorders>
              <w:top w:val="single" w:sz="8" w:space="0" w:color="auto"/>
              <w:left w:val="single" w:sz="8" w:space="0" w:color="auto"/>
              <w:bottom w:val="single" w:sz="4" w:space="0" w:color="auto"/>
              <w:right w:val="single" w:sz="4" w:space="0" w:color="auto"/>
            </w:tcBorders>
            <w:shd w:val="clear" w:color="000000" w:fill="A6A6A6"/>
            <w:noWrap/>
            <w:vAlign w:val="bottom"/>
            <w:hideMark/>
          </w:tcPr>
          <w:p w:rsidR="00296618" w:rsidRPr="000E62ED" w:rsidRDefault="00296618" w:rsidP="0063507B">
            <w:pPr>
              <w:spacing w:before="0" w:after="0" w:line="240" w:lineRule="auto"/>
              <w:jc w:val="left"/>
              <w:rPr>
                <w:rFonts w:cs="Arial"/>
                <w:color w:val="000000"/>
                <w:lang w:val="en-ZA" w:eastAsia="en-ZA"/>
              </w:rPr>
            </w:pPr>
            <w:r w:rsidRPr="000E62ED">
              <w:rPr>
                <w:rFonts w:cs="Arial"/>
                <w:color w:val="000000"/>
                <w:lang w:val="en-ZA" w:eastAsia="en-ZA"/>
              </w:rPr>
              <w:t>Function</w:t>
            </w:r>
          </w:p>
        </w:tc>
        <w:tc>
          <w:tcPr>
            <w:tcW w:w="3119" w:type="dxa"/>
            <w:tcBorders>
              <w:top w:val="single" w:sz="8" w:space="0" w:color="auto"/>
              <w:left w:val="nil"/>
              <w:bottom w:val="single" w:sz="4" w:space="0" w:color="auto"/>
              <w:right w:val="single" w:sz="4" w:space="0" w:color="auto"/>
            </w:tcBorders>
            <w:shd w:val="clear" w:color="000000" w:fill="A6A6A6"/>
            <w:noWrap/>
            <w:vAlign w:val="bottom"/>
            <w:hideMark/>
          </w:tcPr>
          <w:p w:rsidR="00296618" w:rsidRPr="00B6629B" w:rsidRDefault="00296618" w:rsidP="0063507B">
            <w:pPr>
              <w:spacing w:before="0" w:after="0" w:line="240" w:lineRule="auto"/>
              <w:jc w:val="left"/>
              <w:rPr>
                <w:rFonts w:cs="Arial"/>
                <w:color w:val="000000"/>
                <w:lang w:val="en-ZA" w:eastAsia="en-ZA"/>
              </w:rPr>
            </w:pPr>
            <w:r w:rsidRPr="00B6629B">
              <w:rPr>
                <w:rFonts w:cs="Arial"/>
                <w:color w:val="000000"/>
                <w:lang w:val="en-ZA" w:eastAsia="en-ZA"/>
              </w:rPr>
              <w:t>Number of respondents</w:t>
            </w:r>
          </w:p>
        </w:tc>
        <w:tc>
          <w:tcPr>
            <w:tcW w:w="2268" w:type="dxa"/>
            <w:tcBorders>
              <w:top w:val="single" w:sz="8" w:space="0" w:color="auto"/>
              <w:left w:val="nil"/>
              <w:bottom w:val="single" w:sz="4" w:space="0" w:color="auto"/>
              <w:right w:val="single" w:sz="8" w:space="0" w:color="auto"/>
            </w:tcBorders>
            <w:shd w:val="clear" w:color="000000" w:fill="A6A6A6"/>
            <w:noWrap/>
            <w:vAlign w:val="bottom"/>
            <w:hideMark/>
          </w:tcPr>
          <w:p w:rsidR="00296618" w:rsidRPr="005D1077" w:rsidRDefault="00296618" w:rsidP="0063507B">
            <w:pPr>
              <w:spacing w:before="0" w:after="0" w:line="240" w:lineRule="auto"/>
              <w:jc w:val="left"/>
              <w:rPr>
                <w:rFonts w:cs="Arial"/>
                <w:color w:val="000000"/>
                <w:lang w:val="en-ZA" w:eastAsia="en-ZA"/>
              </w:rPr>
            </w:pPr>
            <w:r w:rsidRPr="005D1077">
              <w:rPr>
                <w:rFonts w:cs="Arial"/>
                <w:color w:val="000000"/>
                <w:lang w:val="en-ZA" w:eastAsia="en-ZA"/>
              </w:rPr>
              <w:t>% of respondents</w:t>
            </w:r>
          </w:p>
        </w:tc>
      </w:tr>
      <w:tr w:rsidR="00296618" w:rsidRPr="00954CF3"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0E62ED" w:rsidRDefault="00296618" w:rsidP="0063507B">
            <w:pPr>
              <w:spacing w:before="0" w:after="0" w:line="240" w:lineRule="auto"/>
              <w:jc w:val="left"/>
              <w:rPr>
                <w:rFonts w:cs="Arial"/>
                <w:color w:val="000000"/>
                <w:lang w:val="en-ZA" w:eastAsia="en-ZA"/>
              </w:rPr>
            </w:pPr>
            <w:r w:rsidRPr="000E62ED">
              <w:rPr>
                <w:rFonts w:cs="Arial"/>
                <w:color w:val="000000"/>
                <w:lang w:val="en-ZA" w:eastAsia="en-ZA"/>
              </w:rPr>
              <w:t xml:space="preserve">Sales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B6629B" w:rsidRDefault="00296618" w:rsidP="0063507B">
            <w:pPr>
              <w:spacing w:before="0" w:after="0" w:line="240" w:lineRule="auto"/>
              <w:jc w:val="center"/>
              <w:rPr>
                <w:rFonts w:cs="Arial"/>
                <w:color w:val="000000"/>
                <w:lang w:val="en-ZA" w:eastAsia="en-ZA"/>
              </w:rPr>
            </w:pPr>
            <w:r w:rsidRPr="00B6629B">
              <w:rPr>
                <w:rFonts w:cs="Arial"/>
                <w:color w:val="000000"/>
                <w:lang w:val="en-ZA" w:eastAsia="en-ZA"/>
              </w:rPr>
              <w:t>44</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5D1077" w:rsidRDefault="00296618" w:rsidP="0063507B">
            <w:pPr>
              <w:spacing w:before="0" w:after="0" w:line="240" w:lineRule="auto"/>
              <w:jc w:val="center"/>
              <w:rPr>
                <w:rFonts w:cs="Arial"/>
                <w:color w:val="000000"/>
                <w:lang w:val="en-ZA" w:eastAsia="en-ZA"/>
              </w:rPr>
            </w:pPr>
            <w:r w:rsidRPr="005D1077">
              <w:rPr>
                <w:rFonts w:cs="Arial"/>
                <w:color w:val="000000"/>
                <w:lang w:val="en-ZA" w:eastAsia="en-ZA"/>
              </w:rPr>
              <w:t>34.65%</w:t>
            </w:r>
          </w:p>
        </w:tc>
      </w:tr>
      <w:tr w:rsidR="00296618" w:rsidRPr="00954CF3"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0E62ED" w:rsidRDefault="00296618" w:rsidP="0063507B">
            <w:pPr>
              <w:spacing w:before="0" w:after="0" w:line="240" w:lineRule="auto"/>
              <w:jc w:val="left"/>
              <w:rPr>
                <w:rFonts w:cs="Arial"/>
                <w:color w:val="000000"/>
                <w:lang w:val="en-ZA" w:eastAsia="en-ZA"/>
              </w:rPr>
            </w:pPr>
            <w:r w:rsidRPr="000E62ED">
              <w:rPr>
                <w:rFonts w:cs="Arial"/>
                <w:color w:val="000000"/>
                <w:lang w:val="en-ZA" w:eastAsia="en-ZA"/>
              </w:rPr>
              <w:t xml:space="preserve">Finance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B6629B" w:rsidRDefault="00296618" w:rsidP="0063507B">
            <w:pPr>
              <w:spacing w:before="0" w:after="0" w:line="240" w:lineRule="auto"/>
              <w:jc w:val="center"/>
              <w:rPr>
                <w:rFonts w:cs="Arial"/>
                <w:color w:val="000000"/>
                <w:lang w:val="en-ZA" w:eastAsia="en-ZA"/>
              </w:rPr>
            </w:pPr>
            <w:r w:rsidRPr="00B6629B">
              <w:rPr>
                <w:rFonts w:cs="Arial"/>
                <w:color w:val="000000"/>
                <w:lang w:val="en-ZA" w:eastAsia="en-ZA"/>
              </w:rPr>
              <w:t>17</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5D1077" w:rsidRDefault="00296618" w:rsidP="0063507B">
            <w:pPr>
              <w:spacing w:before="0" w:after="0" w:line="240" w:lineRule="auto"/>
              <w:jc w:val="center"/>
              <w:rPr>
                <w:rFonts w:cs="Arial"/>
                <w:color w:val="000000"/>
                <w:lang w:val="en-ZA" w:eastAsia="en-ZA"/>
              </w:rPr>
            </w:pPr>
            <w:r w:rsidRPr="005D1077">
              <w:rPr>
                <w:rFonts w:cs="Arial"/>
                <w:color w:val="000000"/>
                <w:lang w:val="en-ZA" w:eastAsia="en-ZA"/>
              </w:rPr>
              <w:t>13.39%</w:t>
            </w:r>
          </w:p>
        </w:tc>
      </w:tr>
      <w:tr w:rsidR="00296618" w:rsidRPr="00954CF3"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0E62ED" w:rsidRDefault="00296618" w:rsidP="0063507B">
            <w:pPr>
              <w:spacing w:before="0" w:after="0" w:line="240" w:lineRule="auto"/>
              <w:jc w:val="left"/>
              <w:rPr>
                <w:rFonts w:cs="Arial"/>
                <w:color w:val="000000"/>
                <w:lang w:val="en-ZA" w:eastAsia="en-ZA"/>
              </w:rPr>
            </w:pPr>
            <w:r w:rsidRPr="000E62ED">
              <w:rPr>
                <w:rFonts w:cs="Arial"/>
                <w:color w:val="000000"/>
                <w:lang w:val="en-ZA" w:eastAsia="en-ZA"/>
              </w:rPr>
              <w:t xml:space="preserve">Customer Service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B6629B" w:rsidRDefault="00296618" w:rsidP="0063507B">
            <w:pPr>
              <w:spacing w:before="0" w:after="0" w:line="240" w:lineRule="auto"/>
              <w:jc w:val="center"/>
              <w:rPr>
                <w:rFonts w:cs="Arial"/>
                <w:color w:val="000000"/>
                <w:lang w:val="en-ZA" w:eastAsia="en-ZA"/>
              </w:rPr>
            </w:pPr>
            <w:r w:rsidRPr="00B6629B">
              <w:rPr>
                <w:rFonts w:cs="Arial"/>
                <w:color w:val="000000"/>
                <w:lang w:val="en-ZA" w:eastAsia="en-ZA"/>
              </w:rPr>
              <w:t>30</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5D1077" w:rsidRDefault="00296618" w:rsidP="0063507B">
            <w:pPr>
              <w:spacing w:before="0" w:after="0" w:line="240" w:lineRule="auto"/>
              <w:jc w:val="center"/>
              <w:rPr>
                <w:rFonts w:cs="Arial"/>
                <w:color w:val="000000"/>
                <w:lang w:val="en-ZA" w:eastAsia="en-ZA"/>
              </w:rPr>
            </w:pPr>
            <w:r w:rsidRPr="005D1077">
              <w:rPr>
                <w:rFonts w:cs="Arial"/>
                <w:color w:val="000000"/>
                <w:lang w:val="en-ZA" w:eastAsia="en-ZA"/>
              </w:rPr>
              <w:t>23.62%</w:t>
            </w:r>
          </w:p>
        </w:tc>
      </w:tr>
      <w:tr w:rsidR="00296618" w:rsidRPr="00954CF3" w:rsidTr="0063507B">
        <w:trPr>
          <w:trHeight w:val="300"/>
        </w:trPr>
        <w:tc>
          <w:tcPr>
            <w:tcW w:w="2425" w:type="dxa"/>
            <w:tcBorders>
              <w:top w:val="nil"/>
              <w:left w:val="single" w:sz="8" w:space="0" w:color="auto"/>
              <w:bottom w:val="single" w:sz="4" w:space="0" w:color="auto"/>
              <w:right w:val="single" w:sz="4" w:space="0" w:color="auto"/>
            </w:tcBorders>
            <w:shd w:val="clear" w:color="000000" w:fill="A6A6A6"/>
            <w:noWrap/>
            <w:vAlign w:val="bottom"/>
            <w:hideMark/>
          </w:tcPr>
          <w:p w:rsidR="00296618" w:rsidRPr="000E62ED" w:rsidRDefault="00296618" w:rsidP="0063507B">
            <w:pPr>
              <w:spacing w:before="0" w:after="0" w:line="240" w:lineRule="auto"/>
              <w:jc w:val="left"/>
              <w:rPr>
                <w:rFonts w:cs="Arial"/>
                <w:color w:val="000000"/>
                <w:lang w:val="en-ZA" w:eastAsia="en-ZA"/>
              </w:rPr>
            </w:pPr>
            <w:r w:rsidRPr="000E62ED">
              <w:rPr>
                <w:rFonts w:cs="Arial"/>
                <w:color w:val="000000"/>
                <w:lang w:val="en-ZA" w:eastAsia="en-ZA"/>
              </w:rPr>
              <w:t xml:space="preserve">Marketing </w:t>
            </w:r>
          </w:p>
        </w:tc>
        <w:tc>
          <w:tcPr>
            <w:tcW w:w="3119" w:type="dxa"/>
            <w:tcBorders>
              <w:top w:val="nil"/>
              <w:left w:val="nil"/>
              <w:bottom w:val="single" w:sz="4" w:space="0" w:color="auto"/>
              <w:right w:val="single" w:sz="4" w:space="0" w:color="auto"/>
            </w:tcBorders>
            <w:shd w:val="clear" w:color="auto" w:fill="auto"/>
            <w:noWrap/>
            <w:vAlign w:val="bottom"/>
            <w:hideMark/>
          </w:tcPr>
          <w:p w:rsidR="00296618" w:rsidRPr="00B6629B" w:rsidRDefault="00296618" w:rsidP="0063507B">
            <w:pPr>
              <w:spacing w:before="0" w:after="0" w:line="240" w:lineRule="auto"/>
              <w:jc w:val="center"/>
              <w:rPr>
                <w:rFonts w:cs="Arial"/>
                <w:color w:val="000000"/>
                <w:lang w:val="en-ZA" w:eastAsia="en-ZA"/>
              </w:rPr>
            </w:pPr>
            <w:r w:rsidRPr="00B6629B">
              <w:rPr>
                <w:rFonts w:cs="Arial"/>
                <w:color w:val="000000"/>
                <w:lang w:val="en-ZA" w:eastAsia="en-ZA"/>
              </w:rPr>
              <w:t>6</w:t>
            </w:r>
          </w:p>
        </w:tc>
        <w:tc>
          <w:tcPr>
            <w:tcW w:w="2268" w:type="dxa"/>
            <w:tcBorders>
              <w:top w:val="nil"/>
              <w:left w:val="nil"/>
              <w:bottom w:val="single" w:sz="4" w:space="0" w:color="auto"/>
              <w:right w:val="single" w:sz="8" w:space="0" w:color="auto"/>
            </w:tcBorders>
            <w:shd w:val="clear" w:color="auto" w:fill="auto"/>
            <w:noWrap/>
            <w:vAlign w:val="bottom"/>
            <w:hideMark/>
          </w:tcPr>
          <w:p w:rsidR="00296618" w:rsidRPr="005D1077" w:rsidRDefault="00296618" w:rsidP="0063507B">
            <w:pPr>
              <w:spacing w:before="0" w:after="0" w:line="240" w:lineRule="auto"/>
              <w:jc w:val="center"/>
              <w:rPr>
                <w:rFonts w:cs="Arial"/>
                <w:color w:val="000000"/>
                <w:lang w:val="en-ZA" w:eastAsia="en-ZA"/>
              </w:rPr>
            </w:pPr>
            <w:r w:rsidRPr="005D1077">
              <w:rPr>
                <w:rFonts w:cs="Arial"/>
                <w:color w:val="000000"/>
                <w:lang w:val="en-ZA" w:eastAsia="en-ZA"/>
              </w:rPr>
              <w:t>4.72%</w:t>
            </w:r>
          </w:p>
        </w:tc>
      </w:tr>
      <w:tr w:rsidR="00296618" w:rsidRPr="00954CF3" w:rsidTr="0063507B">
        <w:trPr>
          <w:trHeight w:val="315"/>
        </w:trPr>
        <w:tc>
          <w:tcPr>
            <w:tcW w:w="2425" w:type="dxa"/>
            <w:tcBorders>
              <w:top w:val="nil"/>
              <w:left w:val="single" w:sz="8" w:space="0" w:color="auto"/>
              <w:bottom w:val="single" w:sz="8" w:space="0" w:color="auto"/>
              <w:right w:val="single" w:sz="4" w:space="0" w:color="auto"/>
            </w:tcBorders>
            <w:shd w:val="clear" w:color="000000" w:fill="A6A6A6"/>
            <w:noWrap/>
            <w:vAlign w:val="bottom"/>
            <w:hideMark/>
          </w:tcPr>
          <w:p w:rsidR="00296618" w:rsidRPr="000E62ED" w:rsidRDefault="00296618" w:rsidP="0063507B">
            <w:pPr>
              <w:spacing w:before="0" w:after="0" w:line="240" w:lineRule="auto"/>
              <w:jc w:val="left"/>
              <w:rPr>
                <w:rFonts w:cs="Arial"/>
                <w:color w:val="000000"/>
                <w:lang w:val="en-ZA" w:eastAsia="en-ZA"/>
              </w:rPr>
            </w:pPr>
            <w:r w:rsidRPr="000E62ED">
              <w:rPr>
                <w:rFonts w:cs="Arial"/>
                <w:color w:val="000000"/>
                <w:lang w:val="en-ZA" w:eastAsia="en-ZA"/>
              </w:rPr>
              <w:t xml:space="preserve">Other </w:t>
            </w:r>
          </w:p>
        </w:tc>
        <w:tc>
          <w:tcPr>
            <w:tcW w:w="3119" w:type="dxa"/>
            <w:tcBorders>
              <w:top w:val="nil"/>
              <w:left w:val="nil"/>
              <w:bottom w:val="single" w:sz="8" w:space="0" w:color="auto"/>
              <w:right w:val="single" w:sz="4" w:space="0" w:color="auto"/>
            </w:tcBorders>
            <w:shd w:val="clear" w:color="auto" w:fill="auto"/>
            <w:noWrap/>
            <w:vAlign w:val="bottom"/>
            <w:hideMark/>
          </w:tcPr>
          <w:p w:rsidR="00296618" w:rsidRPr="00B6629B" w:rsidRDefault="00296618" w:rsidP="0063507B">
            <w:pPr>
              <w:spacing w:before="0" w:after="0" w:line="240" w:lineRule="auto"/>
              <w:jc w:val="center"/>
              <w:rPr>
                <w:rFonts w:cs="Arial"/>
                <w:color w:val="000000"/>
                <w:lang w:val="en-ZA" w:eastAsia="en-ZA"/>
              </w:rPr>
            </w:pPr>
            <w:r w:rsidRPr="00B6629B">
              <w:rPr>
                <w:rFonts w:cs="Arial"/>
                <w:color w:val="000000"/>
                <w:lang w:val="en-ZA" w:eastAsia="en-ZA"/>
              </w:rPr>
              <w:t>30</w:t>
            </w:r>
          </w:p>
        </w:tc>
        <w:tc>
          <w:tcPr>
            <w:tcW w:w="2268" w:type="dxa"/>
            <w:tcBorders>
              <w:top w:val="nil"/>
              <w:left w:val="nil"/>
              <w:bottom w:val="single" w:sz="8" w:space="0" w:color="auto"/>
              <w:right w:val="single" w:sz="8" w:space="0" w:color="auto"/>
            </w:tcBorders>
            <w:shd w:val="clear" w:color="auto" w:fill="auto"/>
            <w:noWrap/>
            <w:vAlign w:val="bottom"/>
            <w:hideMark/>
          </w:tcPr>
          <w:p w:rsidR="00296618" w:rsidRPr="005D1077" w:rsidRDefault="00296618" w:rsidP="0063507B">
            <w:pPr>
              <w:keepNext/>
              <w:spacing w:before="0" w:after="0" w:line="240" w:lineRule="auto"/>
              <w:jc w:val="center"/>
              <w:rPr>
                <w:rFonts w:cs="Arial"/>
                <w:color w:val="000000"/>
                <w:lang w:val="en-ZA" w:eastAsia="en-ZA"/>
              </w:rPr>
            </w:pPr>
            <w:r w:rsidRPr="005D1077">
              <w:rPr>
                <w:rFonts w:cs="Arial"/>
                <w:color w:val="000000"/>
                <w:lang w:val="en-ZA" w:eastAsia="en-ZA"/>
              </w:rPr>
              <w:t>23.62%</w:t>
            </w:r>
          </w:p>
        </w:tc>
      </w:tr>
    </w:tbl>
    <w:p w:rsidR="00296618" w:rsidRDefault="00296618" w:rsidP="00296618"/>
    <w:p w:rsidR="00296618" w:rsidRDefault="00296618" w:rsidP="00296618">
      <w:pPr>
        <w:pStyle w:val="Heading3"/>
        <w:numPr>
          <w:ilvl w:val="2"/>
          <w:numId w:val="19"/>
        </w:numPr>
      </w:pPr>
      <w:bookmarkStart w:id="84" w:name="_Toc380687097"/>
      <w:r>
        <w:t>Demographic Overview</w:t>
      </w:r>
      <w:bookmarkEnd w:id="84"/>
    </w:p>
    <w:p w:rsidR="00296618" w:rsidRDefault="00296618" w:rsidP="00296618">
      <w:r>
        <w:t xml:space="preserve">Less than 15.2% of respondents have been with Vodacom for less than two (2) years and thus have no reference to the old corporate brand. On the other side of the scale, almost a quarter have been with the company for more than nine (9) years. </w:t>
      </w:r>
    </w:p>
    <w:p w:rsidR="00296618" w:rsidRDefault="00296618" w:rsidP="00296618">
      <w:r>
        <w:t xml:space="preserve">As stated before, one of Vodacom’s strategic pillars is ‘Unmatched customer experience’. From that perspective, just under two-thirds (63%) of the respondents have direct (Sales and Customer Service) or indirect (Marketing) proximity to the customer. It is with this notion that it is of critical importance that staff members with proximity to customer fully understand and are able to communicate the brand promise </w:t>
      </w:r>
      <w:r w:rsidRPr="0097440C">
        <w:t>(O’Malley, 1991 and Berry et al., 1988).</w:t>
      </w:r>
    </w:p>
    <w:p w:rsidR="00296618" w:rsidRDefault="00296618" w:rsidP="00296618">
      <w:pPr>
        <w:pStyle w:val="Heading2"/>
        <w:numPr>
          <w:ilvl w:val="1"/>
          <w:numId w:val="19"/>
        </w:numPr>
      </w:pPr>
      <w:bookmarkStart w:id="85" w:name="_Toc380687098"/>
      <w:r>
        <w:t>Results pertaining to Research Proposition 1</w:t>
      </w:r>
      <w:bookmarkEnd w:id="85"/>
      <w:r>
        <w:t xml:space="preserve"> </w:t>
      </w:r>
    </w:p>
    <w:p w:rsidR="00296618" w:rsidRPr="001F453B" w:rsidRDefault="00296618" w:rsidP="00296618">
      <w:r>
        <w:t>Proposition 1 stated that t</w:t>
      </w:r>
      <w:r w:rsidRPr="001F453B">
        <w:t xml:space="preserve">he following are primary drivers of corporate rebranding for South African telecommunications companies: </w:t>
      </w:r>
    </w:p>
    <w:p w:rsidR="00296618" w:rsidRPr="00EA329E" w:rsidRDefault="00296618" w:rsidP="00296618">
      <w:pPr>
        <w:pStyle w:val="ListParagraph"/>
        <w:numPr>
          <w:ilvl w:val="0"/>
          <w:numId w:val="15"/>
        </w:numPr>
      </w:pPr>
      <w:r w:rsidRPr="00EA329E">
        <w:t>Corporate structural change</w:t>
      </w:r>
      <w:r>
        <w:t>s</w:t>
      </w:r>
    </w:p>
    <w:p w:rsidR="00296618" w:rsidRPr="00EA329E" w:rsidRDefault="00296618" w:rsidP="00296618">
      <w:pPr>
        <w:pStyle w:val="ListParagraph"/>
        <w:numPr>
          <w:ilvl w:val="0"/>
          <w:numId w:val="15"/>
        </w:numPr>
      </w:pPr>
      <w:r w:rsidRPr="00EA329E">
        <w:t>Change</w:t>
      </w:r>
      <w:r>
        <w:t>s</w:t>
      </w:r>
      <w:r w:rsidRPr="00EA329E">
        <w:t xml:space="preserve"> in corporate strategy including new focus or vision</w:t>
      </w:r>
    </w:p>
    <w:p w:rsidR="00296618" w:rsidRPr="00EA329E" w:rsidRDefault="00296618" w:rsidP="00296618">
      <w:pPr>
        <w:pStyle w:val="ListParagraph"/>
        <w:numPr>
          <w:ilvl w:val="0"/>
          <w:numId w:val="15"/>
        </w:numPr>
      </w:pPr>
      <w:r w:rsidRPr="00EA329E">
        <w:t>Change</w:t>
      </w:r>
      <w:r>
        <w:t>s</w:t>
      </w:r>
      <w:r w:rsidRPr="00EA329E">
        <w:t xml:space="preserve"> in ownership structure including mergers and acquisitions; and divestitures</w:t>
      </w:r>
    </w:p>
    <w:p w:rsidR="00296618" w:rsidRPr="00EA329E" w:rsidRDefault="00296618" w:rsidP="00296618">
      <w:pPr>
        <w:pStyle w:val="ListParagraph"/>
        <w:numPr>
          <w:ilvl w:val="0"/>
          <w:numId w:val="15"/>
        </w:numPr>
      </w:pPr>
      <w:r>
        <w:t>O</w:t>
      </w:r>
      <w:r w:rsidRPr="00EA329E">
        <w:t>utdated</w:t>
      </w:r>
      <w:r w:rsidRPr="001F453B">
        <w:t xml:space="preserve"> </w:t>
      </w:r>
      <w:r>
        <w:t>i</w:t>
      </w:r>
      <w:r w:rsidRPr="00EA329E">
        <w:t>mage</w:t>
      </w:r>
      <w:r w:rsidRPr="00EA329E">
        <w:tab/>
      </w:r>
      <w:r w:rsidRPr="00EA329E">
        <w:tab/>
      </w:r>
    </w:p>
    <w:p w:rsidR="00296618" w:rsidRPr="00EA329E" w:rsidRDefault="00296618" w:rsidP="00296618">
      <w:pPr>
        <w:pStyle w:val="ListParagraph"/>
        <w:numPr>
          <w:ilvl w:val="0"/>
          <w:numId w:val="15"/>
        </w:numPr>
      </w:pPr>
      <w:r w:rsidRPr="00EA329E">
        <w:t xml:space="preserve">Concerns </w:t>
      </w:r>
      <w:r>
        <w:t>regarding</w:t>
      </w:r>
      <w:r w:rsidRPr="00EA329E">
        <w:t xml:space="preserve"> external perceptions of the organisation and its activities</w:t>
      </w:r>
    </w:p>
    <w:p w:rsidR="00296618" w:rsidRPr="00EA329E" w:rsidRDefault="00296618" w:rsidP="00296618">
      <w:pPr>
        <w:pStyle w:val="ListParagraph"/>
        <w:numPr>
          <w:ilvl w:val="0"/>
          <w:numId w:val="15"/>
        </w:numPr>
      </w:pPr>
      <w:r w:rsidRPr="00EA329E">
        <w:t>Changes in economic or legal conditions including economic slowdown</w:t>
      </w:r>
    </w:p>
    <w:p w:rsidR="00296618" w:rsidRPr="00EA329E" w:rsidRDefault="00296618" w:rsidP="00296618">
      <w:pPr>
        <w:pStyle w:val="ListParagraph"/>
        <w:numPr>
          <w:ilvl w:val="0"/>
          <w:numId w:val="15"/>
        </w:numPr>
      </w:pPr>
      <w:r w:rsidRPr="00EA329E">
        <w:t>Change</w:t>
      </w:r>
      <w:r>
        <w:t>s</w:t>
      </w:r>
      <w:r w:rsidRPr="00EA329E">
        <w:t xml:space="preserve"> </w:t>
      </w:r>
      <w:r>
        <w:t xml:space="preserve">to the </w:t>
      </w:r>
      <w:r w:rsidRPr="00EA329E">
        <w:t xml:space="preserve"> competitive position</w:t>
      </w:r>
    </w:p>
    <w:p w:rsidR="00296618" w:rsidRPr="00EA329E" w:rsidRDefault="00296618" w:rsidP="00296618">
      <w:pPr>
        <w:pStyle w:val="ListParagraph"/>
        <w:numPr>
          <w:ilvl w:val="0"/>
          <w:numId w:val="15"/>
        </w:numPr>
      </w:pPr>
      <w:r w:rsidRPr="00EA329E">
        <w:t>Change</w:t>
      </w:r>
      <w:r>
        <w:t>s</w:t>
      </w:r>
      <w:r w:rsidRPr="00EA329E">
        <w:t xml:space="preserve"> in </w:t>
      </w:r>
      <w:r>
        <w:t xml:space="preserve">the </w:t>
      </w:r>
      <w:r w:rsidRPr="00EA329E">
        <w:t>external environment</w:t>
      </w:r>
      <w:r>
        <w:t>.</w:t>
      </w:r>
    </w:p>
    <w:p w:rsidR="00296618" w:rsidRPr="003124ED" w:rsidRDefault="00296618" w:rsidP="00296618">
      <w:pPr>
        <w:pStyle w:val="Heading3"/>
        <w:numPr>
          <w:ilvl w:val="2"/>
          <w:numId w:val="19"/>
        </w:numPr>
      </w:pPr>
      <w:bookmarkStart w:id="86" w:name="_Toc380687099"/>
      <w:r>
        <w:lastRenderedPageBreak/>
        <w:t>Overview</w:t>
      </w:r>
      <w:bookmarkEnd w:id="86"/>
    </w:p>
    <w:p w:rsidR="00296618" w:rsidRDefault="00296618" w:rsidP="00296618">
      <w:pPr>
        <w:pStyle w:val="Heading2"/>
        <w:numPr>
          <w:ilvl w:val="0"/>
          <w:numId w:val="0"/>
        </w:numPr>
        <w:jc w:val="both"/>
      </w:pPr>
      <w:bookmarkStart w:id="87" w:name="_Toc380504849"/>
      <w:bookmarkStart w:id="88" w:name="_Toc380687100"/>
      <w:r>
        <w:rPr>
          <w:rFonts w:ascii="Arial" w:hAnsi="Arial" w:cs="Arial"/>
          <w:b w:val="0"/>
          <w:sz w:val="24"/>
          <w:szCs w:val="24"/>
        </w:rPr>
        <w:t xml:space="preserve">To determine the drivers </w:t>
      </w:r>
      <w:r w:rsidRPr="00AF2509">
        <w:rPr>
          <w:rFonts w:ascii="Arial" w:hAnsi="Arial" w:cs="Arial"/>
          <w:b w:val="0"/>
          <w:sz w:val="24"/>
          <w:szCs w:val="24"/>
        </w:rPr>
        <w:t>of corporate rebranding of South African organisations within the telecommunications industry</w:t>
      </w:r>
      <w:r>
        <w:rPr>
          <w:rFonts w:ascii="Arial" w:hAnsi="Arial" w:cs="Arial"/>
          <w:b w:val="0"/>
          <w:sz w:val="24"/>
          <w:szCs w:val="24"/>
        </w:rPr>
        <w:t xml:space="preserve">, a </w:t>
      </w:r>
      <w:r w:rsidRPr="00CB778A">
        <w:rPr>
          <w:rFonts w:ascii="Arial" w:hAnsi="Arial" w:cs="Arial"/>
          <w:b w:val="0"/>
          <w:sz w:val="24"/>
          <w:szCs w:val="24"/>
        </w:rPr>
        <w:t xml:space="preserve">principal component analysis </w:t>
      </w:r>
      <w:r>
        <w:rPr>
          <w:rFonts w:ascii="Arial" w:hAnsi="Arial" w:cs="Arial"/>
          <w:b w:val="0"/>
          <w:sz w:val="24"/>
          <w:szCs w:val="24"/>
        </w:rPr>
        <w:t xml:space="preserve">was conducted.   </w:t>
      </w:r>
      <w:r w:rsidRPr="00AF2509">
        <w:rPr>
          <w:rFonts w:ascii="Arial" w:hAnsi="Arial" w:cs="Arial"/>
          <w:b w:val="0"/>
          <w:sz w:val="24"/>
          <w:szCs w:val="24"/>
        </w:rPr>
        <w:t xml:space="preserve">Factors used in this study were determined by use of Eigenvalues and the Scree Plot. Costello and Osborne (2005) affirm that the </w:t>
      </w:r>
      <w:r>
        <w:rPr>
          <w:rFonts w:ascii="Arial" w:hAnsi="Arial" w:cs="Arial"/>
          <w:b w:val="0"/>
          <w:sz w:val="24"/>
          <w:szCs w:val="24"/>
        </w:rPr>
        <w:t>S</w:t>
      </w:r>
      <w:r w:rsidRPr="00AF2509">
        <w:rPr>
          <w:rFonts w:ascii="Arial" w:hAnsi="Arial" w:cs="Arial"/>
          <w:b w:val="0"/>
          <w:sz w:val="24"/>
          <w:szCs w:val="24"/>
        </w:rPr>
        <w:t>cree plot is the best option.</w:t>
      </w:r>
      <w:bookmarkEnd w:id="87"/>
      <w:bookmarkEnd w:id="88"/>
      <w:r w:rsidRPr="00AF2509">
        <w:rPr>
          <w:rFonts w:ascii="Arial" w:hAnsi="Arial" w:cs="Arial"/>
          <w:b w:val="0"/>
          <w:sz w:val="24"/>
          <w:szCs w:val="24"/>
        </w:rPr>
        <w:t xml:space="preserve"> </w:t>
      </w:r>
    </w:p>
    <w:p w:rsidR="00296618" w:rsidRPr="00F46792" w:rsidRDefault="00296618" w:rsidP="00296618">
      <w:r w:rsidRPr="00F46792">
        <w:t xml:space="preserve">The results of the </w:t>
      </w:r>
      <w:r>
        <w:rPr>
          <w:rFonts w:cs="Arial"/>
        </w:rPr>
        <w:t>exploratory factor a</w:t>
      </w:r>
      <w:r w:rsidRPr="00F46792">
        <w:rPr>
          <w:rFonts w:cs="Arial"/>
        </w:rPr>
        <w:t xml:space="preserve">nalysis are depicted in the section below. </w:t>
      </w:r>
    </w:p>
    <w:p w:rsidR="00296618" w:rsidRDefault="00296618" w:rsidP="00296618">
      <w:pPr>
        <w:pStyle w:val="Heading3"/>
        <w:numPr>
          <w:ilvl w:val="2"/>
          <w:numId w:val="19"/>
        </w:numPr>
      </w:pPr>
      <w:bookmarkStart w:id="89" w:name="_Toc380687101"/>
      <w:r>
        <w:t>Principal Component Analysis: Drivers of corporate rebranding</w:t>
      </w:r>
      <w:bookmarkEnd w:id="89"/>
    </w:p>
    <w:p w:rsidR="00296618" w:rsidRDefault="00296618" w:rsidP="00296618">
      <w:r>
        <w:t xml:space="preserve">The questionnaire asked respondents to rate the drivers on a five-point Likert scale from ‘strongly disagree’ to ‘strongly agree’. A hundred and thirty four (134) completed answers were used in the analysis. The principal component analysis showed that there were two distinct factors. This is confirmed by the </w:t>
      </w:r>
      <w:r w:rsidR="00C87D93">
        <w:t xml:space="preserve">factor analysis in Table 6 and the </w:t>
      </w:r>
      <w:r>
        <w:t xml:space="preserve">Scree plot illustrated by Figure 9. The distinct </w:t>
      </w:r>
      <w:r w:rsidRPr="0097440C">
        <w:t>break between the steep slope of factors indicates number of factors to be included (Malhorta and Birks, 2003; Costello and Osborne, 2005)</w:t>
      </w:r>
      <w:r>
        <w:t>.</w:t>
      </w:r>
    </w:p>
    <w:p w:rsidR="00C87D93" w:rsidRPr="00C87D93" w:rsidRDefault="00C87D93" w:rsidP="00C87D93">
      <w:pPr>
        <w:pStyle w:val="Caption"/>
        <w:rPr>
          <w:sz w:val="24"/>
        </w:rPr>
      </w:pPr>
      <w:bookmarkStart w:id="90" w:name="_Toc380684352"/>
      <w:r w:rsidRPr="00C87D93">
        <w:rPr>
          <w:sz w:val="24"/>
        </w:rPr>
        <w:t xml:space="preserve">Table </w:t>
      </w:r>
      <w:r w:rsidRPr="00C87D93">
        <w:rPr>
          <w:sz w:val="24"/>
        </w:rPr>
        <w:fldChar w:fldCharType="begin"/>
      </w:r>
      <w:r w:rsidRPr="00C87D93">
        <w:rPr>
          <w:sz w:val="24"/>
        </w:rPr>
        <w:instrText xml:space="preserve"> SEQ Table \* ARABIC </w:instrText>
      </w:r>
      <w:r w:rsidRPr="00C87D93">
        <w:rPr>
          <w:sz w:val="24"/>
        </w:rPr>
        <w:fldChar w:fldCharType="separate"/>
      </w:r>
      <w:r w:rsidR="00D61AFB">
        <w:rPr>
          <w:noProof/>
          <w:sz w:val="24"/>
        </w:rPr>
        <w:t>6</w:t>
      </w:r>
      <w:r w:rsidRPr="00C87D93">
        <w:rPr>
          <w:sz w:val="24"/>
        </w:rPr>
        <w:fldChar w:fldCharType="end"/>
      </w:r>
      <w:r w:rsidRPr="00C87D93">
        <w:rPr>
          <w:sz w:val="24"/>
        </w:rPr>
        <w:t xml:space="preserve">: </w:t>
      </w:r>
      <w:r w:rsidR="008B30CF">
        <w:rPr>
          <w:sz w:val="24"/>
        </w:rPr>
        <w:t>Factor analysis results after Varimax R</w:t>
      </w:r>
      <w:r w:rsidRPr="00C87D93">
        <w:rPr>
          <w:sz w:val="24"/>
        </w:rPr>
        <w:t>otation</w:t>
      </w:r>
      <w:bookmarkEnd w:id="90"/>
    </w:p>
    <w:tbl>
      <w:tblPr>
        <w:tblStyle w:val="TableGrid"/>
        <w:tblW w:w="0" w:type="auto"/>
        <w:tblLook w:val="04A0" w:firstRow="1" w:lastRow="0" w:firstColumn="1" w:lastColumn="0" w:noHBand="0" w:noVBand="1"/>
      </w:tblPr>
      <w:tblGrid>
        <w:gridCol w:w="1242"/>
        <w:gridCol w:w="2127"/>
        <w:gridCol w:w="1701"/>
        <w:gridCol w:w="2268"/>
      </w:tblGrid>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left"/>
              <w:rPr>
                <w:rFonts w:ascii="Helvetica" w:hAnsi="Helvetica" w:cs="Helvetica"/>
                <w:bCs/>
                <w:color w:val="000000"/>
              </w:rPr>
            </w:pPr>
            <w:r w:rsidRPr="00C87D93">
              <w:rPr>
                <w:rFonts w:ascii="Helvetica" w:hAnsi="Helvetica" w:cs="Helvetica"/>
                <w:bCs/>
                <w:color w:val="000000"/>
              </w:rPr>
              <w:t>Factor</w:t>
            </w:r>
          </w:p>
        </w:tc>
        <w:tc>
          <w:tcPr>
            <w:tcW w:w="2127" w:type="dxa"/>
          </w:tcPr>
          <w:p w:rsidR="00C87D93" w:rsidRPr="00C87D93" w:rsidRDefault="00C87D93" w:rsidP="00C87D93">
            <w:pPr>
              <w:widowControl w:val="0"/>
              <w:autoSpaceDE w:val="0"/>
              <w:autoSpaceDN w:val="0"/>
              <w:adjustRightInd w:val="0"/>
              <w:spacing w:after="0" w:line="240" w:lineRule="auto"/>
              <w:jc w:val="left"/>
              <w:rPr>
                <w:rFonts w:ascii="Helvetica" w:hAnsi="Helvetica" w:cs="Helvetica"/>
                <w:bCs/>
                <w:color w:val="000000"/>
              </w:rPr>
            </w:pPr>
            <w:r w:rsidRPr="00C87D93">
              <w:rPr>
                <w:rFonts w:ascii="Helvetica" w:hAnsi="Helvetica" w:cs="Helvetica"/>
                <w:bCs/>
                <w:color w:val="000000"/>
              </w:rPr>
              <w:t>Eigenvalue</w:t>
            </w:r>
          </w:p>
        </w:tc>
        <w:tc>
          <w:tcPr>
            <w:tcW w:w="1701" w:type="dxa"/>
          </w:tcPr>
          <w:p w:rsidR="00C87D93" w:rsidRPr="00C87D93" w:rsidRDefault="00C87D93" w:rsidP="00C87D93">
            <w:pPr>
              <w:spacing w:line="240" w:lineRule="auto"/>
              <w:jc w:val="left"/>
            </w:pPr>
            <w:r w:rsidRPr="00C87D93">
              <w:t>% variance explained</w:t>
            </w:r>
          </w:p>
        </w:tc>
        <w:tc>
          <w:tcPr>
            <w:tcW w:w="2268" w:type="dxa"/>
          </w:tcPr>
          <w:p w:rsidR="00C87D93" w:rsidRPr="00C87D93" w:rsidRDefault="00C87D93" w:rsidP="00C87D93">
            <w:pPr>
              <w:spacing w:line="240" w:lineRule="auto"/>
              <w:jc w:val="left"/>
            </w:pPr>
            <w:r w:rsidRPr="00C87D93">
              <w:t>Cumulative % variance explained</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t xml:space="preserve">  1</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2.9865</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42.664</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42.664</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t xml:space="preserve">  2</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1.0839</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15.484</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58.148</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t xml:space="preserve">  3</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0.9561</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13.659</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71.807</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t xml:space="preserve">  4</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0.6166</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8.809</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80.616</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t xml:space="preserve">  5</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0.5882</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8.403</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89.019</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t xml:space="preserve">  6</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0.4295</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6.136</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95.155</w:t>
            </w:r>
          </w:p>
        </w:tc>
      </w:tr>
      <w:tr w:rsidR="00C87D93" w:rsidRPr="00C87D93" w:rsidTr="00530ED5">
        <w:tc>
          <w:tcPr>
            <w:tcW w:w="1242" w:type="dxa"/>
          </w:tcPr>
          <w:p w:rsidR="00C87D93" w:rsidRPr="00C87D93" w:rsidRDefault="00C87D93" w:rsidP="00C87D93">
            <w:pPr>
              <w:widowControl w:val="0"/>
              <w:autoSpaceDE w:val="0"/>
              <w:autoSpaceDN w:val="0"/>
              <w:adjustRightInd w:val="0"/>
              <w:spacing w:after="0" w:line="240" w:lineRule="auto"/>
              <w:jc w:val="right"/>
              <w:rPr>
                <w:rFonts w:ascii="Helvetica" w:hAnsi="Helvetica" w:cs="Helvetica"/>
                <w:color w:val="000000"/>
              </w:rPr>
            </w:pPr>
            <w:r w:rsidRPr="00C87D93">
              <w:rPr>
                <w:rFonts w:ascii="Helvetica" w:hAnsi="Helvetica" w:cs="Helvetica"/>
                <w:color w:val="000000"/>
              </w:rPr>
              <w:lastRenderedPageBreak/>
              <w:t xml:space="preserve">  7</w:t>
            </w:r>
          </w:p>
        </w:tc>
        <w:tc>
          <w:tcPr>
            <w:tcW w:w="2127"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0.3392</w:t>
            </w:r>
          </w:p>
        </w:tc>
        <w:tc>
          <w:tcPr>
            <w:tcW w:w="1701"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4.845</w:t>
            </w:r>
          </w:p>
        </w:tc>
        <w:tc>
          <w:tcPr>
            <w:tcW w:w="2268" w:type="dxa"/>
          </w:tcPr>
          <w:p w:rsidR="00C87D93" w:rsidRPr="00C87D93" w:rsidRDefault="00C87D93" w:rsidP="00C87D93">
            <w:pPr>
              <w:widowControl w:val="0"/>
              <w:autoSpaceDE w:val="0"/>
              <w:autoSpaceDN w:val="0"/>
              <w:adjustRightInd w:val="0"/>
              <w:spacing w:after="0" w:line="240" w:lineRule="auto"/>
              <w:jc w:val="right"/>
              <w:rPr>
                <w:rFonts w:ascii="Helvetica" w:hAnsi="Helvetica"/>
                <w:color w:val="000000"/>
              </w:rPr>
            </w:pPr>
            <w:r w:rsidRPr="00C87D93">
              <w:rPr>
                <w:rFonts w:ascii="Helvetica" w:hAnsi="Helvetica"/>
                <w:color w:val="000000"/>
              </w:rPr>
              <w:t>100.000</w:t>
            </w:r>
          </w:p>
        </w:tc>
      </w:tr>
    </w:tbl>
    <w:p w:rsidR="00C87D93" w:rsidRPr="0097440C" w:rsidRDefault="00C87D93" w:rsidP="00296618"/>
    <w:p w:rsidR="00296618" w:rsidRDefault="00296618" w:rsidP="00296618">
      <w:pPr>
        <w:keepNext/>
        <w:jc w:val="center"/>
      </w:pPr>
      <w:r>
        <w:rPr>
          <w:rFonts w:ascii="Helvetica" w:hAnsi="Helvetica" w:cs="Helvetica"/>
          <w:noProof/>
          <w:color w:val="000000"/>
          <w:sz w:val="26"/>
          <w:szCs w:val="26"/>
          <w:lang w:val="en-ZA" w:eastAsia="en-ZA"/>
        </w:rPr>
        <w:drawing>
          <wp:inline distT="0" distB="0" distL="0" distR="0" wp14:anchorId="32AC16AE" wp14:editId="0EEEDB9E">
            <wp:extent cx="3874135" cy="34569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74135" cy="3456940"/>
                    </a:xfrm>
                    <a:prstGeom prst="rect">
                      <a:avLst/>
                    </a:prstGeom>
                    <a:noFill/>
                    <a:ln>
                      <a:noFill/>
                    </a:ln>
                  </pic:spPr>
                </pic:pic>
              </a:graphicData>
            </a:graphic>
          </wp:inline>
        </w:drawing>
      </w:r>
    </w:p>
    <w:p w:rsidR="00296618" w:rsidRPr="00423865" w:rsidRDefault="00296618" w:rsidP="00423865">
      <w:pPr>
        <w:pStyle w:val="Caption"/>
        <w:rPr>
          <w:sz w:val="24"/>
        </w:rPr>
      </w:pPr>
      <w:bookmarkStart w:id="91" w:name="_Toc380684394"/>
      <w:r w:rsidRPr="00336BBE">
        <w:rPr>
          <w:sz w:val="24"/>
        </w:rPr>
        <w:t xml:space="preserve">Figure </w:t>
      </w:r>
      <w:r w:rsidRPr="00336BBE">
        <w:rPr>
          <w:sz w:val="24"/>
        </w:rPr>
        <w:fldChar w:fldCharType="begin"/>
      </w:r>
      <w:r w:rsidRPr="00336BBE">
        <w:rPr>
          <w:sz w:val="24"/>
        </w:rPr>
        <w:instrText xml:space="preserve"> SEQ Figure \* ARABIC </w:instrText>
      </w:r>
      <w:r w:rsidRPr="00336BBE">
        <w:rPr>
          <w:sz w:val="24"/>
        </w:rPr>
        <w:fldChar w:fldCharType="separate"/>
      </w:r>
      <w:r>
        <w:rPr>
          <w:noProof/>
          <w:sz w:val="24"/>
        </w:rPr>
        <w:t>9</w:t>
      </w:r>
      <w:r w:rsidRPr="00336BBE">
        <w:rPr>
          <w:sz w:val="24"/>
        </w:rPr>
        <w:fldChar w:fldCharType="end"/>
      </w:r>
      <w:r w:rsidRPr="00336BBE">
        <w:rPr>
          <w:sz w:val="24"/>
        </w:rPr>
        <w:t>: Scree plot: drivers of corporate rebranding</w:t>
      </w:r>
      <w:bookmarkEnd w:id="91"/>
    </w:p>
    <w:p w:rsidR="00296618" w:rsidRDefault="00296618" w:rsidP="00296618"/>
    <w:p w:rsidR="00296618" w:rsidRDefault="00296618" w:rsidP="00296618">
      <w:pPr>
        <w:rPr>
          <w:color w:val="000000" w:themeColor="text1"/>
        </w:rPr>
      </w:pPr>
      <w:r w:rsidRPr="0006174D">
        <w:t xml:space="preserve">Principal component analysis was applied to responses of questions 5 to 12 in the questionnaire. The principal components method was used to extract the components, and this was followed by a </w:t>
      </w:r>
      <w:r>
        <w:t>V</w:t>
      </w:r>
      <w:r w:rsidRPr="0006174D">
        <w:t xml:space="preserve">arimax </w:t>
      </w:r>
      <w:r>
        <w:t>R</w:t>
      </w:r>
      <w:r w:rsidRPr="0006174D">
        <w:t>otation</w:t>
      </w:r>
      <w:r w:rsidRPr="0006174D">
        <w:rPr>
          <w:color w:val="000000" w:themeColor="text1"/>
        </w:rPr>
        <w:t xml:space="preserve">. Only the first two components exhibited Eigenvalues greater than 1. Factor 1 had an </w:t>
      </w:r>
      <w:r>
        <w:rPr>
          <w:color w:val="000000" w:themeColor="text1"/>
        </w:rPr>
        <w:t>E</w:t>
      </w:r>
      <w:r w:rsidRPr="0006174D">
        <w:rPr>
          <w:color w:val="000000" w:themeColor="text1"/>
        </w:rPr>
        <w:t>igenvalue of 1.8 and factor 2 was 1.2. Therefore, only the first two components were retained for rotation. Combined, the first two components accounted for 58.148% of the total variance. Questionnaire items and corresponding factor loadings are presented in Table 6. In interpreting the rotated factor pattern, an item was said to load on a given component if the factor loading was 0.40 or greater for that component and less than 0.40 for the other (Hair et al</w:t>
      </w:r>
      <w:r>
        <w:rPr>
          <w:color w:val="000000" w:themeColor="text1"/>
        </w:rPr>
        <w:t>.,</w:t>
      </w:r>
      <w:r w:rsidRPr="0006174D">
        <w:rPr>
          <w:color w:val="000000" w:themeColor="text1"/>
        </w:rPr>
        <w:t xml:space="preserve"> 1998). All items loaded on </w:t>
      </w:r>
      <w:r w:rsidRPr="0006174D">
        <w:rPr>
          <w:color w:val="000000" w:themeColor="text1"/>
        </w:rPr>
        <w:lastRenderedPageBreak/>
        <w:t>either factor based on this criterion</w:t>
      </w:r>
      <w:r>
        <w:rPr>
          <w:color w:val="000000" w:themeColor="text1"/>
        </w:rPr>
        <w:t>,</w:t>
      </w:r>
      <w:r w:rsidRPr="0006174D">
        <w:rPr>
          <w:color w:val="000000" w:themeColor="text1"/>
        </w:rPr>
        <w:t xml:space="preserve"> with exception of question 9 which was subsequently removed from the analysis. Using these criteria, four items were found to load on the first </w:t>
      </w:r>
      <w:r>
        <w:rPr>
          <w:color w:val="000000" w:themeColor="text1"/>
        </w:rPr>
        <w:t>factor</w:t>
      </w:r>
      <w:r w:rsidRPr="0006174D">
        <w:rPr>
          <w:color w:val="000000" w:themeColor="text1"/>
        </w:rPr>
        <w:t xml:space="preserve"> </w:t>
      </w:r>
      <w:r>
        <w:rPr>
          <w:color w:val="000000" w:themeColor="text1"/>
        </w:rPr>
        <w:t>and t</w:t>
      </w:r>
      <w:r w:rsidRPr="0006174D">
        <w:rPr>
          <w:color w:val="000000" w:themeColor="text1"/>
        </w:rPr>
        <w:t xml:space="preserve">hree items loaded on the second </w:t>
      </w:r>
      <w:r>
        <w:rPr>
          <w:color w:val="000000" w:themeColor="text1"/>
        </w:rPr>
        <w:t xml:space="preserve">factor. </w:t>
      </w:r>
    </w:p>
    <w:p w:rsidR="00296618" w:rsidRDefault="00296618" w:rsidP="00296618">
      <w:pPr>
        <w:pStyle w:val="Caption"/>
        <w:rPr>
          <w:sz w:val="24"/>
        </w:rPr>
      </w:pPr>
      <w:bookmarkStart w:id="92" w:name="_Toc380684353"/>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7</w:t>
      </w:r>
      <w:r w:rsidRPr="00336BBE">
        <w:rPr>
          <w:sz w:val="24"/>
        </w:rPr>
        <w:fldChar w:fldCharType="end"/>
      </w:r>
      <w:r w:rsidRPr="00336BBE">
        <w:rPr>
          <w:sz w:val="24"/>
        </w:rPr>
        <w:t>: Factor loading after Varimax Rotation</w:t>
      </w:r>
      <w:bookmarkEnd w:id="92"/>
    </w:p>
    <w:tbl>
      <w:tblPr>
        <w:tblStyle w:val="TableGrid2"/>
        <w:tblW w:w="0" w:type="auto"/>
        <w:tblLook w:val="04A0" w:firstRow="1" w:lastRow="0" w:firstColumn="1" w:lastColumn="0" w:noHBand="0" w:noVBand="1"/>
      </w:tblPr>
      <w:tblGrid>
        <w:gridCol w:w="1711"/>
        <w:gridCol w:w="4541"/>
        <w:gridCol w:w="1351"/>
        <w:gridCol w:w="1351"/>
      </w:tblGrid>
      <w:tr w:rsidR="007375E2" w:rsidRPr="00553636" w:rsidTr="0063507B">
        <w:tc>
          <w:tcPr>
            <w:tcW w:w="8954" w:type="dxa"/>
            <w:gridSpan w:val="4"/>
            <w:shd w:val="clear" w:color="auto" w:fill="A6A6A6" w:themeFill="background1" w:themeFillShade="A6"/>
          </w:tcPr>
          <w:p w:rsidR="007375E2" w:rsidRPr="000E62ED" w:rsidRDefault="007375E2" w:rsidP="0063507B">
            <w:pPr>
              <w:spacing w:before="0" w:after="0" w:line="240" w:lineRule="auto"/>
              <w:jc w:val="center"/>
              <w:rPr>
                <w:rFonts w:cs="Arial"/>
                <w:lang w:val="en-ZA"/>
              </w:rPr>
            </w:pPr>
            <w:r w:rsidRPr="000E62ED">
              <w:rPr>
                <w:rFonts w:cs="Arial"/>
                <w:lang w:val="en-ZA"/>
              </w:rPr>
              <w:t>Rotated Factor Loading</w:t>
            </w:r>
          </w:p>
        </w:tc>
      </w:tr>
      <w:tr w:rsidR="007375E2" w:rsidRPr="00553636" w:rsidTr="0063507B">
        <w:tc>
          <w:tcPr>
            <w:tcW w:w="6252" w:type="dxa"/>
            <w:gridSpan w:val="2"/>
            <w:shd w:val="clear" w:color="auto" w:fill="A6A6A6" w:themeFill="background1" w:themeFillShade="A6"/>
          </w:tcPr>
          <w:p w:rsidR="007375E2" w:rsidRPr="000E62ED" w:rsidRDefault="007375E2" w:rsidP="0063507B">
            <w:pPr>
              <w:spacing w:before="0" w:after="0" w:line="240" w:lineRule="auto"/>
              <w:jc w:val="left"/>
              <w:rPr>
                <w:rFonts w:cs="Arial"/>
                <w:lang w:val="en-ZA"/>
              </w:rPr>
            </w:pPr>
          </w:p>
        </w:tc>
        <w:tc>
          <w:tcPr>
            <w:tcW w:w="2702" w:type="dxa"/>
            <w:gridSpan w:val="2"/>
            <w:shd w:val="clear" w:color="auto" w:fill="A6A6A6" w:themeFill="background1" w:themeFillShade="A6"/>
          </w:tcPr>
          <w:p w:rsidR="007375E2" w:rsidRPr="00B6629B" w:rsidRDefault="007375E2" w:rsidP="0063507B">
            <w:pPr>
              <w:spacing w:before="0" w:after="0" w:line="240" w:lineRule="auto"/>
              <w:jc w:val="center"/>
              <w:rPr>
                <w:rFonts w:cs="Arial"/>
                <w:lang w:val="en-ZA"/>
              </w:rPr>
            </w:pPr>
            <w:r w:rsidRPr="00B6629B">
              <w:rPr>
                <w:rFonts w:cs="Arial"/>
                <w:lang w:val="en-ZA"/>
              </w:rPr>
              <w:t>Factors</w:t>
            </w:r>
          </w:p>
        </w:tc>
      </w:tr>
      <w:tr w:rsidR="007375E2" w:rsidRPr="00553636" w:rsidTr="0063507B">
        <w:tc>
          <w:tcPr>
            <w:tcW w:w="675" w:type="dxa"/>
            <w:shd w:val="clear" w:color="auto" w:fill="A6A6A6" w:themeFill="background1" w:themeFillShade="A6"/>
          </w:tcPr>
          <w:p w:rsidR="007375E2" w:rsidRPr="00B6629B" w:rsidRDefault="007375E2" w:rsidP="0063507B">
            <w:pPr>
              <w:spacing w:before="0" w:after="0" w:line="240" w:lineRule="auto"/>
              <w:jc w:val="center"/>
              <w:rPr>
                <w:rFonts w:cs="Arial"/>
                <w:lang w:val="en-ZA"/>
              </w:rPr>
            </w:pPr>
            <w:r w:rsidRPr="000E62ED">
              <w:rPr>
                <w:rFonts w:cs="Arial"/>
                <w:color w:val="000000"/>
                <w:lang w:val="en-ZA" w:eastAsia="en-ZA"/>
              </w:rPr>
              <w:t>Questionnaire item</w:t>
            </w:r>
          </w:p>
        </w:tc>
        <w:tc>
          <w:tcPr>
            <w:tcW w:w="5577" w:type="dxa"/>
            <w:shd w:val="clear" w:color="auto" w:fill="A6A6A6" w:themeFill="background1" w:themeFillShade="A6"/>
          </w:tcPr>
          <w:p w:rsidR="007375E2" w:rsidRPr="005D1077" w:rsidRDefault="007375E2" w:rsidP="0063507B">
            <w:pPr>
              <w:spacing w:before="0" w:after="0" w:line="240" w:lineRule="auto"/>
              <w:jc w:val="center"/>
              <w:rPr>
                <w:rFonts w:cs="Arial"/>
                <w:lang w:val="en-ZA"/>
              </w:rPr>
            </w:pPr>
            <w:r w:rsidRPr="005D1077">
              <w:rPr>
                <w:rFonts w:cs="Arial"/>
                <w:lang w:val="en-ZA"/>
              </w:rPr>
              <w:t>Variables</w:t>
            </w:r>
          </w:p>
        </w:tc>
        <w:tc>
          <w:tcPr>
            <w:tcW w:w="1351" w:type="dxa"/>
            <w:shd w:val="clear" w:color="auto" w:fill="A6A6A6" w:themeFill="background1" w:themeFillShade="A6"/>
          </w:tcPr>
          <w:p w:rsidR="007375E2" w:rsidRPr="005D1077" w:rsidRDefault="007375E2" w:rsidP="0063507B">
            <w:pPr>
              <w:spacing w:before="0" w:after="0" w:line="240" w:lineRule="auto"/>
              <w:jc w:val="center"/>
              <w:rPr>
                <w:rFonts w:cs="Arial"/>
                <w:lang w:val="en-ZA"/>
              </w:rPr>
            </w:pPr>
            <w:r w:rsidRPr="005D1077">
              <w:rPr>
                <w:rFonts w:cs="Arial"/>
                <w:lang w:val="en-ZA"/>
              </w:rPr>
              <w:t>Factor 1</w:t>
            </w:r>
          </w:p>
        </w:tc>
        <w:tc>
          <w:tcPr>
            <w:tcW w:w="1351" w:type="dxa"/>
            <w:shd w:val="clear" w:color="auto" w:fill="A6A6A6" w:themeFill="background1" w:themeFillShade="A6"/>
          </w:tcPr>
          <w:p w:rsidR="007375E2" w:rsidRPr="00272493" w:rsidRDefault="007375E2" w:rsidP="0063507B">
            <w:pPr>
              <w:spacing w:before="0" w:after="0" w:line="240" w:lineRule="auto"/>
              <w:jc w:val="center"/>
              <w:rPr>
                <w:rFonts w:cs="Arial"/>
                <w:lang w:val="en-ZA"/>
              </w:rPr>
            </w:pPr>
            <w:r w:rsidRPr="000E62ED">
              <w:rPr>
                <w:rFonts w:cs="Arial"/>
                <w:lang w:val="en-ZA"/>
              </w:rPr>
              <w:t>Factor 2</w:t>
            </w: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5</w:t>
            </w:r>
          </w:p>
        </w:tc>
        <w:tc>
          <w:tcPr>
            <w:tcW w:w="5577" w:type="dxa"/>
          </w:tcPr>
          <w:p w:rsidR="007375E2" w:rsidRPr="00553636" w:rsidRDefault="007375E2" w:rsidP="0063507B">
            <w:pPr>
              <w:spacing w:before="0" w:after="0" w:line="240" w:lineRule="auto"/>
              <w:jc w:val="left"/>
              <w:rPr>
                <w:rFonts w:cs="Arial"/>
                <w:lang w:val="en-ZA"/>
              </w:rPr>
            </w:pPr>
            <w:r w:rsidRPr="00553636">
              <w:rPr>
                <w:rFonts w:cs="Arial"/>
                <w:color w:val="000000"/>
                <w:lang w:val="en-ZA"/>
              </w:rPr>
              <w:t>Corporate structural changes have influenced corporate rebranding of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Pr>
                <w:rFonts w:cs="Arial"/>
                <w:color w:val="000000"/>
                <w:lang w:val="en-ZA"/>
              </w:rPr>
              <w:t>0.4402245</w:t>
            </w: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6</w:t>
            </w:r>
          </w:p>
        </w:tc>
        <w:tc>
          <w:tcPr>
            <w:tcW w:w="5577" w:type="dxa"/>
          </w:tcPr>
          <w:p w:rsidR="007375E2" w:rsidRPr="00553636" w:rsidRDefault="007375E2" w:rsidP="0063507B">
            <w:pPr>
              <w:spacing w:before="0" w:after="0" w:line="240" w:lineRule="auto"/>
              <w:jc w:val="left"/>
              <w:rPr>
                <w:rFonts w:cs="Arial"/>
                <w:lang w:val="en-ZA"/>
              </w:rPr>
            </w:pPr>
            <w:r w:rsidRPr="00553636">
              <w:rPr>
                <w:rFonts w:cs="Arial"/>
                <w:color w:val="000000"/>
                <w:lang w:val="en-ZA"/>
              </w:rPr>
              <w:t>Changes in corporate strategy including new focus or vision are drivers of corporate rebranding for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Pr>
                <w:rFonts w:cs="Arial"/>
                <w:color w:val="000000"/>
                <w:lang w:val="en-ZA"/>
              </w:rPr>
              <w:t>0.7813399</w:t>
            </w: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7</w:t>
            </w:r>
          </w:p>
        </w:tc>
        <w:tc>
          <w:tcPr>
            <w:tcW w:w="5577" w:type="dxa"/>
          </w:tcPr>
          <w:p w:rsidR="007375E2" w:rsidRPr="00553636" w:rsidRDefault="007375E2" w:rsidP="0063507B">
            <w:pPr>
              <w:spacing w:before="0" w:after="0" w:line="240" w:lineRule="auto"/>
              <w:jc w:val="left"/>
              <w:rPr>
                <w:rFonts w:cs="Arial"/>
                <w:lang w:val="en-ZA"/>
              </w:rPr>
            </w:pPr>
            <w:r w:rsidRPr="00553636">
              <w:rPr>
                <w:rFonts w:cs="Arial"/>
                <w:color w:val="000000"/>
                <w:lang w:val="en-ZA"/>
              </w:rPr>
              <w:t>Changes in ownership structure including mergers and acquisitions; and divestitures are drivers of corporate rebranding for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sidRPr="00553636">
              <w:rPr>
                <w:rFonts w:cs="Arial"/>
                <w:color w:val="000000"/>
                <w:lang w:val="en-ZA"/>
              </w:rPr>
              <w:t>0.</w:t>
            </w:r>
            <w:r>
              <w:rPr>
                <w:rFonts w:cs="Arial"/>
                <w:color w:val="000000"/>
                <w:lang w:val="en-ZA"/>
              </w:rPr>
              <w:t>5203759</w:t>
            </w: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8</w:t>
            </w:r>
          </w:p>
        </w:tc>
        <w:tc>
          <w:tcPr>
            <w:tcW w:w="5577" w:type="dxa"/>
          </w:tcPr>
          <w:p w:rsidR="007375E2" w:rsidRPr="00553636" w:rsidRDefault="007375E2" w:rsidP="0063507B">
            <w:pPr>
              <w:spacing w:before="0" w:after="0" w:line="240" w:lineRule="auto"/>
              <w:jc w:val="left"/>
              <w:rPr>
                <w:rFonts w:cs="Arial"/>
                <w:lang w:val="en-ZA"/>
              </w:rPr>
            </w:pPr>
            <w:r w:rsidRPr="00553636">
              <w:rPr>
                <w:rFonts w:cs="Arial"/>
                <w:color w:val="000000"/>
                <w:lang w:val="en-ZA"/>
              </w:rPr>
              <w:t>Concerns over external perceptions of the organisation and its activities have led to corporate rebranding of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sidRPr="00553636">
              <w:rPr>
                <w:rFonts w:cs="Arial"/>
                <w:color w:val="000000"/>
                <w:lang w:val="en-ZA"/>
              </w:rPr>
              <w:t>0.</w:t>
            </w:r>
            <w:r>
              <w:rPr>
                <w:rFonts w:cs="Arial"/>
                <w:color w:val="000000"/>
                <w:lang w:val="en-ZA"/>
              </w:rPr>
              <w:t>4859687</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10</w:t>
            </w:r>
          </w:p>
        </w:tc>
        <w:tc>
          <w:tcPr>
            <w:tcW w:w="5577" w:type="dxa"/>
          </w:tcPr>
          <w:p w:rsidR="007375E2" w:rsidRPr="00553636" w:rsidRDefault="007375E2" w:rsidP="0063507B">
            <w:pPr>
              <w:spacing w:before="0" w:after="0" w:line="240" w:lineRule="auto"/>
              <w:jc w:val="left"/>
              <w:rPr>
                <w:rFonts w:cs="Arial"/>
                <w:color w:val="000000"/>
                <w:lang w:val="en-ZA"/>
              </w:rPr>
            </w:pPr>
            <w:r w:rsidRPr="00553636">
              <w:rPr>
                <w:rFonts w:cs="Arial"/>
                <w:color w:val="000000"/>
                <w:lang w:val="en-ZA"/>
              </w:rPr>
              <w:t>Changes in economic or legal conditions including economic slowdown have encouraged corporate rebranding of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sidRPr="00553636">
              <w:rPr>
                <w:rFonts w:cs="Arial"/>
                <w:color w:val="000000"/>
                <w:lang w:val="en-ZA"/>
              </w:rPr>
              <w:t>0.4</w:t>
            </w:r>
            <w:r>
              <w:rPr>
                <w:rFonts w:cs="Arial"/>
                <w:color w:val="000000"/>
                <w:lang w:val="en-ZA"/>
              </w:rPr>
              <w:t>120098</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11</w:t>
            </w:r>
          </w:p>
        </w:tc>
        <w:tc>
          <w:tcPr>
            <w:tcW w:w="5577" w:type="dxa"/>
          </w:tcPr>
          <w:p w:rsidR="007375E2" w:rsidRPr="00553636" w:rsidRDefault="007375E2" w:rsidP="0063507B">
            <w:pPr>
              <w:spacing w:before="0" w:after="0" w:line="240" w:lineRule="auto"/>
              <w:jc w:val="left"/>
              <w:rPr>
                <w:rFonts w:cs="Arial"/>
                <w:color w:val="000000"/>
                <w:lang w:val="en-ZA"/>
              </w:rPr>
            </w:pPr>
            <w:r w:rsidRPr="00553636">
              <w:rPr>
                <w:rFonts w:cs="Arial"/>
                <w:color w:val="000000"/>
                <w:lang w:val="en-ZA"/>
              </w:rPr>
              <w:t>Changes in competitive position have led to corporate rebranding for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sidRPr="00553636">
              <w:rPr>
                <w:rFonts w:cs="Arial"/>
                <w:color w:val="000000"/>
                <w:lang w:val="en-ZA"/>
              </w:rPr>
              <w:t>0.7</w:t>
            </w:r>
            <w:r>
              <w:rPr>
                <w:rFonts w:cs="Arial"/>
                <w:color w:val="000000"/>
                <w:lang w:val="en-ZA"/>
              </w:rPr>
              <w:t>709175</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p>
        </w:tc>
      </w:tr>
      <w:tr w:rsidR="007375E2" w:rsidRPr="00553636" w:rsidTr="0063507B">
        <w:tc>
          <w:tcPr>
            <w:tcW w:w="675" w:type="dxa"/>
          </w:tcPr>
          <w:p w:rsidR="007375E2" w:rsidRPr="00553636" w:rsidRDefault="007375E2" w:rsidP="0063507B">
            <w:pPr>
              <w:spacing w:before="0" w:after="0" w:line="240" w:lineRule="auto"/>
              <w:jc w:val="left"/>
              <w:rPr>
                <w:rFonts w:cs="Arial"/>
                <w:color w:val="000000"/>
                <w:lang w:val="en-ZA"/>
              </w:rPr>
            </w:pPr>
            <w:r>
              <w:rPr>
                <w:rFonts w:cs="Arial"/>
                <w:color w:val="000000"/>
                <w:lang w:val="en-ZA"/>
              </w:rPr>
              <w:t>12</w:t>
            </w:r>
          </w:p>
        </w:tc>
        <w:tc>
          <w:tcPr>
            <w:tcW w:w="5577" w:type="dxa"/>
          </w:tcPr>
          <w:p w:rsidR="007375E2" w:rsidRPr="00553636" w:rsidRDefault="007375E2" w:rsidP="0063507B">
            <w:pPr>
              <w:spacing w:before="0" w:after="0" w:line="240" w:lineRule="auto"/>
              <w:jc w:val="left"/>
              <w:rPr>
                <w:rFonts w:cs="Arial"/>
                <w:color w:val="000000"/>
                <w:lang w:val="en-ZA"/>
              </w:rPr>
            </w:pPr>
            <w:r w:rsidRPr="00553636">
              <w:rPr>
                <w:rFonts w:cs="Arial"/>
                <w:color w:val="000000"/>
                <w:lang w:val="en-ZA"/>
              </w:rPr>
              <w:t>Changes in external environment are drivers of corporate rebranding for South African telecommunications companies.</w:t>
            </w:r>
          </w:p>
        </w:tc>
        <w:tc>
          <w:tcPr>
            <w:tcW w:w="1351"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rPr>
            </w:pPr>
            <w:r w:rsidRPr="00553636">
              <w:rPr>
                <w:rFonts w:cs="Arial"/>
                <w:color w:val="000000"/>
                <w:lang w:val="en-ZA"/>
              </w:rPr>
              <w:t>0.7</w:t>
            </w:r>
            <w:r>
              <w:rPr>
                <w:rFonts w:cs="Arial"/>
                <w:color w:val="000000"/>
                <w:lang w:val="en-ZA"/>
              </w:rPr>
              <w:t>732000</w:t>
            </w:r>
          </w:p>
        </w:tc>
        <w:tc>
          <w:tcPr>
            <w:tcW w:w="1351" w:type="dxa"/>
          </w:tcPr>
          <w:p w:rsidR="007375E2" w:rsidRPr="00553636" w:rsidRDefault="007375E2" w:rsidP="0063507B">
            <w:pPr>
              <w:keepNext/>
              <w:widowControl w:val="0"/>
              <w:autoSpaceDE w:val="0"/>
              <w:autoSpaceDN w:val="0"/>
              <w:adjustRightInd w:val="0"/>
              <w:spacing w:before="0" w:after="0" w:line="240" w:lineRule="auto"/>
              <w:jc w:val="right"/>
              <w:rPr>
                <w:rFonts w:cs="Arial"/>
                <w:color w:val="000000"/>
                <w:lang w:val="en-ZA"/>
              </w:rPr>
            </w:pPr>
          </w:p>
        </w:tc>
      </w:tr>
    </w:tbl>
    <w:p w:rsidR="00296618" w:rsidRPr="000C1ACF" w:rsidRDefault="00296618" w:rsidP="00296618"/>
    <w:p w:rsidR="00296618" w:rsidRDefault="00296618" w:rsidP="00296618">
      <w:r>
        <w:t xml:space="preserve">The resulting factors from the Table </w:t>
      </w:r>
      <w:r w:rsidR="00530ED5">
        <w:t>7</w:t>
      </w:r>
      <w:r>
        <w:t xml:space="preserve"> are discussed below:</w:t>
      </w:r>
    </w:p>
    <w:p w:rsidR="00296618" w:rsidRPr="00EA329E" w:rsidRDefault="00296618" w:rsidP="00296618">
      <w:r w:rsidRPr="00A6288C">
        <w:rPr>
          <w:b/>
        </w:rPr>
        <w:lastRenderedPageBreak/>
        <w:t>Factor 1:</w:t>
      </w:r>
      <w:r>
        <w:t xml:space="preserve"> This factor has a higher loading of external elements relating to drivers of corporate rebranding.  These elements include: </w:t>
      </w:r>
      <w:r w:rsidRPr="00EA329E">
        <w:tab/>
      </w:r>
      <w:r w:rsidRPr="00EA329E">
        <w:tab/>
      </w:r>
    </w:p>
    <w:p w:rsidR="00296618" w:rsidRPr="00EA329E" w:rsidRDefault="00296618" w:rsidP="00296618">
      <w:pPr>
        <w:pStyle w:val="ListParagraph"/>
        <w:numPr>
          <w:ilvl w:val="0"/>
          <w:numId w:val="15"/>
        </w:numPr>
      </w:pPr>
      <w:r w:rsidRPr="00EA329E">
        <w:t>Concerns over external perceptions of the organisation and its activities</w:t>
      </w:r>
    </w:p>
    <w:p w:rsidR="00296618" w:rsidRPr="00EA329E" w:rsidRDefault="00296618" w:rsidP="00296618">
      <w:pPr>
        <w:pStyle w:val="ListParagraph"/>
        <w:numPr>
          <w:ilvl w:val="0"/>
          <w:numId w:val="15"/>
        </w:numPr>
      </w:pPr>
      <w:r w:rsidRPr="00EA329E">
        <w:t>Changes in economic or legal conditions including economic slowdown</w:t>
      </w:r>
    </w:p>
    <w:p w:rsidR="00296618" w:rsidRPr="00EA329E" w:rsidRDefault="00296618" w:rsidP="00296618">
      <w:pPr>
        <w:pStyle w:val="ListParagraph"/>
        <w:numPr>
          <w:ilvl w:val="0"/>
          <w:numId w:val="15"/>
        </w:numPr>
      </w:pPr>
      <w:r w:rsidRPr="00EA329E">
        <w:t>Change</w:t>
      </w:r>
      <w:r>
        <w:t>s</w:t>
      </w:r>
      <w:r w:rsidRPr="00EA329E">
        <w:t xml:space="preserve"> in competitive position</w:t>
      </w:r>
    </w:p>
    <w:p w:rsidR="00296618" w:rsidRPr="00EA329E" w:rsidRDefault="00296618" w:rsidP="00296618">
      <w:pPr>
        <w:pStyle w:val="ListParagraph"/>
        <w:numPr>
          <w:ilvl w:val="0"/>
          <w:numId w:val="15"/>
        </w:numPr>
      </w:pPr>
      <w:r w:rsidRPr="00EA329E">
        <w:t>Change</w:t>
      </w:r>
      <w:r>
        <w:t>s</w:t>
      </w:r>
      <w:r w:rsidRPr="00EA329E">
        <w:t xml:space="preserve"> in external environment</w:t>
      </w:r>
    </w:p>
    <w:p w:rsidR="00296618" w:rsidRPr="00A6288C" w:rsidRDefault="00296618" w:rsidP="00296618">
      <w:pPr>
        <w:ind w:left="360"/>
        <w:rPr>
          <w:color w:val="000000" w:themeColor="text1"/>
        </w:rPr>
      </w:pPr>
      <w:r>
        <w:rPr>
          <w:color w:val="000000" w:themeColor="text1"/>
        </w:rPr>
        <w:t>This factor is labelled</w:t>
      </w:r>
      <w:r w:rsidRPr="00A6288C">
        <w:rPr>
          <w:color w:val="000000" w:themeColor="text1"/>
        </w:rPr>
        <w:t xml:space="preserve"> </w:t>
      </w:r>
      <w:r>
        <w:rPr>
          <w:b/>
          <w:color w:val="000000" w:themeColor="text1"/>
        </w:rPr>
        <w:t>‘</w:t>
      </w:r>
      <w:r w:rsidRPr="00A6288C">
        <w:rPr>
          <w:b/>
          <w:color w:val="000000" w:themeColor="text1"/>
        </w:rPr>
        <w:t>macroeconomic factors</w:t>
      </w:r>
      <w:r>
        <w:rPr>
          <w:b/>
          <w:color w:val="000000" w:themeColor="text1"/>
        </w:rPr>
        <w:t>’</w:t>
      </w:r>
      <w:r w:rsidRPr="00A6288C">
        <w:rPr>
          <w:b/>
          <w:color w:val="000000" w:themeColor="text1"/>
        </w:rPr>
        <w:t>.</w:t>
      </w:r>
      <w:r w:rsidRPr="00A6288C">
        <w:rPr>
          <w:color w:val="000000" w:themeColor="text1"/>
        </w:rPr>
        <w:t xml:space="preserve"> </w:t>
      </w:r>
    </w:p>
    <w:p w:rsidR="00296618" w:rsidRDefault="00296618" w:rsidP="00296618">
      <w:pPr>
        <w:pStyle w:val="Caption"/>
        <w:rPr>
          <w:sz w:val="24"/>
        </w:rPr>
      </w:pPr>
      <w:bookmarkStart w:id="93" w:name="_Toc380684354"/>
      <w:r w:rsidRPr="008666C1">
        <w:rPr>
          <w:sz w:val="24"/>
        </w:rPr>
        <w:t xml:space="preserve">Table </w:t>
      </w:r>
      <w:r w:rsidRPr="008666C1">
        <w:rPr>
          <w:sz w:val="24"/>
        </w:rPr>
        <w:fldChar w:fldCharType="begin"/>
      </w:r>
      <w:r w:rsidRPr="008666C1">
        <w:rPr>
          <w:sz w:val="24"/>
        </w:rPr>
        <w:instrText xml:space="preserve"> SEQ Table \* ARABIC </w:instrText>
      </w:r>
      <w:r w:rsidRPr="008666C1">
        <w:rPr>
          <w:sz w:val="24"/>
        </w:rPr>
        <w:fldChar w:fldCharType="separate"/>
      </w:r>
      <w:r w:rsidR="00D61AFB">
        <w:rPr>
          <w:noProof/>
          <w:sz w:val="24"/>
        </w:rPr>
        <w:t>8</w:t>
      </w:r>
      <w:r w:rsidRPr="008666C1">
        <w:rPr>
          <w:sz w:val="24"/>
        </w:rPr>
        <w:fldChar w:fldCharType="end"/>
      </w:r>
      <w:r w:rsidRPr="008666C1">
        <w:rPr>
          <w:sz w:val="24"/>
        </w:rPr>
        <w:t>: Descriptive Statistics – Macroeconomic factors</w:t>
      </w:r>
      <w:bookmarkEnd w:id="93"/>
    </w:p>
    <w:tbl>
      <w:tblPr>
        <w:tblStyle w:val="TableGrid"/>
        <w:tblW w:w="0" w:type="auto"/>
        <w:tblLook w:val="04A0" w:firstRow="1" w:lastRow="0" w:firstColumn="1" w:lastColumn="0" w:noHBand="0" w:noVBand="1"/>
      </w:tblPr>
      <w:tblGrid>
        <w:gridCol w:w="2518"/>
        <w:gridCol w:w="801"/>
        <w:gridCol w:w="1410"/>
        <w:gridCol w:w="1428"/>
        <w:gridCol w:w="1379"/>
        <w:gridCol w:w="1418"/>
      </w:tblGrid>
      <w:tr w:rsidR="00530ED5" w:rsidTr="00530ED5">
        <w:tc>
          <w:tcPr>
            <w:tcW w:w="2518" w:type="dxa"/>
          </w:tcPr>
          <w:p w:rsidR="00530ED5" w:rsidRPr="009429BB" w:rsidRDefault="00530ED5" w:rsidP="00530ED5"/>
        </w:tc>
        <w:tc>
          <w:tcPr>
            <w:tcW w:w="801" w:type="dxa"/>
          </w:tcPr>
          <w:p w:rsidR="00530ED5" w:rsidRPr="000E62ED" w:rsidRDefault="00530ED5" w:rsidP="00530ED5">
            <w:pPr>
              <w:autoSpaceDE w:val="0"/>
              <w:autoSpaceDN w:val="0"/>
              <w:adjustRightInd w:val="0"/>
              <w:spacing w:before="0" w:after="0" w:line="320" w:lineRule="atLeast"/>
              <w:ind w:left="60" w:right="60"/>
              <w:jc w:val="right"/>
            </w:pPr>
            <w:r w:rsidRPr="000E62ED">
              <w:t>N</w:t>
            </w:r>
          </w:p>
        </w:tc>
        <w:tc>
          <w:tcPr>
            <w:tcW w:w="1410" w:type="dxa"/>
          </w:tcPr>
          <w:p w:rsidR="00530ED5" w:rsidRPr="005D1077" w:rsidRDefault="00530ED5" w:rsidP="00530ED5">
            <w:pPr>
              <w:autoSpaceDE w:val="0"/>
              <w:autoSpaceDN w:val="0"/>
              <w:adjustRightInd w:val="0"/>
              <w:spacing w:before="0" w:after="0" w:line="320" w:lineRule="atLeast"/>
              <w:ind w:left="60" w:right="60"/>
              <w:jc w:val="right"/>
            </w:pPr>
            <w:r w:rsidRPr="00B6629B">
              <w:t>Minimum</w:t>
            </w:r>
          </w:p>
        </w:tc>
        <w:tc>
          <w:tcPr>
            <w:tcW w:w="1428" w:type="dxa"/>
          </w:tcPr>
          <w:p w:rsidR="00530ED5" w:rsidRPr="000E62ED" w:rsidRDefault="00530ED5" w:rsidP="00530ED5">
            <w:pPr>
              <w:autoSpaceDE w:val="0"/>
              <w:autoSpaceDN w:val="0"/>
              <w:adjustRightInd w:val="0"/>
              <w:spacing w:before="0" w:after="0" w:line="320" w:lineRule="atLeast"/>
              <w:ind w:left="60" w:right="60"/>
              <w:jc w:val="right"/>
            </w:pPr>
            <w:r w:rsidRPr="000E62ED">
              <w:t>Maximum</w:t>
            </w:r>
          </w:p>
        </w:tc>
        <w:tc>
          <w:tcPr>
            <w:tcW w:w="1379" w:type="dxa"/>
          </w:tcPr>
          <w:p w:rsidR="00530ED5" w:rsidRPr="000E62ED" w:rsidRDefault="00530ED5" w:rsidP="00530ED5">
            <w:pPr>
              <w:autoSpaceDE w:val="0"/>
              <w:autoSpaceDN w:val="0"/>
              <w:adjustRightInd w:val="0"/>
              <w:spacing w:before="0" w:after="0" w:line="320" w:lineRule="atLeast"/>
              <w:ind w:left="60" w:right="60"/>
              <w:jc w:val="right"/>
            </w:pPr>
            <w:r w:rsidRPr="000E62ED">
              <w:t>Mean</w:t>
            </w:r>
          </w:p>
        </w:tc>
        <w:tc>
          <w:tcPr>
            <w:tcW w:w="1418" w:type="dxa"/>
          </w:tcPr>
          <w:p w:rsidR="00530ED5" w:rsidRPr="000E62ED" w:rsidRDefault="00530ED5" w:rsidP="00530ED5">
            <w:pPr>
              <w:autoSpaceDE w:val="0"/>
              <w:autoSpaceDN w:val="0"/>
              <w:adjustRightInd w:val="0"/>
              <w:spacing w:before="0" w:after="0" w:line="320" w:lineRule="atLeast"/>
              <w:ind w:left="60" w:right="60"/>
              <w:jc w:val="right"/>
            </w:pPr>
            <w:r w:rsidRPr="000E62ED">
              <w:t>Standard Deviation</w:t>
            </w:r>
          </w:p>
        </w:tc>
      </w:tr>
      <w:tr w:rsidR="00530ED5" w:rsidTr="00530ED5">
        <w:tc>
          <w:tcPr>
            <w:tcW w:w="2518" w:type="dxa"/>
            <w:vAlign w:val="center"/>
          </w:tcPr>
          <w:p w:rsidR="00530ED5" w:rsidRPr="00B6629B" w:rsidRDefault="00530ED5" w:rsidP="00530ED5">
            <w:pPr>
              <w:autoSpaceDE w:val="0"/>
              <w:autoSpaceDN w:val="0"/>
              <w:adjustRightInd w:val="0"/>
              <w:spacing w:before="0" w:after="0" w:line="320" w:lineRule="atLeast"/>
              <w:ind w:left="60" w:right="60"/>
              <w:jc w:val="left"/>
            </w:pPr>
            <w:r w:rsidRPr="000E62ED">
              <w:t>Macroeconomic factors</w:t>
            </w:r>
          </w:p>
        </w:tc>
        <w:tc>
          <w:tcPr>
            <w:tcW w:w="801" w:type="dxa"/>
          </w:tcPr>
          <w:p w:rsidR="00530ED5" w:rsidRPr="000E62ED" w:rsidRDefault="00530ED5" w:rsidP="00530ED5">
            <w:pPr>
              <w:autoSpaceDE w:val="0"/>
              <w:autoSpaceDN w:val="0"/>
              <w:adjustRightInd w:val="0"/>
              <w:spacing w:before="0" w:after="0" w:line="320" w:lineRule="atLeast"/>
              <w:ind w:left="60" w:right="60"/>
              <w:jc w:val="right"/>
            </w:pPr>
            <w:r w:rsidRPr="000E62ED">
              <w:t>109</w:t>
            </w:r>
          </w:p>
        </w:tc>
        <w:tc>
          <w:tcPr>
            <w:tcW w:w="1410" w:type="dxa"/>
          </w:tcPr>
          <w:p w:rsidR="00530ED5" w:rsidRPr="00B6629B" w:rsidRDefault="00530ED5" w:rsidP="00530ED5">
            <w:pPr>
              <w:autoSpaceDE w:val="0"/>
              <w:autoSpaceDN w:val="0"/>
              <w:adjustRightInd w:val="0"/>
              <w:spacing w:before="0" w:after="0" w:line="320" w:lineRule="atLeast"/>
              <w:ind w:left="60" w:right="60"/>
              <w:jc w:val="right"/>
            </w:pPr>
            <w:r w:rsidRPr="00B6629B">
              <w:t>1.67</w:t>
            </w:r>
          </w:p>
        </w:tc>
        <w:tc>
          <w:tcPr>
            <w:tcW w:w="1428" w:type="dxa"/>
          </w:tcPr>
          <w:p w:rsidR="00530ED5" w:rsidRPr="005D1077" w:rsidRDefault="00530ED5" w:rsidP="00530ED5">
            <w:pPr>
              <w:autoSpaceDE w:val="0"/>
              <w:autoSpaceDN w:val="0"/>
              <w:adjustRightInd w:val="0"/>
              <w:spacing w:before="0" w:after="0" w:line="320" w:lineRule="atLeast"/>
              <w:ind w:left="60" w:right="60"/>
              <w:jc w:val="right"/>
            </w:pPr>
            <w:r w:rsidRPr="005D1077">
              <w:t>5.00</w:t>
            </w:r>
          </w:p>
        </w:tc>
        <w:tc>
          <w:tcPr>
            <w:tcW w:w="1379" w:type="dxa"/>
          </w:tcPr>
          <w:p w:rsidR="00530ED5" w:rsidRPr="005D1077" w:rsidRDefault="00530ED5" w:rsidP="00530ED5">
            <w:pPr>
              <w:autoSpaceDE w:val="0"/>
              <w:autoSpaceDN w:val="0"/>
              <w:adjustRightInd w:val="0"/>
              <w:spacing w:before="0" w:after="0" w:line="320" w:lineRule="atLeast"/>
              <w:ind w:left="60" w:right="60"/>
              <w:jc w:val="right"/>
            </w:pPr>
            <w:r w:rsidRPr="005D1077">
              <w:t>3.7378</w:t>
            </w:r>
          </w:p>
        </w:tc>
        <w:tc>
          <w:tcPr>
            <w:tcW w:w="1418" w:type="dxa"/>
          </w:tcPr>
          <w:p w:rsidR="00530ED5" w:rsidRPr="000E62ED" w:rsidRDefault="00530ED5" w:rsidP="00530ED5">
            <w:pPr>
              <w:autoSpaceDE w:val="0"/>
              <w:autoSpaceDN w:val="0"/>
              <w:adjustRightInd w:val="0"/>
              <w:spacing w:before="0" w:after="0" w:line="320" w:lineRule="atLeast"/>
              <w:ind w:left="60" w:right="60"/>
              <w:jc w:val="right"/>
            </w:pPr>
            <w:r w:rsidRPr="000E62ED">
              <w:t>.67832</w:t>
            </w:r>
          </w:p>
        </w:tc>
      </w:tr>
    </w:tbl>
    <w:p w:rsidR="00296618" w:rsidRPr="000C1ACF" w:rsidRDefault="00296618" w:rsidP="00296618"/>
    <w:p w:rsidR="00296618" w:rsidRDefault="00296618" w:rsidP="00296618">
      <w:r w:rsidRPr="00A6288C">
        <w:rPr>
          <w:b/>
        </w:rPr>
        <w:t>Factor 2:</w:t>
      </w:r>
      <w:r>
        <w:t xml:space="preserve"> This factor has a higher loading of external elements relating to drivers of corporate rebranding. These elements include:</w:t>
      </w:r>
    </w:p>
    <w:p w:rsidR="00296618" w:rsidRPr="00EA329E" w:rsidRDefault="00296618" w:rsidP="00296618">
      <w:pPr>
        <w:pStyle w:val="ListParagraph"/>
        <w:numPr>
          <w:ilvl w:val="0"/>
          <w:numId w:val="15"/>
        </w:numPr>
      </w:pPr>
      <w:r w:rsidRPr="00EA329E">
        <w:t>Corporate structural change</w:t>
      </w:r>
      <w:r>
        <w:t>s</w:t>
      </w:r>
    </w:p>
    <w:p w:rsidR="00296618" w:rsidRPr="00EA329E" w:rsidRDefault="00296618" w:rsidP="00296618">
      <w:pPr>
        <w:pStyle w:val="ListParagraph"/>
        <w:numPr>
          <w:ilvl w:val="0"/>
          <w:numId w:val="15"/>
        </w:numPr>
      </w:pPr>
      <w:r w:rsidRPr="00EA329E">
        <w:t>Change</w:t>
      </w:r>
      <w:r>
        <w:t>s</w:t>
      </w:r>
      <w:r w:rsidRPr="00EA329E">
        <w:t xml:space="preserve"> in corporate strategy including new focus or vision</w:t>
      </w:r>
    </w:p>
    <w:p w:rsidR="00296618" w:rsidRDefault="00296618" w:rsidP="00296618">
      <w:pPr>
        <w:pStyle w:val="ListParagraph"/>
        <w:numPr>
          <w:ilvl w:val="0"/>
          <w:numId w:val="15"/>
        </w:numPr>
      </w:pPr>
      <w:r w:rsidRPr="00EA329E">
        <w:t>Change</w:t>
      </w:r>
      <w:r>
        <w:t>s</w:t>
      </w:r>
      <w:r w:rsidRPr="00EA329E">
        <w:t xml:space="preserve"> in ownership structure including mergers and acquisitions; and divestitures</w:t>
      </w:r>
      <w:r>
        <w:t>.</w:t>
      </w:r>
    </w:p>
    <w:p w:rsidR="00296618" w:rsidRDefault="00296618" w:rsidP="00296618">
      <w:pPr>
        <w:rPr>
          <w:b/>
          <w:color w:val="000000" w:themeColor="text1"/>
        </w:rPr>
      </w:pPr>
      <w:r>
        <w:rPr>
          <w:color w:val="000000" w:themeColor="text1"/>
        </w:rPr>
        <w:t xml:space="preserve">This factor is labelled </w:t>
      </w:r>
      <w:r>
        <w:rPr>
          <w:b/>
          <w:color w:val="000000" w:themeColor="text1"/>
        </w:rPr>
        <w:t>‘</w:t>
      </w:r>
      <w:r w:rsidRPr="00A6288C">
        <w:rPr>
          <w:b/>
          <w:color w:val="000000" w:themeColor="text1"/>
        </w:rPr>
        <w:t>corporate</w:t>
      </w:r>
      <w:r>
        <w:rPr>
          <w:b/>
          <w:color w:val="000000" w:themeColor="text1"/>
        </w:rPr>
        <w:t xml:space="preserve"> structure and</w:t>
      </w:r>
      <w:r w:rsidRPr="00A6288C">
        <w:rPr>
          <w:b/>
          <w:color w:val="000000" w:themeColor="text1"/>
        </w:rPr>
        <w:t xml:space="preserve"> strategy</w:t>
      </w:r>
      <w:r>
        <w:rPr>
          <w:b/>
          <w:color w:val="000000" w:themeColor="text1"/>
        </w:rPr>
        <w:t>’</w:t>
      </w:r>
      <w:r w:rsidRPr="00A6288C">
        <w:rPr>
          <w:b/>
          <w:color w:val="000000" w:themeColor="text1"/>
        </w:rPr>
        <w:t>.</w:t>
      </w:r>
    </w:p>
    <w:p w:rsidR="00296618" w:rsidRDefault="00296618" w:rsidP="00296618">
      <w:pPr>
        <w:pStyle w:val="Caption"/>
        <w:rPr>
          <w:sz w:val="24"/>
        </w:rPr>
      </w:pPr>
      <w:bookmarkStart w:id="94" w:name="_Toc380684355"/>
      <w:r w:rsidRPr="008666C1">
        <w:rPr>
          <w:sz w:val="24"/>
        </w:rPr>
        <w:t xml:space="preserve">Table </w:t>
      </w:r>
      <w:r w:rsidRPr="008666C1">
        <w:rPr>
          <w:sz w:val="24"/>
        </w:rPr>
        <w:fldChar w:fldCharType="begin"/>
      </w:r>
      <w:r w:rsidRPr="008666C1">
        <w:rPr>
          <w:sz w:val="24"/>
        </w:rPr>
        <w:instrText xml:space="preserve"> SEQ Table \* ARABIC </w:instrText>
      </w:r>
      <w:r w:rsidRPr="008666C1">
        <w:rPr>
          <w:sz w:val="24"/>
        </w:rPr>
        <w:fldChar w:fldCharType="separate"/>
      </w:r>
      <w:r w:rsidR="00D61AFB">
        <w:rPr>
          <w:noProof/>
          <w:sz w:val="24"/>
        </w:rPr>
        <w:t>9</w:t>
      </w:r>
      <w:r w:rsidRPr="008666C1">
        <w:rPr>
          <w:sz w:val="24"/>
        </w:rPr>
        <w:fldChar w:fldCharType="end"/>
      </w:r>
      <w:r w:rsidRPr="008666C1">
        <w:rPr>
          <w:sz w:val="24"/>
        </w:rPr>
        <w:t xml:space="preserve">: Descriptive Statistics – Corporate </w:t>
      </w:r>
      <w:r>
        <w:rPr>
          <w:sz w:val="24"/>
        </w:rPr>
        <w:t xml:space="preserve">structure and </w:t>
      </w:r>
      <w:r w:rsidRPr="008666C1">
        <w:rPr>
          <w:sz w:val="24"/>
        </w:rPr>
        <w:t>strategy</w:t>
      </w:r>
      <w:bookmarkEnd w:id="94"/>
    </w:p>
    <w:tbl>
      <w:tblPr>
        <w:tblStyle w:val="TableGrid"/>
        <w:tblW w:w="0" w:type="auto"/>
        <w:tblLook w:val="04A0" w:firstRow="1" w:lastRow="0" w:firstColumn="1" w:lastColumn="0" w:noHBand="0" w:noVBand="1"/>
      </w:tblPr>
      <w:tblGrid>
        <w:gridCol w:w="2518"/>
        <w:gridCol w:w="801"/>
        <w:gridCol w:w="1410"/>
        <w:gridCol w:w="1428"/>
        <w:gridCol w:w="1379"/>
        <w:gridCol w:w="1418"/>
      </w:tblGrid>
      <w:tr w:rsidR="00530ED5" w:rsidRPr="000E62ED" w:rsidTr="00530ED5">
        <w:tc>
          <w:tcPr>
            <w:tcW w:w="2518" w:type="dxa"/>
          </w:tcPr>
          <w:p w:rsidR="00530ED5" w:rsidRPr="000E62ED" w:rsidRDefault="00530ED5" w:rsidP="00530ED5"/>
        </w:tc>
        <w:tc>
          <w:tcPr>
            <w:tcW w:w="801" w:type="dxa"/>
          </w:tcPr>
          <w:p w:rsidR="00530ED5" w:rsidRPr="000E62ED" w:rsidRDefault="00530ED5" w:rsidP="00530ED5">
            <w:pPr>
              <w:autoSpaceDE w:val="0"/>
              <w:autoSpaceDN w:val="0"/>
              <w:adjustRightInd w:val="0"/>
              <w:spacing w:before="0" w:after="0" w:line="320" w:lineRule="atLeast"/>
              <w:ind w:left="60" w:right="60"/>
              <w:jc w:val="right"/>
            </w:pPr>
            <w:r w:rsidRPr="000E62ED">
              <w:t>N</w:t>
            </w:r>
          </w:p>
        </w:tc>
        <w:tc>
          <w:tcPr>
            <w:tcW w:w="1410" w:type="dxa"/>
          </w:tcPr>
          <w:p w:rsidR="00530ED5" w:rsidRPr="000E62ED" w:rsidRDefault="00530ED5" w:rsidP="00530ED5">
            <w:pPr>
              <w:autoSpaceDE w:val="0"/>
              <w:autoSpaceDN w:val="0"/>
              <w:adjustRightInd w:val="0"/>
              <w:spacing w:before="0" w:after="0" w:line="320" w:lineRule="atLeast"/>
              <w:ind w:left="60" w:right="60"/>
              <w:jc w:val="right"/>
            </w:pPr>
            <w:r w:rsidRPr="000E62ED">
              <w:t>Minimum</w:t>
            </w:r>
          </w:p>
        </w:tc>
        <w:tc>
          <w:tcPr>
            <w:tcW w:w="1428" w:type="dxa"/>
          </w:tcPr>
          <w:p w:rsidR="00530ED5" w:rsidRPr="000E62ED" w:rsidRDefault="00530ED5" w:rsidP="00530ED5">
            <w:pPr>
              <w:autoSpaceDE w:val="0"/>
              <w:autoSpaceDN w:val="0"/>
              <w:adjustRightInd w:val="0"/>
              <w:spacing w:before="0" w:after="0" w:line="320" w:lineRule="atLeast"/>
              <w:ind w:left="60" w:right="60"/>
              <w:jc w:val="right"/>
            </w:pPr>
            <w:r w:rsidRPr="000E62ED">
              <w:t>Maximum</w:t>
            </w:r>
          </w:p>
        </w:tc>
        <w:tc>
          <w:tcPr>
            <w:tcW w:w="1379" w:type="dxa"/>
          </w:tcPr>
          <w:p w:rsidR="00530ED5" w:rsidRPr="000E62ED" w:rsidRDefault="00530ED5" w:rsidP="00530ED5">
            <w:pPr>
              <w:autoSpaceDE w:val="0"/>
              <w:autoSpaceDN w:val="0"/>
              <w:adjustRightInd w:val="0"/>
              <w:spacing w:before="0" w:after="0" w:line="320" w:lineRule="atLeast"/>
              <w:ind w:left="60" w:right="60"/>
              <w:jc w:val="right"/>
            </w:pPr>
            <w:r w:rsidRPr="000E62ED">
              <w:t>Mean</w:t>
            </w:r>
          </w:p>
        </w:tc>
        <w:tc>
          <w:tcPr>
            <w:tcW w:w="1418" w:type="dxa"/>
          </w:tcPr>
          <w:p w:rsidR="00530ED5" w:rsidRPr="005D1077" w:rsidRDefault="00530ED5" w:rsidP="00530ED5">
            <w:pPr>
              <w:autoSpaceDE w:val="0"/>
              <w:autoSpaceDN w:val="0"/>
              <w:adjustRightInd w:val="0"/>
              <w:spacing w:before="0" w:after="0" w:line="320" w:lineRule="atLeast"/>
              <w:ind w:left="60" w:right="60"/>
              <w:jc w:val="right"/>
            </w:pPr>
            <w:r w:rsidRPr="000E62ED">
              <w:t>St</w:t>
            </w:r>
            <w:r w:rsidRPr="00272493">
              <w:t>andar</w:t>
            </w:r>
            <w:r w:rsidRPr="000E62ED">
              <w:t>d</w:t>
            </w:r>
            <w:r w:rsidRPr="00B6629B">
              <w:t xml:space="preserve"> Deviation</w:t>
            </w:r>
          </w:p>
        </w:tc>
      </w:tr>
      <w:tr w:rsidR="00530ED5" w:rsidRPr="000E62ED" w:rsidTr="00530ED5">
        <w:tc>
          <w:tcPr>
            <w:tcW w:w="2518" w:type="dxa"/>
            <w:vAlign w:val="center"/>
          </w:tcPr>
          <w:p w:rsidR="00530ED5" w:rsidRPr="000E62ED" w:rsidRDefault="00530ED5" w:rsidP="00530ED5">
            <w:pPr>
              <w:autoSpaceDE w:val="0"/>
              <w:autoSpaceDN w:val="0"/>
              <w:adjustRightInd w:val="0"/>
              <w:spacing w:before="0" w:after="0" w:line="320" w:lineRule="atLeast"/>
              <w:ind w:left="60" w:right="60"/>
              <w:jc w:val="left"/>
            </w:pPr>
            <w:r w:rsidRPr="000E62ED">
              <w:t>Co</w:t>
            </w:r>
            <w:r>
              <w:t>r</w:t>
            </w:r>
            <w:r w:rsidRPr="000E62ED">
              <w:t xml:space="preserve">porate </w:t>
            </w:r>
            <w:r>
              <w:t xml:space="preserve">structure  and </w:t>
            </w:r>
            <w:r w:rsidRPr="000E62ED">
              <w:t>strategy</w:t>
            </w:r>
          </w:p>
        </w:tc>
        <w:tc>
          <w:tcPr>
            <w:tcW w:w="801" w:type="dxa"/>
          </w:tcPr>
          <w:p w:rsidR="00530ED5" w:rsidRPr="000E62ED" w:rsidRDefault="00530ED5" w:rsidP="00530ED5">
            <w:pPr>
              <w:autoSpaceDE w:val="0"/>
              <w:autoSpaceDN w:val="0"/>
              <w:adjustRightInd w:val="0"/>
              <w:spacing w:before="0" w:after="0" w:line="320" w:lineRule="atLeast"/>
              <w:ind w:left="60" w:right="60"/>
              <w:jc w:val="right"/>
            </w:pPr>
            <w:r w:rsidRPr="000E62ED">
              <w:t>109</w:t>
            </w:r>
          </w:p>
        </w:tc>
        <w:tc>
          <w:tcPr>
            <w:tcW w:w="1410" w:type="dxa"/>
          </w:tcPr>
          <w:p w:rsidR="00530ED5" w:rsidRPr="000E62ED" w:rsidRDefault="00530ED5" w:rsidP="00530ED5">
            <w:pPr>
              <w:autoSpaceDE w:val="0"/>
              <w:autoSpaceDN w:val="0"/>
              <w:adjustRightInd w:val="0"/>
              <w:spacing w:before="0" w:after="0" w:line="320" w:lineRule="atLeast"/>
              <w:ind w:left="60" w:right="60"/>
              <w:jc w:val="right"/>
            </w:pPr>
            <w:r w:rsidRPr="000E62ED">
              <w:t>1.00</w:t>
            </w:r>
          </w:p>
        </w:tc>
        <w:tc>
          <w:tcPr>
            <w:tcW w:w="1428" w:type="dxa"/>
          </w:tcPr>
          <w:p w:rsidR="00530ED5" w:rsidRPr="000E62ED" w:rsidRDefault="00530ED5" w:rsidP="00530ED5">
            <w:pPr>
              <w:autoSpaceDE w:val="0"/>
              <w:autoSpaceDN w:val="0"/>
              <w:adjustRightInd w:val="0"/>
              <w:spacing w:before="0" w:after="0" w:line="320" w:lineRule="atLeast"/>
              <w:ind w:left="60" w:right="60"/>
              <w:jc w:val="right"/>
            </w:pPr>
            <w:r w:rsidRPr="000E62ED">
              <w:t>5.00</w:t>
            </w:r>
          </w:p>
        </w:tc>
        <w:tc>
          <w:tcPr>
            <w:tcW w:w="1379" w:type="dxa"/>
          </w:tcPr>
          <w:p w:rsidR="00530ED5" w:rsidRPr="000E62ED" w:rsidRDefault="00530ED5" w:rsidP="00530ED5">
            <w:pPr>
              <w:autoSpaceDE w:val="0"/>
              <w:autoSpaceDN w:val="0"/>
              <w:adjustRightInd w:val="0"/>
              <w:spacing w:before="0" w:after="0" w:line="320" w:lineRule="atLeast"/>
              <w:ind w:left="60" w:right="60"/>
              <w:jc w:val="right"/>
            </w:pPr>
            <w:r w:rsidRPr="000E62ED">
              <w:t>3.9174</w:t>
            </w:r>
          </w:p>
        </w:tc>
        <w:tc>
          <w:tcPr>
            <w:tcW w:w="1418" w:type="dxa"/>
          </w:tcPr>
          <w:p w:rsidR="00530ED5" w:rsidRPr="000E62ED" w:rsidRDefault="00530ED5" w:rsidP="00530ED5">
            <w:pPr>
              <w:autoSpaceDE w:val="0"/>
              <w:autoSpaceDN w:val="0"/>
              <w:adjustRightInd w:val="0"/>
              <w:spacing w:before="0" w:after="0" w:line="320" w:lineRule="atLeast"/>
              <w:ind w:left="60" w:right="60"/>
              <w:jc w:val="right"/>
            </w:pPr>
            <w:r w:rsidRPr="000E62ED">
              <w:t>.64335</w:t>
            </w:r>
          </w:p>
        </w:tc>
      </w:tr>
    </w:tbl>
    <w:p w:rsidR="00296618" w:rsidRPr="000C1ACF" w:rsidRDefault="00296618" w:rsidP="00296618"/>
    <w:p w:rsidR="00296618" w:rsidRDefault="00296618" w:rsidP="00296618">
      <w:pPr>
        <w:pStyle w:val="Heading2"/>
        <w:numPr>
          <w:ilvl w:val="1"/>
          <w:numId w:val="19"/>
        </w:numPr>
      </w:pPr>
      <w:bookmarkStart w:id="95" w:name="_Toc380687102"/>
      <w:r>
        <w:t>Results pertaining to Research Proposition 2</w:t>
      </w:r>
      <w:bookmarkEnd w:id="95"/>
      <w:r>
        <w:t xml:space="preserve"> </w:t>
      </w:r>
    </w:p>
    <w:p w:rsidR="00296618" w:rsidRPr="001F453B" w:rsidRDefault="00296618" w:rsidP="00296618">
      <w:pPr>
        <w:pStyle w:val="ListParagraph"/>
        <w:ind w:left="0"/>
      </w:pPr>
      <w:r w:rsidRPr="001F453B">
        <w:t>Corporate rebranding has a direct influence on brand equity for South African telecommunications companies.</w:t>
      </w:r>
    </w:p>
    <w:p w:rsidR="00296618" w:rsidRDefault="00296618" w:rsidP="00296618">
      <w:pPr>
        <w:pStyle w:val="Heading3"/>
        <w:numPr>
          <w:ilvl w:val="2"/>
          <w:numId w:val="19"/>
        </w:numPr>
      </w:pPr>
      <w:bookmarkStart w:id="96" w:name="_Toc380687103"/>
      <w:r>
        <w:t>Overview</w:t>
      </w:r>
      <w:bookmarkEnd w:id="96"/>
    </w:p>
    <w:p w:rsidR="00296618" w:rsidRPr="0076129C" w:rsidRDefault="00296618" w:rsidP="00296618">
      <w:pPr>
        <w:pStyle w:val="Heading2"/>
        <w:numPr>
          <w:ilvl w:val="0"/>
          <w:numId w:val="0"/>
        </w:numPr>
        <w:jc w:val="both"/>
        <w:rPr>
          <w:rFonts w:ascii="Arial" w:hAnsi="Arial" w:cs="Arial"/>
          <w:b w:val="0"/>
          <w:sz w:val="24"/>
          <w:szCs w:val="24"/>
        </w:rPr>
      </w:pPr>
      <w:bookmarkStart w:id="97" w:name="_Toc380504853"/>
      <w:bookmarkStart w:id="98" w:name="_Toc380687104"/>
      <w:r>
        <w:rPr>
          <w:rFonts w:ascii="Arial" w:hAnsi="Arial" w:cs="Arial"/>
          <w:b w:val="0"/>
          <w:sz w:val="24"/>
          <w:szCs w:val="24"/>
        </w:rPr>
        <w:t>To determine the impact of corporate rebranding on brand equity between the old and new branding, two separate factor</w:t>
      </w:r>
      <w:r w:rsidR="00BC6169">
        <w:rPr>
          <w:rFonts w:ascii="Arial" w:hAnsi="Arial" w:cs="Arial"/>
          <w:b w:val="0"/>
          <w:sz w:val="24"/>
          <w:szCs w:val="24"/>
        </w:rPr>
        <w:t xml:space="preserve"> </w:t>
      </w:r>
      <w:r>
        <w:rPr>
          <w:rFonts w:ascii="Arial" w:hAnsi="Arial" w:cs="Arial"/>
          <w:b w:val="0"/>
          <w:sz w:val="24"/>
          <w:szCs w:val="24"/>
        </w:rPr>
        <w:t>a</w:t>
      </w:r>
      <w:r w:rsidRPr="00CE4E28">
        <w:rPr>
          <w:rFonts w:ascii="Arial" w:hAnsi="Arial" w:cs="Arial"/>
          <w:b w:val="0"/>
          <w:sz w:val="24"/>
          <w:szCs w:val="24"/>
        </w:rPr>
        <w:t>nalys</w:t>
      </w:r>
      <w:r w:rsidR="00BC6169">
        <w:rPr>
          <w:rFonts w:ascii="Arial" w:hAnsi="Arial" w:cs="Arial"/>
          <w:b w:val="0"/>
          <w:sz w:val="24"/>
          <w:szCs w:val="24"/>
        </w:rPr>
        <w:t>es</w:t>
      </w:r>
      <w:r w:rsidRPr="00CE4E28">
        <w:rPr>
          <w:rFonts w:ascii="Arial" w:hAnsi="Arial" w:cs="Arial"/>
          <w:b w:val="0"/>
          <w:sz w:val="24"/>
          <w:szCs w:val="24"/>
        </w:rPr>
        <w:t xml:space="preserve"> </w:t>
      </w:r>
      <w:r>
        <w:rPr>
          <w:rFonts w:ascii="Arial" w:hAnsi="Arial" w:cs="Arial"/>
          <w:b w:val="0"/>
          <w:sz w:val="24"/>
          <w:szCs w:val="24"/>
        </w:rPr>
        <w:t xml:space="preserve">conducted for each logo, respectively. </w:t>
      </w:r>
      <w:r w:rsidRPr="0076129C">
        <w:rPr>
          <w:rFonts w:ascii="Arial" w:hAnsi="Arial" w:cs="Arial"/>
          <w:b w:val="0"/>
          <w:sz w:val="24"/>
          <w:szCs w:val="24"/>
        </w:rPr>
        <w:t xml:space="preserve">The questionnaire asked respondents to rate the </w:t>
      </w:r>
      <w:r>
        <w:rPr>
          <w:rFonts w:ascii="Arial" w:hAnsi="Arial" w:cs="Arial"/>
          <w:b w:val="0"/>
          <w:sz w:val="24"/>
          <w:szCs w:val="24"/>
        </w:rPr>
        <w:t>questions</w:t>
      </w:r>
      <w:r w:rsidRPr="0076129C">
        <w:rPr>
          <w:rFonts w:ascii="Arial" w:hAnsi="Arial" w:cs="Arial"/>
          <w:b w:val="0"/>
          <w:sz w:val="24"/>
          <w:szCs w:val="24"/>
        </w:rPr>
        <w:t xml:space="preserve"> on a five point Likert scale. A hundred and </w:t>
      </w:r>
      <w:r w:rsidR="00BC6169">
        <w:rPr>
          <w:rFonts w:ascii="Arial" w:hAnsi="Arial" w:cs="Arial"/>
          <w:b w:val="0"/>
          <w:sz w:val="24"/>
          <w:szCs w:val="24"/>
        </w:rPr>
        <w:t>nine</w:t>
      </w:r>
      <w:r w:rsidRPr="0076129C">
        <w:rPr>
          <w:rFonts w:ascii="Arial" w:hAnsi="Arial" w:cs="Arial"/>
          <w:b w:val="0"/>
          <w:sz w:val="24"/>
          <w:szCs w:val="24"/>
        </w:rPr>
        <w:t xml:space="preserve"> </w:t>
      </w:r>
      <w:r>
        <w:rPr>
          <w:rFonts w:ascii="Arial" w:hAnsi="Arial" w:cs="Arial"/>
          <w:b w:val="0"/>
          <w:sz w:val="24"/>
          <w:szCs w:val="24"/>
        </w:rPr>
        <w:t>(1</w:t>
      </w:r>
      <w:r w:rsidR="00BC6169">
        <w:rPr>
          <w:rFonts w:ascii="Arial" w:hAnsi="Arial" w:cs="Arial"/>
          <w:b w:val="0"/>
          <w:sz w:val="24"/>
          <w:szCs w:val="24"/>
        </w:rPr>
        <w:t>09</w:t>
      </w:r>
      <w:r>
        <w:rPr>
          <w:rFonts w:ascii="Arial" w:hAnsi="Arial" w:cs="Arial"/>
          <w:b w:val="0"/>
          <w:sz w:val="24"/>
          <w:szCs w:val="24"/>
        </w:rPr>
        <w:t xml:space="preserve">) </w:t>
      </w:r>
      <w:r w:rsidRPr="0076129C">
        <w:rPr>
          <w:rFonts w:ascii="Arial" w:hAnsi="Arial" w:cs="Arial"/>
          <w:b w:val="0"/>
          <w:sz w:val="24"/>
          <w:szCs w:val="24"/>
        </w:rPr>
        <w:t>completed answers were used in the analysis. The results of the exploratory factor analysis are depicted in the section below.</w:t>
      </w:r>
      <w:bookmarkEnd w:id="97"/>
      <w:bookmarkEnd w:id="98"/>
      <w:r w:rsidRPr="0076129C">
        <w:rPr>
          <w:rFonts w:ascii="Arial" w:hAnsi="Arial" w:cs="Arial"/>
          <w:b w:val="0"/>
          <w:sz w:val="24"/>
          <w:szCs w:val="24"/>
        </w:rPr>
        <w:t xml:space="preserve"> </w:t>
      </w:r>
    </w:p>
    <w:p w:rsidR="00296618" w:rsidRDefault="00296618" w:rsidP="00296618">
      <w:pPr>
        <w:pStyle w:val="Heading3"/>
        <w:numPr>
          <w:ilvl w:val="2"/>
          <w:numId w:val="19"/>
        </w:numPr>
      </w:pPr>
      <w:bookmarkStart w:id="99" w:name="_Toc380687105"/>
      <w:r>
        <w:t>Principal Component Analysis: Old Vodacom branding</w:t>
      </w:r>
      <w:bookmarkEnd w:id="99"/>
    </w:p>
    <w:p w:rsidR="00296618" w:rsidRDefault="00296618" w:rsidP="00296618">
      <w:pPr>
        <w:rPr>
          <w:color w:val="000000" w:themeColor="text1"/>
        </w:rPr>
      </w:pPr>
      <w:r w:rsidRPr="0006174D">
        <w:t xml:space="preserve">Principal component analysis was used to responses relating to the old Vodacom branding. These were questions 13 to 26. The principal components method was used to extract the components, and this was followed by a </w:t>
      </w:r>
      <w:r>
        <w:t>V</w:t>
      </w:r>
      <w:r w:rsidRPr="0006174D">
        <w:t xml:space="preserve">arimax </w:t>
      </w:r>
      <w:r>
        <w:t>R</w:t>
      </w:r>
      <w:r w:rsidRPr="0006174D">
        <w:t>otation</w:t>
      </w:r>
      <w:r w:rsidRPr="0006174D">
        <w:rPr>
          <w:color w:val="000000" w:themeColor="text1"/>
        </w:rPr>
        <w:t xml:space="preserve">. Only the first three components exhibited Eigenvalues greater than or near 1; results of a </w:t>
      </w:r>
      <w:r>
        <w:rPr>
          <w:color w:val="000000" w:themeColor="text1"/>
        </w:rPr>
        <w:t>S</w:t>
      </w:r>
      <w:r w:rsidRPr="0006174D">
        <w:rPr>
          <w:color w:val="000000" w:themeColor="text1"/>
        </w:rPr>
        <w:t>cree test also suggested that only the first three were meaningful. Therefore, only the first three components were retained for rotation</w:t>
      </w:r>
      <w:r>
        <w:rPr>
          <w:color w:val="000000" w:themeColor="text1"/>
        </w:rPr>
        <w:t xml:space="preserve"> as per the </w:t>
      </w:r>
      <w:r w:rsidR="00C87D93">
        <w:rPr>
          <w:color w:val="000000" w:themeColor="text1"/>
        </w:rPr>
        <w:t xml:space="preserve">factor analysis in Table 10 and the </w:t>
      </w:r>
      <w:r>
        <w:rPr>
          <w:color w:val="000000" w:themeColor="text1"/>
        </w:rPr>
        <w:t>Scree plot in Figure 10</w:t>
      </w:r>
      <w:r w:rsidRPr="0006174D">
        <w:rPr>
          <w:color w:val="000000" w:themeColor="text1"/>
        </w:rPr>
        <w:t xml:space="preserve">. </w:t>
      </w:r>
    </w:p>
    <w:p w:rsidR="00C87D93" w:rsidRPr="00C87D93" w:rsidRDefault="00C87D93" w:rsidP="00C87D93">
      <w:pPr>
        <w:pStyle w:val="Caption"/>
        <w:rPr>
          <w:color w:val="000000" w:themeColor="text1"/>
          <w:sz w:val="24"/>
        </w:rPr>
      </w:pPr>
      <w:bookmarkStart w:id="100" w:name="_Toc380684356"/>
      <w:r w:rsidRPr="00C87D93">
        <w:rPr>
          <w:sz w:val="24"/>
        </w:rPr>
        <w:t xml:space="preserve">Table </w:t>
      </w:r>
      <w:r w:rsidRPr="00C87D93">
        <w:rPr>
          <w:sz w:val="24"/>
        </w:rPr>
        <w:fldChar w:fldCharType="begin"/>
      </w:r>
      <w:r w:rsidRPr="00C87D93">
        <w:rPr>
          <w:sz w:val="24"/>
        </w:rPr>
        <w:instrText xml:space="preserve"> SEQ Table \* ARABIC </w:instrText>
      </w:r>
      <w:r w:rsidRPr="00C87D93">
        <w:rPr>
          <w:sz w:val="24"/>
        </w:rPr>
        <w:fldChar w:fldCharType="separate"/>
      </w:r>
      <w:r w:rsidR="00D61AFB">
        <w:rPr>
          <w:noProof/>
          <w:sz w:val="24"/>
        </w:rPr>
        <w:t>10</w:t>
      </w:r>
      <w:r w:rsidRPr="00C87D93">
        <w:rPr>
          <w:sz w:val="24"/>
        </w:rPr>
        <w:fldChar w:fldCharType="end"/>
      </w:r>
      <w:r w:rsidRPr="00C87D93">
        <w:rPr>
          <w:sz w:val="24"/>
        </w:rPr>
        <w:t xml:space="preserve">: </w:t>
      </w:r>
      <w:r w:rsidR="008B30CF">
        <w:rPr>
          <w:sz w:val="24"/>
        </w:rPr>
        <w:t>Factor analysis results after Varimax R</w:t>
      </w:r>
      <w:r w:rsidRPr="00C87D93">
        <w:rPr>
          <w:sz w:val="24"/>
        </w:rPr>
        <w:t>otation</w:t>
      </w:r>
      <w:bookmarkEnd w:id="100"/>
    </w:p>
    <w:tbl>
      <w:tblPr>
        <w:tblStyle w:val="TableGrid"/>
        <w:tblW w:w="0" w:type="auto"/>
        <w:jc w:val="center"/>
        <w:tblInd w:w="-700" w:type="dxa"/>
        <w:tblLook w:val="04A0" w:firstRow="1" w:lastRow="0" w:firstColumn="1" w:lastColumn="0" w:noHBand="0" w:noVBand="1"/>
      </w:tblPr>
      <w:tblGrid>
        <w:gridCol w:w="1351"/>
        <w:gridCol w:w="1985"/>
        <w:gridCol w:w="2693"/>
        <w:gridCol w:w="2009"/>
      </w:tblGrid>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left"/>
            </w:pPr>
            <w:r w:rsidRPr="00C87D93">
              <w:t>Factor</w:t>
            </w:r>
          </w:p>
        </w:tc>
        <w:tc>
          <w:tcPr>
            <w:tcW w:w="1985" w:type="dxa"/>
          </w:tcPr>
          <w:p w:rsidR="00C87D93" w:rsidRPr="00C87D93" w:rsidRDefault="00C87D93" w:rsidP="00C87D93">
            <w:pPr>
              <w:widowControl w:val="0"/>
              <w:autoSpaceDE w:val="0"/>
              <w:autoSpaceDN w:val="0"/>
              <w:adjustRightInd w:val="0"/>
              <w:spacing w:after="0" w:line="240" w:lineRule="auto"/>
              <w:jc w:val="left"/>
            </w:pPr>
            <w:r w:rsidRPr="00C87D93">
              <w:t>Eigenvalue</w:t>
            </w:r>
          </w:p>
        </w:tc>
        <w:tc>
          <w:tcPr>
            <w:tcW w:w="2693" w:type="dxa"/>
          </w:tcPr>
          <w:p w:rsidR="00C87D93" w:rsidRDefault="00C87D93" w:rsidP="00C87D93">
            <w:pPr>
              <w:spacing w:line="240" w:lineRule="auto"/>
              <w:jc w:val="left"/>
            </w:pPr>
            <w:r>
              <w:t>% variance explained</w:t>
            </w:r>
          </w:p>
        </w:tc>
        <w:tc>
          <w:tcPr>
            <w:tcW w:w="2009" w:type="dxa"/>
          </w:tcPr>
          <w:p w:rsidR="00C87D93" w:rsidRDefault="00C87D93" w:rsidP="00C87D93">
            <w:pPr>
              <w:spacing w:line="240" w:lineRule="auto"/>
              <w:jc w:val="left"/>
            </w:pPr>
            <w:r>
              <w:t>Cumulative % variance explained</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lastRenderedPageBreak/>
              <w:t xml:space="preserve">  1</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6.6242</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47.316</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47.316</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2</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1.7046</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12.175</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59.491</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3</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1.1832</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8.452</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67.943</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4</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0.9487</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6.776</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74.719</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5</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0.5773</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4.124</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78.843</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6</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0.5119</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3.657</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82.500</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7</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0.4597</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3.284</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85.784</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8</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0.4363</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3.117</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88.900</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9</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0.3509</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2.506</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91.407</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10</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0.3130</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2.235</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93.642</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11</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0.2697</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1.927</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95.569</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12</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0.2448</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1.749</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97.317</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13</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0.2054</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1.467</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98.784</w:t>
            </w:r>
          </w:p>
        </w:tc>
      </w:tr>
      <w:tr w:rsidR="00C87D93" w:rsidTr="00C87D93">
        <w:trPr>
          <w:jc w:val="center"/>
        </w:trPr>
        <w:tc>
          <w:tcPr>
            <w:tcW w:w="1351" w:type="dxa"/>
          </w:tcPr>
          <w:p w:rsidR="00C87D93" w:rsidRPr="00C87D93" w:rsidRDefault="00C87D93" w:rsidP="00C87D93">
            <w:pPr>
              <w:widowControl w:val="0"/>
              <w:autoSpaceDE w:val="0"/>
              <w:autoSpaceDN w:val="0"/>
              <w:adjustRightInd w:val="0"/>
              <w:spacing w:after="0" w:line="240" w:lineRule="auto"/>
              <w:jc w:val="right"/>
            </w:pPr>
            <w:r w:rsidRPr="00C87D93">
              <w:t xml:space="preserve"> 14</w:t>
            </w:r>
          </w:p>
        </w:tc>
        <w:tc>
          <w:tcPr>
            <w:tcW w:w="1985" w:type="dxa"/>
          </w:tcPr>
          <w:p w:rsidR="00C87D93" w:rsidRPr="00C87D93" w:rsidRDefault="00C87D93" w:rsidP="00C87D93">
            <w:pPr>
              <w:widowControl w:val="0"/>
              <w:autoSpaceDE w:val="0"/>
              <w:autoSpaceDN w:val="0"/>
              <w:adjustRightInd w:val="0"/>
              <w:spacing w:after="0" w:line="240" w:lineRule="auto"/>
              <w:jc w:val="right"/>
            </w:pPr>
            <w:r w:rsidRPr="00C87D93">
              <w:t>0.1702</w:t>
            </w:r>
          </w:p>
        </w:tc>
        <w:tc>
          <w:tcPr>
            <w:tcW w:w="2693" w:type="dxa"/>
          </w:tcPr>
          <w:p w:rsidR="00C87D93" w:rsidRPr="00C87D93" w:rsidRDefault="00C87D93" w:rsidP="00C87D93">
            <w:pPr>
              <w:widowControl w:val="0"/>
              <w:autoSpaceDE w:val="0"/>
              <w:autoSpaceDN w:val="0"/>
              <w:adjustRightInd w:val="0"/>
              <w:spacing w:after="0" w:line="240" w:lineRule="auto"/>
              <w:jc w:val="right"/>
            </w:pPr>
            <w:r w:rsidRPr="00C87D93">
              <w:t>1.216</w:t>
            </w:r>
          </w:p>
        </w:tc>
        <w:tc>
          <w:tcPr>
            <w:tcW w:w="2009" w:type="dxa"/>
          </w:tcPr>
          <w:p w:rsidR="00C87D93" w:rsidRPr="00C87D93" w:rsidRDefault="00C87D93" w:rsidP="00C87D93">
            <w:pPr>
              <w:widowControl w:val="0"/>
              <w:autoSpaceDE w:val="0"/>
              <w:autoSpaceDN w:val="0"/>
              <w:adjustRightInd w:val="0"/>
              <w:spacing w:after="0" w:line="240" w:lineRule="auto"/>
              <w:jc w:val="right"/>
            </w:pPr>
            <w:r w:rsidRPr="00C87D93">
              <w:t>100.000</w:t>
            </w:r>
          </w:p>
        </w:tc>
      </w:tr>
    </w:tbl>
    <w:p w:rsidR="00C87D93" w:rsidRDefault="00C87D93" w:rsidP="00296618">
      <w:pPr>
        <w:rPr>
          <w:color w:val="000000" w:themeColor="text1"/>
        </w:rPr>
      </w:pPr>
    </w:p>
    <w:p w:rsidR="00296618" w:rsidRDefault="00296618" w:rsidP="00296618">
      <w:pPr>
        <w:rPr>
          <w:color w:val="000000" w:themeColor="text1"/>
        </w:rPr>
      </w:pPr>
    </w:p>
    <w:p w:rsidR="00296618" w:rsidRDefault="00296618" w:rsidP="00296618">
      <w:pPr>
        <w:jc w:val="center"/>
        <w:rPr>
          <w:color w:val="000000" w:themeColor="text1"/>
        </w:rPr>
      </w:pPr>
      <w:r>
        <w:rPr>
          <w:rFonts w:ascii="Helvetica" w:hAnsi="Helvetica" w:cs="Helvetica"/>
          <w:noProof/>
          <w:color w:val="000000"/>
          <w:sz w:val="26"/>
          <w:szCs w:val="26"/>
          <w:lang w:val="en-ZA" w:eastAsia="en-ZA"/>
        </w:rPr>
        <w:lastRenderedPageBreak/>
        <w:drawing>
          <wp:inline distT="0" distB="0" distL="0" distR="0" wp14:anchorId="7C6BFE08" wp14:editId="55FD7D9A">
            <wp:extent cx="3707841" cy="3033097"/>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3726961" cy="3048738"/>
                    </a:xfrm>
                    <a:prstGeom prst="rect">
                      <a:avLst/>
                    </a:prstGeom>
                    <a:noFill/>
                    <a:ln>
                      <a:noFill/>
                    </a:ln>
                  </pic:spPr>
                </pic:pic>
              </a:graphicData>
            </a:graphic>
          </wp:inline>
        </w:drawing>
      </w:r>
    </w:p>
    <w:p w:rsidR="00296618" w:rsidRPr="00336BBE" w:rsidRDefault="00296618" w:rsidP="00296618">
      <w:pPr>
        <w:pStyle w:val="Caption"/>
        <w:rPr>
          <w:sz w:val="24"/>
        </w:rPr>
      </w:pPr>
      <w:bookmarkStart w:id="101" w:name="_Toc380684395"/>
      <w:r w:rsidRPr="00336BBE">
        <w:rPr>
          <w:sz w:val="24"/>
        </w:rPr>
        <w:t xml:space="preserve">Figure </w:t>
      </w:r>
      <w:r w:rsidRPr="00336BBE">
        <w:rPr>
          <w:sz w:val="24"/>
        </w:rPr>
        <w:fldChar w:fldCharType="begin"/>
      </w:r>
      <w:r w:rsidRPr="00336BBE">
        <w:rPr>
          <w:sz w:val="24"/>
        </w:rPr>
        <w:instrText xml:space="preserve"> SEQ Figure \* ARABIC </w:instrText>
      </w:r>
      <w:r w:rsidRPr="00336BBE">
        <w:rPr>
          <w:sz w:val="24"/>
        </w:rPr>
        <w:fldChar w:fldCharType="separate"/>
      </w:r>
      <w:r>
        <w:rPr>
          <w:noProof/>
          <w:sz w:val="24"/>
        </w:rPr>
        <w:t>10</w:t>
      </w:r>
      <w:r w:rsidRPr="00336BBE">
        <w:rPr>
          <w:sz w:val="24"/>
        </w:rPr>
        <w:fldChar w:fldCharType="end"/>
      </w:r>
      <w:r w:rsidRPr="00336BBE">
        <w:rPr>
          <w:sz w:val="24"/>
        </w:rPr>
        <w:t>: Scree plot for the old branding</w:t>
      </w:r>
      <w:bookmarkEnd w:id="101"/>
    </w:p>
    <w:p w:rsidR="00296618" w:rsidRDefault="00296618" w:rsidP="00296618">
      <w:pPr>
        <w:rPr>
          <w:color w:val="000000" w:themeColor="text1"/>
        </w:rPr>
      </w:pPr>
    </w:p>
    <w:p w:rsidR="00296618" w:rsidRDefault="00296618" w:rsidP="00296618">
      <w:r w:rsidRPr="0006174D">
        <w:rPr>
          <w:color w:val="000000" w:themeColor="text1"/>
        </w:rPr>
        <w:t xml:space="preserve">Combined, the first three components accounted for 67.94% of the total variance. Questionnaire items and corresponding factor loadings are presented in Table </w:t>
      </w:r>
      <w:r>
        <w:rPr>
          <w:color w:val="000000" w:themeColor="text1"/>
        </w:rPr>
        <w:t>9</w:t>
      </w:r>
      <w:r w:rsidRPr="0006174D">
        <w:rPr>
          <w:color w:val="000000" w:themeColor="text1"/>
        </w:rPr>
        <w:t xml:space="preserve">. In deducing the rotated factor pattern, an item was said to load on a given component if the factor loading was 0.40 or greater for that component and less than 0.40 for the other. Items 22 and 23 were found to have cross loading and were thus removed to avoid ambiguity. Using these conditions, six items were found to load on the first component, which was subsequently branded </w:t>
      </w:r>
      <w:r>
        <w:rPr>
          <w:color w:val="000000" w:themeColor="text1"/>
        </w:rPr>
        <w:t>‘</w:t>
      </w:r>
      <w:r w:rsidRPr="0006174D">
        <w:rPr>
          <w:color w:val="000000" w:themeColor="text1"/>
        </w:rPr>
        <w:t>brand awareness</w:t>
      </w:r>
      <w:r>
        <w:rPr>
          <w:color w:val="000000" w:themeColor="text1"/>
        </w:rPr>
        <w:t>’</w:t>
      </w:r>
      <w:r w:rsidRPr="0006174D">
        <w:rPr>
          <w:color w:val="000000" w:themeColor="text1"/>
        </w:rPr>
        <w:t xml:space="preserve">. Three items loaded on the second component, categorised </w:t>
      </w:r>
      <w:r>
        <w:rPr>
          <w:color w:val="000000" w:themeColor="text1"/>
        </w:rPr>
        <w:t>‘</w:t>
      </w:r>
      <w:r w:rsidRPr="0006174D">
        <w:rPr>
          <w:color w:val="000000" w:themeColor="text1"/>
        </w:rPr>
        <w:t>brand loyalty</w:t>
      </w:r>
      <w:r>
        <w:rPr>
          <w:color w:val="000000" w:themeColor="text1"/>
        </w:rPr>
        <w:t>’</w:t>
      </w:r>
      <w:r w:rsidRPr="0006174D">
        <w:rPr>
          <w:color w:val="000000" w:themeColor="text1"/>
        </w:rPr>
        <w:t xml:space="preserve"> and three items loaded on the third component</w:t>
      </w:r>
      <w:r>
        <w:rPr>
          <w:color w:val="000000" w:themeColor="text1"/>
        </w:rPr>
        <w:t>,</w:t>
      </w:r>
      <w:r w:rsidRPr="0006174D">
        <w:rPr>
          <w:color w:val="000000" w:themeColor="text1"/>
        </w:rPr>
        <w:t xml:space="preserve"> labelled </w:t>
      </w:r>
      <w:r>
        <w:rPr>
          <w:color w:val="000000" w:themeColor="text1"/>
        </w:rPr>
        <w:t>‘</w:t>
      </w:r>
      <w:r w:rsidRPr="0006174D">
        <w:rPr>
          <w:color w:val="000000" w:themeColor="text1"/>
        </w:rPr>
        <w:t>brand association</w:t>
      </w:r>
      <w:r>
        <w:rPr>
          <w:color w:val="000000" w:themeColor="text1"/>
        </w:rPr>
        <w:t>’</w:t>
      </w:r>
      <w:r w:rsidRPr="0006174D">
        <w:rPr>
          <w:color w:val="000000" w:themeColor="text1"/>
        </w:rPr>
        <w:t>.</w:t>
      </w:r>
      <w:r>
        <w:t xml:space="preserve"> </w:t>
      </w:r>
    </w:p>
    <w:p w:rsidR="00296618" w:rsidRDefault="00296618" w:rsidP="00296618">
      <w:pPr>
        <w:pStyle w:val="Caption"/>
        <w:rPr>
          <w:sz w:val="24"/>
        </w:rPr>
      </w:pPr>
    </w:p>
    <w:p w:rsidR="00296618" w:rsidRDefault="00296618" w:rsidP="00296618">
      <w:pPr>
        <w:pStyle w:val="Caption"/>
        <w:rPr>
          <w:sz w:val="24"/>
        </w:rPr>
      </w:pPr>
    </w:p>
    <w:p w:rsidR="00296618" w:rsidRDefault="00296618" w:rsidP="00296618">
      <w:pPr>
        <w:pStyle w:val="Caption"/>
        <w:rPr>
          <w:sz w:val="24"/>
        </w:rPr>
      </w:pPr>
    </w:p>
    <w:p w:rsidR="00296618" w:rsidRDefault="00296618" w:rsidP="00296618">
      <w:pPr>
        <w:pStyle w:val="Caption"/>
        <w:rPr>
          <w:sz w:val="24"/>
        </w:rPr>
      </w:pPr>
      <w:bookmarkStart w:id="102" w:name="_Toc380684357"/>
      <w:r w:rsidRPr="00336BBE">
        <w:rPr>
          <w:sz w:val="24"/>
        </w:rPr>
        <w:lastRenderedPageBreak/>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11</w:t>
      </w:r>
      <w:r w:rsidRPr="00336BBE">
        <w:rPr>
          <w:sz w:val="24"/>
        </w:rPr>
        <w:fldChar w:fldCharType="end"/>
      </w:r>
      <w:r w:rsidRPr="00336BBE">
        <w:rPr>
          <w:sz w:val="24"/>
        </w:rPr>
        <w:t>: Rotated Factor Loading for the old brand</w:t>
      </w:r>
      <w:bookmarkEnd w:id="102"/>
    </w:p>
    <w:tbl>
      <w:tblPr>
        <w:tblStyle w:val="TableGrid4"/>
        <w:tblW w:w="0" w:type="auto"/>
        <w:tblLook w:val="04A0" w:firstRow="1" w:lastRow="0" w:firstColumn="1" w:lastColumn="0" w:noHBand="0" w:noVBand="1"/>
      </w:tblPr>
      <w:tblGrid>
        <w:gridCol w:w="1712"/>
        <w:gridCol w:w="3165"/>
        <w:gridCol w:w="1365"/>
        <w:gridCol w:w="1361"/>
        <w:gridCol w:w="1351"/>
      </w:tblGrid>
      <w:tr w:rsidR="007375E2" w:rsidRPr="002A48A0" w:rsidTr="0063507B">
        <w:tc>
          <w:tcPr>
            <w:tcW w:w="8954" w:type="dxa"/>
            <w:gridSpan w:val="5"/>
            <w:shd w:val="clear" w:color="auto" w:fill="A6A6A6" w:themeFill="background1" w:themeFillShade="A6"/>
          </w:tcPr>
          <w:p w:rsidR="007375E2" w:rsidRPr="000E62ED"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E62ED">
              <w:rPr>
                <w:rFonts w:cs="Arial"/>
                <w:color w:val="000000"/>
                <w:lang w:val="en-ZA" w:eastAsia="en-ZA"/>
              </w:rPr>
              <w:t>Rotated Factor Loading</w:t>
            </w:r>
          </w:p>
        </w:tc>
      </w:tr>
      <w:tr w:rsidR="007375E2" w:rsidRPr="002A48A0" w:rsidTr="0063507B">
        <w:tc>
          <w:tcPr>
            <w:tcW w:w="4858" w:type="dxa"/>
            <w:gridSpan w:val="2"/>
            <w:shd w:val="clear" w:color="auto" w:fill="A6A6A6" w:themeFill="background1" w:themeFillShade="A6"/>
          </w:tcPr>
          <w:p w:rsidR="007375E2" w:rsidRPr="00272493" w:rsidRDefault="007375E2" w:rsidP="0063507B">
            <w:pPr>
              <w:widowControl w:val="0"/>
              <w:autoSpaceDE w:val="0"/>
              <w:autoSpaceDN w:val="0"/>
              <w:adjustRightInd w:val="0"/>
              <w:spacing w:before="0" w:after="0" w:line="240" w:lineRule="auto"/>
              <w:jc w:val="center"/>
              <w:rPr>
                <w:rFonts w:cs="Arial"/>
                <w:b/>
                <w:color w:val="000000"/>
                <w:lang w:val="en-ZA" w:eastAsia="en-ZA"/>
              </w:rPr>
            </w:pPr>
          </w:p>
        </w:tc>
        <w:tc>
          <w:tcPr>
            <w:tcW w:w="4096" w:type="dxa"/>
            <w:gridSpan w:val="3"/>
            <w:shd w:val="clear" w:color="auto" w:fill="A6A6A6" w:themeFill="background1" w:themeFillShade="A6"/>
          </w:tcPr>
          <w:p w:rsidR="007375E2" w:rsidRPr="000E62ED"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E62ED">
              <w:rPr>
                <w:rFonts w:cs="Arial"/>
                <w:color w:val="000000"/>
                <w:lang w:val="en-ZA" w:eastAsia="en-ZA"/>
              </w:rPr>
              <w:t>Factors</w:t>
            </w:r>
          </w:p>
        </w:tc>
      </w:tr>
      <w:tr w:rsidR="007375E2" w:rsidRPr="002A48A0" w:rsidTr="0063507B">
        <w:tc>
          <w:tcPr>
            <w:tcW w:w="675" w:type="dxa"/>
            <w:shd w:val="clear" w:color="auto" w:fill="A6A6A6" w:themeFill="background1" w:themeFillShade="A6"/>
          </w:tcPr>
          <w:p w:rsidR="007375E2" w:rsidRPr="00B6629B"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E62ED">
              <w:rPr>
                <w:rFonts w:cs="Arial"/>
                <w:color w:val="000000"/>
                <w:lang w:val="en-ZA" w:eastAsia="en-ZA"/>
              </w:rPr>
              <w:t>Questionnaire item</w:t>
            </w:r>
          </w:p>
        </w:tc>
        <w:tc>
          <w:tcPr>
            <w:tcW w:w="4183" w:type="dxa"/>
            <w:shd w:val="clear" w:color="auto" w:fill="A6A6A6" w:themeFill="background1" w:themeFillShade="A6"/>
          </w:tcPr>
          <w:p w:rsidR="007375E2" w:rsidRPr="005D1077" w:rsidRDefault="007375E2" w:rsidP="0063507B">
            <w:pPr>
              <w:widowControl w:val="0"/>
              <w:autoSpaceDE w:val="0"/>
              <w:autoSpaceDN w:val="0"/>
              <w:adjustRightInd w:val="0"/>
              <w:spacing w:before="0" w:after="0" w:line="240" w:lineRule="auto"/>
              <w:jc w:val="center"/>
              <w:rPr>
                <w:rFonts w:cs="Arial"/>
                <w:color w:val="000000"/>
                <w:lang w:val="en-ZA" w:eastAsia="en-ZA"/>
              </w:rPr>
            </w:pPr>
            <w:r w:rsidRPr="005D1077">
              <w:rPr>
                <w:rFonts w:cs="Arial"/>
                <w:color w:val="000000"/>
                <w:lang w:val="en-ZA" w:eastAsia="en-ZA"/>
              </w:rPr>
              <w:t>Variables</w:t>
            </w:r>
          </w:p>
        </w:tc>
        <w:tc>
          <w:tcPr>
            <w:tcW w:w="1376" w:type="dxa"/>
            <w:shd w:val="clear" w:color="auto" w:fill="A6A6A6" w:themeFill="background1" w:themeFillShade="A6"/>
          </w:tcPr>
          <w:p w:rsidR="007375E2" w:rsidRPr="000E62ED"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E62ED">
              <w:rPr>
                <w:rFonts w:cs="Arial"/>
                <w:color w:val="000000"/>
                <w:lang w:val="en-ZA" w:eastAsia="en-ZA"/>
              </w:rPr>
              <w:t>Factor 1</w:t>
            </w:r>
          </w:p>
        </w:tc>
        <w:tc>
          <w:tcPr>
            <w:tcW w:w="1369" w:type="dxa"/>
            <w:shd w:val="clear" w:color="auto" w:fill="A6A6A6" w:themeFill="background1" w:themeFillShade="A6"/>
          </w:tcPr>
          <w:p w:rsidR="007375E2" w:rsidRPr="000E62ED"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E62ED">
              <w:rPr>
                <w:rFonts w:cs="Arial"/>
                <w:color w:val="000000"/>
                <w:lang w:val="en-ZA" w:eastAsia="en-ZA"/>
              </w:rPr>
              <w:t>Factor 2</w:t>
            </w:r>
          </w:p>
        </w:tc>
        <w:tc>
          <w:tcPr>
            <w:tcW w:w="1351" w:type="dxa"/>
            <w:shd w:val="clear" w:color="auto" w:fill="A6A6A6" w:themeFill="background1" w:themeFillShade="A6"/>
          </w:tcPr>
          <w:p w:rsidR="007375E2" w:rsidRPr="00B6629B" w:rsidRDefault="007375E2" w:rsidP="0063507B">
            <w:pPr>
              <w:widowControl w:val="0"/>
              <w:autoSpaceDE w:val="0"/>
              <w:autoSpaceDN w:val="0"/>
              <w:adjustRightInd w:val="0"/>
              <w:spacing w:before="0" w:after="0" w:line="240" w:lineRule="auto"/>
              <w:jc w:val="center"/>
              <w:rPr>
                <w:rFonts w:cs="Arial"/>
                <w:color w:val="000000"/>
                <w:lang w:val="en-ZA" w:eastAsia="en-ZA"/>
              </w:rPr>
            </w:pPr>
            <w:r w:rsidRPr="00B6629B">
              <w:rPr>
                <w:rFonts w:cs="Arial"/>
                <w:color w:val="000000"/>
                <w:lang w:val="en-ZA" w:eastAsia="en-ZA"/>
              </w:rPr>
              <w:t>Factor 3</w:t>
            </w: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13</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am attracted and attached to this brand.</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0.6690306</w:t>
            </w: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14</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have a lot of affection for this brand.</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0.8392933</w:t>
            </w: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15</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love recommending this brand.</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0.6754750</w:t>
            </w: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16</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can recogni</w:t>
            </w:r>
            <w:r>
              <w:rPr>
                <w:rFonts w:cs="Arial"/>
                <w:color w:val="000000"/>
                <w:lang w:val="en-ZA" w:eastAsia="en-ZA"/>
              </w:rPr>
              <w:t>s</w:t>
            </w:r>
            <w:r w:rsidRPr="002A48A0">
              <w:rPr>
                <w:rFonts w:cs="Arial"/>
                <w:color w:val="000000"/>
                <w:lang w:val="en-ZA" w:eastAsia="en-ZA"/>
              </w:rPr>
              <w:t>e this brand quickly amongst competitors.</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0.6194077</w:t>
            </w: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17</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am familiar with this brand.</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0.7863189</w:t>
            </w: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18</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Some characteristics of this brand come to mind quickly.</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0.6731740</w:t>
            </w: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19</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know what this brand stands for.</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0.6339950</w:t>
            </w: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20</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can quickly recall this brand.</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0.7399455</w:t>
            </w: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21</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This brand is unique compared when compared with competitors.</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0.5924167</w:t>
            </w: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24</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I will not buy other brands if this brand is available.</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0.6602729</w:t>
            </w: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25</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The quality of this brand is extremely high.</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0.8051365</w:t>
            </w:r>
          </w:p>
        </w:tc>
        <w:tc>
          <w:tcPr>
            <w:tcW w:w="1351"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r>
      <w:tr w:rsidR="007375E2" w:rsidRPr="002A48A0" w:rsidTr="0063507B">
        <w:tc>
          <w:tcPr>
            <w:tcW w:w="675"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26</w:t>
            </w:r>
          </w:p>
        </w:tc>
        <w:tc>
          <w:tcPr>
            <w:tcW w:w="4183" w:type="dxa"/>
          </w:tcPr>
          <w:p w:rsidR="007375E2" w:rsidRPr="002A48A0" w:rsidRDefault="007375E2" w:rsidP="0063507B">
            <w:pPr>
              <w:widowControl w:val="0"/>
              <w:autoSpaceDE w:val="0"/>
              <w:autoSpaceDN w:val="0"/>
              <w:adjustRightInd w:val="0"/>
              <w:spacing w:before="0" w:after="0" w:line="240" w:lineRule="auto"/>
              <w:jc w:val="left"/>
              <w:rPr>
                <w:rFonts w:cs="Arial"/>
                <w:color w:val="000000"/>
                <w:lang w:val="en-ZA" w:eastAsia="en-ZA"/>
              </w:rPr>
            </w:pPr>
            <w:r w:rsidRPr="002A48A0">
              <w:rPr>
                <w:rFonts w:cs="Arial"/>
                <w:color w:val="000000"/>
                <w:lang w:val="en-ZA" w:eastAsia="en-ZA"/>
              </w:rPr>
              <w:t>This brand has good and functional products and services.</w:t>
            </w:r>
          </w:p>
        </w:tc>
        <w:tc>
          <w:tcPr>
            <w:tcW w:w="1376"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p>
        </w:tc>
        <w:tc>
          <w:tcPr>
            <w:tcW w:w="1369" w:type="dxa"/>
          </w:tcPr>
          <w:p w:rsidR="007375E2" w:rsidRPr="002A48A0" w:rsidRDefault="007375E2" w:rsidP="0063507B">
            <w:pPr>
              <w:widowControl w:val="0"/>
              <w:autoSpaceDE w:val="0"/>
              <w:autoSpaceDN w:val="0"/>
              <w:adjustRightInd w:val="0"/>
              <w:spacing w:before="0" w:after="0" w:line="240" w:lineRule="auto"/>
              <w:jc w:val="right"/>
              <w:rPr>
                <w:rFonts w:cs="Arial"/>
                <w:color w:val="000000"/>
                <w:lang w:val="en-ZA" w:eastAsia="en-ZA"/>
              </w:rPr>
            </w:pPr>
            <w:r w:rsidRPr="002A48A0">
              <w:rPr>
                <w:rFonts w:cs="Arial"/>
                <w:color w:val="000000"/>
                <w:lang w:val="en-ZA" w:eastAsia="en-ZA"/>
              </w:rPr>
              <w:t>0.7032182</w:t>
            </w:r>
          </w:p>
        </w:tc>
        <w:tc>
          <w:tcPr>
            <w:tcW w:w="1351" w:type="dxa"/>
          </w:tcPr>
          <w:p w:rsidR="007375E2" w:rsidRPr="002A48A0" w:rsidRDefault="007375E2" w:rsidP="0063507B">
            <w:pPr>
              <w:keepNext/>
              <w:widowControl w:val="0"/>
              <w:autoSpaceDE w:val="0"/>
              <w:autoSpaceDN w:val="0"/>
              <w:adjustRightInd w:val="0"/>
              <w:spacing w:before="0" w:after="0" w:line="240" w:lineRule="auto"/>
              <w:jc w:val="right"/>
              <w:rPr>
                <w:rFonts w:cs="Arial"/>
                <w:color w:val="000000"/>
                <w:lang w:val="en-ZA" w:eastAsia="en-ZA"/>
              </w:rPr>
            </w:pPr>
          </w:p>
        </w:tc>
      </w:tr>
    </w:tbl>
    <w:p w:rsidR="00296618" w:rsidRPr="000C1ACF" w:rsidRDefault="00296618" w:rsidP="00296618"/>
    <w:p w:rsidR="00296618" w:rsidRDefault="00296618" w:rsidP="00296618">
      <w:r>
        <w:t>The resulting factors from the Table 9 are discussed below:</w:t>
      </w:r>
    </w:p>
    <w:p w:rsidR="00296618" w:rsidRDefault="00296618" w:rsidP="00296618">
      <w:r w:rsidRPr="006E7D66">
        <w:rPr>
          <w:b/>
        </w:rPr>
        <w:t>Factor 1:</w:t>
      </w:r>
      <w:r>
        <w:t xml:space="preserve"> The statements that loaded onto Factor 1 were statements relating to </w:t>
      </w:r>
      <w:r w:rsidR="00BC6169" w:rsidRPr="009F5BE6">
        <w:rPr>
          <w:i/>
        </w:rPr>
        <w:t>‘</w:t>
      </w:r>
      <w:r w:rsidRPr="009F5BE6">
        <w:rPr>
          <w:i/>
        </w:rPr>
        <w:t>brand awareness</w:t>
      </w:r>
      <w:r w:rsidR="002743BD" w:rsidRPr="009F5BE6">
        <w:rPr>
          <w:i/>
        </w:rPr>
        <w:t>’</w:t>
      </w:r>
      <w:r w:rsidRPr="0006174D">
        <w:t xml:space="preserve">. Aaker (1991) states that brand awareness </w:t>
      </w:r>
      <w:r>
        <w:t>is</w:t>
      </w:r>
      <w:r w:rsidRPr="0006174D">
        <w:t xml:space="preserve"> the ability for a buyer to recogni</w:t>
      </w:r>
      <w:r>
        <w:t>s</w:t>
      </w:r>
      <w:r w:rsidRPr="0006174D">
        <w:t xml:space="preserve">e or recall that a brand is a member of a certain product category. Thus this factor consists of both brand recognition and recall (Rossiter </w:t>
      </w:r>
      <w:r w:rsidRPr="0006174D">
        <w:lastRenderedPageBreak/>
        <w:t>and Percy, 1987; Keller, 1993).</w:t>
      </w:r>
      <w:r>
        <w:t xml:space="preserve"> Brand awareness had a high mean response of 4.3 affirming a high awareness levels among respondents (Table 1</w:t>
      </w:r>
      <w:r w:rsidR="00530ED5">
        <w:t>2</w:t>
      </w:r>
      <w:r>
        <w:t xml:space="preserve">). </w:t>
      </w:r>
    </w:p>
    <w:p w:rsidR="00296618" w:rsidRDefault="00296618" w:rsidP="00296618">
      <w:pPr>
        <w:pStyle w:val="Caption"/>
        <w:rPr>
          <w:sz w:val="24"/>
        </w:rPr>
      </w:pPr>
      <w:bookmarkStart w:id="103" w:name="_Toc380684358"/>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12</w:t>
      </w:r>
      <w:r w:rsidRPr="00336BBE">
        <w:rPr>
          <w:sz w:val="24"/>
        </w:rPr>
        <w:fldChar w:fldCharType="end"/>
      </w:r>
      <w:r w:rsidRPr="00336BBE">
        <w:rPr>
          <w:sz w:val="24"/>
        </w:rPr>
        <w:t>: Descriptive Statistics – Brand awareness</w:t>
      </w:r>
      <w:bookmarkEnd w:id="103"/>
    </w:p>
    <w:tbl>
      <w:tblPr>
        <w:tblStyle w:val="TableGrid"/>
        <w:tblW w:w="0" w:type="auto"/>
        <w:tblLook w:val="04A0" w:firstRow="1" w:lastRow="0" w:firstColumn="1" w:lastColumn="0" w:noHBand="0" w:noVBand="1"/>
      </w:tblPr>
      <w:tblGrid>
        <w:gridCol w:w="2518"/>
        <w:gridCol w:w="801"/>
        <w:gridCol w:w="1410"/>
        <w:gridCol w:w="1428"/>
        <w:gridCol w:w="1379"/>
        <w:gridCol w:w="1418"/>
      </w:tblGrid>
      <w:tr w:rsidR="00530ED5" w:rsidRPr="00046AE9" w:rsidTr="00530ED5">
        <w:tc>
          <w:tcPr>
            <w:tcW w:w="2518" w:type="dxa"/>
            <w:vAlign w:val="center"/>
          </w:tcPr>
          <w:p w:rsidR="00530ED5" w:rsidRPr="00046AE9" w:rsidRDefault="00530ED5" w:rsidP="00530ED5">
            <w:pPr>
              <w:autoSpaceDE w:val="0"/>
              <w:autoSpaceDN w:val="0"/>
              <w:adjustRightInd w:val="0"/>
              <w:spacing w:before="0" w:after="0" w:line="320" w:lineRule="atLeast"/>
              <w:ind w:left="60" w:right="60"/>
              <w:jc w:val="left"/>
            </w:pPr>
          </w:p>
        </w:tc>
        <w:tc>
          <w:tcPr>
            <w:tcW w:w="801" w:type="dxa"/>
          </w:tcPr>
          <w:p w:rsidR="00530ED5" w:rsidRPr="005D1077" w:rsidRDefault="00530ED5" w:rsidP="00530ED5">
            <w:pPr>
              <w:autoSpaceDE w:val="0"/>
              <w:autoSpaceDN w:val="0"/>
              <w:adjustRightInd w:val="0"/>
              <w:spacing w:before="0" w:after="0" w:line="320" w:lineRule="atLeast"/>
              <w:ind w:left="60" w:right="60"/>
              <w:jc w:val="right"/>
            </w:pPr>
            <w:r w:rsidRPr="00B6629B">
              <w:t>N</w:t>
            </w:r>
          </w:p>
        </w:tc>
        <w:tc>
          <w:tcPr>
            <w:tcW w:w="1410" w:type="dxa"/>
          </w:tcPr>
          <w:p w:rsidR="00530ED5" w:rsidRPr="00046AE9" w:rsidRDefault="00530ED5" w:rsidP="00530ED5">
            <w:pPr>
              <w:autoSpaceDE w:val="0"/>
              <w:autoSpaceDN w:val="0"/>
              <w:adjustRightInd w:val="0"/>
              <w:spacing w:before="0" w:after="0" w:line="320" w:lineRule="atLeast"/>
              <w:ind w:left="60" w:right="60"/>
              <w:jc w:val="right"/>
            </w:pPr>
            <w:r w:rsidRPr="005D1077">
              <w:t>Minimum</w:t>
            </w:r>
          </w:p>
        </w:tc>
        <w:tc>
          <w:tcPr>
            <w:tcW w:w="1428" w:type="dxa"/>
          </w:tcPr>
          <w:p w:rsidR="00530ED5" w:rsidRPr="00046AE9" w:rsidRDefault="00530ED5" w:rsidP="00530ED5">
            <w:pPr>
              <w:autoSpaceDE w:val="0"/>
              <w:autoSpaceDN w:val="0"/>
              <w:adjustRightInd w:val="0"/>
              <w:spacing w:before="0" w:after="0" w:line="320" w:lineRule="atLeast"/>
              <w:ind w:left="60" w:right="60"/>
              <w:jc w:val="right"/>
            </w:pPr>
            <w:r w:rsidRPr="00046AE9">
              <w:t>Maximum</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046AE9">
              <w:t>Mean</w:t>
            </w:r>
          </w:p>
        </w:tc>
        <w:tc>
          <w:tcPr>
            <w:tcW w:w="1418" w:type="dxa"/>
          </w:tcPr>
          <w:p w:rsidR="00530ED5" w:rsidRPr="00B6629B" w:rsidRDefault="00530ED5" w:rsidP="00530ED5">
            <w:pPr>
              <w:autoSpaceDE w:val="0"/>
              <w:autoSpaceDN w:val="0"/>
              <w:adjustRightInd w:val="0"/>
              <w:spacing w:before="0" w:after="0" w:line="320" w:lineRule="atLeast"/>
              <w:ind w:left="60" w:right="60"/>
              <w:jc w:val="right"/>
            </w:pPr>
            <w:r w:rsidRPr="00046AE9">
              <w:t>St</w:t>
            </w:r>
            <w:r w:rsidRPr="00272493">
              <w:t>andar</w:t>
            </w:r>
            <w:r w:rsidRPr="00046AE9">
              <w:t>d</w:t>
            </w:r>
            <w:r w:rsidRPr="000E62ED">
              <w:t xml:space="preserve"> Deviation</w:t>
            </w:r>
          </w:p>
        </w:tc>
      </w:tr>
      <w:tr w:rsidR="00530ED5" w:rsidRPr="00046AE9" w:rsidTr="00530ED5">
        <w:tc>
          <w:tcPr>
            <w:tcW w:w="2518" w:type="dxa"/>
            <w:vAlign w:val="center"/>
          </w:tcPr>
          <w:p w:rsidR="00530ED5" w:rsidRPr="00046AE9" w:rsidRDefault="00530ED5" w:rsidP="00530ED5">
            <w:pPr>
              <w:autoSpaceDE w:val="0"/>
              <w:autoSpaceDN w:val="0"/>
              <w:adjustRightInd w:val="0"/>
              <w:spacing w:before="0" w:after="0" w:line="320" w:lineRule="atLeast"/>
              <w:ind w:left="60" w:right="60"/>
              <w:jc w:val="left"/>
            </w:pPr>
            <w:r w:rsidRPr="00046AE9">
              <w:t>Brand awareness</w:t>
            </w:r>
          </w:p>
        </w:tc>
        <w:tc>
          <w:tcPr>
            <w:tcW w:w="801" w:type="dxa"/>
          </w:tcPr>
          <w:p w:rsidR="00530ED5" w:rsidRPr="00046AE9" w:rsidRDefault="00530ED5" w:rsidP="00530ED5">
            <w:pPr>
              <w:autoSpaceDE w:val="0"/>
              <w:autoSpaceDN w:val="0"/>
              <w:adjustRightInd w:val="0"/>
              <w:spacing w:before="0" w:after="0" w:line="320" w:lineRule="atLeast"/>
              <w:ind w:left="60" w:right="60"/>
              <w:jc w:val="right"/>
            </w:pPr>
            <w:r w:rsidRPr="00046AE9">
              <w:t>109</w:t>
            </w:r>
          </w:p>
        </w:tc>
        <w:tc>
          <w:tcPr>
            <w:tcW w:w="1410" w:type="dxa"/>
          </w:tcPr>
          <w:p w:rsidR="00530ED5" w:rsidRPr="00046AE9" w:rsidRDefault="00530ED5" w:rsidP="00530ED5">
            <w:pPr>
              <w:autoSpaceDE w:val="0"/>
              <w:autoSpaceDN w:val="0"/>
              <w:adjustRightInd w:val="0"/>
              <w:spacing w:before="0" w:after="0" w:line="320" w:lineRule="atLeast"/>
              <w:ind w:left="60" w:right="60"/>
              <w:jc w:val="right"/>
            </w:pPr>
            <w:r w:rsidRPr="00046AE9">
              <w:t>3.17</w:t>
            </w:r>
          </w:p>
        </w:tc>
        <w:tc>
          <w:tcPr>
            <w:tcW w:w="1428" w:type="dxa"/>
          </w:tcPr>
          <w:p w:rsidR="00530ED5" w:rsidRPr="00046AE9" w:rsidRDefault="00530ED5" w:rsidP="00530ED5">
            <w:pPr>
              <w:autoSpaceDE w:val="0"/>
              <w:autoSpaceDN w:val="0"/>
              <w:adjustRightInd w:val="0"/>
              <w:spacing w:before="0" w:after="0" w:line="320" w:lineRule="atLeast"/>
              <w:ind w:left="60" w:right="60"/>
              <w:jc w:val="right"/>
            </w:pPr>
            <w:r w:rsidRPr="00046AE9">
              <w:t>5.00</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046AE9">
              <w:t>4.3031</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046AE9">
              <w:t>.50401</w:t>
            </w:r>
          </w:p>
        </w:tc>
      </w:tr>
    </w:tbl>
    <w:p w:rsidR="00296618" w:rsidRPr="000C1ACF" w:rsidRDefault="00296618" w:rsidP="00296618"/>
    <w:p w:rsidR="00296618" w:rsidRPr="00EA329E" w:rsidRDefault="00296618" w:rsidP="00296618">
      <w:r w:rsidRPr="006E7D66">
        <w:rPr>
          <w:b/>
        </w:rPr>
        <w:t>Factor 2:</w:t>
      </w:r>
      <w:r w:rsidRPr="0006174D">
        <w:t xml:space="preserve"> </w:t>
      </w:r>
      <w:r w:rsidRPr="00287EEC">
        <w:t xml:space="preserve">This factor has a high loading of brand equity variables generally associated with the variable relating to </w:t>
      </w:r>
      <w:r w:rsidR="002743BD" w:rsidRPr="009F5BE6">
        <w:rPr>
          <w:i/>
        </w:rPr>
        <w:t>‘</w:t>
      </w:r>
      <w:r w:rsidRPr="009F5BE6">
        <w:rPr>
          <w:i/>
        </w:rPr>
        <w:t>perceived quality</w:t>
      </w:r>
      <w:r w:rsidR="002743BD" w:rsidRPr="009F5BE6">
        <w:rPr>
          <w:i/>
        </w:rPr>
        <w:t>’</w:t>
      </w:r>
      <w:r w:rsidRPr="00287EEC">
        <w:t xml:space="preserve">. </w:t>
      </w:r>
      <w:r w:rsidRPr="00EA329E">
        <w:t xml:space="preserve">Zeithaml (1988) defines perceived quality as the customer’s perception of the overall superiority of a product or service with respect to its intended purpose relative to alternatives.  Kotler (2000) draws attention to the intimate connection </w:t>
      </w:r>
      <w:r>
        <w:t xml:space="preserve">between </w:t>
      </w:r>
      <w:r w:rsidRPr="00EA329E">
        <w:t>product and service quality, customer satisfaction, and company profitability.</w:t>
      </w:r>
    </w:p>
    <w:p w:rsidR="00296618" w:rsidRDefault="00296618" w:rsidP="00296618">
      <w:bookmarkStart w:id="104" w:name="_Toc380684359"/>
      <w:r w:rsidRPr="00336BBE">
        <w:t xml:space="preserve">Table </w:t>
      </w:r>
      <w:r w:rsidRPr="00336BBE">
        <w:fldChar w:fldCharType="begin"/>
      </w:r>
      <w:r w:rsidRPr="00336BBE">
        <w:instrText xml:space="preserve"> SEQ Table \* ARABIC </w:instrText>
      </w:r>
      <w:r w:rsidRPr="00336BBE">
        <w:fldChar w:fldCharType="separate"/>
      </w:r>
      <w:r w:rsidR="00D61AFB">
        <w:rPr>
          <w:noProof/>
        </w:rPr>
        <w:t>13</w:t>
      </w:r>
      <w:r w:rsidRPr="00336BBE">
        <w:fldChar w:fldCharType="end"/>
      </w:r>
      <w:r w:rsidRPr="00336BBE">
        <w:t xml:space="preserve">: Descriptive Statistics – </w:t>
      </w:r>
      <w:r>
        <w:t>Perceived quality</w:t>
      </w:r>
      <w:bookmarkEnd w:id="104"/>
    </w:p>
    <w:tbl>
      <w:tblPr>
        <w:tblStyle w:val="TableGrid"/>
        <w:tblW w:w="0" w:type="auto"/>
        <w:tblLook w:val="04A0" w:firstRow="1" w:lastRow="0" w:firstColumn="1" w:lastColumn="0" w:noHBand="0" w:noVBand="1"/>
      </w:tblPr>
      <w:tblGrid>
        <w:gridCol w:w="2518"/>
        <w:gridCol w:w="801"/>
        <w:gridCol w:w="1410"/>
        <w:gridCol w:w="1428"/>
        <w:gridCol w:w="1379"/>
        <w:gridCol w:w="1418"/>
      </w:tblGrid>
      <w:tr w:rsidR="00530ED5" w:rsidRPr="009429BB" w:rsidTr="00530ED5">
        <w:tc>
          <w:tcPr>
            <w:tcW w:w="2518" w:type="dxa"/>
            <w:vAlign w:val="center"/>
          </w:tcPr>
          <w:p w:rsidR="00530ED5" w:rsidRPr="009429BB" w:rsidRDefault="00530ED5" w:rsidP="00530ED5">
            <w:pPr>
              <w:autoSpaceDE w:val="0"/>
              <w:autoSpaceDN w:val="0"/>
              <w:adjustRightInd w:val="0"/>
              <w:spacing w:before="0" w:after="0" w:line="320" w:lineRule="atLeast"/>
              <w:ind w:left="60" w:right="60"/>
              <w:jc w:val="left"/>
            </w:pPr>
          </w:p>
        </w:tc>
        <w:tc>
          <w:tcPr>
            <w:tcW w:w="801" w:type="dxa"/>
          </w:tcPr>
          <w:p w:rsidR="00530ED5" w:rsidRPr="00046AE9" w:rsidRDefault="00530ED5" w:rsidP="00530ED5">
            <w:pPr>
              <w:autoSpaceDE w:val="0"/>
              <w:autoSpaceDN w:val="0"/>
              <w:adjustRightInd w:val="0"/>
              <w:spacing w:before="0" w:after="0" w:line="320" w:lineRule="atLeast"/>
              <w:ind w:left="60" w:right="60"/>
              <w:jc w:val="right"/>
            </w:pPr>
            <w:r w:rsidRPr="00046AE9">
              <w:t>N</w:t>
            </w:r>
          </w:p>
        </w:tc>
        <w:tc>
          <w:tcPr>
            <w:tcW w:w="1410" w:type="dxa"/>
          </w:tcPr>
          <w:p w:rsidR="00530ED5" w:rsidRPr="005D1077" w:rsidRDefault="00530ED5" w:rsidP="00530ED5">
            <w:pPr>
              <w:autoSpaceDE w:val="0"/>
              <w:autoSpaceDN w:val="0"/>
              <w:adjustRightInd w:val="0"/>
              <w:spacing w:before="0" w:after="0" w:line="320" w:lineRule="atLeast"/>
              <w:ind w:left="60" w:right="60"/>
              <w:jc w:val="right"/>
            </w:pPr>
            <w:r w:rsidRPr="00B6629B">
              <w:t>Minimum</w:t>
            </w:r>
          </w:p>
        </w:tc>
        <w:tc>
          <w:tcPr>
            <w:tcW w:w="1428" w:type="dxa"/>
          </w:tcPr>
          <w:p w:rsidR="00530ED5" w:rsidRPr="00046AE9" w:rsidRDefault="00530ED5" w:rsidP="00530ED5">
            <w:pPr>
              <w:autoSpaceDE w:val="0"/>
              <w:autoSpaceDN w:val="0"/>
              <w:adjustRightInd w:val="0"/>
              <w:spacing w:before="0" w:after="0" w:line="320" w:lineRule="atLeast"/>
              <w:ind w:left="60" w:right="60"/>
              <w:jc w:val="right"/>
            </w:pPr>
            <w:r w:rsidRPr="005D1077">
              <w:t>Maximum</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046AE9">
              <w:t>Mean</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046AE9">
              <w:t>Standard Deviation</w:t>
            </w:r>
          </w:p>
        </w:tc>
      </w:tr>
      <w:tr w:rsidR="00530ED5" w:rsidRPr="009429BB" w:rsidTr="00530ED5">
        <w:tc>
          <w:tcPr>
            <w:tcW w:w="2518" w:type="dxa"/>
            <w:vAlign w:val="center"/>
          </w:tcPr>
          <w:p w:rsidR="00530ED5" w:rsidRPr="00046AE9" w:rsidRDefault="00530ED5" w:rsidP="00530ED5">
            <w:pPr>
              <w:pStyle w:val="Caption"/>
            </w:pPr>
            <w:r w:rsidRPr="00336BBE">
              <w:rPr>
                <w:b w:val="0"/>
                <w:sz w:val="24"/>
              </w:rPr>
              <w:t>Perceived quality</w:t>
            </w:r>
          </w:p>
        </w:tc>
        <w:tc>
          <w:tcPr>
            <w:tcW w:w="801" w:type="dxa"/>
          </w:tcPr>
          <w:p w:rsidR="00530ED5" w:rsidRPr="00046AE9" w:rsidRDefault="00530ED5" w:rsidP="00530ED5">
            <w:pPr>
              <w:autoSpaceDE w:val="0"/>
              <w:autoSpaceDN w:val="0"/>
              <w:adjustRightInd w:val="0"/>
              <w:spacing w:before="0" w:after="0" w:line="320" w:lineRule="atLeast"/>
              <w:ind w:left="60" w:right="60"/>
              <w:jc w:val="right"/>
            </w:pPr>
            <w:r w:rsidRPr="00046AE9">
              <w:t>109</w:t>
            </w:r>
          </w:p>
        </w:tc>
        <w:tc>
          <w:tcPr>
            <w:tcW w:w="1410" w:type="dxa"/>
          </w:tcPr>
          <w:p w:rsidR="00530ED5" w:rsidRPr="00046AE9" w:rsidRDefault="00530ED5" w:rsidP="00530ED5">
            <w:pPr>
              <w:autoSpaceDE w:val="0"/>
              <w:autoSpaceDN w:val="0"/>
              <w:adjustRightInd w:val="0"/>
              <w:spacing w:before="0" w:after="0" w:line="320" w:lineRule="atLeast"/>
              <w:ind w:left="60" w:right="60"/>
              <w:jc w:val="right"/>
            </w:pPr>
            <w:r w:rsidRPr="00046AE9">
              <w:t>2.67</w:t>
            </w:r>
          </w:p>
        </w:tc>
        <w:tc>
          <w:tcPr>
            <w:tcW w:w="1428" w:type="dxa"/>
          </w:tcPr>
          <w:p w:rsidR="00530ED5" w:rsidRPr="00B6629B" w:rsidRDefault="00530ED5" w:rsidP="00530ED5">
            <w:pPr>
              <w:autoSpaceDE w:val="0"/>
              <w:autoSpaceDN w:val="0"/>
              <w:adjustRightInd w:val="0"/>
              <w:spacing w:before="0" w:after="0" w:line="320" w:lineRule="atLeast"/>
              <w:ind w:left="60" w:right="60"/>
              <w:jc w:val="right"/>
            </w:pPr>
            <w:r w:rsidRPr="00B6629B">
              <w:t>5.00</w:t>
            </w:r>
          </w:p>
        </w:tc>
        <w:tc>
          <w:tcPr>
            <w:tcW w:w="1379" w:type="dxa"/>
          </w:tcPr>
          <w:p w:rsidR="00530ED5" w:rsidRPr="005D1077" w:rsidRDefault="00530ED5" w:rsidP="00530ED5">
            <w:pPr>
              <w:autoSpaceDE w:val="0"/>
              <w:autoSpaceDN w:val="0"/>
              <w:adjustRightInd w:val="0"/>
              <w:spacing w:before="0" w:after="0" w:line="320" w:lineRule="atLeast"/>
              <w:ind w:left="60" w:right="60"/>
              <w:jc w:val="right"/>
            </w:pPr>
            <w:r w:rsidRPr="005D1077">
              <w:t>4.1315</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046AE9">
              <w:t>.65893</w:t>
            </w:r>
          </w:p>
        </w:tc>
      </w:tr>
    </w:tbl>
    <w:p w:rsidR="00296618" w:rsidRPr="00336BBE" w:rsidRDefault="00296618" w:rsidP="00296618"/>
    <w:p w:rsidR="00296618" w:rsidRDefault="00296618" w:rsidP="00296618">
      <w:r w:rsidRPr="006E7D66">
        <w:rPr>
          <w:b/>
        </w:rPr>
        <w:t>Factor 3:</w:t>
      </w:r>
      <w:r>
        <w:t xml:space="preserve"> </w:t>
      </w:r>
      <w:r w:rsidRPr="0006174D">
        <w:t xml:space="preserve">This factor has a high loading of </w:t>
      </w:r>
      <w:r>
        <w:t>b</w:t>
      </w:r>
      <w:r w:rsidRPr="0006174D">
        <w:t xml:space="preserve">rand </w:t>
      </w:r>
      <w:r>
        <w:t>e</w:t>
      </w:r>
      <w:r w:rsidRPr="0006174D">
        <w:t xml:space="preserve">quity variables generally associated with the variable relating </w:t>
      </w:r>
      <w:r w:rsidR="002743BD" w:rsidRPr="009F5BE6">
        <w:rPr>
          <w:i/>
        </w:rPr>
        <w:t>‘</w:t>
      </w:r>
      <w:r w:rsidRPr="009F5BE6">
        <w:rPr>
          <w:i/>
        </w:rPr>
        <w:t>brand loyalty</w:t>
      </w:r>
      <w:r w:rsidR="002743BD" w:rsidRPr="009F5BE6">
        <w:rPr>
          <w:i/>
        </w:rPr>
        <w:t>’</w:t>
      </w:r>
      <w:r w:rsidRPr="0006174D">
        <w:t xml:space="preserve">. </w:t>
      </w:r>
      <w:r>
        <w:t>Brand loyalty had a high mean response of 4.3 confirming high levels of loyalty among respondents (Table 1</w:t>
      </w:r>
      <w:r w:rsidR="00530ED5">
        <w:t>4</w:t>
      </w:r>
      <w:r>
        <w:t xml:space="preserve">). </w:t>
      </w:r>
      <w:r w:rsidRPr="0006174D">
        <w:t>Brand loyalty refers to the tendency to be loyal to a focal brand, which is demonstrated by the intention to buy the brand as a primary choice (Oliver, 1997). These factors also have a high correlation to behavioural aspects of brand loyalty as proven by Guadagni and Little (1983)</w:t>
      </w:r>
      <w:r w:rsidR="00D532DC">
        <w:t xml:space="preserve">. </w:t>
      </w:r>
      <w:r w:rsidRPr="0006174D">
        <w:t xml:space="preserve"> </w:t>
      </w:r>
    </w:p>
    <w:p w:rsidR="00D532DC" w:rsidRDefault="00D532DC" w:rsidP="00296618"/>
    <w:p w:rsidR="00423865" w:rsidRDefault="00423865" w:rsidP="00296618"/>
    <w:p w:rsidR="00296618" w:rsidRDefault="00296618" w:rsidP="00296618">
      <w:pPr>
        <w:pStyle w:val="Caption"/>
        <w:rPr>
          <w:sz w:val="24"/>
        </w:rPr>
      </w:pPr>
      <w:bookmarkStart w:id="105" w:name="_Toc380684360"/>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14</w:t>
      </w:r>
      <w:r w:rsidRPr="00336BBE">
        <w:rPr>
          <w:sz w:val="24"/>
        </w:rPr>
        <w:fldChar w:fldCharType="end"/>
      </w:r>
      <w:r w:rsidRPr="00336BBE">
        <w:rPr>
          <w:sz w:val="24"/>
        </w:rPr>
        <w:t xml:space="preserve">: Descriptive Statistics - Brand </w:t>
      </w:r>
      <w:r>
        <w:rPr>
          <w:sz w:val="24"/>
        </w:rPr>
        <w:t>loyalty</w:t>
      </w:r>
      <w:bookmarkEnd w:id="105"/>
    </w:p>
    <w:tbl>
      <w:tblPr>
        <w:tblStyle w:val="TableGrid"/>
        <w:tblW w:w="0" w:type="auto"/>
        <w:tblLook w:val="04A0" w:firstRow="1" w:lastRow="0" w:firstColumn="1" w:lastColumn="0" w:noHBand="0" w:noVBand="1"/>
      </w:tblPr>
      <w:tblGrid>
        <w:gridCol w:w="2518"/>
        <w:gridCol w:w="801"/>
        <w:gridCol w:w="1410"/>
        <w:gridCol w:w="1428"/>
        <w:gridCol w:w="1379"/>
        <w:gridCol w:w="1418"/>
      </w:tblGrid>
      <w:tr w:rsidR="00530ED5" w:rsidRPr="009429BB" w:rsidTr="00530ED5">
        <w:trPr>
          <w:trHeight w:val="769"/>
        </w:trPr>
        <w:tc>
          <w:tcPr>
            <w:tcW w:w="2518" w:type="dxa"/>
          </w:tcPr>
          <w:p w:rsidR="00530ED5" w:rsidRPr="009429BB" w:rsidRDefault="00530ED5" w:rsidP="00530ED5"/>
        </w:tc>
        <w:tc>
          <w:tcPr>
            <w:tcW w:w="801" w:type="dxa"/>
          </w:tcPr>
          <w:p w:rsidR="00530ED5" w:rsidRPr="00046AE9" w:rsidRDefault="00530ED5" w:rsidP="00530ED5">
            <w:pPr>
              <w:autoSpaceDE w:val="0"/>
              <w:autoSpaceDN w:val="0"/>
              <w:adjustRightInd w:val="0"/>
              <w:spacing w:before="0" w:after="0" w:line="320" w:lineRule="atLeast"/>
              <w:ind w:left="60" w:right="60"/>
              <w:jc w:val="right"/>
            </w:pPr>
            <w:r w:rsidRPr="00046AE9">
              <w:t>N</w:t>
            </w:r>
          </w:p>
        </w:tc>
        <w:tc>
          <w:tcPr>
            <w:tcW w:w="1410" w:type="dxa"/>
          </w:tcPr>
          <w:p w:rsidR="00530ED5" w:rsidRPr="00046AE9" w:rsidRDefault="00530ED5" w:rsidP="00530ED5">
            <w:pPr>
              <w:autoSpaceDE w:val="0"/>
              <w:autoSpaceDN w:val="0"/>
              <w:adjustRightInd w:val="0"/>
              <w:spacing w:before="0" w:after="0" w:line="320" w:lineRule="atLeast"/>
              <w:ind w:left="60" w:right="60"/>
              <w:jc w:val="right"/>
            </w:pPr>
            <w:r w:rsidRPr="00046AE9">
              <w:t>Minimum</w:t>
            </w:r>
          </w:p>
        </w:tc>
        <w:tc>
          <w:tcPr>
            <w:tcW w:w="1428" w:type="dxa"/>
          </w:tcPr>
          <w:p w:rsidR="00530ED5" w:rsidRPr="00046AE9" w:rsidRDefault="00530ED5" w:rsidP="00530ED5">
            <w:pPr>
              <w:autoSpaceDE w:val="0"/>
              <w:autoSpaceDN w:val="0"/>
              <w:adjustRightInd w:val="0"/>
              <w:spacing w:before="0" w:after="0" w:line="320" w:lineRule="atLeast"/>
              <w:ind w:left="60" w:right="60"/>
              <w:jc w:val="right"/>
            </w:pPr>
            <w:r w:rsidRPr="00046AE9">
              <w:t>Maximum</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046AE9">
              <w:t>Mean</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046AE9">
              <w:t>Standard Deviation</w:t>
            </w:r>
          </w:p>
        </w:tc>
      </w:tr>
      <w:tr w:rsidR="00530ED5" w:rsidRPr="009429BB" w:rsidTr="00530ED5">
        <w:tc>
          <w:tcPr>
            <w:tcW w:w="2518" w:type="dxa"/>
            <w:vAlign w:val="center"/>
          </w:tcPr>
          <w:p w:rsidR="00530ED5" w:rsidRPr="00B6629B" w:rsidRDefault="00530ED5" w:rsidP="00530ED5">
            <w:pPr>
              <w:autoSpaceDE w:val="0"/>
              <w:autoSpaceDN w:val="0"/>
              <w:adjustRightInd w:val="0"/>
              <w:spacing w:before="0" w:after="0" w:line="320" w:lineRule="atLeast"/>
              <w:ind w:left="60" w:right="60"/>
              <w:jc w:val="left"/>
            </w:pPr>
            <w:r w:rsidRPr="00046AE9">
              <w:t>B</w:t>
            </w:r>
            <w:r w:rsidRPr="000E62ED">
              <w:t xml:space="preserve">rand </w:t>
            </w:r>
            <w:r>
              <w:t>loyalty</w:t>
            </w:r>
          </w:p>
        </w:tc>
        <w:tc>
          <w:tcPr>
            <w:tcW w:w="801" w:type="dxa"/>
          </w:tcPr>
          <w:p w:rsidR="00530ED5" w:rsidRPr="000E62ED" w:rsidRDefault="00530ED5" w:rsidP="00530ED5">
            <w:pPr>
              <w:autoSpaceDE w:val="0"/>
              <w:autoSpaceDN w:val="0"/>
              <w:adjustRightInd w:val="0"/>
              <w:spacing w:before="0" w:after="0" w:line="320" w:lineRule="atLeast"/>
              <w:ind w:left="60" w:right="60"/>
              <w:jc w:val="right"/>
            </w:pPr>
            <w:r w:rsidRPr="00046AE9">
              <w:t>10</w:t>
            </w:r>
            <w:r w:rsidR="00A853B2">
              <w:t>9</w:t>
            </w:r>
          </w:p>
        </w:tc>
        <w:tc>
          <w:tcPr>
            <w:tcW w:w="1410" w:type="dxa"/>
          </w:tcPr>
          <w:p w:rsidR="00530ED5" w:rsidRPr="005D1077" w:rsidRDefault="00530ED5" w:rsidP="00530ED5">
            <w:pPr>
              <w:autoSpaceDE w:val="0"/>
              <w:autoSpaceDN w:val="0"/>
              <w:adjustRightInd w:val="0"/>
              <w:spacing w:before="0" w:after="0" w:line="320" w:lineRule="atLeast"/>
              <w:ind w:left="60" w:right="60"/>
              <w:jc w:val="right"/>
            </w:pPr>
            <w:r w:rsidRPr="00B6629B">
              <w:t>2</w:t>
            </w:r>
            <w:r w:rsidRPr="005D1077">
              <w:t>.00</w:t>
            </w:r>
          </w:p>
        </w:tc>
        <w:tc>
          <w:tcPr>
            <w:tcW w:w="1428" w:type="dxa"/>
          </w:tcPr>
          <w:p w:rsidR="00530ED5" w:rsidRPr="005D1077" w:rsidRDefault="00530ED5" w:rsidP="00530ED5">
            <w:pPr>
              <w:autoSpaceDE w:val="0"/>
              <w:autoSpaceDN w:val="0"/>
              <w:adjustRightInd w:val="0"/>
              <w:spacing w:before="0" w:after="0" w:line="320" w:lineRule="atLeast"/>
              <w:ind w:left="60" w:right="60"/>
              <w:jc w:val="right"/>
            </w:pPr>
            <w:r w:rsidRPr="005D1077">
              <w:t>5.00</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046AE9">
              <w:t>3.8472</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046AE9">
              <w:t>.87344</w:t>
            </w:r>
          </w:p>
        </w:tc>
      </w:tr>
    </w:tbl>
    <w:p w:rsidR="00530ED5" w:rsidRDefault="00530ED5" w:rsidP="00296618"/>
    <w:p w:rsidR="00296618" w:rsidRDefault="00296618" w:rsidP="00296618">
      <w:r>
        <w:t xml:space="preserve">This is further confirmed by responses to Question 42 in which respondents were asked to either ‘Strongly Agree’ or ‘Strongly disagree’ with the statement </w:t>
      </w:r>
      <w:r>
        <w:rPr>
          <w:i/>
        </w:rPr>
        <w:t>“</w:t>
      </w:r>
      <w:r w:rsidRPr="002716F9">
        <w:rPr>
          <w:i/>
        </w:rPr>
        <w:t>After the rebranding, I have a positive attitude towards Vodacom</w:t>
      </w:r>
      <w:r>
        <w:rPr>
          <w:i/>
        </w:rPr>
        <w:t>”</w:t>
      </w:r>
      <w:r>
        <w:t>. Figure 11 illustrates the response in which 55% of respondents had positive attitude towards the new brand and 38% of respondents were neutral.</w:t>
      </w:r>
    </w:p>
    <w:p w:rsidR="00296618" w:rsidRDefault="00296618" w:rsidP="00296618">
      <w:pPr>
        <w:pStyle w:val="Caption"/>
        <w:jc w:val="left"/>
      </w:pPr>
      <w:r>
        <w:rPr>
          <w:noProof/>
          <w:lang w:val="en-ZA" w:eastAsia="en-ZA"/>
        </w:rPr>
        <w:drawing>
          <wp:inline distT="0" distB="0" distL="0" distR="0" wp14:anchorId="78C87128" wp14:editId="3CAA012B">
            <wp:extent cx="5177642" cy="2766951"/>
            <wp:effectExtent l="0" t="0" r="4445"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96618" w:rsidRDefault="00296618" w:rsidP="00296618"/>
    <w:p w:rsidR="00296618" w:rsidRPr="00336BBE" w:rsidRDefault="00296618" w:rsidP="00296618">
      <w:pPr>
        <w:pStyle w:val="Caption"/>
        <w:rPr>
          <w:sz w:val="24"/>
        </w:rPr>
      </w:pPr>
      <w:bookmarkStart w:id="106" w:name="_Toc380684396"/>
      <w:r w:rsidRPr="00336BBE">
        <w:rPr>
          <w:sz w:val="24"/>
        </w:rPr>
        <w:t xml:space="preserve">Figure </w:t>
      </w:r>
      <w:r w:rsidRPr="00336BBE">
        <w:rPr>
          <w:sz w:val="24"/>
        </w:rPr>
        <w:fldChar w:fldCharType="begin"/>
      </w:r>
      <w:r w:rsidRPr="00336BBE">
        <w:rPr>
          <w:sz w:val="24"/>
        </w:rPr>
        <w:instrText xml:space="preserve"> SEQ Figure \* ARABIC </w:instrText>
      </w:r>
      <w:r w:rsidRPr="00336BBE">
        <w:rPr>
          <w:sz w:val="24"/>
        </w:rPr>
        <w:fldChar w:fldCharType="separate"/>
      </w:r>
      <w:r>
        <w:rPr>
          <w:noProof/>
          <w:sz w:val="24"/>
        </w:rPr>
        <w:t>11</w:t>
      </w:r>
      <w:r w:rsidRPr="00336BBE">
        <w:rPr>
          <w:sz w:val="24"/>
        </w:rPr>
        <w:fldChar w:fldCharType="end"/>
      </w:r>
      <w:r w:rsidRPr="00336BBE">
        <w:rPr>
          <w:sz w:val="24"/>
        </w:rPr>
        <w:t>: Attitudes towards Vodacom after rebranding</w:t>
      </w:r>
      <w:bookmarkEnd w:id="106"/>
    </w:p>
    <w:p w:rsidR="00296618" w:rsidRPr="003A6EE0" w:rsidRDefault="00296618" w:rsidP="00296618">
      <w:pPr>
        <w:pStyle w:val="Heading3"/>
        <w:numPr>
          <w:ilvl w:val="2"/>
          <w:numId w:val="19"/>
        </w:numPr>
        <w:rPr>
          <w:color w:val="000000" w:themeColor="text1"/>
        </w:rPr>
      </w:pPr>
      <w:bookmarkStart w:id="107" w:name="_Toc380687106"/>
      <w:r>
        <w:lastRenderedPageBreak/>
        <w:t>Principal Component Analysis: New Vodacom Branding</w:t>
      </w:r>
      <w:bookmarkEnd w:id="107"/>
      <w:r w:rsidRPr="00891B22">
        <w:t xml:space="preserve"> </w:t>
      </w:r>
    </w:p>
    <w:p w:rsidR="00296618" w:rsidRDefault="00296618" w:rsidP="00296618">
      <w:pPr>
        <w:pStyle w:val="Heading3"/>
        <w:numPr>
          <w:ilvl w:val="0"/>
          <w:numId w:val="0"/>
        </w:numPr>
        <w:rPr>
          <w:b w:val="0"/>
          <w:i w:val="0"/>
          <w:color w:val="000000" w:themeColor="text1"/>
        </w:rPr>
      </w:pPr>
      <w:bookmarkStart w:id="108" w:name="_Toc380504856"/>
      <w:bookmarkStart w:id="109" w:name="_Toc380687107"/>
      <w:r w:rsidRPr="003A6EE0">
        <w:rPr>
          <w:b w:val="0"/>
          <w:i w:val="0"/>
        </w:rPr>
        <w:t xml:space="preserve">Principal component analysis was applied to responses of questions 27 to 40 in the </w:t>
      </w:r>
      <w:r w:rsidRPr="003A6EE0">
        <w:rPr>
          <w:b w:val="0"/>
          <w:i w:val="0"/>
          <w:color w:val="000000" w:themeColor="text1"/>
        </w:rPr>
        <w:t xml:space="preserve">questionnaire. </w:t>
      </w:r>
      <w:r w:rsidRPr="003A6EE0">
        <w:rPr>
          <w:b w:val="0"/>
          <w:i w:val="0"/>
        </w:rPr>
        <w:t xml:space="preserve">The principal components method was used to extract the components, and no rotation was done because </w:t>
      </w:r>
      <w:r w:rsidRPr="003A6EE0">
        <w:rPr>
          <w:b w:val="0"/>
          <w:i w:val="0"/>
          <w:color w:val="000000" w:themeColor="text1"/>
        </w:rPr>
        <w:t xml:space="preserve">one component accounted for 71.68% of the total variance and this is confirmed by the </w:t>
      </w:r>
      <w:r w:rsidR="006233B0">
        <w:rPr>
          <w:b w:val="0"/>
          <w:i w:val="0"/>
          <w:color w:val="000000" w:themeColor="text1"/>
        </w:rPr>
        <w:t xml:space="preserve">factor analysis in </w:t>
      </w:r>
      <w:r w:rsidR="006233B0" w:rsidRPr="00C87D93">
        <w:rPr>
          <w:b w:val="0"/>
          <w:i w:val="0"/>
          <w:color w:val="000000" w:themeColor="text1"/>
        </w:rPr>
        <w:t>Table</w:t>
      </w:r>
      <w:r w:rsidR="006233B0">
        <w:rPr>
          <w:b w:val="0"/>
          <w:i w:val="0"/>
          <w:color w:val="000000" w:themeColor="text1"/>
        </w:rPr>
        <w:t xml:space="preserve"> 1</w:t>
      </w:r>
      <w:r w:rsidR="00530ED5">
        <w:rPr>
          <w:b w:val="0"/>
          <w:i w:val="0"/>
          <w:color w:val="000000" w:themeColor="text1"/>
        </w:rPr>
        <w:t>5</w:t>
      </w:r>
      <w:r w:rsidR="006233B0">
        <w:rPr>
          <w:b w:val="0"/>
          <w:i w:val="0"/>
          <w:color w:val="000000" w:themeColor="text1"/>
        </w:rPr>
        <w:t xml:space="preserve"> and </w:t>
      </w:r>
      <w:r>
        <w:rPr>
          <w:b w:val="0"/>
          <w:i w:val="0"/>
          <w:color w:val="000000" w:themeColor="text1"/>
        </w:rPr>
        <w:t>S</w:t>
      </w:r>
      <w:r w:rsidRPr="003A6EE0">
        <w:rPr>
          <w:b w:val="0"/>
          <w:i w:val="0"/>
          <w:color w:val="000000" w:themeColor="text1"/>
        </w:rPr>
        <w:t>cree plot in Figure 1</w:t>
      </w:r>
      <w:r>
        <w:rPr>
          <w:b w:val="0"/>
          <w:i w:val="0"/>
          <w:color w:val="000000" w:themeColor="text1"/>
        </w:rPr>
        <w:t>2</w:t>
      </w:r>
      <w:r w:rsidRPr="003A6EE0">
        <w:rPr>
          <w:b w:val="0"/>
          <w:i w:val="0"/>
          <w:color w:val="000000" w:themeColor="text1"/>
        </w:rPr>
        <w:t>.</w:t>
      </w:r>
      <w:bookmarkEnd w:id="108"/>
      <w:bookmarkEnd w:id="109"/>
      <w:r w:rsidRPr="003A6EE0">
        <w:rPr>
          <w:b w:val="0"/>
          <w:i w:val="0"/>
          <w:color w:val="000000" w:themeColor="text1"/>
        </w:rPr>
        <w:t xml:space="preserve"> </w:t>
      </w:r>
    </w:p>
    <w:p w:rsidR="006233B0" w:rsidRPr="00C87D93" w:rsidRDefault="006233B0" w:rsidP="006233B0">
      <w:pPr>
        <w:pStyle w:val="Caption"/>
        <w:rPr>
          <w:sz w:val="24"/>
        </w:rPr>
      </w:pPr>
      <w:bookmarkStart w:id="110" w:name="_Toc380684361"/>
      <w:r w:rsidRPr="00C87D93">
        <w:rPr>
          <w:sz w:val="24"/>
        </w:rPr>
        <w:t xml:space="preserve">Table </w:t>
      </w:r>
      <w:r w:rsidRPr="00C87D93">
        <w:rPr>
          <w:sz w:val="24"/>
        </w:rPr>
        <w:fldChar w:fldCharType="begin"/>
      </w:r>
      <w:r w:rsidRPr="00C87D93">
        <w:rPr>
          <w:sz w:val="24"/>
        </w:rPr>
        <w:instrText xml:space="preserve"> SEQ Table \* ARABIC </w:instrText>
      </w:r>
      <w:r w:rsidRPr="00C87D93">
        <w:rPr>
          <w:sz w:val="24"/>
        </w:rPr>
        <w:fldChar w:fldCharType="separate"/>
      </w:r>
      <w:r w:rsidR="00D61AFB">
        <w:rPr>
          <w:noProof/>
          <w:sz w:val="24"/>
        </w:rPr>
        <w:t>15</w:t>
      </w:r>
      <w:r w:rsidRPr="00C87D93">
        <w:rPr>
          <w:sz w:val="24"/>
        </w:rPr>
        <w:fldChar w:fldCharType="end"/>
      </w:r>
      <w:r w:rsidRPr="00C87D93">
        <w:rPr>
          <w:sz w:val="24"/>
        </w:rPr>
        <w:t>: Factor analysis</w:t>
      </w:r>
      <w:r w:rsidR="008B30CF">
        <w:rPr>
          <w:sz w:val="24"/>
        </w:rPr>
        <w:t xml:space="preserve"> results after Varimax R</w:t>
      </w:r>
      <w:r w:rsidRPr="00C87D93">
        <w:rPr>
          <w:sz w:val="24"/>
        </w:rPr>
        <w:t>otation</w:t>
      </w:r>
      <w:bookmarkEnd w:id="110"/>
    </w:p>
    <w:tbl>
      <w:tblPr>
        <w:tblStyle w:val="TableGrid"/>
        <w:tblW w:w="0" w:type="auto"/>
        <w:tblLook w:val="04A0" w:firstRow="1" w:lastRow="0" w:firstColumn="1" w:lastColumn="0" w:noHBand="0" w:noVBand="1"/>
      </w:tblPr>
      <w:tblGrid>
        <w:gridCol w:w="1242"/>
        <w:gridCol w:w="2127"/>
        <w:gridCol w:w="2693"/>
        <w:gridCol w:w="2693"/>
      </w:tblGrid>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left"/>
              <w:rPr>
                <w:rFonts w:ascii="Arial (W1)" w:hAnsi="Arial (W1)" w:cs="Arial"/>
                <w:bCs/>
                <w:iCs/>
              </w:rPr>
            </w:pPr>
            <w:r w:rsidRPr="00C87D93">
              <w:rPr>
                <w:rFonts w:ascii="Arial (W1)" w:hAnsi="Arial (W1)" w:cs="Arial"/>
                <w:bCs/>
                <w:iCs/>
              </w:rPr>
              <w:t>Factor</w:t>
            </w:r>
          </w:p>
        </w:tc>
        <w:tc>
          <w:tcPr>
            <w:tcW w:w="2127" w:type="dxa"/>
          </w:tcPr>
          <w:p w:rsidR="006233B0" w:rsidRPr="00C87D93" w:rsidRDefault="006233B0" w:rsidP="00C87D93">
            <w:pPr>
              <w:widowControl w:val="0"/>
              <w:autoSpaceDE w:val="0"/>
              <w:autoSpaceDN w:val="0"/>
              <w:adjustRightInd w:val="0"/>
              <w:spacing w:after="0" w:line="240" w:lineRule="auto"/>
              <w:jc w:val="left"/>
              <w:rPr>
                <w:rFonts w:ascii="Arial (W1)" w:hAnsi="Arial (W1)" w:cs="Arial"/>
                <w:bCs/>
                <w:iCs/>
              </w:rPr>
            </w:pPr>
            <w:r w:rsidRPr="00C87D93">
              <w:rPr>
                <w:rFonts w:ascii="Arial (W1)" w:hAnsi="Arial (W1)" w:cs="Arial"/>
                <w:bCs/>
                <w:iCs/>
              </w:rPr>
              <w:t>Eigenvalue</w:t>
            </w:r>
          </w:p>
        </w:tc>
        <w:tc>
          <w:tcPr>
            <w:tcW w:w="2693" w:type="dxa"/>
          </w:tcPr>
          <w:p w:rsidR="006233B0" w:rsidRPr="00C87D93" w:rsidRDefault="006233B0" w:rsidP="00C87D93">
            <w:pPr>
              <w:spacing w:line="240" w:lineRule="auto"/>
              <w:jc w:val="left"/>
              <w:rPr>
                <w:rFonts w:ascii="Arial (W1)" w:hAnsi="Arial (W1)" w:cs="Arial"/>
                <w:bCs/>
                <w:iCs/>
              </w:rPr>
            </w:pPr>
            <w:r w:rsidRPr="00C87D93">
              <w:rPr>
                <w:rFonts w:ascii="Arial (W1)" w:hAnsi="Arial (W1)" w:cs="Arial"/>
                <w:bCs/>
                <w:iCs/>
              </w:rPr>
              <w:t>% variance explained</w:t>
            </w:r>
          </w:p>
        </w:tc>
        <w:tc>
          <w:tcPr>
            <w:tcW w:w="2693" w:type="dxa"/>
          </w:tcPr>
          <w:p w:rsidR="006233B0" w:rsidRPr="00C87D93" w:rsidRDefault="006233B0" w:rsidP="00C87D93">
            <w:pPr>
              <w:spacing w:line="240" w:lineRule="auto"/>
              <w:jc w:val="left"/>
              <w:rPr>
                <w:rFonts w:ascii="Arial (W1)" w:hAnsi="Arial (W1)" w:cs="Arial"/>
                <w:bCs/>
                <w:iCs/>
              </w:rPr>
            </w:pPr>
            <w:r w:rsidRPr="00C87D93">
              <w:rPr>
                <w:rFonts w:ascii="Arial (W1)" w:hAnsi="Arial (W1)" w:cs="Arial"/>
                <w:bCs/>
                <w:iCs/>
              </w:rPr>
              <w:t>Cumulative % variance explained</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1</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10.0358</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71.684</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71.684</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2</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0.8590</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6.136</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rPr>
            </w:pPr>
            <w:r w:rsidRPr="00C87D93">
              <w:rPr>
                <w:rFonts w:ascii="Arial (W1)" w:hAnsi="Arial (W1)" w:cs="Arial"/>
                <w:bCs/>
                <w:iCs/>
              </w:rPr>
              <w:t>77.820</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3</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0.6782</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4.844</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82.664</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4</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0.3621</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2.587</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85.251</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5</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0.3475</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2.482</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87.733</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6</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0.3179</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2.271</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90.003</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7</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0.2877</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2.055</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92.058</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8</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0.2625</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1.875</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93.934</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0.2181</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1.558</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95.491</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10</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0.1814</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1.295</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96.787</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11</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0.1644</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1.174</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97.961</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12</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0.1264</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0.903</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98.864</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13</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0.0942</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0.673</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99.537</w:t>
            </w:r>
          </w:p>
        </w:tc>
      </w:tr>
      <w:tr w:rsidR="006233B0" w:rsidRPr="00C87D93" w:rsidTr="006233B0">
        <w:tc>
          <w:tcPr>
            <w:tcW w:w="1242"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14</w:t>
            </w:r>
          </w:p>
        </w:tc>
        <w:tc>
          <w:tcPr>
            <w:tcW w:w="2127"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0.0648</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0.463</w:t>
            </w:r>
          </w:p>
        </w:tc>
        <w:tc>
          <w:tcPr>
            <w:tcW w:w="2693" w:type="dxa"/>
          </w:tcPr>
          <w:p w:rsidR="006233B0" w:rsidRPr="00C87D93" w:rsidRDefault="006233B0" w:rsidP="00C87D93">
            <w:pPr>
              <w:widowControl w:val="0"/>
              <w:autoSpaceDE w:val="0"/>
              <w:autoSpaceDN w:val="0"/>
              <w:adjustRightInd w:val="0"/>
              <w:spacing w:after="0" w:line="240" w:lineRule="auto"/>
              <w:jc w:val="center"/>
              <w:rPr>
                <w:rFonts w:ascii="Arial (W1)" w:hAnsi="Arial (W1)" w:cs="Arial"/>
                <w:bCs/>
                <w:iCs/>
                <w:color w:val="000000" w:themeColor="text1"/>
              </w:rPr>
            </w:pPr>
            <w:r w:rsidRPr="00C87D93">
              <w:rPr>
                <w:rFonts w:ascii="Arial (W1)" w:hAnsi="Arial (W1)" w:cs="Arial"/>
                <w:bCs/>
                <w:iCs/>
                <w:color w:val="000000" w:themeColor="text1"/>
              </w:rPr>
              <w:t>100.000</w:t>
            </w:r>
          </w:p>
        </w:tc>
      </w:tr>
    </w:tbl>
    <w:p w:rsidR="006233B0" w:rsidRPr="006233B0" w:rsidRDefault="006233B0" w:rsidP="006233B0"/>
    <w:p w:rsidR="00296618" w:rsidRDefault="00296618" w:rsidP="00296618">
      <w:pPr>
        <w:jc w:val="center"/>
        <w:rPr>
          <w:color w:val="000000" w:themeColor="text1"/>
        </w:rPr>
      </w:pPr>
      <w:r>
        <w:rPr>
          <w:rFonts w:ascii="Helvetica" w:hAnsi="Helvetica" w:cs="Helvetica"/>
          <w:noProof/>
          <w:color w:val="000000"/>
          <w:sz w:val="26"/>
          <w:szCs w:val="26"/>
          <w:lang w:val="en-ZA" w:eastAsia="en-ZA"/>
        </w:rPr>
        <w:lastRenderedPageBreak/>
        <w:drawing>
          <wp:inline distT="0" distB="0" distL="0" distR="0" wp14:anchorId="60FBAF34" wp14:editId="327D3CE7">
            <wp:extent cx="4009293" cy="3611071"/>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9357" cy="3620135"/>
                    </a:xfrm>
                    <a:prstGeom prst="rect">
                      <a:avLst/>
                    </a:prstGeom>
                    <a:noFill/>
                    <a:ln>
                      <a:noFill/>
                    </a:ln>
                  </pic:spPr>
                </pic:pic>
              </a:graphicData>
            </a:graphic>
          </wp:inline>
        </w:drawing>
      </w:r>
    </w:p>
    <w:p w:rsidR="00296618" w:rsidRPr="00336BBE" w:rsidRDefault="00296618" w:rsidP="00296618">
      <w:pPr>
        <w:pStyle w:val="Caption"/>
        <w:rPr>
          <w:sz w:val="24"/>
        </w:rPr>
      </w:pPr>
      <w:bookmarkStart w:id="111" w:name="_Toc380684397"/>
      <w:r w:rsidRPr="00336BBE">
        <w:rPr>
          <w:sz w:val="24"/>
        </w:rPr>
        <w:t xml:space="preserve">Figure </w:t>
      </w:r>
      <w:r w:rsidRPr="00336BBE">
        <w:rPr>
          <w:sz w:val="24"/>
        </w:rPr>
        <w:fldChar w:fldCharType="begin"/>
      </w:r>
      <w:r w:rsidRPr="00336BBE">
        <w:rPr>
          <w:sz w:val="24"/>
        </w:rPr>
        <w:instrText xml:space="preserve"> SEQ Figure \* ARABIC </w:instrText>
      </w:r>
      <w:r w:rsidRPr="00336BBE">
        <w:rPr>
          <w:sz w:val="24"/>
        </w:rPr>
        <w:fldChar w:fldCharType="separate"/>
      </w:r>
      <w:r>
        <w:rPr>
          <w:noProof/>
          <w:sz w:val="24"/>
        </w:rPr>
        <w:t>12</w:t>
      </w:r>
      <w:r w:rsidRPr="00336BBE">
        <w:rPr>
          <w:sz w:val="24"/>
        </w:rPr>
        <w:fldChar w:fldCharType="end"/>
      </w:r>
      <w:r w:rsidRPr="00336BBE">
        <w:rPr>
          <w:sz w:val="24"/>
        </w:rPr>
        <w:t>: Scree plot for new branding</w:t>
      </w:r>
      <w:bookmarkEnd w:id="111"/>
    </w:p>
    <w:p w:rsidR="00296618" w:rsidRDefault="00296618" w:rsidP="00296618">
      <w:pPr>
        <w:rPr>
          <w:color w:val="000000" w:themeColor="text1"/>
        </w:rPr>
      </w:pPr>
    </w:p>
    <w:p w:rsidR="00296618" w:rsidRDefault="00296618" w:rsidP="00296618">
      <w:pPr>
        <w:rPr>
          <w:color w:val="000000" w:themeColor="text1"/>
        </w:rPr>
      </w:pPr>
      <w:r w:rsidRPr="0006174D">
        <w:rPr>
          <w:color w:val="000000" w:themeColor="text1"/>
        </w:rPr>
        <w:t xml:space="preserve">Questionnaire items and corresponding factor loadings are presented in Table </w:t>
      </w:r>
      <w:r>
        <w:rPr>
          <w:color w:val="000000" w:themeColor="text1"/>
        </w:rPr>
        <w:t>13</w:t>
      </w:r>
      <w:r w:rsidRPr="0006174D">
        <w:rPr>
          <w:color w:val="000000" w:themeColor="text1"/>
        </w:rPr>
        <w:t xml:space="preserve">. In interpreting the rotated factor pattern, an item was said to load on a given component if the factor loading was 0.40 or greater for that component and less than 0.40 for the other. Using these criteria, all fourteen items were found to load on to one component.  </w:t>
      </w:r>
    </w:p>
    <w:p w:rsidR="00423865" w:rsidRDefault="00423865" w:rsidP="00296618">
      <w:pPr>
        <w:rPr>
          <w:color w:val="000000" w:themeColor="text1"/>
        </w:rPr>
      </w:pPr>
    </w:p>
    <w:p w:rsidR="00423865" w:rsidRDefault="00423865" w:rsidP="00296618">
      <w:pPr>
        <w:rPr>
          <w:color w:val="000000" w:themeColor="text1"/>
        </w:rPr>
      </w:pPr>
    </w:p>
    <w:p w:rsidR="006233B0" w:rsidRDefault="006233B0" w:rsidP="00296618">
      <w:pPr>
        <w:rPr>
          <w:color w:val="000000" w:themeColor="text1"/>
        </w:rPr>
      </w:pPr>
    </w:p>
    <w:p w:rsidR="006233B0" w:rsidRDefault="006233B0" w:rsidP="00296618">
      <w:pPr>
        <w:rPr>
          <w:color w:val="000000" w:themeColor="text1"/>
        </w:rPr>
      </w:pPr>
    </w:p>
    <w:p w:rsidR="00423865" w:rsidRDefault="00423865" w:rsidP="00296618">
      <w:pPr>
        <w:rPr>
          <w:color w:val="000000" w:themeColor="text1"/>
        </w:rPr>
      </w:pPr>
    </w:p>
    <w:p w:rsidR="00296618" w:rsidRDefault="00296618" w:rsidP="00296618">
      <w:pPr>
        <w:pStyle w:val="Caption"/>
        <w:rPr>
          <w:sz w:val="24"/>
        </w:rPr>
      </w:pPr>
      <w:bookmarkStart w:id="112" w:name="_Toc380684362"/>
      <w:r w:rsidRPr="00336BBE">
        <w:rPr>
          <w:sz w:val="24"/>
        </w:rPr>
        <w:lastRenderedPageBreak/>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16</w:t>
      </w:r>
      <w:r w:rsidRPr="00336BBE">
        <w:rPr>
          <w:sz w:val="24"/>
        </w:rPr>
        <w:fldChar w:fldCharType="end"/>
      </w:r>
      <w:r w:rsidRPr="00336BBE">
        <w:rPr>
          <w:sz w:val="24"/>
        </w:rPr>
        <w:t>: Factor loading for the new branding</w:t>
      </w:r>
      <w:bookmarkEnd w:id="112"/>
    </w:p>
    <w:tbl>
      <w:tblPr>
        <w:tblStyle w:val="TableGrid3"/>
        <w:tblW w:w="0" w:type="auto"/>
        <w:tblLook w:val="04A0" w:firstRow="1" w:lastRow="0" w:firstColumn="1" w:lastColumn="0" w:noHBand="0" w:noVBand="1"/>
      </w:tblPr>
      <w:tblGrid>
        <w:gridCol w:w="1830"/>
        <w:gridCol w:w="5879"/>
        <w:gridCol w:w="1245"/>
      </w:tblGrid>
      <w:tr w:rsidR="007375E2" w:rsidRPr="00553636" w:rsidTr="0063507B">
        <w:tc>
          <w:tcPr>
            <w:tcW w:w="1830" w:type="dxa"/>
            <w:shd w:val="clear" w:color="auto" w:fill="A6A6A6" w:themeFill="background1" w:themeFillShade="A6"/>
          </w:tcPr>
          <w:p w:rsidR="007375E2" w:rsidRPr="00553636" w:rsidRDefault="007375E2" w:rsidP="0063507B">
            <w:pPr>
              <w:widowControl w:val="0"/>
              <w:autoSpaceDE w:val="0"/>
              <w:autoSpaceDN w:val="0"/>
              <w:adjustRightInd w:val="0"/>
              <w:spacing w:before="0" w:after="0" w:line="240" w:lineRule="auto"/>
              <w:jc w:val="center"/>
              <w:rPr>
                <w:rFonts w:cs="Arial"/>
                <w:color w:val="000000"/>
                <w:lang w:val="en-ZA" w:eastAsia="en-ZA"/>
              </w:rPr>
            </w:pPr>
          </w:p>
        </w:tc>
        <w:tc>
          <w:tcPr>
            <w:tcW w:w="7124" w:type="dxa"/>
            <w:gridSpan w:val="2"/>
            <w:shd w:val="clear" w:color="auto" w:fill="A6A6A6" w:themeFill="background1" w:themeFillShade="A6"/>
          </w:tcPr>
          <w:p w:rsidR="007375E2" w:rsidRPr="00046AE9"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46AE9">
              <w:rPr>
                <w:rFonts w:cs="Arial"/>
                <w:color w:val="000000"/>
                <w:lang w:val="en-ZA" w:eastAsia="en-ZA"/>
              </w:rPr>
              <w:t>Factor Loading</w:t>
            </w:r>
          </w:p>
        </w:tc>
      </w:tr>
      <w:tr w:rsidR="007375E2" w:rsidRPr="00553636" w:rsidTr="0063507B">
        <w:tc>
          <w:tcPr>
            <w:tcW w:w="1830" w:type="dxa"/>
            <w:shd w:val="clear" w:color="auto" w:fill="A6A6A6" w:themeFill="background1" w:themeFillShade="A6"/>
          </w:tcPr>
          <w:p w:rsidR="007375E2" w:rsidRPr="00B6629B"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46AE9">
              <w:rPr>
                <w:rFonts w:cs="Arial"/>
                <w:color w:val="000000"/>
                <w:lang w:val="en-ZA" w:eastAsia="en-ZA"/>
              </w:rPr>
              <w:t>Questionnaire item</w:t>
            </w:r>
          </w:p>
        </w:tc>
        <w:tc>
          <w:tcPr>
            <w:tcW w:w="5879" w:type="dxa"/>
            <w:shd w:val="clear" w:color="auto" w:fill="A6A6A6" w:themeFill="background1" w:themeFillShade="A6"/>
          </w:tcPr>
          <w:p w:rsidR="007375E2" w:rsidRPr="00046AE9" w:rsidRDefault="007375E2" w:rsidP="0063507B">
            <w:pPr>
              <w:widowControl w:val="0"/>
              <w:autoSpaceDE w:val="0"/>
              <w:autoSpaceDN w:val="0"/>
              <w:adjustRightInd w:val="0"/>
              <w:spacing w:before="0" w:after="0" w:line="240" w:lineRule="auto"/>
              <w:jc w:val="center"/>
              <w:rPr>
                <w:rFonts w:cs="Arial"/>
                <w:color w:val="000000"/>
                <w:lang w:val="en-ZA" w:eastAsia="en-ZA"/>
              </w:rPr>
            </w:pPr>
            <w:r w:rsidRPr="00272493">
              <w:rPr>
                <w:rFonts w:cs="Arial"/>
                <w:color w:val="000000"/>
                <w:lang w:val="en-ZA" w:eastAsia="en-ZA"/>
              </w:rPr>
              <w:t xml:space="preserve">              </w:t>
            </w:r>
            <w:r w:rsidRPr="00046AE9">
              <w:rPr>
                <w:rFonts w:cs="Arial"/>
                <w:color w:val="000000"/>
                <w:lang w:val="en-ZA" w:eastAsia="en-ZA"/>
              </w:rPr>
              <w:t>Variables</w:t>
            </w:r>
          </w:p>
        </w:tc>
        <w:tc>
          <w:tcPr>
            <w:tcW w:w="1245" w:type="dxa"/>
            <w:shd w:val="clear" w:color="auto" w:fill="A6A6A6" w:themeFill="background1" w:themeFillShade="A6"/>
          </w:tcPr>
          <w:p w:rsidR="007375E2" w:rsidRPr="00046AE9" w:rsidRDefault="007375E2" w:rsidP="0063507B">
            <w:pPr>
              <w:widowControl w:val="0"/>
              <w:autoSpaceDE w:val="0"/>
              <w:autoSpaceDN w:val="0"/>
              <w:adjustRightInd w:val="0"/>
              <w:spacing w:before="0" w:after="0" w:line="240" w:lineRule="auto"/>
              <w:jc w:val="center"/>
              <w:rPr>
                <w:rFonts w:cs="Arial"/>
                <w:color w:val="000000"/>
                <w:lang w:val="en-ZA" w:eastAsia="en-ZA"/>
              </w:rPr>
            </w:pPr>
            <w:r w:rsidRPr="00046AE9">
              <w:rPr>
                <w:rFonts w:cs="Arial"/>
                <w:color w:val="000000"/>
                <w:lang w:val="en-ZA" w:eastAsia="en-ZA"/>
              </w:rPr>
              <w:t>Factor 1</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27</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am attracted and attached to this brand.</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0.69597</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28</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have a lot of affection for this brand.</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0.77687</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29</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love recommending this brand.</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0.73525</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30</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can recogni</w:t>
            </w:r>
            <w:r>
              <w:rPr>
                <w:rFonts w:cs="Arial"/>
                <w:color w:val="000000"/>
                <w:lang w:val="en-ZA" w:eastAsia="en-ZA"/>
              </w:rPr>
              <w:t>s</w:t>
            </w:r>
            <w:r w:rsidRPr="00553636">
              <w:rPr>
                <w:rFonts w:cs="Arial"/>
                <w:color w:val="000000"/>
                <w:lang w:val="en-ZA" w:eastAsia="en-ZA"/>
              </w:rPr>
              <w:t>e this brand quickly amongst competitors.</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0.68676</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31</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am familiar with this brand.</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0.61945</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32</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Some characteristics of this brand come to mind quickly.</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0.68633</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33</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know what this brand stands for.</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0.76958</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34</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can quickly recall this brand.</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0.74144</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35</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This brand is unique compared when compared with competitors.</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0.74803</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36</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consider myself to be loyal to this brand.</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0.72407</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37</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This brand is my first choice when shopping.</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0.73030</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38</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I will not buy other brands if this brand is available.</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0.61978</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39</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The quality of this brand is extremely high.</w:t>
            </w:r>
          </w:p>
        </w:tc>
        <w:tc>
          <w:tcPr>
            <w:tcW w:w="1245" w:type="dxa"/>
          </w:tcPr>
          <w:p w:rsidR="007375E2" w:rsidRPr="00553636" w:rsidRDefault="007375E2" w:rsidP="0063507B">
            <w:pPr>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0.61885</w:t>
            </w:r>
          </w:p>
        </w:tc>
      </w:tr>
      <w:tr w:rsidR="007375E2" w:rsidRPr="00553636" w:rsidTr="0063507B">
        <w:tc>
          <w:tcPr>
            <w:tcW w:w="1830"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Pr>
                <w:rFonts w:cs="Arial"/>
                <w:color w:val="000000"/>
                <w:lang w:val="en-ZA" w:eastAsia="en-ZA"/>
              </w:rPr>
              <w:t>40</w:t>
            </w:r>
          </w:p>
        </w:tc>
        <w:tc>
          <w:tcPr>
            <w:tcW w:w="5879" w:type="dxa"/>
          </w:tcPr>
          <w:p w:rsidR="007375E2" w:rsidRPr="00553636" w:rsidRDefault="007375E2" w:rsidP="0063507B">
            <w:pPr>
              <w:widowControl w:val="0"/>
              <w:autoSpaceDE w:val="0"/>
              <w:autoSpaceDN w:val="0"/>
              <w:adjustRightInd w:val="0"/>
              <w:spacing w:before="0" w:after="0" w:line="240" w:lineRule="auto"/>
              <w:jc w:val="left"/>
              <w:rPr>
                <w:rFonts w:cs="Arial"/>
                <w:color w:val="000000"/>
                <w:lang w:val="en-ZA" w:eastAsia="en-ZA"/>
              </w:rPr>
            </w:pPr>
            <w:r w:rsidRPr="00553636">
              <w:rPr>
                <w:rFonts w:cs="Arial"/>
                <w:color w:val="000000"/>
                <w:lang w:val="en-ZA" w:eastAsia="en-ZA"/>
              </w:rPr>
              <w:t>This brand has good and functional products and services.</w:t>
            </w:r>
          </w:p>
        </w:tc>
        <w:tc>
          <w:tcPr>
            <w:tcW w:w="1245" w:type="dxa"/>
          </w:tcPr>
          <w:p w:rsidR="007375E2" w:rsidRPr="00553636" w:rsidRDefault="007375E2" w:rsidP="0063507B">
            <w:pPr>
              <w:keepNext/>
              <w:widowControl w:val="0"/>
              <w:autoSpaceDE w:val="0"/>
              <w:autoSpaceDN w:val="0"/>
              <w:adjustRightInd w:val="0"/>
              <w:spacing w:before="0" w:after="0" w:line="240" w:lineRule="auto"/>
              <w:jc w:val="right"/>
              <w:rPr>
                <w:rFonts w:cs="Arial"/>
                <w:color w:val="000000"/>
                <w:lang w:val="en-ZA" w:eastAsia="en-ZA"/>
              </w:rPr>
            </w:pPr>
            <w:r w:rsidRPr="00553636">
              <w:rPr>
                <w:rFonts w:cs="Arial"/>
                <w:color w:val="000000"/>
                <w:lang w:val="en-ZA" w:eastAsia="en-ZA"/>
              </w:rPr>
              <w:t>0.57663</w:t>
            </w:r>
          </w:p>
        </w:tc>
      </w:tr>
    </w:tbl>
    <w:p w:rsidR="00296618" w:rsidRPr="000C1ACF" w:rsidRDefault="00296618" w:rsidP="00296618"/>
    <w:p w:rsidR="00296618" w:rsidRDefault="00296618" w:rsidP="00296618">
      <w:r w:rsidRPr="00891B22">
        <w:t>The resulting factor</w:t>
      </w:r>
      <w:r>
        <w:t xml:space="preserve"> from the Table 13 is discussed below.</w:t>
      </w:r>
    </w:p>
    <w:p w:rsidR="00296618" w:rsidRDefault="00296618" w:rsidP="00296618">
      <w:r w:rsidRPr="003A6EE0">
        <w:rPr>
          <w:b/>
        </w:rPr>
        <w:t>Factor 1:</w:t>
      </w:r>
      <w:r>
        <w:t xml:space="preserve"> </w:t>
      </w:r>
      <w:r w:rsidRPr="0006174D">
        <w:t xml:space="preserve">This factor </w:t>
      </w:r>
      <w:r>
        <w:t>had</w:t>
      </w:r>
      <w:r w:rsidRPr="0006174D">
        <w:t xml:space="preserve"> a loading</w:t>
      </w:r>
      <w:r>
        <w:t xml:space="preserve"> of all variables and made no distinction between brand awareness, perceived quality and brand loyalty. This factor had a high mean response of 4.13 (Table 1</w:t>
      </w:r>
      <w:r w:rsidR="00530ED5">
        <w:t>7</w:t>
      </w:r>
      <w:r>
        <w:t xml:space="preserve">). </w:t>
      </w:r>
      <w:r w:rsidRPr="0097440C">
        <w:t>Although employees were knowledgeable about the brand, it does take a long time for a new brand to yield the desired brand image. This notion corresponds with previous studies</w:t>
      </w:r>
      <w:r>
        <w:t xml:space="preserve"> confirming</w:t>
      </w:r>
      <w:r w:rsidRPr="0097440C">
        <w:t xml:space="preserve"> that b</w:t>
      </w:r>
      <w:r>
        <w:t>uilding brand equity takes time</w:t>
      </w:r>
      <w:r w:rsidRPr="0097440C">
        <w:t xml:space="preserve"> (Singh </w:t>
      </w:r>
      <w:r>
        <w:t>and</w:t>
      </w:r>
      <w:r w:rsidRPr="0097440C">
        <w:t xml:space="preserve"> Dharamveer, 2011; Stuart </w:t>
      </w:r>
      <w:r>
        <w:t>and</w:t>
      </w:r>
      <w:r w:rsidRPr="0097440C">
        <w:t xml:space="preserve"> Muzellec, 2004). </w:t>
      </w:r>
      <w:r>
        <w:t xml:space="preserve">This factor is termed </w:t>
      </w:r>
      <w:r w:rsidRPr="003073D5">
        <w:rPr>
          <w:b/>
        </w:rPr>
        <w:t>infant brand</w:t>
      </w:r>
      <w:r>
        <w:t xml:space="preserve">. </w:t>
      </w:r>
    </w:p>
    <w:p w:rsidR="00296618" w:rsidRDefault="00296618" w:rsidP="00296618">
      <w:pPr>
        <w:pStyle w:val="Caption"/>
        <w:rPr>
          <w:sz w:val="24"/>
        </w:rPr>
      </w:pPr>
    </w:p>
    <w:p w:rsidR="00423865" w:rsidRPr="00423865" w:rsidRDefault="00423865" w:rsidP="00423865"/>
    <w:p w:rsidR="00296618" w:rsidRDefault="00296618" w:rsidP="00296618">
      <w:pPr>
        <w:pStyle w:val="Caption"/>
        <w:rPr>
          <w:sz w:val="24"/>
        </w:rPr>
      </w:pPr>
      <w:bookmarkStart w:id="113" w:name="_Toc380684363"/>
      <w:r w:rsidRPr="00336BBE">
        <w:rPr>
          <w:sz w:val="24"/>
        </w:rPr>
        <w:lastRenderedPageBreak/>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17</w:t>
      </w:r>
      <w:r w:rsidRPr="00336BBE">
        <w:rPr>
          <w:sz w:val="24"/>
        </w:rPr>
        <w:fldChar w:fldCharType="end"/>
      </w:r>
      <w:r w:rsidRPr="00336BBE">
        <w:rPr>
          <w:sz w:val="24"/>
        </w:rPr>
        <w:t>: Descriptive Statistics - Infant brand</w:t>
      </w:r>
      <w:bookmarkEnd w:id="113"/>
    </w:p>
    <w:tbl>
      <w:tblPr>
        <w:tblStyle w:val="TableGrid"/>
        <w:tblW w:w="0" w:type="auto"/>
        <w:tblLook w:val="04A0" w:firstRow="1" w:lastRow="0" w:firstColumn="1" w:lastColumn="0" w:noHBand="0" w:noVBand="1"/>
      </w:tblPr>
      <w:tblGrid>
        <w:gridCol w:w="2518"/>
        <w:gridCol w:w="801"/>
        <w:gridCol w:w="1410"/>
        <w:gridCol w:w="1428"/>
        <w:gridCol w:w="1379"/>
        <w:gridCol w:w="1418"/>
      </w:tblGrid>
      <w:tr w:rsidR="00530ED5" w:rsidRPr="00046AE9" w:rsidTr="00530ED5">
        <w:tc>
          <w:tcPr>
            <w:tcW w:w="2518" w:type="dxa"/>
            <w:vAlign w:val="center"/>
          </w:tcPr>
          <w:p w:rsidR="00530ED5" w:rsidRPr="00046AE9" w:rsidRDefault="00530ED5" w:rsidP="00530ED5">
            <w:pPr>
              <w:autoSpaceDE w:val="0"/>
              <w:autoSpaceDN w:val="0"/>
              <w:adjustRightInd w:val="0"/>
              <w:spacing w:before="0" w:after="0" w:line="320" w:lineRule="atLeast"/>
              <w:ind w:left="60" w:right="60"/>
              <w:jc w:val="left"/>
            </w:pPr>
          </w:p>
        </w:tc>
        <w:tc>
          <w:tcPr>
            <w:tcW w:w="801" w:type="dxa"/>
          </w:tcPr>
          <w:p w:rsidR="00530ED5" w:rsidRPr="005D1077" w:rsidRDefault="00530ED5" w:rsidP="00530ED5">
            <w:pPr>
              <w:autoSpaceDE w:val="0"/>
              <w:autoSpaceDN w:val="0"/>
              <w:adjustRightInd w:val="0"/>
              <w:spacing w:before="0" w:after="0" w:line="320" w:lineRule="atLeast"/>
              <w:ind w:left="60" w:right="60"/>
              <w:jc w:val="right"/>
            </w:pPr>
            <w:r w:rsidRPr="00B6629B">
              <w:t>N</w:t>
            </w:r>
          </w:p>
        </w:tc>
        <w:tc>
          <w:tcPr>
            <w:tcW w:w="1410" w:type="dxa"/>
          </w:tcPr>
          <w:p w:rsidR="00530ED5" w:rsidRPr="00046AE9" w:rsidRDefault="00530ED5" w:rsidP="00530ED5">
            <w:pPr>
              <w:autoSpaceDE w:val="0"/>
              <w:autoSpaceDN w:val="0"/>
              <w:adjustRightInd w:val="0"/>
              <w:spacing w:before="0" w:after="0" w:line="320" w:lineRule="atLeast"/>
              <w:ind w:left="60" w:right="60"/>
              <w:jc w:val="right"/>
            </w:pPr>
            <w:r w:rsidRPr="005D1077">
              <w:t>Minimum</w:t>
            </w:r>
          </w:p>
        </w:tc>
        <w:tc>
          <w:tcPr>
            <w:tcW w:w="1428" w:type="dxa"/>
          </w:tcPr>
          <w:p w:rsidR="00530ED5" w:rsidRPr="00046AE9" w:rsidRDefault="00530ED5" w:rsidP="00530ED5">
            <w:pPr>
              <w:autoSpaceDE w:val="0"/>
              <w:autoSpaceDN w:val="0"/>
              <w:adjustRightInd w:val="0"/>
              <w:spacing w:before="0" w:after="0" w:line="320" w:lineRule="atLeast"/>
              <w:ind w:left="60" w:right="60"/>
              <w:jc w:val="right"/>
            </w:pPr>
            <w:r w:rsidRPr="00272493">
              <w:t>Maximum</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272493">
              <w:t>Mean</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272493">
              <w:t>Standard Deviation</w:t>
            </w:r>
          </w:p>
        </w:tc>
      </w:tr>
      <w:tr w:rsidR="00530ED5" w:rsidRPr="00046AE9" w:rsidTr="00530ED5">
        <w:tc>
          <w:tcPr>
            <w:tcW w:w="2518" w:type="dxa"/>
            <w:vAlign w:val="center"/>
          </w:tcPr>
          <w:p w:rsidR="00530ED5" w:rsidRPr="00046AE9" w:rsidRDefault="00530ED5" w:rsidP="00530ED5">
            <w:pPr>
              <w:autoSpaceDE w:val="0"/>
              <w:autoSpaceDN w:val="0"/>
              <w:adjustRightInd w:val="0"/>
              <w:spacing w:before="0" w:after="0" w:line="320" w:lineRule="atLeast"/>
              <w:ind w:left="60" w:right="60"/>
              <w:jc w:val="left"/>
            </w:pPr>
            <w:r w:rsidRPr="0053125D">
              <w:t>Infant brand</w:t>
            </w:r>
          </w:p>
        </w:tc>
        <w:tc>
          <w:tcPr>
            <w:tcW w:w="801" w:type="dxa"/>
          </w:tcPr>
          <w:p w:rsidR="00530ED5" w:rsidRPr="00046AE9" w:rsidRDefault="00530ED5" w:rsidP="00530ED5">
            <w:pPr>
              <w:autoSpaceDE w:val="0"/>
              <w:autoSpaceDN w:val="0"/>
              <w:adjustRightInd w:val="0"/>
              <w:spacing w:before="0" w:after="0" w:line="320" w:lineRule="atLeast"/>
              <w:ind w:left="60" w:right="60"/>
              <w:jc w:val="right"/>
            </w:pPr>
            <w:r w:rsidRPr="00272493">
              <w:t>10</w:t>
            </w:r>
            <w:r w:rsidR="00A853B2">
              <w:t>9</w:t>
            </w:r>
          </w:p>
        </w:tc>
        <w:tc>
          <w:tcPr>
            <w:tcW w:w="1410" w:type="dxa"/>
          </w:tcPr>
          <w:p w:rsidR="00530ED5" w:rsidRPr="00046AE9" w:rsidRDefault="00530ED5" w:rsidP="00530ED5">
            <w:pPr>
              <w:autoSpaceDE w:val="0"/>
              <w:autoSpaceDN w:val="0"/>
              <w:adjustRightInd w:val="0"/>
              <w:spacing w:before="0" w:after="0" w:line="320" w:lineRule="atLeast"/>
              <w:ind w:left="60" w:right="60"/>
              <w:jc w:val="right"/>
            </w:pPr>
            <w:r w:rsidRPr="00272493">
              <w:t>2.50</w:t>
            </w:r>
          </w:p>
        </w:tc>
        <w:tc>
          <w:tcPr>
            <w:tcW w:w="1428" w:type="dxa"/>
          </w:tcPr>
          <w:p w:rsidR="00530ED5" w:rsidRPr="00046AE9" w:rsidRDefault="00530ED5" w:rsidP="00530ED5">
            <w:pPr>
              <w:autoSpaceDE w:val="0"/>
              <w:autoSpaceDN w:val="0"/>
              <w:adjustRightInd w:val="0"/>
              <w:spacing w:before="0" w:after="0" w:line="320" w:lineRule="atLeast"/>
              <w:ind w:left="60" w:right="60"/>
              <w:jc w:val="right"/>
            </w:pPr>
            <w:r w:rsidRPr="00272493">
              <w:t>5.00</w:t>
            </w:r>
          </w:p>
        </w:tc>
        <w:tc>
          <w:tcPr>
            <w:tcW w:w="1379" w:type="dxa"/>
          </w:tcPr>
          <w:p w:rsidR="00530ED5" w:rsidRPr="00046AE9" w:rsidRDefault="00530ED5" w:rsidP="00530ED5">
            <w:pPr>
              <w:autoSpaceDE w:val="0"/>
              <w:autoSpaceDN w:val="0"/>
              <w:adjustRightInd w:val="0"/>
              <w:spacing w:before="0" w:after="0" w:line="320" w:lineRule="atLeast"/>
              <w:ind w:left="60" w:right="60"/>
              <w:jc w:val="right"/>
            </w:pPr>
            <w:r w:rsidRPr="00272493">
              <w:t>4.1384</w:t>
            </w:r>
          </w:p>
        </w:tc>
        <w:tc>
          <w:tcPr>
            <w:tcW w:w="1418" w:type="dxa"/>
          </w:tcPr>
          <w:p w:rsidR="00530ED5" w:rsidRPr="00046AE9" w:rsidRDefault="00530ED5" w:rsidP="00530ED5">
            <w:pPr>
              <w:autoSpaceDE w:val="0"/>
              <w:autoSpaceDN w:val="0"/>
              <w:adjustRightInd w:val="0"/>
              <w:spacing w:before="0" w:after="0" w:line="320" w:lineRule="atLeast"/>
              <w:ind w:left="60" w:right="60"/>
              <w:jc w:val="right"/>
            </w:pPr>
            <w:r w:rsidRPr="00272493">
              <w:t>.67859</w:t>
            </w:r>
          </w:p>
        </w:tc>
      </w:tr>
    </w:tbl>
    <w:p w:rsidR="00296618" w:rsidRPr="000C1ACF" w:rsidRDefault="00296618" w:rsidP="00296618"/>
    <w:p w:rsidR="00296618" w:rsidRDefault="00296618" w:rsidP="00296618">
      <w:r>
        <w:t>Respondents were asked, in question 41, to state which of the two Vodacom brands they perceive to be better. Overwhelmingly, 58.71% of Vodacom employees prefer the new brand as highlighted by figure 13. However, the respondents could not distinguish between the dimensions of brand equity as evident with all the variables loaded on one factor.</w:t>
      </w:r>
    </w:p>
    <w:p w:rsidR="00296618" w:rsidRDefault="00296618" w:rsidP="00296618">
      <w:pPr>
        <w:pStyle w:val="Caption"/>
        <w:jc w:val="center"/>
      </w:pPr>
      <w:r>
        <w:rPr>
          <w:noProof/>
          <w:lang w:val="en-ZA" w:eastAsia="en-ZA"/>
        </w:rPr>
        <w:drawing>
          <wp:inline distT="0" distB="0" distL="0" distR="0" wp14:anchorId="099629B0" wp14:editId="60C9E827">
            <wp:extent cx="5415148" cy="3313216"/>
            <wp:effectExtent l="0" t="0" r="0" b="190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96618" w:rsidRPr="00336BBE" w:rsidRDefault="00296618" w:rsidP="00296618">
      <w:pPr>
        <w:pStyle w:val="Caption"/>
        <w:rPr>
          <w:sz w:val="24"/>
        </w:rPr>
      </w:pPr>
      <w:bookmarkStart w:id="114" w:name="_Toc380684398"/>
      <w:r w:rsidRPr="00336BBE">
        <w:rPr>
          <w:sz w:val="24"/>
        </w:rPr>
        <w:t xml:space="preserve">Figure </w:t>
      </w:r>
      <w:r w:rsidRPr="00336BBE">
        <w:rPr>
          <w:sz w:val="24"/>
        </w:rPr>
        <w:fldChar w:fldCharType="begin"/>
      </w:r>
      <w:r w:rsidRPr="00336BBE">
        <w:rPr>
          <w:sz w:val="24"/>
        </w:rPr>
        <w:instrText xml:space="preserve"> SEQ Figure \* ARABIC </w:instrText>
      </w:r>
      <w:r w:rsidRPr="00336BBE">
        <w:rPr>
          <w:sz w:val="24"/>
        </w:rPr>
        <w:fldChar w:fldCharType="separate"/>
      </w:r>
      <w:r>
        <w:rPr>
          <w:noProof/>
          <w:sz w:val="24"/>
        </w:rPr>
        <w:t>13</w:t>
      </w:r>
      <w:r w:rsidRPr="00336BBE">
        <w:rPr>
          <w:sz w:val="24"/>
        </w:rPr>
        <w:fldChar w:fldCharType="end"/>
      </w:r>
      <w:r w:rsidRPr="00336BBE">
        <w:rPr>
          <w:sz w:val="24"/>
        </w:rPr>
        <w:t>: Perceptions of the two brands by employees of Vodacom</w:t>
      </w:r>
      <w:bookmarkEnd w:id="114"/>
    </w:p>
    <w:p w:rsidR="00296618" w:rsidRPr="00D531EC" w:rsidRDefault="00296618" w:rsidP="00296618">
      <w:pPr>
        <w:spacing w:before="0" w:after="0" w:line="240" w:lineRule="auto"/>
        <w:jc w:val="left"/>
        <w:rPr>
          <w:rFonts w:cs="Arial"/>
          <w:b/>
          <w:bCs/>
          <w:caps/>
          <w:kern w:val="32"/>
          <w:sz w:val="32"/>
          <w:szCs w:val="32"/>
        </w:rPr>
      </w:pPr>
    </w:p>
    <w:p w:rsidR="00296618" w:rsidRPr="003E5266" w:rsidRDefault="00296618" w:rsidP="00296618">
      <w:pPr>
        <w:pStyle w:val="Heading3"/>
        <w:numPr>
          <w:ilvl w:val="2"/>
          <w:numId w:val="19"/>
        </w:numPr>
        <w:ind w:hanging="896"/>
      </w:pPr>
      <w:bookmarkStart w:id="115" w:name="_Toc380687108"/>
      <w:r>
        <w:lastRenderedPageBreak/>
        <w:t>Linear Regression Analysis</w:t>
      </w:r>
      <w:bookmarkEnd w:id="115"/>
    </w:p>
    <w:p w:rsidR="00296618" w:rsidRPr="0076129C" w:rsidRDefault="00296618" w:rsidP="00296618">
      <w:pPr>
        <w:pStyle w:val="Heading2"/>
        <w:numPr>
          <w:ilvl w:val="0"/>
          <w:numId w:val="0"/>
        </w:numPr>
        <w:jc w:val="both"/>
        <w:rPr>
          <w:rFonts w:ascii="Arial" w:hAnsi="Arial" w:cs="Arial"/>
          <w:b w:val="0"/>
          <w:sz w:val="24"/>
          <w:szCs w:val="24"/>
        </w:rPr>
      </w:pPr>
      <w:bookmarkStart w:id="116" w:name="_Toc380504858"/>
      <w:bookmarkStart w:id="117" w:name="_Toc380687109"/>
      <w:r w:rsidRPr="003E5266">
        <w:rPr>
          <w:rFonts w:ascii="Arial" w:hAnsi="Arial" w:cs="Arial"/>
          <w:b w:val="0"/>
          <w:sz w:val="24"/>
          <w:szCs w:val="24"/>
        </w:rPr>
        <w:t xml:space="preserve">This section assesses the relationship between brand equity (brand awareness, brand association and brand loyalty) as a dependent variable and drivers of corporate rebranding (corporate </w:t>
      </w:r>
      <w:r>
        <w:rPr>
          <w:rFonts w:ascii="Arial" w:hAnsi="Arial" w:cs="Arial"/>
          <w:b w:val="0"/>
          <w:sz w:val="24"/>
          <w:szCs w:val="24"/>
        </w:rPr>
        <w:t xml:space="preserve">structure and </w:t>
      </w:r>
      <w:r w:rsidRPr="003E5266">
        <w:rPr>
          <w:rFonts w:ascii="Arial" w:hAnsi="Arial" w:cs="Arial"/>
          <w:b w:val="0"/>
          <w:sz w:val="24"/>
          <w:szCs w:val="24"/>
        </w:rPr>
        <w:t>strategy</w:t>
      </w:r>
      <w:r>
        <w:rPr>
          <w:rFonts w:ascii="Arial" w:hAnsi="Arial" w:cs="Arial"/>
          <w:b w:val="0"/>
          <w:sz w:val="24"/>
          <w:szCs w:val="24"/>
        </w:rPr>
        <w:t>;</w:t>
      </w:r>
      <w:r w:rsidRPr="003E5266">
        <w:rPr>
          <w:rFonts w:ascii="Arial" w:hAnsi="Arial" w:cs="Arial"/>
          <w:b w:val="0"/>
          <w:sz w:val="24"/>
          <w:szCs w:val="24"/>
        </w:rPr>
        <w:t xml:space="preserve"> and macroeconomic factors) as independent variables on the old and new branding respectively.</w:t>
      </w:r>
      <w:bookmarkEnd w:id="116"/>
      <w:bookmarkEnd w:id="117"/>
      <w:r w:rsidRPr="003E5266">
        <w:rPr>
          <w:rFonts w:ascii="Arial" w:hAnsi="Arial" w:cs="Arial"/>
          <w:b w:val="0"/>
          <w:sz w:val="24"/>
          <w:szCs w:val="24"/>
        </w:rPr>
        <w:t xml:space="preserve"> </w:t>
      </w:r>
    </w:p>
    <w:p w:rsidR="00296618" w:rsidRPr="008C7B20" w:rsidRDefault="00296618" w:rsidP="00296618"/>
    <w:p w:rsidR="00296618" w:rsidRPr="008C7B20" w:rsidRDefault="00296618" w:rsidP="00296618">
      <w:pPr>
        <w:pStyle w:val="Heading4"/>
        <w:numPr>
          <w:ilvl w:val="3"/>
          <w:numId w:val="27"/>
        </w:numPr>
        <w:ind w:left="1701" w:hanging="1134"/>
      </w:pPr>
      <w:r w:rsidRPr="008C7B20">
        <w:t>Brand awareness</w:t>
      </w:r>
      <w:r>
        <w:t xml:space="preserve"> with two drivers</w:t>
      </w:r>
      <w:r w:rsidRPr="00394622">
        <w:t xml:space="preserve"> </w:t>
      </w:r>
      <w:r>
        <w:t>(corporate structure and strategy; and macroeconomic factors)</w:t>
      </w:r>
    </w:p>
    <w:p w:rsidR="00296618" w:rsidRDefault="00296618" w:rsidP="00296618">
      <w:pPr>
        <w:pStyle w:val="Heading3"/>
        <w:numPr>
          <w:ilvl w:val="0"/>
          <w:numId w:val="0"/>
        </w:numPr>
      </w:pPr>
      <w:bookmarkStart w:id="118" w:name="_Toc380504859"/>
      <w:bookmarkStart w:id="119" w:name="_Toc380687110"/>
      <w:r>
        <w:t>Multiple Regression Analysis assessing the relationship between brand equity (brand awareness) and drivers (corporate structure and strategy; and macroeconomic factors) of corporate rebranding in relation to old brand.</w:t>
      </w:r>
      <w:bookmarkEnd w:id="118"/>
      <w:bookmarkEnd w:id="119"/>
      <w:r>
        <w:t xml:space="preserve"> </w:t>
      </w:r>
    </w:p>
    <w:p w:rsidR="00296618" w:rsidRPr="003E5266" w:rsidRDefault="00296618" w:rsidP="00296618">
      <w:r w:rsidRPr="003E5266">
        <w:t xml:space="preserve">The p-value from the F-test is less than 0.01 (p=0.001) indicating a significant linear relationship between the </w:t>
      </w:r>
      <w:r>
        <w:t>b</w:t>
      </w:r>
      <w:r w:rsidRPr="003E5266">
        <w:t xml:space="preserve">rand </w:t>
      </w:r>
      <w:r>
        <w:t>a</w:t>
      </w:r>
      <w:r w:rsidRPr="003E5266">
        <w:t xml:space="preserve">wareness (dependant variable) and the independent variables in the model at a 99% level of confidence. </w:t>
      </w:r>
    </w:p>
    <w:p w:rsidR="00296618" w:rsidRPr="00EA2F31" w:rsidRDefault="00296618" w:rsidP="00296618">
      <w:r w:rsidRPr="00EA2F31">
        <w:t xml:space="preserve">Multiple regression analysis was conducted to examine whether corporate strategy and macroeconomic factors had an impact on </w:t>
      </w:r>
      <w:r>
        <w:t>b</w:t>
      </w:r>
      <w:r w:rsidRPr="00EA2F31">
        <w:t xml:space="preserve">rand </w:t>
      </w:r>
      <w:r>
        <w:t>a</w:t>
      </w:r>
      <w:r w:rsidRPr="00EA2F31">
        <w:t xml:space="preserve">wareness. The overall model explained 16.4% of variance in </w:t>
      </w:r>
      <w:r>
        <w:t>b</w:t>
      </w:r>
      <w:r w:rsidRPr="00EA2F31">
        <w:t xml:space="preserve">rand </w:t>
      </w:r>
      <w:r>
        <w:t>a</w:t>
      </w:r>
      <w:r w:rsidRPr="00EA2F31">
        <w:t>wareness, which revealed to be significant, F</w:t>
      </w:r>
      <w:r w:rsidRPr="00EA2F31">
        <w:rPr>
          <w:vertAlign w:val="subscript"/>
        </w:rPr>
        <w:t>2,99</w:t>
      </w:r>
      <w:r w:rsidRPr="00EA2F31">
        <w:t xml:space="preserve"> = 9.5460</w:t>
      </w:r>
      <w:r>
        <w:t xml:space="preserve"> </w:t>
      </w:r>
      <w:r w:rsidRPr="00EA2F31">
        <w:t>=43.84, p &lt; 0.002</w:t>
      </w:r>
      <w:r>
        <w:t xml:space="preserve"> (Table 1</w:t>
      </w:r>
      <w:r w:rsidR="00530ED5">
        <w:t>8</w:t>
      </w:r>
      <w:r>
        <w:t>)</w:t>
      </w:r>
      <w:r w:rsidRPr="00EA2F31">
        <w:t xml:space="preserve">. An inspection of the individual predictors revealed that macroeconomic factors (Beta= 0.4068, p &lt; 0.0002) </w:t>
      </w:r>
      <w:r>
        <w:t>are</w:t>
      </w:r>
      <w:r w:rsidRPr="00EA2F31">
        <w:t xml:space="preserve"> a significant predictor of </w:t>
      </w:r>
      <w:r>
        <w:t>b</w:t>
      </w:r>
      <w:r w:rsidRPr="00EA2F31">
        <w:t xml:space="preserve">rand </w:t>
      </w:r>
      <w:r>
        <w:t>a</w:t>
      </w:r>
      <w:r w:rsidRPr="00EA2F31">
        <w:t xml:space="preserve">wareness. Corporate </w:t>
      </w:r>
      <w:r>
        <w:t xml:space="preserve">structure and </w:t>
      </w:r>
      <w:r w:rsidRPr="00EA2F31">
        <w:t xml:space="preserve">strategy (Beta= 0.13098, p=0.1805) revealed not to be a significant predictor of </w:t>
      </w:r>
      <w:r>
        <w:t>b</w:t>
      </w:r>
      <w:r w:rsidRPr="00EA2F31">
        <w:t xml:space="preserve">rand </w:t>
      </w:r>
      <w:r>
        <w:t>a</w:t>
      </w:r>
      <w:r w:rsidRPr="00EA2F31">
        <w:t>wareness</w:t>
      </w:r>
      <w:r>
        <w:t xml:space="preserve"> (Table 1</w:t>
      </w:r>
      <w:r w:rsidR="00530ED5">
        <w:t>9</w:t>
      </w:r>
      <w:r>
        <w:t>)</w:t>
      </w:r>
      <w:r w:rsidRPr="00EA2F31">
        <w:t>.</w:t>
      </w:r>
      <w:r>
        <w:t xml:space="preserve"> </w:t>
      </w:r>
    </w:p>
    <w:p w:rsidR="00296618" w:rsidRDefault="00296618" w:rsidP="00296618">
      <w:r w:rsidRPr="00EA2F31">
        <w:t xml:space="preserve">The R² value is 0.1644. This indicated that the regression model corporate </w:t>
      </w:r>
      <w:r>
        <w:t xml:space="preserve">structure and </w:t>
      </w:r>
      <w:r w:rsidRPr="00EA2F31">
        <w:t>strategy</w:t>
      </w:r>
      <w:r>
        <w:t xml:space="preserve">; </w:t>
      </w:r>
      <w:r w:rsidRPr="00EA2F31">
        <w:t xml:space="preserve">and macroeconomic factors explain 16.4% of variation in </w:t>
      </w:r>
      <w:r>
        <w:t>b</w:t>
      </w:r>
      <w:r w:rsidRPr="00EA2F31">
        <w:t xml:space="preserve">rand </w:t>
      </w:r>
      <w:r>
        <w:t>a</w:t>
      </w:r>
      <w:r w:rsidRPr="00EA2F31">
        <w:t xml:space="preserve">wareness. </w:t>
      </w:r>
    </w:p>
    <w:p w:rsidR="00296618" w:rsidRDefault="00296618" w:rsidP="00296618">
      <w:pPr>
        <w:pStyle w:val="Caption"/>
        <w:rPr>
          <w:sz w:val="24"/>
        </w:rPr>
      </w:pPr>
      <w:bookmarkStart w:id="120" w:name="_Toc380684364"/>
      <w:r w:rsidRPr="00336BBE">
        <w:rPr>
          <w:sz w:val="24"/>
        </w:rPr>
        <w:lastRenderedPageBreak/>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18</w:t>
      </w:r>
      <w:r w:rsidRPr="00336BBE">
        <w:rPr>
          <w:sz w:val="24"/>
        </w:rPr>
        <w:fldChar w:fldCharType="end"/>
      </w:r>
      <w:r w:rsidRPr="00336BBE">
        <w:rPr>
          <w:sz w:val="24"/>
        </w:rPr>
        <w:t>: Analysis of Variance</w:t>
      </w:r>
      <w:bookmarkEnd w:id="120"/>
    </w:p>
    <w:tbl>
      <w:tblPr>
        <w:tblStyle w:val="TableGrid6"/>
        <w:tblW w:w="0" w:type="auto"/>
        <w:tblLook w:val="04A0" w:firstRow="1" w:lastRow="0" w:firstColumn="1" w:lastColumn="0" w:noHBand="0" w:noVBand="1"/>
      </w:tblPr>
      <w:tblGrid>
        <w:gridCol w:w="1790"/>
        <w:gridCol w:w="1012"/>
        <w:gridCol w:w="2268"/>
        <w:gridCol w:w="2095"/>
        <w:gridCol w:w="1789"/>
      </w:tblGrid>
      <w:tr w:rsidR="00530ED5" w:rsidRPr="00A42A63" w:rsidTr="00530ED5">
        <w:tc>
          <w:tcPr>
            <w:tcW w:w="1790" w:type="dxa"/>
          </w:tcPr>
          <w:p w:rsidR="00530ED5" w:rsidRPr="00272493" w:rsidRDefault="00530ED5" w:rsidP="00530ED5">
            <w:pPr>
              <w:spacing w:before="0" w:after="0" w:line="240" w:lineRule="auto"/>
              <w:jc w:val="left"/>
            </w:pPr>
            <w:r w:rsidRPr="00046AE9">
              <w:t>Source</w:t>
            </w:r>
          </w:p>
        </w:tc>
        <w:tc>
          <w:tcPr>
            <w:tcW w:w="1012" w:type="dxa"/>
          </w:tcPr>
          <w:p w:rsidR="00530ED5" w:rsidRPr="00272493" w:rsidRDefault="00530ED5" w:rsidP="00530ED5">
            <w:pPr>
              <w:spacing w:before="0" w:after="0" w:line="240" w:lineRule="auto"/>
              <w:jc w:val="left"/>
            </w:pPr>
            <w:r w:rsidRPr="00272493">
              <w:rPr>
                <w:rFonts w:cs="Times New Roman"/>
              </w:rPr>
              <w:t>DF</w:t>
            </w:r>
          </w:p>
        </w:tc>
        <w:tc>
          <w:tcPr>
            <w:tcW w:w="2268" w:type="dxa"/>
          </w:tcPr>
          <w:p w:rsidR="00530ED5" w:rsidRPr="00272493" w:rsidRDefault="00530ED5" w:rsidP="00530ED5">
            <w:pPr>
              <w:spacing w:before="0" w:after="0" w:line="240" w:lineRule="auto"/>
              <w:jc w:val="left"/>
            </w:pPr>
            <w:r w:rsidRPr="00272493">
              <w:rPr>
                <w:rFonts w:cs="Times New Roman"/>
              </w:rPr>
              <w:t>Sum of Squares</w:t>
            </w:r>
          </w:p>
        </w:tc>
        <w:tc>
          <w:tcPr>
            <w:tcW w:w="2095" w:type="dxa"/>
          </w:tcPr>
          <w:p w:rsidR="00530ED5" w:rsidRPr="00272493" w:rsidRDefault="00530ED5" w:rsidP="00530ED5">
            <w:pPr>
              <w:spacing w:before="0" w:after="0" w:line="240" w:lineRule="auto"/>
              <w:jc w:val="left"/>
            </w:pPr>
            <w:r w:rsidRPr="00272493">
              <w:rPr>
                <w:rFonts w:cs="Times New Roman"/>
              </w:rPr>
              <w:t>Mean Square</w:t>
            </w:r>
          </w:p>
        </w:tc>
        <w:tc>
          <w:tcPr>
            <w:tcW w:w="1789" w:type="dxa"/>
          </w:tcPr>
          <w:p w:rsidR="00530ED5" w:rsidRPr="00272493" w:rsidRDefault="00530ED5" w:rsidP="00530ED5">
            <w:pPr>
              <w:spacing w:before="0" w:after="0" w:line="240" w:lineRule="auto"/>
              <w:jc w:val="left"/>
            </w:pPr>
            <w:r w:rsidRPr="00272493">
              <w:rPr>
                <w:rFonts w:cs="Times New Roman"/>
              </w:rPr>
              <w:t>F Ratio</w:t>
            </w:r>
          </w:p>
        </w:tc>
      </w:tr>
      <w:tr w:rsidR="00530ED5" w:rsidRPr="00A42A63" w:rsidTr="00530ED5">
        <w:trPr>
          <w:trHeight w:val="345"/>
        </w:trPr>
        <w:tc>
          <w:tcPr>
            <w:tcW w:w="1790" w:type="dxa"/>
          </w:tcPr>
          <w:p w:rsidR="00530ED5" w:rsidRPr="000E62ED" w:rsidRDefault="00530ED5" w:rsidP="00530ED5">
            <w:pPr>
              <w:spacing w:before="0" w:after="0" w:line="240" w:lineRule="auto"/>
              <w:jc w:val="left"/>
            </w:pPr>
            <w:r w:rsidRPr="00046AE9">
              <w:t>Model</w:t>
            </w:r>
            <w:r w:rsidRPr="00046AE9">
              <w:tab/>
            </w:r>
          </w:p>
        </w:tc>
        <w:tc>
          <w:tcPr>
            <w:tcW w:w="1012" w:type="dxa"/>
          </w:tcPr>
          <w:p w:rsidR="00530ED5" w:rsidRPr="00B6629B" w:rsidRDefault="00530ED5" w:rsidP="00530ED5">
            <w:pPr>
              <w:widowControl w:val="0"/>
              <w:autoSpaceDE w:val="0"/>
              <w:autoSpaceDN w:val="0"/>
              <w:adjustRightInd w:val="0"/>
              <w:spacing w:after="0" w:line="240" w:lineRule="auto"/>
              <w:jc w:val="right"/>
            </w:pPr>
            <w:r w:rsidRPr="00B6629B">
              <w:t>2</w:t>
            </w:r>
          </w:p>
        </w:tc>
        <w:tc>
          <w:tcPr>
            <w:tcW w:w="2268" w:type="dxa"/>
          </w:tcPr>
          <w:p w:rsidR="00530ED5" w:rsidRPr="005D1077" w:rsidRDefault="00530ED5" w:rsidP="00530ED5">
            <w:pPr>
              <w:widowControl w:val="0"/>
              <w:autoSpaceDE w:val="0"/>
              <w:autoSpaceDN w:val="0"/>
              <w:adjustRightInd w:val="0"/>
              <w:spacing w:after="0" w:line="240" w:lineRule="auto"/>
              <w:jc w:val="right"/>
            </w:pPr>
            <w:r w:rsidRPr="005D1077">
              <w:t>13.952997</w:t>
            </w:r>
          </w:p>
        </w:tc>
        <w:tc>
          <w:tcPr>
            <w:tcW w:w="2095" w:type="dxa"/>
          </w:tcPr>
          <w:p w:rsidR="00530ED5" w:rsidRPr="005D1077" w:rsidRDefault="00530ED5" w:rsidP="00530ED5">
            <w:pPr>
              <w:widowControl w:val="0"/>
              <w:autoSpaceDE w:val="0"/>
              <w:autoSpaceDN w:val="0"/>
              <w:adjustRightInd w:val="0"/>
              <w:spacing w:after="0" w:line="240" w:lineRule="auto"/>
              <w:jc w:val="right"/>
            </w:pPr>
            <w:r w:rsidRPr="005D1077">
              <w:t>6.97650</w:t>
            </w:r>
          </w:p>
        </w:tc>
        <w:tc>
          <w:tcPr>
            <w:tcW w:w="1789" w:type="dxa"/>
          </w:tcPr>
          <w:p w:rsidR="00530ED5" w:rsidRPr="00272493" w:rsidRDefault="00530ED5" w:rsidP="00530ED5">
            <w:pPr>
              <w:spacing w:before="0" w:after="0" w:line="240" w:lineRule="auto"/>
              <w:jc w:val="left"/>
            </w:pPr>
            <w:r w:rsidRPr="00272493">
              <w:rPr>
                <w:rFonts w:cs="Times New Roman"/>
              </w:rPr>
              <w:t>9.5460</w:t>
            </w:r>
          </w:p>
        </w:tc>
      </w:tr>
      <w:tr w:rsidR="00530ED5" w:rsidRPr="00A42A63" w:rsidTr="00530ED5">
        <w:tc>
          <w:tcPr>
            <w:tcW w:w="1790" w:type="dxa"/>
          </w:tcPr>
          <w:p w:rsidR="00530ED5" w:rsidRPr="000E62ED" w:rsidRDefault="00530ED5" w:rsidP="00530ED5">
            <w:pPr>
              <w:spacing w:before="0" w:after="0" w:line="240" w:lineRule="auto"/>
              <w:jc w:val="left"/>
            </w:pPr>
            <w:r w:rsidRPr="00046AE9">
              <w:t>Error</w:t>
            </w:r>
            <w:r w:rsidRPr="00046AE9">
              <w:tab/>
            </w:r>
          </w:p>
        </w:tc>
        <w:tc>
          <w:tcPr>
            <w:tcW w:w="1012" w:type="dxa"/>
          </w:tcPr>
          <w:p w:rsidR="00530ED5" w:rsidRPr="00B6629B" w:rsidRDefault="00530ED5" w:rsidP="00530ED5">
            <w:pPr>
              <w:widowControl w:val="0"/>
              <w:autoSpaceDE w:val="0"/>
              <w:autoSpaceDN w:val="0"/>
              <w:adjustRightInd w:val="0"/>
              <w:spacing w:after="0" w:line="240" w:lineRule="auto"/>
              <w:jc w:val="right"/>
            </w:pPr>
            <w:r w:rsidRPr="00B6629B">
              <w:t>97</w:t>
            </w:r>
          </w:p>
        </w:tc>
        <w:tc>
          <w:tcPr>
            <w:tcW w:w="226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70.890637</w:t>
            </w:r>
          </w:p>
        </w:tc>
        <w:tc>
          <w:tcPr>
            <w:tcW w:w="2095"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0.73083</w:t>
            </w:r>
          </w:p>
        </w:tc>
        <w:tc>
          <w:tcPr>
            <w:tcW w:w="1789" w:type="dxa"/>
          </w:tcPr>
          <w:p w:rsidR="00530ED5" w:rsidRPr="00272493" w:rsidRDefault="00530ED5" w:rsidP="00530ED5">
            <w:pPr>
              <w:spacing w:before="0" w:after="0" w:line="240" w:lineRule="auto"/>
              <w:jc w:val="left"/>
            </w:pPr>
            <w:r w:rsidRPr="00272493">
              <w:rPr>
                <w:rFonts w:cs="Times New Roman"/>
              </w:rPr>
              <w:t>Prob &gt; F</w:t>
            </w:r>
          </w:p>
        </w:tc>
      </w:tr>
      <w:tr w:rsidR="00530ED5" w:rsidRPr="00A42A63" w:rsidTr="00530ED5">
        <w:tc>
          <w:tcPr>
            <w:tcW w:w="1790" w:type="dxa"/>
          </w:tcPr>
          <w:p w:rsidR="00530ED5" w:rsidRPr="000E62ED" w:rsidRDefault="00530ED5" w:rsidP="00530ED5">
            <w:pPr>
              <w:spacing w:before="0" w:after="0" w:line="240" w:lineRule="auto"/>
              <w:jc w:val="left"/>
            </w:pPr>
            <w:r w:rsidRPr="00046AE9">
              <w:t>C. Total</w:t>
            </w:r>
          </w:p>
        </w:tc>
        <w:tc>
          <w:tcPr>
            <w:tcW w:w="1012" w:type="dxa"/>
          </w:tcPr>
          <w:p w:rsidR="00530ED5" w:rsidRPr="00B6629B" w:rsidRDefault="00530ED5" w:rsidP="00530ED5">
            <w:pPr>
              <w:widowControl w:val="0"/>
              <w:autoSpaceDE w:val="0"/>
              <w:autoSpaceDN w:val="0"/>
              <w:adjustRightInd w:val="0"/>
              <w:spacing w:after="0" w:line="240" w:lineRule="auto"/>
              <w:jc w:val="right"/>
            </w:pPr>
            <w:r w:rsidRPr="00B6629B">
              <w:t>99</w:t>
            </w:r>
          </w:p>
        </w:tc>
        <w:tc>
          <w:tcPr>
            <w:tcW w:w="2268" w:type="dxa"/>
          </w:tcPr>
          <w:p w:rsidR="00530ED5" w:rsidRPr="005D1077" w:rsidRDefault="00530ED5" w:rsidP="00530ED5">
            <w:pPr>
              <w:widowControl w:val="0"/>
              <w:autoSpaceDE w:val="0"/>
              <w:autoSpaceDN w:val="0"/>
              <w:adjustRightInd w:val="0"/>
              <w:spacing w:after="0" w:line="240" w:lineRule="auto"/>
              <w:jc w:val="right"/>
            </w:pPr>
            <w:r w:rsidRPr="005D1077">
              <w:t>84.843633</w:t>
            </w:r>
          </w:p>
        </w:tc>
        <w:tc>
          <w:tcPr>
            <w:tcW w:w="2095" w:type="dxa"/>
          </w:tcPr>
          <w:p w:rsidR="00530ED5" w:rsidRPr="005D1077" w:rsidRDefault="00530ED5" w:rsidP="00530ED5">
            <w:pPr>
              <w:spacing w:before="0" w:after="0" w:line="240" w:lineRule="auto"/>
              <w:jc w:val="left"/>
            </w:pPr>
          </w:p>
        </w:tc>
        <w:tc>
          <w:tcPr>
            <w:tcW w:w="1789" w:type="dxa"/>
          </w:tcPr>
          <w:p w:rsidR="00530ED5" w:rsidRPr="00272493" w:rsidRDefault="00530ED5" w:rsidP="00530ED5">
            <w:pPr>
              <w:spacing w:before="0" w:after="0" w:line="240" w:lineRule="auto"/>
              <w:jc w:val="left"/>
            </w:pPr>
            <w:r w:rsidRPr="00272493">
              <w:rPr>
                <w:rFonts w:cs="Times New Roman"/>
              </w:rPr>
              <w:t>0.0002*</w:t>
            </w:r>
          </w:p>
        </w:tc>
      </w:tr>
    </w:tbl>
    <w:p w:rsidR="00296618" w:rsidRPr="000C1ACF" w:rsidRDefault="00296618" w:rsidP="00296618"/>
    <w:p w:rsidR="00296618" w:rsidRDefault="00296618" w:rsidP="00296618">
      <w:pPr>
        <w:pStyle w:val="Caption"/>
        <w:rPr>
          <w:sz w:val="24"/>
        </w:rPr>
      </w:pPr>
      <w:bookmarkStart w:id="121" w:name="_Toc380684365"/>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19</w:t>
      </w:r>
      <w:r w:rsidRPr="00336BBE">
        <w:rPr>
          <w:sz w:val="24"/>
        </w:rPr>
        <w:fldChar w:fldCharType="end"/>
      </w:r>
      <w:r w:rsidRPr="00336BBE">
        <w:rPr>
          <w:sz w:val="24"/>
        </w:rPr>
        <w:t>: Parameter Estimates</w:t>
      </w:r>
      <w:bookmarkEnd w:id="121"/>
    </w:p>
    <w:tbl>
      <w:tblPr>
        <w:tblStyle w:val="TableGrid7"/>
        <w:tblW w:w="9558" w:type="dxa"/>
        <w:tblLayout w:type="fixed"/>
        <w:tblLook w:val="04A0" w:firstRow="1" w:lastRow="0" w:firstColumn="1" w:lastColumn="0" w:noHBand="0" w:noVBand="1"/>
      </w:tblPr>
      <w:tblGrid>
        <w:gridCol w:w="1951"/>
        <w:gridCol w:w="1418"/>
        <w:gridCol w:w="1086"/>
        <w:gridCol w:w="992"/>
        <w:gridCol w:w="1134"/>
        <w:gridCol w:w="1418"/>
        <w:gridCol w:w="1559"/>
      </w:tblGrid>
      <w:tr w:rsidR="00530ED5" w:rsidRPr="00046AE9" w:rsidTr="00530ED5">
        <w:tc>
          <w:tcPr>
            <w:tcW w:w="1951" w:type="dxa"/>
          </w:tcPr>
          <w:p w:rsidR="00530ED5" w:rsidRPr="00046AE9" w:rsidRDefault="00530ED5" w:rsidP="00530ED5">
            <w:pPr>
              <w:spacing w:before="0" w:after="0" w:line="240" w:lineRule="auto"/>
              <w:jc w:val="left"/>
            </w:pPr>
            <w:r w:rsidRPr="00046AE9">
              <w:t>Term</w:t>
            </w:r>
          </w:p>
        </w:tc>
        <w:tc>
          <w:tcPr>
            <w:tcW w:w="1418" w:type="dxa"/>
          </w:tcPr>
          <w:p w:rsidR="00530ED5" w:rsidRPr="00CA7AF9" w:rsidRDefault="00530ED5" w:rsidP="00530ED5">
            <w:pPr>
              <w:spacing w:before="0" w:after="0" w:line="240" w:lineRule="auto"/>
              <w:jc w:val="left"/>
            </w:pPr>
            <w:r w:rsidRPr="00B6629B">
              <w:t>Estimate</w:t>
            </w:r>
          </w:p>
        </w:tc>
        <w:tc>
          <w:tcPr>
            <w:tcW w:w="1086" w:type="dxa"/>
          </w:tcPr>
          <w:p w:rsidR="00530ED5" w:rsidRPr="005D1077" w:rsidRDefault="00530ED5" w:rsidP="00530ED5">
            <w:pPr>
              <w:spacing w:before="0" w:after="0" w:line="240" w:lineRule="auto"/>
              <w:jc w:val="left"/>
            </w:pPr>
            <w:r w:rsidRPr="005D1077">
              <w:t>Std Error</w:t>
            </w:r>
          </w:p>
        </w:tc>
        <w:tc>
          <w:tcPr>
            <w:tcW w:w="992" w:type="dxa"/>
          </w:tcPr>
          <w:p w:rsidR="00530ED5" w:rsidRPr="00272493" w:rsidRDefault="00530ED5" w:rsidP="00530ED5">
            <w:pPr>
              <w:spacing w:before="0" w:after="0" w:line="240" w:lineRule="auto"/>
              <w:jc w:val="left"/>
            </w:pPr>
            <w:r w:rsidRPr="00272493">
              <w:rPr>
                <w:rFonts w:cs="Times New Roman"/>
              </w:rPr>
              <w:t>T Ratio</w:t>
            </w:r>
          </w:p>
        </w:tc>
        <w:tc>
          <w:tcPr>
            <w:tcW w:w="1134" w:type="dxa"/>
          </w:tcPr>
          <w:p w:rsidR="00530ED5" w:rsidRPr="00272493" w:rsidRDefault="00530ED5" w:rsidP="00530ED5">
            <w:pPr>
              <w:spacing w:before="0" w:after="0" w:line="240" w:lineRule="auto"/>
              <w:jc w:val="left"/>
            </w:pPr>
            <w:r w:rsidRPr="00272493">
              <w:rPr>
                <w:rFonts w:cs="Times New Roman"/>
              </w:rPr>
              <w:t>Prob&gt;</w:t>
            </w:r>
          </w:p>
          <w:p w:rsidR="00530ED5" w:rsidRPr="00272493" w:rsidRDefault="00530ED5" w:rsidP="00530ED5">
            <w:pPr>
              <w:spacing w:before="0" w:after="0" w:line="240" w:lineRule="auto"/>
              <w:jc w:val="left"/>
            </w:pPr>
            <w:r w:rsidRPr="00272493">
              <w:rPr>
                <w:rFonts w:cs="Times New Roman"/>
              </w:rPr>
              <w:t>|t|</w:t>
            </w:r>
          </w:p>
        </w:tc>
        <w:tc>
          <w:tcPr>
            <w:tcW w:w="1418" w:type="dxa"/>
          </w:tcPr>
          <w:p w:rsidR="00530ED5" w:rsidRPr="00272493" w:rsidRDefault="00530ED5" w:rsidP="00530ED5">
            <w:pPr>
              <w:spacing w:before="0" w:after="0" w:line="240" w:lineRule="auto"/>
              <w:jc w:val="left"/>
            </w:pPr>
            <w:r w:rsidRPr="00272493">
              <w:rPr>
                <w:rFonts w:cs="Times New Roman"/>
              </w:rPr>
              <w:t>Lower 95%</w:t>
            </w:r>
          </w:p>
        </w:tc>
        <w:tc>
          <w:tcPr>
            <w:tcW w:w="1559" w:type="dxa"/>
          </w:tcPr>
          <w:p w:rsidR="00530ED5" w:rsidRPr="00272493" w:rsidRDefault="00530ED5" w:rsidP="00530ED5">
            <w:pPr>
              <w:spacing w:before="0" w:after="0" w:line="240" w:lineRule="auto"/>
              <w:jc w:val="left"/>
            </w:pPr>
            <w:r w:rsidRPr="00272493">
              <w:rPr>
                <w:rFonts w:cs="Times New Roman"/>
              </w:rPr>
              <w:t>Upper 95%</w:t>
            </w:r>
          </w:p>
        </w:tc>
      </w:tr>
      <w:tr w:rsidR="00530ED5" w:rsidRPr="00046AE9" w:rsidTr="00530ED5">
        <w:tc>
          <w:tcPr>
            <w:tcW w:w="1951" w:type="dxa"/>
          </w:tcPr>
          <w:p w:rsidR="00530ED5" w:rsidRPr="00272493" w:rsidRDefault="00530ED5" w:rsidP="00530ED5">
            <w:pPr>
              <w:spacing w:before="0" w:after="0" w:line="240" w:lineRule="auto"/>
              <w:jc w:val="left"/>
            </w:pPr>
            <w:r w:rsidRPr="00272493">
              <w:rPr>
                <w:rFonts w:cs="Times New Roman"/>
              </w:rPr>
              <w:t>Intercept</w:t>
            </w:r>
          </w:p>
        </w:tc>
        <w:tc>
          <w:tcPr>
            <w:tcW w:w="141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 xml:space="preserve"> -0.02113</w:t>
            </w:r>
          </w:p>
        </w:tc>
        <w:tc>
          <w:tcPr>
            <w:tcW w:w="1086"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0.08552</w:t>
            </w:r>
          </w:p>
        </w:tc>
        <w:tc>
          <w:tcPr>
            <w:tcW w:w="992"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 xml:space="preserve"> -0.25</w:t>
            </w:r>
          </w:p>
        </w:tc>
        <w:tc>
          <w:tcPr>
            <w:tcW w:w="1134"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0.8054</w:t>
            </w:r>
          </w:p>
        </w:tc>
        <w:tc>
          <w:tcPr>
            <w:tcW w:w="141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 xml:space="preserve"> -0.19084</w:t>
            </w:r>
          </w:p>
        </w:tc>
        <w:tc>
          <w:tcPr>
            <w:tcW w:w="1559"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0.1485882</w:t>
            </w:r>
          </w:p>
        </w:tc>
      </w:tr>
      <w:tr w:rsidR="00530ED5" w:rsidRPr="00046AE9" w:rsidTr="00530ED5">
        <w:tc>
          <w:tcPr>
            <w:tcW w:w="1951" w:type="dxa"/>
          </w:tcPr>
          <w:p w:rsidR="00530ED5" w:rsidRPr="00272493" w:rsidRDefault="00530ED5" w:rsidP="00530ED5">
            <w:pPr>
              <w:spacing w:before="0" w:after="0" w:line="240" w:lineRule="auto"/>
              <w:jc w:val="left"/>
            </w:pPr>
            <w:r w:rsidRPr="00272493">
              <w:rPr>
                <w:rFonts w:cs="Times New Roman"/>
              </w:rPr>
              <w:t xml:space="preserve">Corporate </w:t>
            </w:r>
            <w:r>
              <w:rPr>
                <w:rFonts w:cs="Times New Roman"/>
              </w:rPr>
              <w:t xml:space="preserve">structure and </w:t>
            </w:r>
            <w:r w:rsidRPr="00272493">
              <w:rPr>
                <w:rFonts w:cs="Times New Roman"/>
              </w:rPr>
              <w:t>strategy (Q 5-7)</w:t>
            </w:r>
          </w:p>
        </w:tc>
        <w:tc>
          <w:tcPr>
            <w:tcW w:w="141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0.130982</w:t>
            </w:r>
          </w:p>
        </w:tc>
        <w:tc>
          <w:tcPr>
            <w:tcW w:w="1086"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0.09709</w:t>
            </w:r>
          </w:p>
        </w:tc>
        <w:tc>
          <w:tcPr>
            <w:tcW w:w="992"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1.35</w:t>
            </w:r>
          </w:p>
        </w:tc>
        <w:tc>
          <w:tcPr>
            <w:tcW w:w="1134"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0.1805</w:t>
            </w:r>
          </w:p>
        </w:tc>
        <w:tc>
          <w:tcPr>
            <w:tcW w:w="141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 xml:space="preserve"> -0.06172</w:t>
            </w:r>
          </w:p>
        </w:tc>
        <w:tc>
          <w:tcPr>
            <w:tcW w:w="1559"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0.3236901</w:t>
            </w:r>
          </w:p>
        </w:tc>
      </w:tr>
      <w:tr w:rsidR="00530ED5" w:rsidRPr="00046AE9" w:rsidTr="00530ED5">
        <w:tc>
          <w:tcPr>
            <w:tcW w:w="1951" w:type="dxa"/>
          </w:tcPr>
          <w:p w:rsidR="00530ED5" w:rsidRPr="00272493" w:rsidRDefault="00530ED5" w:rsidP="00530ED5">
            <w:pPr>
              <w:spacing w:before="0" w:after="0" w:line="240" w:lineRule="auto"/>
              <w:jc w:val="left"/>
            </w:pPr>
            <w:r w:rsidRPr="00272493">
              <w:rPr>
                <w:rFonts w:cs="Times New Roman"/>
              </w:rPr>
              <w:t>Macroeconomic factors</w:t>
            </w:r>
          </w:p>
          <w:p w:rsidR="00530ED5" w:rsidRPr="00272493" w:rsidRDefault="00530ED5" w:rsidP="00530ED5">
            <w:pPr>
              <w:spacing w:before="0" w:after="0" w:line="240" w:lineRule="auto"/>
              <w:jc w:val="left"/>
            </w:pPr>
            <w:r w:rsidRPr="00272493">
              <w:rPr>
                <w:rFonts w:cs="Times New Roman"/>
              </w:rPr>
              <w:t xml:space="preserve"> (Q 8-12)</w:t>
            </w:r>
          </w:p>
        </w:tc>
        <w:tc>
          <w:tcPr>
            <w:tcW w:w="141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0.4068181</w:t>
            </w:r>
          </w:p>
        </w:tc>
        <w:tc>
          <w:tcPr>
            <w:tcW w:w="1086"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0.10280</w:t>
            </w:r>
          </w:p>
        </w:tc>
        <w:tc>
          <w:tcPr>
            <w:tcW w:w="992"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3.96</w:t>
            </w:r>
          </w:p>
        </w:tc>
        <w:tc>
          <w:tcPr>
            <w:tcW w:w="1134"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0.0001*</w:t>
            </w:r>
          </w:p>
        </w:tc>
        <w:tc>
          <w:tcPr>
            <w:tcW w:w="1418"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0.2027741</w:t>
            </w:r>
          </w:p>
        </w:tc>
        <w:tc>
          <w:tcPr>
            <w:tcW w:w="1559" w:type="dxa"/>
          </w:tcPr>
          <w:p w:rsidR="00530ED5" w:rsidRPr="00272493" w:rsidRDefault="00530ED5" w:rsidP="00530ED5">
            <w:pPr>
              <w:widowControl w:val="0"/>
              <w:autoSpaceDE w:val="0"/>
              <w:autoSpaceDN w:val="0"/>
              <w:adjustRightInd w:val="0"/>
              <w:spacing w:after="0" w:line="240" w:lineRule="auto"/>
              <w:jc w:val="right"/>
            </w:pPr>
            <w:r w:rsidRPr="00272493">
              <w:rPr>
                <w:rFonts w:cs="Times New Roman"/>
              </w:rPr>
              <w:t>0.6108622</w:t>
            </w:r>
          </w:p>
        </w:tc>
      </w:tr>
    </w:tbl>
    <w:p w:rsidR="00296618" w:rsidRPr="000C1ACF" w:rsidRDefault="00296618" w:rsidP="00296618">
      <w:pPr>
        <w:rPr>
          <w:rFonts w:eastAsiaTheme="minorHAnsi"/>
        </w:rPr>
      </w:pPr>
    </w:p>
    <w:p w:rsidR="00296618" w:rsidRDefault="00296618" w:rsidP="00296618">
      <w:r w:rsidRPr="00EA2F31">
        <w:t>Macroeconomic factors were the only significant predictor and the model was, therefore, rerun with macroeconomic factors as the only independent variable.</w:t>
      </w:r>
      <w:r>
        <w:t xml:space="preserve"> </w:t>
      </w:r>
    </w:p>
    <w:p w:rsidR="00296618" w:rsidRPr="00272493" w:rsidRDefault="00296618" w:rsidP="00296618">
      <w:pPr>
        <w:ind w:left="567"/>
        <w:rPr>
          <w:b/>
        </w:rPr>
      </w:pPr>
      <w:r w:rsidRPr="00272493">
        <w:rPr>
          <w:b/>
        </w:rPr>
        <w:t xml:space="preserve">4.5.4.2         </w:t>
      </w:r>
      <w:r>
        <w:rPr>
          <w:b/>
        </w:rPr>
        <w:t>Brand awareness with one driver (macroeconomic factors)</w:t>
      </w:r>
    </w:p>
    <w:p w:rsidR="00296618" w:rsidRDefault="00296618" w:rsidP="00296618">
      <w:pPr>
        <w:pStyle w:val="Heading3"/>
        <w:numPr>
          <w:ilvl w:val="0"/>
          <w:numId w:val="0"/>
        </w:numPr>
      </w:pPr>
      <w:bookmarkStart w:id="122" w:name="_Toc380504860"/>
      <w:bookmarkStart w:id="123" w:name="_Toc380687111"/>
      <w:r>
        <w:t>Multiple Regression Analysis assessing the relationship between brand equity (brand awareness) and driver (macroeconomic factors) of corporate rebranding in relation to old brand.</w:t>
      </w:r>
      <w:bookmarkEnd w:id="122"/>
      <w:bookmarkEnd w:id="123"/>
      <w:r>
        <w:t xml:space="preserve"> </w:t>
      </w:r>
    </w:p>
    <w:p w:rsidR="00296618" w:rsidRDefault="00296618" w:rsidP="00296618">
      <w:r>
        <w:t>The linear regression analysis below assesses the relationship between the dependent variable (brand awareness) and the independent variable (</w:t>
      </w:r>
      <w:r w:rsidRPr="00C00929">
        <w:t>macroeconomic factors</w:t>
      </w:r>
      <w:r w:rsidR="00530ED5">
        <w:t>). As per Table 20</w:t>
      </w:r>
      <w:r>
        <w:t>, t</w:t>
      </w:r>
      <w:r w:rsidRPr="00F22435">
        <w:t>he overall model explained 14.88</w:t>
      </w:r>
      <w:r>
        <w:t xml:space="preserve">% </w:t>
      </w:r>
      <w:r w:rsidRPr="00F22435">
        <w:t xml:space="preserve">of variance in brand </w:t>
      </w:r>
      <w:r>
        <w:t>awareness</w:t>
      </w:r>
      <w:r w:rsidRPr="00F22435">
        <w:t xml:space="preserve">, which was revealed to be statistically significant, </w:t>
      </w:r>
      <w:r w:rsidRPr="00F22435">
        <w:lastRenderedPageBreak/>
        <w:t>F</w:t>
      </w:r>
      <w:r w:rsidRPr="00C00929">
        <w:rPr>
          <w:vertAlign w:val="subscript"/>
        </w:rPr>
        <w:t>1</w:t>
      </w:r>
      <w:r w:rsidRPr="00F22435">
        <w:rPr>
          <w:vertAlign w:val="subscript"/>
        </w:rPr>
        <w:t>,99</w:t>
      </w:r>
      <w:r w:rsidRPr="00F22435">
        <w:t xml:space="preserve"> = 17.12, p &lt;0 .0001</w:t>
      </w:r>
      <w:r>
        <w:t xml:space="preserve"> (Table </w:t>
      </w:r>
      <w:r w:rsidR="00530ED5">
        <w:t>21</w:t>
      </w:r>
      <w:r>
        <w:t>)</w:t>
      </w:r>
      <w:r w:rsidRPr="00F22435">
        <w:t xml:space="preserve">. An inspection of individual predictors revealed that </w:t>
      </w:r>
      <w:r w:rsidRPr="00C00929">
        <w:t>macroeconomic factors</w:t>
      </w:r>
      <w:r w:rsidRPr="00F22435">
        <w:t xml:space="preserve"> (Beta = </w:t>
      </w:r>
      <w:r>
        <w:t>0</w:t>
      </w:r>
      <w:r w:rsidRPr="00F22435">
        <w:t>.42</w:t>
      </w:r>
      <w:r>
        <w:t>, p &lt;0 .0001) are</w:t>
      </w:r>
      <w:r w:rsidRPr="00F22435">
        <w:t xml:space="preserve"> significant contributor</w:t>
      </w:r>
      <w:r>
        <w:t>s to</w:t>
      </w:r>
      <w:r w:rsidRPr="00F22435">
        <w:t xml:space="preserve"> a company’s brand </w:t>
      </w:r>
      <w:r w:rsidR="00530ED5">
        <w:t>awareness (Table 22</w:t>
      </w:r>
      <w:r>
        <w:t>)</w:t>
      </w:r>
      <w:r w:rsidRPr="00F22435">
        <w:t xml:space="preserve">. </w:t>
      </w:r>
    </w:p>
    <w:p w:rsidR="00296618" w:rsidRDefault="00296618" w:rsidP="00296618">
      <w:pPr>
        <w:pStyle w:val="Caption"/>
        <w:rPr>
          <w:sz w:val="24"/>
        </w:rPr>
      </w:pPr>
      <w:bookmarkStart w:id="124" w:name="_Toc380684366"/>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20</w:t>
      </w:r>
      <w:r w:rsidRPr="00336BBE">
        <w:rPr>
          <w:sz w:val="24"/>
        </w:rPr>
        <w:fldChar w:fldCharType="end"/>
      </w:r>
      <w:r w:rsidRPr="00336BBE">
        <w:rPr>
          <w:sz w:val="24"/>
        </w:rPr>
        <w:t>: Summary of Fit</w:t>
      </w:r>
      <w:bookmarkEnd w:id="124"/>
    </w:p>
    <w:tbl>
      <w:tblPr>
        <w:tblStyle w:val="TableGrid5"/>
        <w:tblW w:w="0" w:type="auto"/>
        <w:tblLook w:val="04A0" w:firstRow="1" w:lastRow="0" w:firstColumn="1" w:lastColumn="0" w:noHBand="0" w:noVBand="1"/>
      </w:tblPr>
      <w:tblGrid>
        <w:gridCol w:w="3652"/>
        <w:gridCol w:w="2341"/>
      </w:tblGrid>
      <w:tr w:rsidR="00530ED5" w:rsidRPr="00FB60F8" w:rsidTr="00530ED5">
        <w:tc>
          <w:tcPr>
            <w:tcW w:w="3652" w:type="dxa"/>
          </w:tcPr>
          <w:p w:rsidR="00530ED5" w:rsidRPr="00FB60F8" w:rsidRDefault="00530ED5" w:rsidP="00530ED5">
            <w:pPr>
              <w:spacing w:before="0" w:after="0" w:line="240" w:lineRule="auto"/>
              <w:jc w:val="left"/>
            </w:pPr>
            <w:r w:rsidRPr="00FB60F8">
              <w:t>RSquare</w:t>
            </w:r>
          </w:p>
        </w:tc>
        <w:tc>
          <w:tcPr>
            <w:tcW w:w="2341" w:type="dxa"/>
          </w:tcPr>
          <w:p w:rsidR="00530ED5" w:rsidRPr="00A56F04" w:rsidRDefault="00530ED5" w:rsidP="00530ED5">
            <w:pPr>
              <w:spacing w:before="0" w:after="0" w:line="240" w:lineRule="auto"/>
              <w:jc w:val="left"/>
            </w:pPr>
            <w:r w:rsidRPr="00A56F04">
              <w:t>0.14878</w:t>
            </w:r>
          </w:p>
        </w:tc>
      </w:tr>
      <w:tr w:rsidR="00530ED5" w:rsidRPr="00FB60F8" w:rsidTr="00530ED5">
        <w:tc>
          <w:tcPr>
            <w:tcW w:w="3652" w:type="dxa"/>
          </w:tcPr>
          <w:p w:rsidR="00530ED5" w:rsidRPr="00FB60F8" w:rsidRDefault="00530ED5" w:rsidP="00530ED5">
            <w:pPr>
              <w:spacing w:before="0" w:after="0" w:line="240" w:lineRule="auto"/>
              <w:jc w:val="left"/>
            </w:pPr>
            <w:r w:rsidRPr="00FB60F8">
              <w:t>RSquare ADJ</w:t>
            </w:r>
          </w:p>
        </w:tc>
        <w:tc>
          <w:tcPr>
            <w:tcW w:w="2341" w:type="dxa"/>
          </w:tcPr>
          <w:p w:rsidR="00530ED5" w:rsidRPr="00A56F04" w:rsidRDefault="00530ED5" w:rsidP="00530ED5">
            <w:pPr>
              <w:spacing w:before="0" w:after="0" w:line="240" w:lineRule="auto"/>
              <w:jc w:val="left"/>
            </w:pPr>
            <w:r w:rsidRPr="00A56F04">
              <w:t>0.140094</w:t>
            </w:r>
          </w:p>
        </w:tc>
      </w:tr>
      <w:tr w:rsidR="00530ED5" w:rsidRPr="00FB60F8" w:rsidTr="00530ED5">
        <w:tc>
          <w:tcPr>
            <w:tcW w:w="3652" w:type="dxa"/>
          </w:tcPr>
          <w:p w:rsidR="00530ED5" w:rsidRPr="00FB60F8" w:rsidRDefault="00530ED5" w:rsidP="00530ED5">
            <w:pPr>
              <w:spacing w:before="0" w:after="0" w:line="240" w:lineRule="auto"/>
              <w:jc w:val="left"/>
              <w:rPr>
                <w:rFonts w:asciiTheme="minorHAnsi" w:hAnsiTheme="minorHAnsi"/>
                <w:sz w:val="22"/>
                <w:szCs w:val="22"/>
                <w:lang w:val="en-ZA"/>
              </w:rPr>
            </w:pPr>
            <w:r>
              <w:t>Root Mean Square Error</w:t>
            </w:r>
          </w:p>
        </w:tc>
        <w:tc>
          <w:tcPr>
            <w:tcW w:w="2341" w:type="dxa"/>
          </w:tcPr>
          <w:p w:rsidR="00530ED5" w:rsidRPr="00A56F04" w:rsidRDefault="00530ED5" w:rsidP="00530ED5">
            <w:pPr>
              <w:spacing w:before="0" w:after="0" w:line="240" w:lineRule="auto"/>
              <w:jc w:val="left"/>
            </w:pPr>
            <w:r w:rsidRPr="00A56F04">
              <w:t>0.858455</w:t>
            </w:r>
          </w:p>
        </w:tc>
      </w:tr>
      <w:tr w:rsidR="00530ED5" w:rsidRPr="00FB60F8" w:rsidTr="00530ED5">
        <w:tc>
          <w:tcPr>
            <w:tcW w:w="3652" w:type="dxa"/>
          </w:tcPr>
          <w:p w:rsidR="00530ED5" w:rsidRPr="00FB60F8" w:rsidRDefault="00530ED5" w:rsidP="00530ED5">
            <w:pPr>
              <w:spacing w:before="0" w:after="0" w:line="240" w:lineRule="auto"/>
              <w:jc w:val="left"/>
              <w:rPr>
                <w:rFonts w:asciiTheme="minorHAnsi" w:hAnsiTheme="minorHAnsi"/>
                <w:sz w:val="22"/>
                <w:szCs w:val="22"/>
                <w:lang w:val="en-ZA"/>
              </w:rPr>
            </w:pPr>
            <w:r>
              <w:t>Mean of Response</w:t>
            </w:r>
          </w:p>
        </w:tc>
        <w:tc>
          <w:tcPr>
            <w:tcW w:w="2341" w:type="dxa"/>
          </w:tcPr>
          <w:p w:rsidR="00530ED5" w:rsidRPr="00A56F04" w:rsidRDefault="00530ED5" w:rsidP="00530ED5">
            <w:pPr>
              <w:spacing w:before="0" w:after="0" w:line="240" w:lineRule="auto"/>
              <w:jc w:val="left"/>
            </w:pPr>
            <w:r w:rsidRPr="00A56F04">
              <w:t xml:space="preserve"> -0.0124</w:t>
            </w:r>
          </w:p>
        </w:tc>
      </w:tr>
      <w:tr w:rsidR="00530ED5" w:rsidRPr="00FB60F8" w:rsidTr="00530ED5">
        <w:tc>
          <w:tcPr>
            <w:tcW w:w="3652" w:type="dxa"/>
          </w:tcPr>
          <w:p w:rsidR="00530ED5" w:rsidRPr="00FB60F8" w:rsidRDefault="00530ED5" w:rsidP="00530ED5">
            <w:pPr>
              <w:spacing w:before="0" w:after="0" w:line="240" w:lineRule="auto"/>
              <w:jc w:val="left"/>
              <w:rPr>
                <w:rFonts w:asciiTheme="minorHAnsi" w:hAnsiTheme="minorHAnsi"/>
                <w:sz w:val="22"/>
                <w:szCs w:val="22"/>
                <w:lang w:val="en-ZA"/>
              </w:rPr>
            </w:pPr>
            <w:r>
              <w:t>Observations (or Sum Wgts)</w:t>
            </w:r>
          </w:p>
        </w:tc>
        <w:tc>
          <w:tcPr>
            <w:tcW w:w="2341" w:type="dxa"/>
          </w:tcPr>
          <w:p w:rsidR="00530ED5" w:rsidRPr="00A56F04" w:rsidRDefault="00530ED5" w:rsidP="00530ED5">
            <w:pPr>
              <w:spacing w:before="0" w:after="0" w:line="240" w:lineRule="auto"/>
              <w:jc w:val="left"/>
            </w:pPr>
            <w:r w:rsidRPr="00A56F04">
              <w:t>100</w:t>
            </w:r>
          </w:p>
        </w:tc>
      </w:tr>
    </w:tbl>
    <w:p w:rsidR="00296618" w:rsidRPr="000C1ACF" w:rsidRDefault="00296618" w:rsidP="00296618"/>
    <w:p w:rsidR="00296618" w:rsidRDefault="00296618" w:rsidP="00296618">
      <w:pPr>
        <w:pStyle w:val="Caption"/>
      </w:pPr>
      <w:bookmarkStart w:id="125" w:name="_Toc380684367"/>
      <w:r>
        <w:t xml:space="preserve">Table </w:t>
      </w:r>
      <w:r>
        <w:fldChar w:fldCharType="begin"/>
      </w:r>
      <w:r>
        <w:instrText xml:space="preserve"> SEQ Table \* ARABIC </w:instrText>
      </w:r>
      <w:r>
        <w:fldChar w:fldCharType="separate"/>
      </w:r>
      <w:r w:rsidR="00D61AFB">
        <w:rPr>
          <w:noProof/>
        </w:rPr>
        <w:t>21</w:t>
      </w:r>
      <w:r>
        <w:fldChar w:fldCharType="end"/>
      </w:r>
      <w:r>
        <w:t xml:space="preserve">: </w:t>
      </w:r>
      <w:r w:rsidRPr="00B36631">
        <w:t>Analysis of Variance</w:t>
      </w:r>
      <w:bookmarkEnd w:id="125"/>
    </w:p>
    <w:tbl>
      <w:tblPr>
        <w:tblStyle w:val="TableGrid6"/>
        <w:tblW w:w="0" w:type="auto"/>
        <w:tblLook w:val="04A0" w:firstRow="1" w:lastRow="0" w:firstColumn="1" w:lastColumn="0" w:noHBand="0" w:noVBand="1"/>
      </w:tblPr>
      <w:tblGrid>
        <w:gridCol w:w="1790"/>
        <w:gridCol w:w="1012"/>
        <w:gridCol w:w="2268"/>
        <w:gridCol w:w="2095"/>
        <w:gridCol w:w="1789"/>
      </w:tblGrid>
      <w:tr w:rsidR="00530ED5" w:rsidRPr="00046AE9" w:rsidTr="00530ED5">
        <w:tc>
          <w:tcPr>
            <w:tcW w:w="1790" w:type="dxa"/>
          </w:tcPr>
          <w:p w:rsidR="00530ED5" w:rsidRPr="00272493" w:rsidRDefault="00530ED5" w:rsidP="00530ED5">
            <w:pPr>
              <w:spacing w:before="0" w:after="0" w:line="240" w:lineRule="auto"/>
              <w:jc w:val="left"/>
              <w:rPr>
                <w:rFonts w:asciiTheme="minorHAnsi" w:hAnsiTheme="minorHAnsi"/>
                <w:sz w:val="22"/>
                <w:szCs w:val="22"/>
                <w:lang w:val="en-ZA"/>
              </w:rPr>
            </w:pPr>
            <w:r w:rsidRPr="000E62ED">
              <w:t>Source</w:t>
            </w:r>
          </w:p>
        </w:tc>
        <w:tc>
          <w:tcPr>
            <w:tcW w:w="1012"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DF</w:t>
            </w:r>
          </w:p>
        </w:tc>
        <w:tc>
          <w:tcPr>
            <w:tcW w:w="2268"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Sum of Squares</w:t>
            </w:r>
          </w:p>
        </w:tc>
        <w:tc>
          <w:tcPr>
            <w:tcW w:w="2095"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Mean Square</w:t>
            </w:r>
          </w:p>
        </w:tc>
        <w:tc>
          <w:tcPr>
            <w:tcW w:w="1789"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F Ratio</w:t>
            </w:r>
          </w:p>
        </w:tc>
      </w:tr>
      <w:tr w:rsidR="00530ED5" w:rsidRPr="00046AE9" w:rsidTr="00530ED5">
        <w:tc>
          <w:tcPr>
            <w:tcW w:w="1790"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Model</w:t>
            </w:r>
            <w:r w:rsidRPr="00046AE9">
              <w:tab/>
            </w:r>
          </w:p>
        </w:tc>
        <w:tc>
          <w:tcPr>
            <w:tcW w:w="1012" w:type="dxa"/>
          </w:tcPr>
          <w:p w:rsidR="00530ED5" w:rsidRPr="00272493" w:rsidRDefault="00530ED5" w:rsidP="00530ED5">
            <w:pPr>
              <w:spacing w:before="0" w:after="0" w:line="240" w:lineRule="auto"/>
              <w:jc w:val="left"/>
            </w:pPr>
            <w:r w:rsidRPr="00046AE9">
              <w:t>1</w:t>
            </w:r>
          </w:p>
        </w:tc>
        <w:tc>
          <w:tcPr>
            <w:tcW w:w="2268" w:type="dxa"/>
          </w:tcPr>
          <w:p w:rsidR="00530ED5" w:rsidRPr="00272493" w:rsidRDefault="00530ED5" w:rsidP="00530ED5">
            <w:pPr>
              <w:spacing w:before="0" w:after="0" w:line="240" w:lineRule="auto"/>
              <w:jc w:val="left"/>
            </w:pPr>
            <w:r w:rsidRPr="00046AE9">
              <w:t>12.623005</w:t>
            </w:r>
          </w:p>
        </w:tc>
        <w:tc>
          <w:tcPr>
            <w:tcW w:w="2095" w:type="dxa"/>
          </w:tcPr>
          <w:p w:rsidR="00530ED5" w:rsidRPr="00272493" w:rsidRDefault="00530ED5" w:rsidP="00530ED5">
            <w:pPr>
              <w:spacing w:before="0" w:after="0" w:line="240" w:lineRule="auto"/>
              <w:jc w:val="left"/>
            </w:pPr>
            <w:r w:rsidRPr="00046AE9">
              <w:t>12.6230</w:t>
            </w:r>
          </w:p>
        </w:tc>
        <w:tc>
          <w:tcPr>
            <w:tcW w:w="1789" w:type="dxa"/>
          </w:tcPr>
          <w:p w:rsidR="00530ED5" w:rsidRPr="00272493" w:rsidRDefault="00530ED5" w:rsidP="00530ED5">
            <w:pPr>
              <w:spacing w:before="0" w:after="0" w:line="240" w:lineRule="auto"/>
              <w:jc w:val="left"/>
            </w:pPr>
            <w:r w:rsidRPr="00046AE9">
              <w:t>17.1288</w:t>
            </w:r>
          </w:p>
        </w:tc>
      </w:tr>
      <w:tr w:rsidR="00530ED5" w:rsidRPr="00046AE9" w:rsidTr="00530ED5">
        <w:tc>
          <w:tcPr>
            <w:tcW w:w="1790"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Error</w:t>
            </w:r>
            <w:r w:rsidRPr="00046AE9">
              <w:tab/>
            </w:r>
          </w:p>
        </w:tc>
        <w:tc>
          <w:tcPr>
            <w:tcW w:w="1012" w:type="dxa"/>
          </w:tcPr>
          <w:p w:rsidR="00530ED5" w:rsidRPr="00272493" w:rsidRDefault="00530ED5" w:rsidP="00530ED5">
            <w:pPr>
              <w:spacing w:before="0" w:after="0" w:line="240" w:lineRule="auto"/>
              <w:jc w:val="left"/>
            </w:pPr>
            <w:r w:rsidRPr="00046AE9">
              <w:t>98</w:t>
            </w:r>
          </w:p>
        </w:tc>
        <w:tc>
          <w:tcPr>
            <w:tcW w:w="2268" w:type="dxa"/>
          </w:tcPr>
          <w:p w:rsidR="00530ED5" w:rsidRPr="00272493" w:rsidRDefault="00530ED5" w:rsidP="00530ED5">
            <w:pPr>
              <w:spacing w:before="0" w:after="0" w:line="240" w:lineRule="auto"/>
              <w:jc w:val="left"/>
            </w:pPr>
            <w:r w:rsidRPr="00046AE9">
              <w:t>72.220628</w:t>
            </w:r>
          </w:p>
        </w:tc>
        <w:tc>
          <w:tcPr>
            <w:tcW w:w="2095" w:type="dxa"/>
          </w:tcPr>
          <w:p w:rsidR="00530ED5" w:rsidRPr="00272493" w:rsidRDefault="00530ED5" w:rsidP="00530ED5">
            <w:pPr>
              <w:spacing w:before="0" w:after="0" w:line="240" w:lineRule="auto"/>
              <w:jc w:val="left"/>
            </w:pPr>
            <w:r w:rsidRPr="00046AE9">
              <w:t>0.7369</w:t>
            </w:r>
          </w:p>
        </w:tc>
        <w:tc>
          <w:tcPr>
            <w:tcW w:w="1789" w:type="dxa"/>
          </w:tcPr>
          <w:p w:rsidR="00530ED5" w:rsidRPr="00272493" w:rsidRDefault="00530ED5" w:rsidP="00530ED5">
            <w:pPr>
              <w:spacing w:before="0" w:after="0" w:line="240" w:lineRule="auto"/>
              <w:jc w:val="left"/>
            </w:pPr>
            <w:r w:rsidRPr="00046AE9">
              <w:t>Prob &gt; F</w:t>
            </w:r>
          </w:p>
        </w:tc>
      </w:tr>
      <w:tr w:rsidR="00530ED5" w:rsidRPr="00046AE9" w:rsidTr="00530ED5">
        <w:tc>
          <w:tcPr>
            <w:tcW w:w="1790"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C. Total</w:t>
            </w:r>
          </w:p>
        </w:tc>
        <w:tc>
          <w:tcPr>
            <w:tcW w:w="1012" w:type="dxa"/>
          </w:tcPr>
          <w:p w:rsidR="00530ED5" w:rsidRPr="00272493" w:rsidRDefault="00530ED5" w:rsidP="00530ED5">
            <w:pPr>
              <w:spacing w:before="0" w:after="0" w:line="240" w:lineRule="auto"/>
              <w:jc w:val="left"/>
            </w:pPr>
            <w:r w:rsidRPr="00046AE9">
              <w:t>99</w:t>
            </w:r>
          </w:p>
        </w:tc>
        <w:tc>
          <w:tcPr>
            <w:tcW w:w="2268" w:type="dxa"/>
          </w:tcPr>
          <w:p w:rsidR="00530ED5" w:rsidRPr="00272493" w:rsidRDefault="00530ED5" w:rsidP="00530ED5">
            <w:pPr>
              <w:spacing w:before="0" w:after="0" w:line="240" w:lineRule="auto"/>
              <w:jc w:val="left"/>
            </w:pPr>
            <w:r w:rsidRPr="00046AE9">
              <w:t>84.843633</w:t>
            </w:r>
          </w:p>
        </w:tc>
        <w:tc>
          <w:tcPr>
            <w:tcW w:w="2095" w:type="dxa"/>
          </w:tcPr>
          <w:p w:rsidR="00530ED5" w:rsidRPr="00272493" w:rsidRDefault="00530ED5" w:rsidP="00530ED5">
            <w:pPr>
              <w:spacing w:before="0" w:after="0" w:line="240" w:lineRule="auto"/>
              <w:jc w:val="left"/>
            </w:pPr>
          </w:p>
        </w:tc>
        <w:tc>
          <w:tcPr>
            <w:tcW w:w="1789" w:type="dxa"/>
          </w:tcPr>
          <w:p w:rsidR="00530ED5" w:rsidRPr="00272493" w:rsidRDefault="00530ED5" w:rsidP="00530ED5">
            <w:pPr>
              <w:spacing w:before="0" w:after="0" w:line="240" w:lineRule="auto"/>
              <w:jc w:val="left"/>
            </w:pPr>
            <w:r w:rsidRPr="00046AE9">
              <w:t>&lt;.0001*</w:t>
            </w:r>
          </w:p>
        </w:tc>
      </w:tr>
    </w:tbl>
    <w:p w:rsidR="00296618" w:rsidRPr="000C1ACF" w:rsidRDefault="00296618" w:rsidP="00296618"/>
    <w:p w:rsidR="00296618" w:rsidRDefault="00296618" w:rsidP="00296618">
      <w:pPr>
        <w:pStyle w:val="Caption"/>
      </w:pPr>
      <w:bookmarkStart w:id="126" w:name="_Toc380684368"/>
      <w:r>
        <w:t xml:space="preserve">Table </w:t>
      </w:r>
      <w:r>
        <w:fldChar w:fldCharType="begin"/>
      </w:r>
      <w:r>
        <w:instrText xml:space="preserve"> SEQ Table \* ARABIC </w:instrText>
      </w:r>
      <w:r>
        <w:fldChar w:fldCharType="separate"/>
      </w:r>
      <w:r w:rsidR="00D61AFB">
        <w:rPr>
          <w:noProof/>
        </w:rPr>
        <w:t>22</w:t>
      </w:r>
      <w:r>
        <w:fldChar w:fldCharType="end"/>
      </w:r>
      <w:r>
        <w:t xml:space="preserve">: </w:t>
      </w:r>
      <w:r w:rsidRPr="002C6CAF">
        <w:t>Parameter Estimates</w:t>
      </w:r>
      <w:bookmarkEnd w:id="126"/>
    </w:p>
    <w:tbl>
      <w:tblPr>
        <w:tblStyle w:val="TableGrid7"/>
        <w:tblW w:w="9322" w:type="dxa"/>
        <w:tblLayout w:type="fixed"/>
        <w:tblLook w:val="04A0" w:firstRow="1" w:lastRow="0" w:firstColumn="1" w:lastColumn="0" w:noHBand="0" w:noVBand="1"/>
      </w:tblPr>
      <w:tblGrid>
        <w:gridCol w:w="2093"/>
        <w:gridCol w:w="1417"/>
        <w:gridCol w:w="1276"/>
        <w:gridCol w:w="851"/>
        <w:gridCol w:w="1134"/>
        <w:gridCol w:w="1417"/>
        <w:gridCol w:w="1134"/>
      </w:tblGrid>
      <w:tr w:rsidR="00530ED5" w:rsidRPr="00260AB0" w:rsidTr="00530ED5">
        <w:tc>
          <w:tcPr>
            <w:tcW w:w="2093" w:type="dxa"/>
          </w:tcPr>
          <w:p w:rsidR="00530ED5" w:rsidRPr="00046AE9" w:rsidRDefault="00530ED5" w:rsidP="00530ED5">
            <w:pPr>
              <w:spacing w:before="0" w:after="0" w:line="240" w:lineRule="auto"/>
              <w:jc w:val="left"/>
            </w:pPr>
            <w:r w:rsidRPr="00046AE9">
              <w:t>Term</w:t>
            </w:r>
          </w:p>
        </w:tc>
        <w:tc>
          <w:tcPr>
            <w:tcW w:w="1417" w:type="dxa"/>
          </w:tcPr>
          <w:p w:rsidR="00530ED5" w:rsidRPr="000E62ED" w:rsidRDefault="00530ED5" w:rsidP="00530ED5">
            <w:pPr>
              <w:spacing w:before="0" w:after="0" w:line="240" w:lineRule="auto"/>
              <w:jc w:val="left"/>
            </w:pPr>
            <w:r w:rsidRPr="000E62ED">
              <w:t>Estimate</w:t>
            </w:r>
          </w:p>
        </w:tc>
        <w:tc>
          <w:tcPr>
            <w:tcW w:w="1276" w:type="dxa"/>
          </w:tcPr>
          <w:p w:rsidR="00530ED5" w:rsidRPr="005D1077" w:rsidRDefault="00530ED5" w:rsidP="00530ED5">
            <w:pPr>
              <w:spacing w:before="0" w:after="0" w:line="240" w:lineRule="auto"/>
              <w:jc w:val="left"/>
            </w:pPr>
            <w:r w:rsidRPr="00B6629B">
              <w:t>Std Error</w:t>
            </w:r>
          </w:p>
        </w:tc>
        <w:tc>
          <w:tcPr>
            <w:tcW w:w="851" w:type="dxa"/>
          </w:tcPr>
          <w:p w:rsidR="00530ED5" w:rsidRPr="005D1077" w:rsidRDefault="00530ED5" w:rsidP="00530ED5">
            <w:pPr>
              <w:spacing w:before="0" w:after="0" w:line="240" w:lineRule="auto"/>
              <w:jc w:val="left"/>
            </w:pPr>
            <w:r w:rsidRPr="005D1077">
              <w:t>T Ratio</w:t>
            </w:r>
          </w:p>
        </w:tc>
        <w:tc>
          <w:tcPr>
            <w:tcW w:w="1134"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Prob&gt;|t|</w:t>
            </w:r>
          </w:p>
        </w:tc>
        <w:tc>
          <w:tcPr>
            <w:tcW w:w="1417"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Lower 95%</w:t>
            </w:r>
          </w:p>
        </w:tc>
        <w:tc>
          <w:tcPr>
            <w:tcW w:w="1134" w:type="dxa"/>
          </w:tcPr>
          <w:p w:rsidR="00530ED5" w:rsidRPr="00272493" w:rsidRDefault="00530ED5" w:rsidP="00530ED5">
            <w:pPr>
              <w:spacing w:before="0" w:after="0" w:line="240" w:lineRule="auto"/>
              <w:jc w:val="left"/>
              <w:rPr>
                <w:rFonts w:asciiTheme="minorHAnsi" w:hAnsiTheme="minorHAnsi"/>
                <w:sz w:val="22"/>
                <w:szCs w:val="22"/>
                <w:lang w:val="en-ZA"/>
              </w:rPr>
            </w:pPr>
            <w:r w:rsidRPr="00046AE9">
              <w:t>Upper 95%</w:t>
            </w:r>
          </w:p>
        </w:tc>
      </w:tr>
      <w:tr w:rsidR="00530ED5" w:rsidRPr="00C12D2D" w:rsidTr="00530ED5">
        <w:tc>
          <w:tcPr>
            <w:tcW w:w="2093" w:type="dxa"/>
          </w:tcPr>
          <w:p w:rsidR="00530ED5" w:rsidRPr="00046AE9" w:rsidRDefault="00530ED5" w:rsidP="00530ED5">
            <w:pPr>
              <w:spacing w:before="0" w:after="0" w:line="240" w:lineRule="auto"/>
              <w:jc w:val="left"/>
              <w:rPr>
                <w:rFonts w:asciiTheme="minorHAnsi" w:hAnsiTheme="minorHAnsi"/>
                <w:sz w:val="22"/>
                <w:szCs w:val="22"/>
                <w:lang w:val="en-ZA"/>
              </w:rPr>
            </w:pPr>
            <w:r w:rsidRPr="00046AE9">
              <w:t>Intercept</w:t>
            </w:r>
          </w:p>
        </w:tc>
        <w:tc>
          <w:tcPr>
            <w:tcW w:w="1417" w:type="dxa"/>
          </w:tcPr>
          <w:p w:rsidR="00530ED5" w:rsidRPr="000E62ED" w:rsidRDefault="00530ED5" w:rsidP="00530ED5">
            <w:pPr>
              <w:spacing w:before="0" w:after="0" w:line="240" w:lineRule="auto"/>
              <w:jc w:val="left"/>
            </w:pPr>
            <w:r w:rsidRPr="000E62ED">
              <w:t xml:space="preserve"> -0.01995</w:t>
            </w:r>
          </w:p>
        </w:tc>
        <w:tc>
          <w:tcPr>
            <w:tcW w:w="1276" w:type="dxa"/>
          </w:tcPr>
          <w:p w:rsidR="00530ED5" w:rsidRPr="005D1077" w:rsidRDefault="00530ED5" w:rsidP="00530ED5">
            <w:pPr>
              <w:spacing w:before="0" w:after="0" w:line="240" w:lineRule="auto"/>
              <w:jc w:val="left"/>
            </w:pPr>
            <w:r w:rsidRPr="00B6629B">
              <w:t>0.08586</w:t>
            </w:r>
          </w:p>
        </w:tc>
        <w:tc>
          <w:tcPr>
            <w:tcW w:w="851" w:type="dxa"/>
          </w:tcPr>
          <w:p w:rsidR="00530ED5" w:rsidRPr="00272493" w:rsidRDefault="00530ED5" w:rsidP="00530ED5">
            <w:pPr>
              <w:spacing w:before="0" w:after="0" w:line="240" w:lineRule="auto"/>
              <w:jc w:val="left"/>
            </w:pPr>
            <w:r w:rsidRPr="005D1077">
              <w:t xml:space="preserve"> </w:t>
            </w:r>
            <w:r w:rsidRPr="00046AE9">
              <w:t>-0.23</w:t>
            </w:r>
          </w:p>
        </w:tc>
        <w:tc>
          <w:tcPr>
            <w:tcW w:w="1134" w:type="dxa"/>
          </w:tcPr>
          <w:p w:rsidR="00530ED5" w:rsidRPr="00272493" w:rsidRDefault="00530ED5" w:rsidP="00530ED5">
            <w:pPr>
              <w:spacing w:before="0" w:after="0" w:line="240" w:lineRule="auto"/>
              <w:jc w:val="left"/>
            </w:pPr>
            <w:r w:rsidRPr="00046AE9">
              <w:t>0.8168</w:t>
            </w:r>
          </w:p>
        </w:tc>
        <w:tc>
          <w:tcPr>
            <w:tcW w:w="1417" w:type="dxa"/>
          </w:tcPr>
          <w:p w:rsidR="00530ED5" w:rsidRPr="00272493" w:rsidRDefault="00530ED5" w:rsidP="00530ED5">
            <w:pPr>
              <w:spacing w:before="0" w:after="0" w:line="240" w:lineRule="auto"/>
              <w:jc w:val="left"/>
            </w:pPr>
            <w:r w:rsidRPr="00046AE9">
              <w:t xml:space="preserve"> -0.190346</w:t>
            </w:r>
          </w:p>
        </w:tc>
        <w:tc>
          <w:tcPr>
            <w:tcW w:w="1134" w:type="dxa"/>
          </w:tcPr>
          <w:p w:rsidR="00530ED5" w:rsidRPr="00272493" w:rsidRDefault="00530ED5" w:rsidP="00530ED5">
            <w:pPr>
              <w:spacing w:before="0" w:after="0" w:line="240" w:lineRule="auto"/>
              <w:jc w:val="left"/>
            </w:pPr>
            <w:r w:rsidRPr="00046AE9">
              <w:t>0.15044</w:t>
            </w:r>
          </w:p>
        </w:tc>
      </w:tr>
      <w:tr w:rsidR="00530ED5" w:rsidRPr="00C12D2D" w:rsidTr="00530ED5">
        <w:tc>
          <w:tcPr>
            <w:tcW w:w="2093" w:type="dxa"/>
          </w:tcPr>
          <w:p w:rsidR="00530ED5" w:rsidRPr="00046AE9" w:rsidRDefault="00530ED5" w:rsidP="00530ED5">
            <w:pPr>
              <w:spacing w:before="0" w:after="0" w:line="240" w:lineRule="auto"/>
              <w:jc w:val="left"/>
            </w:pPr>
            <w:r w:rsidRPr="00046AE9">
              <w:t>Macroeconomic factors</w:t>
            </w:r>
          </w:p>
          <w:p w:rsidR="00530ED5" w:rsidRPr="000E62ED" w:rsidRDefault="00530ED5" w:rsidP="00530ED5">
            <w:pPr>
              <w:spacing w:before="0" w:after="0" w:line="240" w:lineRule="auto"/>
              <w:jc w:val="left"/>
              <w:rPr>
                <w:rFonts w:asciiTheme="minorHAnsi" w:hAnsiTheme="minorHAnsi"/>
                <w:sz w:val="22"/>
                <w:szCs w:val="22"/>
                <w:lang w:val="en-ZA"/>
              </w:rPr>
            </w:pPr>
            <w:r w:rsidRPr="000E62ED">
              <w:t xml:space="preserve"> (Q 8 -12)</w:t>
            </w:r>
          </w:p>
        </w:tc>
        <w:tc>
          <w:tcPr>
            <w:tcW w:w="1417" w:type="dxa"/>
          </w:tcPr>
          <w:p w:rsidR="00530ED5" w:rsidRPr="005D1077" w:rsidRDefault="00530ED5" w:rsidP="00530ED5">
            <w:pPr>
              <w:spacing w:before="0" w:after="0" w:line="240" w:lineRule="auto"/>
              <w:jc w:val="left"/>
            </w:pPr>
            <w:r w:rsidRPr="00B6629B">
              <w:t>0.423980</w:t>
            </w:r>
          </w:p>
        </w:tc>
        <w:tc>
          <w:tcPr>
            <w:tcW w:w="1276" w:type="dxa"/>
          </w:tcPr>
          <w:p w:rsidR="00530ED5" w:rsidRPr="00272493" w:rsidRDefault="00530ED5" w:rsidP="00530ED5">
            <w:pPr>
              <w:spacing w:before="0" w:after="0" w:line="240" w:lineRule="auto"/>
              <w:jc w:val="left"/>
            </w:pPr>
            <w:r w:rsidRPr="005D1077">
              <w:t>0.10244</w:t>
            </w:r>
          </w:p>
        </w:tc>
        <w:tc>
          <w:tcPr>
            <w:tcW w:w="851" w:type="dxa"/>
          </w:tcPr>
          <w:p w:rsidR="00530ED5" w:rsidRPr="00272493" w:rsidRDefault="00530ED5" w:rsidP="00530ED5">
            <w:pPr>
              <w:spacing w:before="0" w:after="0" w:line="240" w:lineRule="auto"/>
              <w:jc w:val="left"/>
            </w:pPr>
            <w:r w:rsidRPr="00046AE9">
              <w:t>4.14</w:t>
            </w:r>
          </w:p>
        </w:tc>
        <w:tc>
          <w:tcPr>
            <w:tcW w:w="1134" w:type="dxa"/>
          </w:tcPr>
          <w:p w:rsidR="00530ED5" w:rsidRPr="00272493" w:rsidRDefault="00530ED5" w:rsidP="00530ED5">
            <w:pPr>
              <w:spacing w:before="0" w:after="0" w:line="240" w:lineRule="auto"/>
              <w:jc w:val="left"/>
            </w:pPr>
            <w:r w:rsidRPr="00046AE9">
              <w:t>&lt;.0001*</w:t>
            </w:r>
          </w:p>
        </w:tc>
        <w:tc>
          <w:tcPr>
            <w:tcW w:w="1417" w:type="dxa"/>
          </w:tcPr>
          <w:p w:rsidR="00530ED5" w:rsidRPr="00272493" w:rsidRDefault="00530ED5" w:rsidP="00530ED5">
            <w:pPr>
              <w:spacing w:before="0" w:after="0" w:line="240" w:lineRule="auto"/>
              <w:jc w:val="left"/>
            </w:pPr>
            <w:r w:rsidRPr="00046AE9">
              <w:t>0.2206858</w:t>
            </w:r>
          </w:p>
        </w:tc>
        <w:tc>
          <w:tcPr>
            <w:tcW w:w="1134" w:type="dxa"/>
          </w:tcPr>
          <w:p w:rsidR="00530ED5" w:rsidRPr="00272493" w:rsidRDefault="00530ED5" w:rsidP="00530ED5">
            <w:pPr>
              <w:spacing w:before="0" w:after="0" w:line="240" w:lineRule="auto"/>
              <w:jc w:val="left"/>
            </w:pPr>
            <w:r w:rsidRPr="00046AE9">
              <w:t>0.62727</w:t>
            </w:r>
          </w:p>
        </w:tc>
      </w:tr>
    </w:tbl>
    <w:p w:rsidR="00296618" w:rsidRPr="000C1ACF" w:rsidRDefault="00296618" w:rsidP="00296618"/>
    <w:p w:rsidR="00296618" w:rsidRDefault="00296618" w:rsidP="00296618">
      <w:r w:rsidRPr="0035631F">
        <w:t xml:space="preserve">The p-value from the F-test is </w:t>
      </w:r>
      <w:r>
        <w:t>less</w:t>
      </w:r>
      <w:r w:rsidRPr="0035631F">
        <w:t xml:space="preserve"> than 0.01 (p=0.0</w:t>
      </w:r>
      <w:r>
        <w:t>001</w:t>
      </w:r>
      <w:r w:rsidRPr="0035631F">
        <w:t>) indicating a</w:t>
      </w:r>
      <w:r>
        <w:t xml:space="preserve"> </w:t>
      </w:r>
      <w:r w:rsidRPr="0035631F">
        <w:t xml:space="preserve">significant linear relationship between the brand </w:t>
      </w:r>
      <w:r>
        <w:t>awareness</w:t>
      </w:r>
      <w:r w:rsidRPr="0035631F">
        <w:t xml:space="preserve"> (dependant variable) and the independent variables in the model at a </w:t>
      </w:r>
      <w:r w:rsidRPr="003A6EE0">
        <w:t>99% level of confidence</w:t>
      </w:r>
      <w:r w:rsidRPr="0035631F">
        <w:t xml:space="preserve">. </w:t>
      </w:r>
      <w:r w:rsidR="009F5BE6">
        <w:t>It</w:t>
      </w:r>
      <w:r w:rsidRPr="00F22435">
        <w:t xml:space="preserve"> can, therefore, </w:t>
      </w:r>
      <w:r w:rsidR="009F5BE6">
        <w:t xml:space="preserve">be </w:t>
      </w:r>
      <w:r w:rsidRPr="00F22435">
        <w:t>conclude</w:t>
      </w:r>
      <w:r w:rsidR="009F5BE6">
        <w:t>d</w:t>
      </w:r>
      <w:r w:rsidRPr="00F22435">
        <w:t xml:space="preserve"> that </w:t>
      </w:r>
      <w:r>
        <w:t>macroeconomic factors can impact level</w:t>
      </w:r>
      <w:r w:rsidRPr="00F22435">
        <w:t xml:space="preserve">s of brand awareness </w:t>
      </w:r>
      <w:r>
        <w:t xml:space="preserve">and as a result impact </w:t>
      </w:r>
      <w:r w:rsidRPr="00F22435">
        <w:t>brand equity.</w:t>
      </w:r>
    </w:p>
    <w:p w:rsidR="00296618" w:rsidRPr="003E5266" w:rsidRDefault="00296618" w:rsidP="00296618">
      <w:pPr>
        <w:pStyle w:val="Heading4"/>
        <w:numPr>
          <w:ilvl w:val="3"/>
          <w:numId w:val="29"/>
        </w:numPr>
        <w:tabs>
          <w:tab w:val="clear" w:pos="900"/>
          <w:tab w:val="left" w:pos="851"/>
        </w:tabs>
        <w:ind w:left="1701" w:hanging="1134"/>
      </w:pPr>
      <w:r>
        <w:lastRenderedPageBreak/>
        <w:t xml:space="preserve"> </w:t>
      </w:r>
      <w:r w:rsidRPr="003E5266">
        <w:t xml:space="preserve">Brand </w:t>
      </w:r>
      <w:r>
        <w:t>loyalty</w:t>
      </w:r>
      <w:r w:rsidRPr="003E5266">
        <w:t xml:space="preserve"> </w:t>
      </w:r>
      <w:r>
        <w:t>and two drivers (corporate structure and strategy; and macroeconomic factors</w:t>
      </w:r>
      <w:r w:rsidR="009F5BE6">
        <w:t>)</w:t>
      </w:r>
      <w:r>
        <w:t>.</w:t>
      </w:r>
    </w:p>
    <w:p w:rsidR="00296618" w:rsidRDefault="00296618" w:rsidP="00296618">
      <w:pPr>
        <w:pStyle w:val="Heading3"/>
        <w:numPr>
          <w:ilvl w:val="0"/>
          <w:numId w:val="0"/>
        </w:numPr>
      </w:pPr>
      <w:bookmarkStart w:id="127" w:name="_Toc380504861"/>
      <w:bookmarkStart w:id="128" w:name="_Toc380687112"/>
      <w:r>
        <w:t>Multiple Regression Analysis assessing the relationship between brand equity (brand loyalty) and drivers (corporate structure and strategy; and macroeconomic factors) of corporate rebranding in relation to old brand.</w:t>
      </w:r>
      <w:bookmarkEnd w:id="127"/>
      <w:bookmarkEnd w:id="128"/>
      <w:r>
        <w:t xml:space="preserve"> </w:t>
      </w:r>
    </w:p>
    <w:p w:rsidR="00296618" w:rsidRDefault="00296618" w:rsidP="00296618">
      <w:r w:rsidRPr="00E35CDE">
        <w:t xml:space="preserve">By use of multiple linear regression, the analysis assesses the relationship between the dependent variable (brand </w:t>
      </w:r>
      <w:r>
        <w:t>loyalty</w:t>
      </w:r>
      <w:r w:rsidRPr="00E35CDE">
        <w:t xml:space="preserve">) and the independent variables (corporate </w:t>
      </w:r>
      <w:r>
        <w:t xml:space="preserve">structure and </w:t>
      </w:r>
      <w:r w:rsidRPr="00E35CDE">
        <w:t>strategy</w:t>
      </w:r>
      <w:r>
        <w:t xml:space="preserve">; </w:t>
      </w:r>
      <w:r w:rsidRPr="00E35CDE">
        <w:t xml:space="preserve">and macroeconomic factors). </w:t>
      </w:r>
      <w:r>
        <w:t>As per Table 2</w:t>
      </w:r>
      <w:r w:rsidR="00D61AFB">
        <w:t>3</w:t>
      </w:r>
      <w:r>
        <w:t>, t</w:t>
      </w:r>
      <w:r w:rsidRPr="00E35CDE">
        <w:t xml:space="preserve">he overall model explained 3.7% of variance in brand </w:t>
      </w:r>
      <w:r>
        <w:t>loyalty</w:t>
      </w:r>
      <w:r w:rsidRPr="00E35CDE">
        <w:t>, which was revealed to be statistically not significant, F</w:t>
      </w:r>
      <w:r w:rsidRPr="00E35CDE">
        <w:rPr>
          <w:vertAlign w:val="subscript"/>
        </w:rPr>
        <w:t>1,99</w:t>
      </w:r>
      <w:r w:rsidRPr="00E35CDE">
        <w:t xml:space="preserve"> = 1.8788, p &lt;0.1583</w:t>
      </w:r>
      <w:r>
        <w:t xml:space="preserve"> (Table 2</w:t>
      </w:r>
      <w:r w:rsidR="00D61AFB">
        <w:t>4</w:t>
      </w:r>
      <w:r>
        <w:t>)</w:t>
      </w:r>
      <w:r w:rsidRPr="00E35CDE">
        <w:t xml:space="preserve">. The model reveals that corporate </w:t>
      </w:r>
      <w:r>
        <w:t xml:space="preserve">structure and </w:t>
      </w:r>
      <w:r w:rsidRPr="00E35CDE">
        <w:t>strategy (Beta = 0.186, p &lt;0 .073) and macroeconomic factors (Beta = -0.099, p &lt;0.362) do not significantly impact</w:t>
      </w:r>
      <w:r>
        <w:t xml:space="preserve"> on </w:t>
      </w:r>
      <w:r w:rsidRPr="00E35CDE">
        <w:t xml:space="preserve">brand </w:t>
      </w:r>
      <w:r>
        <w:t>loyalty</w:t>
      </w:r>
      <w:r w:rsidRPr="00E35CDE">
        <w:t>.</w:t>
      </w:r>
      <w:r>
        <w:t xml:space="preserve"> </w:t>
      </w:r>
    </w:p>
    <w:p w:rsidR="00296618" w:rsidRDefault="00296618" w:rsidP="00296618">
      <w:pPr>
        <w:pStyle w:val="Caption"/>
        <w:rPr>
          <w:sz w:val="24"/>
        </w:rPr>
      </w:pPr>
      <w:bookmarkStart w:id="129" w:name="_Toc380684369"/>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23</w:t>
      </w:r>
      <w:r w:rsidRPr="00336BBE">
        <w:rPr>
          <w:sz w:val="24"/>
        </w:rPr>
        <w:fldChar w:fldCharType="end"/>
      </w:r>
      <w:r w:rsidRPr="00336BBE">
        <w:rPr>
          <w:sz w:val="24"/>
        </w:rPr>
        <w:t>: Summary of Fit</w:t>
      </w:r>
      <w:bookmarkEnd w:id="129"/>
    </w:p>
    <w:tbl>
      <w:tblPr>
        <w:tblStyle w:val="TableGrid5"/>
        <w:tblW w:w="0" w:type="auto"/>
        <w:tblLook w:val="04A0" w:firstRow="1" w:lastRow="0" w:firstColumn="1" w:lastColumn="0" w:noHBand="0" w:noVBand="1"/>
      </w:tblPr>
      <w:tblGrid>
        <w:gridCol w:w="3652"/>
        <w:gridCol w:w="2341"/>
      </w:tblGrid>
      <w:tr w:rsidR="00530ED5" w:rsidRPr="00FB60F8" w:rsidTr="00530ED5">
        <w:tc>
          <w:tcPr>
            <w:tcW w:w="3652" w:type="dxa"/>
          </w:tcPr>
          <w:p w:rsidR="00530ED5" w:rsidRPr="00FB60F8" w:rsidRDefault="00530ED5" w:rsidP="00530ED5">
            <w:pPr>
              <w:spacing w:before="0" w:after="0" w:line="240" w:lineRule="auto"/>
              <w:jc w:val="left"/>
            </w:pPr>
            <w:r w:rsidRPr="00FB60F8">
              <w:t>RSquare</w:t>
            </w:r>
          </w:p>
        </w:tc>
        <w:tc>
          <w:tcPr>
            <w:tcW w:w="2341" w:type="dxa"/>
          </w:tcPr>
          <w:p w:rsidR="00530ED5" w:rsidRPr="00B84917" w:rsidRDefault="00530ED5" w:rsidP="00530ED5">
            <w:pPr>
              <w:widowControl w:val="0"/>
              <w:autoSpaceDE w:val="0"/>
              <w:autoSpaceDN w:val="0"/>
              <w:adjustRightInd w:val="0"/>
              <w:spacing w:after="0" w:line="240" w:lineRule="auto"/>
              <w:jc w:val="right"/>
            </w:pPr>
            <w:r w:rsidRPr="00B84917">
              <w:t>0.037294</w:t>
            </w:r>
          </w:p>
        </w:tc>
      </w:tr>
      <w:tr w:rsidR="00530ED5" w:rsidRPr="00FB60F8" w:rsidTr="00530ED5">
        <w:tc>
          <w:tcPr>
            <w:tcW w:w="3652" w:type="dxa"/>
          </w:tcPr>
          <w:p w:rsidR="00530ED5" w:rsidRPr="00FB60F8" w:rsidRDefault="00530ED5" w:rsidP="00530ED5">
            <w:pPr>
              <w:spacing w:before="0" w:after="0" w:line="240" w:lineRule="auto"/>
              <w:jc w:val="left"/>
            </w:pPr>
            <w:r w:rsidRPr="00FB60F8">
              <w:t>RSquare ADJ</w:t>
            </w:r>
          </w:p>
        </w:tc>
        <w:tc>
          <w:tcPr>
            <w:tcW w:w="2341" w:type="dxa"/>
          </w:tcPr>
          <w:p w:rsidR="00530ED5" w:rsidRPr="00B84917" w:rsidRDefault="00530ED5" w:rsidP="00530ED5">
            <w:pPr>
              <w:widowControl w:val="0"/>
              <w:autoSpaceDE w:val="0"/>
              <w:autoSpaceDN w:val="0"/>
              <w:adjustRightInd w:val="0"/>
              <w:spacing w:after="0" w:line="240" w:lineRule="auto"/>
              <w:jc w:val="right"/>
            </w:pPr>
            <w:r w:rsidRPr="00B84917">
              <w:t>0.017445</w:t>
            </w:r>
          </w:p>
        </w:tc>
      </w:tr>
      <w:tr w:rsidR="00530ED5" w:rsidRPr="00FB60F8" w:rsidTr="00530ED5">
        <w:tc>
          <w:tcPr>
            <w:tcW w:w="3652" w:type="dxa"/>
          </w:tcPr>
          <w:p w:rsidR="00530ED5" w:rsidRPr="00530ED5" w:rsidRDefault="00530ED5" w:rsidP="00530ED5">
            <w:pPr>
              <w:spacing w:before="0" w:after="0" w:line="240" w:lineRule="auto"/>
              <w:jc w:val="left"/>
            </w:pPr>
            <w:r>
              <w:t>Root Mean Square Error</w:t>
            </w:r>
          </w:p>
        </w:tc>
        <w:tc>
          <w:tcPr>
            <w:tcW w:w="2341" w:type="dxa"/>
          </w:tcPr>
          <w:p w:rsidR="00530ED5" w:rsidRPr="00B84917" w:rsidRDefault="00530ED5" w:rsidP="00530ED5">
            <w:pPr>
              <w:widowControl w:val="0"/>
              <w:autoSpaceDE w:val="0"/>
              <w:autoSpaceDN w:val="0"/>
              <w:adjustRightInd w:val="0"/>
              <w:spacing w:after="0" w:line="240" w:lineRule="auto"/>
              <w:jc w:val="right"/>
            </w:pPr>
            <w:r w:rsidRPr="00B84917">
              <w:t>0.908664</w:t>
            </w:r>
          </w:p>
        </w:tc>
      </w:tr>
      <w:tr w:rsidR="00530ED5" w:rsidRPr="00FB60F8" w:rsidTr="00530ED5">
        <w:tc>
          <w:tcPr>
            <w:tcW w:w="3652" w:type="dxa"/>
          </w:tcPr>
          <w:p w:rsidR="00530ED5" w:rsidRPr="00530ED5" w:rsidRDefault="00530ED5" w:rsidP="00530ED5">
            <w:pPr>
              <w:spacing w:before="0" w:after="0" w:line="240" w:lineRule="auto"/>
              <w:jc w:val="left"/>
            </w:pPr>
            <w:r>
              <w:t>Mean of Response</w:t>
            </w:r>
          </w:p>
        </w:tc>
        <w:tc>
          <w:tcPr>
            <w:tcW w:w="2341" w:type="dxa"/>
          </w:tcPr>
          <w:p w:rsidR="00530ED5" w:rsidRPr="00B84917" w:rsidRDefault="00530ED5" w:rsidP="00530ED5">
            <w:pPr>
              <w:widowControl w:val="0"/>
              <w:autoSpaceDE w:val="0"/>
              <w:autoSpaceDN w:val="0"/>
              <w:adjustRightInd w:val="0"/>
              <w:spacing w:after="0" w:line="240" w:lineRule="auto"/>
              <w:jc w:val="right"/>
            </w:pPr>
            <w:r w:rsidRPr="00B84917">
              <w:t>0.04719</w:t>
            </w:r>
          </w:p>
        </w:tc>
      </w:tr>
      <w:tr w:rsidR="00530ED5" w:rsidRPr="00FB60F8" w:rsidTr="00530ED5">
        <w:tc>
          <w:tcPr>
            <w:tcW w:w="3652" w:type="dxa"/>
          </w:tcPr>
          <w:p w:rsidR="00530ED5" w:rsidRPr="00530ED5" w:rsidRDefault="00530ED5" w:rsidP="00530ED5">
            <w:pPr>
              <w:spacing w:before="0" w:after="0" w:line="240" w:lineRule="auto"/>
              <w:jc w:val="left"/>
            </w:pPr>
            <w:r>
              <w:t>Observations (or Sum Wgts)</w:t>
            </w:r>
          </w:p>
        </w:tc>
        <w:tc>
          <w:tcPr>
            <w:tcW w:w="2341" w:type="dxa"/>
          </w:tcPr>
          <w:p w:rsidR="00530ED5" w:rsidRPr="00B84917" w:rsidRDefault="00530ED5" w:rsidP="00530ED5">
            <w:pPr>
              <w:widowControl w:val="0"/>
              <w:autoSpaceDE w:val="0"/>
              <w:autoSpaceDN w:val="0"/>
              <w:adjustRightInd w:val="0"/>
              <w:spacing w:after="0" w:line="240" w:lineRule="auto"/>
              <w:jc w:val="right"/>
            </w:pPr>
            <w:r w:rsidRPr="00B84917">
              <w:t>100</w:t>
            </w:r>
          </w:p>
        </w:tc>
      </w:tr>
    </w:tbl>
    <w:p w:rsidR="00296618" w:rsidRDefault="00296618" w:rsidP="00296618">
      <w:pPr>
        <w:pStyle w:val="Caption"/>
        <w:rPr>
          <w:sz w:val="24"/>
        </w:rPr>
      </w:pPr>
      <w:bookmarkStart w:id="130" w:name="_Toc380684370"/>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24</w:t>
      </w:r>
      <w:r w:rsidRPr="00336BBE">
        <w:rPr>
          <w:sz w:val="24"/>
        </w:rPr>
        <w:fldChar w:fldCharType="end"/>
      </w:r>
      <w:r w:rsidRPr="00336BBE">
        <w:rPr>
          <w:sz w:val="24"/>
        </w:rPr>
        <w:t>: Analysis of Variance</w:t>
      </w:r>
      <w:bookmarkEnd w:id="130"/>
    </w:p>
    <w:tbl>
      <w:tblPr>
        <w:tblStyle w:val="TableGrid6"/>
        <w:tblW w:w="0" w:type="auto"/>
        <w:tblLook w:val="04A0" w:firstRow="1" w:lastRow="0" w:firstColumn="1" w:lastColumn="0" w:noHBand="0" w:noVBand="1"/>
      </w:tblPr>
      <w:tblGrid>
        <w:gridCol w:w="1790"/>
        <w:gridCol w:w="1012"/>
        <w:gridCol w:w="2268"/>
        <w:gridCol w:w="2095"/>
        <w:gridCol w:w="1789"/>
      </w:tblGrid>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Source</w:t>
            </w:r>
          </w:p>
        </w:tc>
        <w:tc>
          <w:tcPr>
            <w:tcW w:w="1012" w:type="dxa"/>
          </w:tcPr>
          <w:p w:rsidR="00D61AFB" w:rsidRPr="00C12D2D" w:rsidRDefault="00D61AFB" w:rsidP="00CA1B5C">
            <w:pPr>
              <w:spacing w:before="0" w:after="0" w:line="240" w:lineRule="auto"/>
              <w:jc w:val="left"/>
              <w:rPr>
                <w:rFonts w:asciiTheme="minorHAnsi" w:hAnsiTheme="minorHAnsi"/>
                <w:sz w:val="22"/>
                <w:szCs w:val="22"/>
                <w:lang w:val="en-ZA"/>
              </w:rPr>
            </w:pPr>
            <w:r w:rsidRPr="00C12D2D">
              <w:t>DF</w:t>
            </w:r>
          </w:p>
        </w:tc>
        <w:tc>
          <w:tcPr>
            <w:tcW w:w="2268" w:type="dxa"/>
          </w:tcPr>
          <w:p w:rsidR="00D61AFB" w:rsidRPr="00C12D2D" w:rsidRDefault="00D61AFB" w:rsidP="00CA1B5C">
            <w:pPr>
              <w:spacing w:before="0" w:after="0" w:line="240" w:lineRule="auto"/>
              <w:jc w:val="left"/>
              <w:rPr>
                <w:rFonts w:asciiTheme="minorHAnsi" w:hAnsiTheme="minorHAnsi"/>
                <w:sz w:val="22"/>
                <w:szCs w:val="22"/>
                <w:lang w:val="en-ZA"/>
              </w:rPr>
            </w:pPr>
            <w:r>
              <w:t>Sum of Squares</w:t>
            </w:r>
          </w:p>
        </w:tc>
        <w:tc>
          <w:tcPr>
            <w:tcW w:w="2095" w:type="dxa"/>
          </w:tcPr>
          <w:p w:rsidR="00D61AFB" w:rsidRPr="00C12D2D" w:rsidRDefault="00D61AFB" w:rsidP="00CA1B5C">
            <w:pPr>
              <w:spacing w:before="0" w:after="0" w:line="240" w:lineRule="auto"/>
              <w:jc w:val="left"/>
              <w:rPr>
                <w:rFonts w:asciiTheme="minorHAnsi" w:hAnsiTheme="minorHAnsi"/>
                <w:sz w:val="22"/>
                <w:szCs w:val="22"/>
                <w:lang w:val="en-ZA"/>
              </w:rPr>
            </w:pPr>
            <w:r>
              <w:t>Mean Square</w:t>
            </w:r>
          </w:p>
        </w:tc>
        <w:tc>
          <w:tcPr>
            <w:tcW w:w="1789" w:type="dxa"/>
          </w:tcPr>
          <w:p w:rsidR="00D61AFB" w:rsidRPr="00C12D2D" w:rsidRDefault="00D61AFB" w:rsidP="00CA1B5C">
            <w:pPr>
              <w:spacing w:before="0" w:after="0" w:line="240" w:lineRule="auto"/>
              <w:jc w:val="left"/>
              <w:rPr>
                <w:rFonts w:asciiTheme="minorHAnsi" w:hAnsiTheme="minorHAnsi"/>
                <w:sz w:val="22"/>
                <w:szCs w:val="22"/>
                <w:lang w:val="en-ZA"/>
              </w:rPr>
            </w:pPr>
            <w:r>
              <w:t>F Ratio</w:t>
            </w:r>
          </w:p>
        </w:tc>
      </w:tr>
      <w:tr w:rsidR="00D61AFB" w:rsidRPr="00C12D2D" w:rsidTr="00CA1B5C">
        <w:tc>
          <w:tcPr>
            <w:tcW w:w="1790" w:type="dxa"/>
          </w:tcPr>
          <w:p w:rsidR="00D61AFB" w:rsidRPr="00EA2F31" w:rsidRDefault="00D61AFB" w:rsidP="00CA1B5C">
            <w:pPr>
              <w:spacing w:before="0" w:after="0" w:line="240" w:lineRule="auto"/>
              <w:jc w:val="left"/>
            </w:pPr>
            <w:r>
              <w:t>Model</w:t>
            </w:r>
            <w:r>
              <w:tab/>
            </w:r>
          </w:p>
        </w:tc>
        <w:tc>
          <w:tcPr>
            <w:tcW w:w="1012" w:type="dxa"/>
          </w:tcPr>
          <w:p w:rsidR="00D61AFB" w:rsidRPr="00EA2F31" w:rsidRDefault="00D61AFB" w:rsidP="00CA1B5C">
            <w:pPr>
              <w:widowControl w:val="0"/>
              <w:autoSpaceDE w:val="0"/>
              <w:autoSpaceDN w:val="0"/>
              <w:adjustRightInd w:val="0"/>
              <w:spacing w:after="0" w:line="240" w:lineRule="auto"/>
              <w:jc w:val="right"/>
            </w:pPr>
            <w:r w:rsidRPr="00EA2F31">
              <w:t>2</w:t>
            </w:r>
          </w:p>
        </w:tc>
        <w:tc>
          <w:tcPr>
            <w:tcW w:w="2268" w:type="dxa"/>
          </w:tcPr>
          <w:p w:rsidR="00D61AFB" w:rsidRPr="00EA2F31" w:rsidRDefault="00D61AFB" w:rsidP="00CA1B5C">
            <w:pPr>
              <w:widowControl w:val="0"/>
              <w:autoSpaceDE w:val="0"/>
              <w:autoSpaceDN w:val="0"/>
              <w:adjustRightInd w:val="0"/>
              <w:spacing w:after="0" w:line="240" w:lineRule="auto"/>
              <w:jc w:val="right"/>
            </w:pPr>
            <w:r w:rsidRPr="00EA2F31">
              <w:t>3.102616</w:t>
            </w:r>
          </w:p>
        </w:tc>
        <w:tc>
          <w:tcPr>
            <w:tcW w:w="2095" w:type="dxa"/>
          </w:tcPr>
          <w:p w:rsidR="00D61AFB" w:rsidRPr="00EA2F31" w:rsidRDefault="00D61AFB" w:rsidP="00CA1B5C">
            <w:pPr>
              <w:widowControl w:val="0"/>
              <w:autoSpaceDE w:val="0"/>
              <w:autoSpaceDN w:val="0"/>
              <w:adjustRightInd w:val="0"/>
              <w:spacing w:after="0" w:line="240" w:lineRule="auto"/>
              <w:jc w:val="right"/>
            </w:pPr>
            <w:r w:rsidRPr="00EA2F31">
              <w:t>1.55131</w:t>
            </w:r>
          </w:p>
        </w:tc>
        <w:tc>
          <w:tcPr>
            <w:tcW w:w="1789" w:type="dxa"/>
          </w:tcPr>
          <w:p w:rsidR="00D61AFB" w:rsidRPr="00EA2F31" w:rsidRDefault="00D61AFB" w:rsidP="00CA1B5C">
            <w:pPr>
              <w:widowControl w:val="0"/>
              <w:autoSpaceDE w:val="0"/>
              <w:autoSpaceDN w:val="0"/>
              <w:adjustRightInd w:val="0"/>
              <w:spacing w:after="0" w:line="240" w:lineRule="auto"/>
              <w:jc w:val="right"/>
            </w:pPr>
            <w:r w:rsidRPr="00EA2F31">
              <w:t>1.8788</w:t>
            </w:r>
          </w:p>
        </w:tc>
      </w:tr>
      <w:tr w:rsidR="00D61AFB" w:rsidRPr="00C12D2D" w:rsidTr="00CA1B5C">
        <w:tc>
          <w:tcPr>
            <w:tcW w:w="1790" w:type="dxa"/>
          </w:tcPr>
          <w:p w:rsidR="00D61AFB" w:rsidRPr="00EA2F31" w:rsidRDefault="00D61AFB" w:rsidP="00CA1B5C">
            <w:pPr>
              <w:spacing w:before="0" w:after="0" w:line="240" w:lineRule="auto"/>
              <w:jc w:val="left"/>
            </w:pPr>
            <w:r>
              <w:t>Error</w:t>
            </w:r>
            <w:r>
              <w:tab/>
            </w:r>
          </w:p>
        </w:tc>
        <w:tc>
          <w:tcPr>
            <w:tcW w:w="1012" w:type="dxa"/>
          </w:tcPr>
          <w:p w:rsidR="00D61AFB" w:rsidRPr="00EA2F31" w:rsidRDefault="00D61AFB" w:rsidP="00CA1B5C">
            <w:pPr>
              <w:widowControl w:val="0"/>
              <w:autoSpaceDE w:val="0"/>
              <w:autoSpaceDN w:val="0"/>
              <w:adjustRightInd w:val="0"/>
              <w:spacing w:after="0" w:line="240" w:lineRule="auto"/>
              <w:jc w:val="right"/>
            </w:pPr>
            <w:r w:rsidRPr="00EA2F31">
              <w:t>97</w:t>
            </w:r>
          </w:p>
        </w:tc>
        <w:tc>
          <w:tcPr>
            <w:tcW w:w="2268" w:type="dxa"/>
          </w:tcPr>
          <w:p w:rsidR="00D61AFB" w:rsidRPr="00EA2F31" w:rsidRDefault="00D61AFB" w:rsidP="00CA1B5C">
            <w:pPr>
              <w:widowControl w:val="0"/>
              <w:autoSpaceDE w:val="0"/>
              <w:autoSpaceDN w:val="0"/>
              <w:adjustRightInd w:val="0"/>
              <w:spacing w:after="0" w:line="240" w:lineRule="auto"/>
              <w:jc w:val="right"/>
            </w:pPr>
            <w:r w:rsidRPr="00EA2F31">
              <w:t>80.090012</w:t>
            </w:r>
          </w:p>
        </w:tc>
        <w:tc>
          <w:tcPr>
            <w:tcW w:w="2095" w:type="dxa"/>
          </w:tcPr>
          <w:p w:rsidR="00D61AFB" w:rsidRPr="00EA2F31" w:rsidRDefault="00D61AFB" w:rsidP="00CA1B5C">
            <w:pPr>
              <w:widowControl w:val="0"/>
              <w:autoSpaceDE w:val="0"/>
              <w:autoSpaceDN w:val="0"/>
              <w:adjustRightInd w:val="0"/>
              <w:spacing w:after="0" w:line="240" w:lineRule="auto"/>
              <w:jc w:val="right"/>
            </w:pPr>
            <w:r w:rsidRPr="00EA2F31">
              <w:t>0.82567</w:t>
            </w:r>
          </w:p>
        </w:tc>
        <w:tc>
          <w:tcPr>
            <w:tcW w:w="1789" w:type="dxa"/>
          </w:tcPr>
          <w:p w:rsidR="00D61AFB" w:rsidRPr="00EA2F31" w:rsidRDefault="00D61AFB" w:rsidP="00CA1B5C">
            <w:pPr>
              <w:spacing w:before="0" w:after="0" w:line="240" w:lineRule="auto"/>
              <w:jc w:val="left"/>
            </w:pPr>
            <w:r>
              <w:t>Prob &gt; F</w:t>
            </w:r>
          </w:p>
        </w:tc>
      </w:tr>
      <w:tr w:rsidR="00D61AFB" w:rsidRPr="00C12D2D" w:rsidTr="00CA1B5C">
        <w:tc>
          <w:tcPr>
            <w:tcW w:w="1790" w:type="dxa"/>
          </w:tcPr>
          <w:p w:rsidR="00D61AFB" w:rsidRPr="00EA2F31" w:rsidRDefault="00D61AFB" w:rsidP="00CA1B5C">
            <w:pPr>
              <w:spacing w:before="0" w:after="0" w:line="240" w:lineRule="auto"/>
              <w:jc w:val="left"/>
            </w:pPr>
            <w:r>
              <w:t>C. Total</w:t>
            </w:r>
          </w:p>
        </w:tc>
        <w:tc>
          <w:tcPr>
            <w:tcW w:w="1012" w:type="dxa"/>
          </w:tcPr>
          <w:p w:rsidR="00D61AFB" w:rsidRPr="00EA2F31" w:rsidRDefault="00D61AFB" w:rsidP="00CA1B5C">
            <w:pPr>
              <w:widowControl w:val="0"/>
              <w:autoSpaceDE w:val="0"/>
              <w:autoSpaceDN w:val="0"/>
              <w:adjustRightInd w:val="0"/>
              <w:spacing w:after="0" w:line="240" w:lineRule="auto"/>
              <w:jc w:val="right"/>
            </w:pPr>
            <w:r w:rsidRPr="00EA2F31">
              <w:t>99</w:t>
            </w:r>
          </w:p>
        </w:tc>
        <w:tc>
          <w:tcPr>
            <w:tcW w:w="2268" w:type="dxa"/>
          </w:tcPr>
          <w:p w:rsidR="00D61AFB" w:rsidRPr="00EA2F31" w:rsidRDefault="00D61AFB" w:rsidP="00CA1B5C">
            <w:pPr>
              <w:widowControl w:val="0"/>
              <w:autoSpaceDE w:val="0"/>
              <w:autoSpaceDN w:val="0"/>
              <w:adjustRightInd w:val="0"/>
              <w:spacing w:after="0" w:line="240" w:lineRule="auto"/>
              <w:jc w:val="right"/>
            </w:pPr>
            <w:r w:rsidRPr="00EA2F31">
              <w:t>83.192629</w:t>
            </w:r>
          </w:p>
        </w:tc>
        <w:tc>
          <w:tcPr>
            <w:tcW w:w="2095" w:type="dxa"/>
          </w:tcPr>
          <w:p w:rsidR="00D61AFB" w:rsidRPr="00EA2F31" w:rsidRDefault="00D61AFB" w:rsidP="00CA1B5C">
            <w:pPr>
              <w:widowControl w:val="0"/>
              <w:autoSpaceDE w:val="0"/>
              <w:autoSpaceDN w:val="0"/>
              <w:adjustRightInd w:val="0"/>
              <w:spacing w:after="0" w:line="240" w:lineRule="auto"/>
              <w:jc w:val="right"/>
            </w:pPr>
          </w:p>
        </w:tc>
        <w:tc>
          <w:tcPr>
            <w:tcW w:w="1789" w:type="dxa"/>
          </w:tcPr>
          <w:p w:rsidR="00D61AFB" w:rsidRPr="00EA2F31" w:rsidRDefault="00D61AFB" w:rsidP="00CA1B5C">
            <w:pPr>
              <w:widowControl w:val="0"/>
              <w:autoSpaceDE w:val="0"/>
              <w:autoSpaceDN w:val="0"/>
              <w:adjustRightInd w:val="0"/>
              <w:spacing w:after="0" w:line="240" w:lineRule="auto"/>
              <w:jc w:val="right"/>
            </w:pPr>
            <w:r w:rsidRPr="00EA2F31">
              <w:t>0.1583</w:t>
            </w:r>
          </w:p>
        </w:tc>
      </w:tr>
    </w:tbl>
    <w:p w:rsidR="00296618" w:rsidRPr="000C1ACF" w:rsidRDefault="00296618" w:rsidP="00296618"/>
    <w:p w:rsidR="00296618" w:rsidRDefault="00296618" w:rsidP="00296618">
      <w:pPr>
        <w:pStyle w:val="Caption"/>
        <w:rPr>
          <w:sz w:val="24"/>
        </w:rPr>
      </w:pPr>
      <w:bookmarkStart w:id="131" w:name="_Toc380684371"/>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25</w:t>
      </w:r>
      <w:r w:rsidRPr="00336BBE">
        <w:rPr>
          <w:sz w:val="24"/>
        </w:rPr>
        <w:fldChar w:fldCharType="end"/>
      </w:r>
      <w:r w:rsidRPr="00336BBE">
        <w:rPr>
          <w:sz w:val="24"/>
        </w:rPr>
        <w:t>: Parameter Estimates</w:t>
      </w:r>
      <w:bookmarkEnd w:id="131"/>
    </w:p>
    <w:tbl>
      <w:tblPr>
        <w:tblStyle w:val="TableGrid7"/>
        <w:tblW w:w="9180" w:type="dxa"/>
        <w:tblLayout w:type="fixed"/>
        <w:tblLook w:val="04A0" w:firstRow="1" w:lastRow="0" w:firstColumn="1" w:lastColumn="0" w:noHBand="0" w:noVBand="1"/>
      </w:tblPr>
      <w:tblGrid>
        <w:gridCol w:w="2093"/>
        <w:gridCol w:w="1269"/>
        <w:gridCol w:w="1212"/>
        <w:gridCol w:w="921"/>
        <w:gridCol w:w="992"/>
        <w:gridCol w:w="1418"/>
        <w:gridCol w:w="1275"/>
      </w:tblGrid>
      <w:tr w:rsidR="00D61AFB" w:rsidRPr="00C12D2D" w:rsidTr="00CA1B5C">
        <w:tc>
          <w:tcPr>
            <w:tcW w:w="2093" w:type="dxa"/>
          </w:tcPr>
          <w:p w:rsidR="00D61AFB" w:rsidRPr="00C12D2D" w:rsidRDefault="00D61AFB" w:rsidP="00CA1B5C">
            <w:pPr>
              <w:spacing w:before="0" w:after="0" w:line="240" w:lineRule="auto"/>
              <w:jc w:val="left"/>
            </w:pPr>
            <w:r w:rsidRPr="0004627C">
              <w:t>Term</w:t>
            </w:r>
          </w:p>
        </w:tc>
        <w:tc>
          <w:tcPr>
            <w:tcW w:w="1269" w:type="dxa"/>
          </w:tcPr>
          <w:p w:rsidR="00D61AFB" w:rsidRPr="00C12D2D" w:rsidRDefault="00D61AFB" w:rsidP="00CA1B5C">
            <w:pPr>
              <w:spacing w:before="0" w:after="0" w:line="240" w:lineRule="auto"/>
              <w:jc w:val="left"/>
            </w:pPr>
            <w:r w:rsidRPr="0004627C">
              <w:t>Estimate</w:t>
            </w:r>
          </w:p>
        </w:tc>
        <w:tc>
          <w:tcPr>
            <w:tcW w:w="1212" w:type="dxa"/>
          </w:tcPr>
          <w:p w:rsidR="00D61AFB" w:rsidRPr="00C12D2D" w:rsidRDefault="00D61AFB" w:rsidP="00CA1B5C">
            <w:pPr>
              <w:spacing w:before="0" w:after="0" w:line="240" w:lineRule="auto"/>
              <w:jc w:val="left"/>
            </w:pPr>
            <w:r w:rsidRPr="0004627C">
              <w:t>Std Error</w:t>
            </w:r>
          </w:p>
        </w:tc>
        <w:tc>
          <w:tcPr>
            <w:tcW w:w="921" w:type="dxa"/>
          </w:tcPr>
          <w:p w:rsidR="00D61AFB" w:rsidRPr="0004627C" w:rsidRDefault="00D61AFB" w:rsidP="00CA1B5C">
            <w:pPr>
              <w:spacing w:before="0" w:after="0" w:line="240" w:lineRule="auto"/>
              <w:jc w:val="left"/>
            </w:pPr>
            <w:r w:rsidRPr="0004627C">
              <w:t>T Ratio</w:t>
            </w:r>
          </w:p>
        </w:tc>
        <w:tc>
          <w:tcPr>
            <w:tcW w:w="992" w:type="dxa"/>
          </w:tcPr>
          <w:p w:rsidR="00D61AFB" w:rsidRDefault="00D61AFB" w:rsidP="00CA1B5C">
            <w:pPr>
              <w:spacing w:before="0" w:after="0" w:line="240" w:lineRule="auto"/>
              <w:jc w:val="left"/>
            </w:pPr>
            <w:r>
              <w:t>Prob&gt;</w:t>
            </w:r>
          </w:p>
          <w:p w:rsidR="00D61AFB" w:rsidRPr="00C12D2D" w:rsidRDefault="00D61AFB" w:rsidP="00CA1B5C">
            <w:pPr>
              <w:spacing w:before="0" w:after="0" w:line="240" w:lineRule="auto"/>
              <w:jc w:val="left"/>
              <w:rPr>
                <w:rFonts w:asciiTheme="minorHAnsi" w:hAnsiTheme="minorHAnsi"/>
                <w:sz w:val="22"/>
                <w:szCs w:val="22"/>
                <w:lang w:val="en-ZA"/>
              </w:rPr>
            </w:pPr>
            <w:r>
              <w:t>|t|</w:t>
            </w:r>
          </w:p>
        </w:tc>
        <w:tc>
          <w:tcPr>
            <w:tcW w:w="1418" w:type="dxa"/>
          </w:tcPr>
          <w:p w:rsidR="00D61AFB" w:rsidRPr="00C12D2D" w:rsidRDefault="00D61AFB" w:rsidP="00CA1B5C">
            <w:pPr>
              <w:spacing w:before="0" w:after="0" w:line="240" w:lineRule="auto"/>
              <w:jc w:val="left"/>
              <w:rPr>
                <w:rFonts w:asciiTheme="minorHAnsi" w:hAnsiTheme="minorHAnsi"/>
                <w:sz w:val="22"/>
                <w:szCs w:val="22"/>
                <w:lang w:val="en-ZA"/>
              </w:rPr>
            </w:pPr>
            <w:r>
              <w:t>Lower 95%</w:t>
            </w:r>
          </w:p>
        </w:tc>
        <w:tc>
          <w:tcPr>
            <w:tcW w:w="1275" w:type="dxa"/>
          </w:tcPr>
          <w:p w:rsidR="00D61AFB" w:rsidRPr="00C12D2D" w:rsidRDefault="00D61AFB" w:rsidP="00CA1B5C">
            <w:pPr>
              <w:spacing w:before="0" w:after="0" w:line="240" w:lineRule="auto"/>
              <w:jc w:val="left"/>
              <w:rPr>
                <w:rFonts w:asciiTheme="minorHAnsi" w:hAnsiTheme="minorHAnsi"/>
                <w:sz w:val="22"/>
                <w:szCs w:val="22"/>
                <w:lang w:val="en-ZA"/>
              </w:rPr>
            </w:pPr>
            <w:r>
              <w:t>Upper 95%</w:t>
            </w:r>
          </w:p>
        </w:tc>
      </w:tr>
      <w:tr w:rsidR="00D61AFB" w:rsidRPr="00C12D2D" w:rsidTr="00CA1B5C">
        <w:tc>
          <w:tcPr>
            <w:tcW w:w="2093" w:type="dxa"/>
          </w:tcPr>
          <w:p w:rsidR="00D61AFB" w:rsidRPr="00EA2F31" w:rsidRDefault="00D61AFB" w:rsidP="00CA1B5C">
            <w:pPr>
              <w:spacing w:before="0" w:after="0" w:line="240" w:lineRule="auto"/>
              <w:jc w:val="left"/>
            </w:pPr>
            <w:r>
              <w:t>Intercept</w:t>
            </w:r>
          </w:p>
        </w:tc>
        <w:tc>
          <w:tcPr>
            <w:tcW w:w="1269" w:type="dxa"/>
          </w:tcPr>
          <w:p w:rsidR="00D61AFB" w:rsidRPr="00EA2F31" w:rsidRDefault="00D61AFB" w:rsidP="00CA1B5C">
            <w:pPr>
              <w:widowControl w:val="0"/>
              <w:autoSpaceDE w:val="0"/>
              <w:autoSpaceDN w:val="0"/>
              <w:adjustRightInd w:val="0"/>
              <w:spacing w:after="0" w:line="240" w:lineRule="auto"/>
              <w:jc w:val="right"/>
            </w:pPr>
            <w:r w:rsidRPr="00EA2F31">
              <w:t>0.04685</w:t>
            </w:r>
          </w:p>
        </w:tc>
        <w:tc>
          <w:tcPr>
            <w:tcW w:w="1212" w:type="dxa"/>
          </w:tcPr>
          <w:p w:rsidR="00D61AFB" w:rsidRPr="00EA2F31" w:rsidRDefault="00D61AFB" w:rsidP="00CA1B5C">
            <w:pPr>
              <w:widowControl w:val="0"/>
              <w:autoSpaceDE w:val="0"/>
              <w:autoSpaceDN w:val="0"/>
              <w:adjustRightInd w:val="0"/>
              <w:spacing w:after="0" w:line="240" w:lineRule="auto"/>
              <w:jc w:val="right"/>
            </w:pPr>
            <w:r w:rsidRPr="00EA2F31">
              <w:t>0.09089</w:t>
            </w:r>
          </w:p>
        </w:tc>
        <w:tc>
          <w:tcPr>
            <w:tcW w:w="921" w:type="dxa"/>
          </w:tcPr>
          <w:p w:rsidR="00D61AFB" w:rsidRPr="00EA2F31" w:rsidRDefault="00D61AFB" w:rsidP="00CA1B5C">
            <w:pPr>
              <w:widowControl w:val="0"/>
              <w:autoSpaceDE w:val="0"/>
              <w:autoSpaceDN w:val="0"/>
              <w:adjustRightInd w:val="0"/>
              <w:spacing w:after="0" w:line="240" w:lineRule="auto"/>
              <w:jc w:val="right"/>
            </w:pPr>
            <w:r w:rsidRPr="00EA2F31">
              <w:t>0.52</w:t>
            </w:r>
          </w:p>
        </w:tc>
        <w:tc>
          <w:tcPr>
            <w:tcW w:w="992" w:type="dxa"/>
          </w:tcPr>
          <w:p w:rsidR="00D61AFB" w:rsidRPr="00EA2F31" w:rsidRDefault="00D61AFB" w:rsidP="00CA1B5C">
            <w:pPr>
              <w:widowControl w:val="0"/>
              <w:autoSpaceDE w:val="0"/>
              <w:autoSpaceDN w:val="0"/>
              <w:adjustRightInd w:val="0"/>
              <w:spacing w:after="0" w:line="240" w:lineRule="auto"/>
              <w:jc w:val="right"/>
            </w:pPr>
            <w:r w:rsidRPr="00EA2F31">
              <w:t>0.607</w:t>
            </w:r>
          </w:p>
        </w:tc>
        <w:tc>
          <w:tcPr>
            <w:tcW w:w="1418" w:type="dxa"/>
          </w:tcPr>
          <w:p w:rsidR="00D61AFB" w:rsidRPr="00EA2F31" w:rsidRDefault="00D61AFB" w:rsidP="00CA1B5C">
            <w:pPr>
              <w:widowControl w:val="0"/>
              <w:autoSpaceDE w:val="0"/>
              <w:autoSpaceDN w:val="0"/>
              <w:adjustRightInd w:val="0"/>
              <w:spacing w:after="0" w:line="240" w:lineRule="auto"/>
              <w:jc w:val="right"/>
            </w:pPr>
            <w:r w:rsidRPr="00EA2F31">
              <w:t xml:space="preserve"> -0.13354</w:t>
            </w:r>
          </w:p>
        </w:tc>
        <w:tc>
          <w:tcPr>
            <w:tcW w:w="1275" w:type="dxa"/>
          </w:tcPr>
          <w:p w:rsidR="00D61AFB" w:rsidRPr="00EA2F31" w:rsidRDefault="00D61AFB" w:rsidP="00CA1B5C">
            <w:pPr>
              <w:widowControl w:val="0"/>
              <w:autoSpaceDE w:val="0"/>
              <w:autoSpaceDN w:val="0"/>
              <w:adjustRightInd w:val="0"/>
              <w:spacing w:after="0" w:line="240" w:lineRule="auto"/>
              <w:jc w:val="right"/>
            </w:pPr>
            <w:r w:rsidRPr="00EA2F31">
              <w:t>0.22724</w:t>
            </w:r>
          </w:p>
        </w:tc>
      </w:tr>
      <w:tr w:rsidR="00D61AFB" w:rsidRPr="00C12D2D" w:rsidTr="00CA1B5C">
        <w:tc>
          <w:tcPr>
            <w:tcW w:w="2093" w:type="dxa"/>
          </w:tcPr>
          <w:p w:rsidR="00D61AFB" w:rsidRDefault="00D61AFB" w:rsidP="00CA1B5C">
            <w:pPr>
              <w:spacing w:before="0" w:after="0" w:line="240" w:lineRule="auto"/>
              <w:jc w:val="left"/>
            </w:pPr>
            <w:r>
              <w:t>Corporate structure and strategy (Q 5-7)</w:t>
            </w:r>
          </w:p>
        </w:tc>
        <w:tc>
          <w:tcPr>
            <w:tcW w:w="1269" w:type="dxa"/>
          </w:tcPr>
          <w:p w:rsidR="00D61AFB" w:rsidRPr="00EA2F31" w:rsidRDefault="00D61AFB" w:rsidP="00CA1B5C">
            <w:pPr>
              <w:widowControl w:val="0"/>
              <w:autoSpaceDE w:val="0"/>
              <w:autoSpaceDN w:val="0"/>
              <w:adjustRightInd w:val="0"/>
              <w:spacing w:after="0" w:line="240" w:lineRule="auto"/>
              <w:jc w:val="right"/>
            </w:pPr>
            <w:r w:rsidRPr="00EA2F31">
              <w:t>0.18672</w:t>
            </w:r>
          </w:p>
        </w:tc>
        <w:tc>
          <w:tcPr>
            <w:tcW w:w="1212" w:type="dxa"/>
          </w:tcPr>
          <w:p w:rsidR="00D61AFB" w:rsidRPr="00EA2F31" w:rsidRDefault="00D61AFB" w:rsidP="00CA1B5C">
            <w:pPr>
              <w:widowControl w:val="0"/>
              <w:autoSpaceDE w:val="0"/>
              <w:autoSpaceDN w:val="0"/>
              <w:adjustRightInd w:val="0"/>
              <w:spacing w:after="0" w:line="240" w:lineRule="auto"/>
              <w:jc w:val="right"/>
            </w:pPr>
            <w:r w:rsidRPr="00EA2F31">
              <w:t>0.10320</w:t>
            </w:r>
          </w:p>
        </w:tc>
        <w:tc>
          <w:tcPr>
            <w:tcW w:w="921" w:type="dxa"/>
          </w:tcPr>
          <w:p w:rsidR="00D61AFB" w:rsidRPr="00EA2F31" w:rsidRDefault="00D61AFB" w:rsidP="00CA1B5C">
            <w:pPr>
              <w:widowControl w:val="0"/>
              <w:autoSpaceDE w:val="0"/>
              <w:autoSpaceDN w:val="0"/>
              <w:adjustRightInd w:val="0"/>
              <w:spacing w:after="0" w:line="240" w:lineRule="auto"/>
              <w:jc w:val="right"/>
            </w:pPr>
            <w:r w:rsidRPr="00EA2F31">
              <w:t>1.81</w:t>
            </w:r>
          </w:p>
        </w:tc>
        <w:tc>
          <w:tcPr>
            <w:tcW w:w="992" w:type="dxa"/>
          </w:tcPr>
          <w:p w:rsidR="00D61AFB" w:rsidRPr="00EA2F31" w:rsidRDefault="00D61AFB" w:rsidP="00CA1B5C">
            <w:pPr>
              <w:widowControl w:val="0"/>
              <w:autoSpaceDE w:val="0"/>
              <w:autoSpaceDN w:val="0"/>
              <w:adjustRightInd w:val="0"/>
              <w:spacing w:after="0" w:line="240" w:lineRule="auto"/>
              <w:jc w:val="right"/>
            </w:pPr>
            <w:r w:rsidRPr="00EA2F31">
              <w:t>0.073</w:t>
            </w:r>
          </w:p>
        </w:tc>
        <w:tc>
          <w:tcPr>
            <w:tcW w:w="1418" w:type="dxa"/>
          </w:tcPr>
          <w:p w:rsidR="00D61AFB" w:rsidRPr="00EA2F31" w:rsidRDefault="00D61AFB" w:rsidP="00CA1B5C">
            <w:pPr>
              <w:widowControl w:val="0"/>
              <w:autoSpaceDE w:val="0"/>
              <w:autoSpaceDN w:val="0"/>
              <w:adjustRightInd w:val="0"/>
              <w:spacing w:after="0" w:line="240" w:lineRule="auto"/>
              <w:jc w:val="right"/>
            </w:pPr>
            <w:r w:rsidRPr="00EA2F31">
              <w:t xml:space="preserve"> -0.0181</w:t>
            </w:r>
          </w:p>
        </w:tc>
        <w:tc>
          <w:tcPr>
            <w:tcW w:w="1275" w:type="dxa"/>
          </w:tcPr>
          <w:p w:rsidR="00D61AFB" w:rsidRPr="00EA2F31" w:rsidRDefault="00D61AFB" w:rsidP="00CA1B5C">
            <w:pPr>
              <w:widowControl w:val="0"/>
              <w:autoSpaceDE w:val="0"/>
              <w:autoSpaceDN w:val="0"/>
              <w:adjustRightInd w:val="0"/>
              <w:spacing w:after="0" w:line="240" w:lineRule="auto"/>
              <w:jc w:val="right"/>
            </w:pPr>
            <w:r w:rsidRPr="00EA2F31">
              <w:t>0.39155</w:t>
            </w:r>
          </w:p>
        </w:tc>
      </w:tr>
      <w:tr w:rsidR="00D61AFB" w:rsidRPr="00C12D2D" w:rsidTr="00CA1B5C">
        <w:tc>
          <w:tcPr>
            <w:tcW w:w="2093" w:type="dxa"/>
          </w:tcPr>
          <w:p w:rsidR="00D61AFB" w:rsidRDefault="00D61AFB" w:rsidP="00CA1B5C">
            <w:pPr>
              <w:spacing w:before="0" w:after="0" w:line="240" w:lineRule="auto"/>
              <w:jc w:val="left"/>
            </w:pPr>
            <w:r>
              <w:t>Macroeconomic factors</w:t>
            </w:r>
          </w:p>
          <w:p w:rsidR="00D61AFB" w:rsidRPr="00EA2F31" w:rsidRDefault="00D61AFB" w:rsidP="00CA1B5C">
            <w:pPr>
              <w:spacing w:before="0" w:after="0" w:line="240" w:lineRule="auto"/>
              <w:jc w:val="left"/>
            </w:pPr>
            <w:r>
              <w:t xml:space="preserve"> (Q 8 -12)</w:t>
            </w:r>
          </w:p>
        </w:tc>
        <w:tc>
          <w:tcPr>
            <w:tcW w:w="1269" w:type="dxa"/>
          </w:tcPr>
          <w:p w:rsidR="00D61AFB" w:rsidRPr="00EA2F31" w:rsidRDefault="00D61AFB" w:rsidP="00CA1B5C">
            <w:pPr>
              <w:widowControl w:val="0"/>
              <w:autoSpaceDE w:val="0"/>
              <w:autoSpaceDN w:val="0"/>
              <w:adjustRightInd w:val="0"/>
              <w:spacing w:after="0" w:line="240" w:lineRule="auto"/>
              <w:jc w:val="right"/>
            </w:pPr>
            <w:r w:rsidRPr="00EA2F31">
              <w:t xml:space="preserve"> -0.0999</w:t>
            </w:r>
          </w:p>
        </w:tc>
        <w:tc>
          <w:tcPr>
            <w:tcW w:w="1212" w:type="dxa"/>
          </w:tcPr>
          <w:p w:rsidR="00D61AFB" w:rsidRPr="00EA2F31" w:rsidRDefault="00D61AFB" w:rsidP="00CA1B5C">
            <w:pPr>
              <w:widowControl w:val="0"/>
              <w:autoSpaceDE w:val="0"/>
              <w:autoSpaceDN w:val="0"/>
              <w:adjustRightInd w:val="0"/>
              <w:spacing w:after="0" w:line="240" w:lineRule="auto"/>
              <w:jc w:val="right"/>
            </w:pPr>
            <w:r w:rsidRPr="00EA2F31">
              <w:t>0.10927</w:t>
            </w:r>
          </w:p>
        </w:tc>
        <w:tc>
          <w:tcPr>
            <w:tcW w:w="921" w:type="dxa"/>
          </w:tcPr>
          <w:p w:rsidR="00D61AFB" w:rsidRPr="00EA2F31" w:rsidRDefault="00D61AFB" w:rsidP="00CA1B5C">
            <w:pPr>
              <w:widowControl w:val="0"/>
              <w:autoSpaceDE w:val="0"/>
              <w:autoSpaceDN w:val="0"/>
              <w:adjustRightInd w:val="0"/>
              <w:spacing w:after="0" w:line="240" w:lineRule="auto"/>
              <w:jc w:val="right"/>
            </w:pPr>
            <w:r w:rsidRPr="00EA2F31">
              <w:t xml:space="preserve"> -0.91</w:t>
            </w:r>
          </w:p>
        </w:tc>
        <w:tc>
          <w:tcPr>
            <w:tcW w:w="992" w:type="dxa"/>
          </w:tcPr>
          <w:p w:rsidR="00D61AFB" w:rsidRPr="00EA2F31" w:rsidRDefault="00D61AFB" w:rsidP="00CA1B5C">
            <w:pPr>
              <w:widowControl w:val="0"/>
              <w:autoSpaceDE w:val="0"/>
              <w:autoSpaceDN w:val="0"/>
              <w:adjustRightInd w:val="0"/>
              <w:spacing w:after="0" w:line="240" w:lineRule="auto"/>
              <w:jc w:val="right"/>
            </w:pPr>
            <w:r w:rsidRPr="00EA2F31">
              <w:t>0.362</w:t>
            </w:r>
          </w:p>
        </w:tc>
        <w:tc>
          <w:tcPr>
            <w:tcW w:w="1418" w:type="dxa"/>
          </w:tcPr>
          <w:p w:rsidR="00D61AFB" w:rsidRPr="00EA2F31" w:rsidRDefault="00D61AFB" w:rsidP="00CA1B5C">
            <w:pPr>
              <w:widowControl w:val="0"/>
              <w:autoSpaceDE w:val="0"/>
              <w:autoSpaceDN w:val="0"/>
              <w:adjustRightInd w:val="0"/>
              <w:spacing w:after="0" w:line="240" w:lineRule="auto"/>
              <w:jc w:val="right"/>
            </w:pPr>
            <w:r w:rsidRPr="00EA2F31">
              <w:t xml:space="preserve"> -0.31678</w:t>
            </w:r>
          </w:p>
        </w:tc>
        <w:tc>
          <w:tcPr>
            <w:tcW w:w="1275" w:type="dxa"/>
          </w:tcPr>
          <w:p w:rsidR="00D61AFB" w:rsidRPr="00EA2F31" w:rsidRDefault="00D61AFB" w:rsidP="00CA1B5C">
            <w:pPr>
              <w:widowControl w:val="0"/>
              <w:autoSpaceDE w:val="0"/>
              <w:autoSpaceDN w:val="0"/>
              <w:adjustRightInd w:val="0"/>
              <w:spacing w:after="0" w:line="240" w:lineRule="auto"/>
              <w:jc w:val="right"/>
            </w:pPr>
            <w:r w:rsidRPr="00EA2F31">
              <w:t>0.11697</w:t>
            </w:r>
          </w:p>
        </w:tc>
      </w:tr>
    </w:tbl>
    <w:p w:rsidR="00296618" w:rsidRPr="000C1ACF" w:rsidRDefault="00296618" w:rsidP="00296618"/>
    <w:p w:rsidR="00296618" w:rsidRDefault="00296618" w:rsidP="00296618">
      <w:r w:rsidRPr="00E35CDE">
        <w:t xml:space="preserve">The p-value from the F-test is greater than 0.01 (p=0.0903) indicating an insignificant linear relationship between the brand </w:t>
      </w:r>
      <w:r>
        <w:t>loyalty</w:t>
      </w:r>
      <w:r w:rsidRPr="00E35CDE">
        <w:t xml:space="preserve"> (dependant variable) and the independent variables in the model at a 95% level of confidence. </w:t>
      </w:r>
      <w:r w:rsidR="009F5BE6">
        <w:t>It</w:t>
      </w:r>
      <w:r w:rsidRPr="00E35CDE">
        <w:t xml:space="preserve"> can, therefore, </w:t>
      </w:r>
      <w:r w:rsidR="009F5BE6">
        <w:t xml:space="preserve">be </w:t>
      </w:r>
      <w:r w:rsidRPr="00E35CDE">
        <w:t>conclude</w:t>
      </w:r>
      <w:r w:rsidR="009F5BE6">
        <w:t>d</w:t>
      </w:r>
      <w:r w:rsidRPr="00E35CDE">
        <w:t xml:space="preserve"> that corporate </w:t>
      </w:r>
      <w:r>
        <w:t xml:space="preserve">structure and strategy; </w:t>
      </w:r>
      <w:r w:rsidRPr="00E35CDE">
        <w:t xml:space="preserve">and macroeconomic factors have no significant influence on levels of brand </w:t>
      </w:r>
      <w:r>
        <w:t>loyalty</w:t>
      </w:r>
      <w:r w:rsidRPr="00E35CDE">
        <w:t>.</w:t>
      </w:r>
      <w:r>
        <w:t xml:space="preserve"> </w:t>
      </w:r>
    </w:p>
    <w:p w:rsidR="00296618" w:rsidRPr="003E5266" w:rsidRDefault="00296618" w:rsidP="00296618">
      <w:pPr>
        <w:pStyle w:val="Heading4"/>
        <w:numPr>
          <w:ilvl w:val="3"/>
          <w:numId w:val="30"/>
        </w:numPr>
        <w:ind w:left="1701" w:hanging="1134"/>
      </w:pPr>
      <w:r>
        <w:t>Perceived quality and two drivers (corporate structure and strategy; and macroeconomic factors</w:t>
      </w:r>
      <w:r w:rsidR="009F5BE6">
        <w:t>)</w:t>
      </w:r>
      <w:r>
        <w:t>.</w:t>
      </w:r>
    </w:p>
    <w:p w:rsidR="00296618" w:rsidRDefault="00296618" w:rsidP="00296618">
      <w:pPr>
        <w:pStyle w:val="Heading3"/>
        <w:numPr>
          <w:ilvl w:val="0"/>
          <w:numId w:val="0"/>
        </w:numPr>
      </w:pPr>
      <w:bookmarkStart w:id="132" w:name="_Toc380504862"/>
      <w:bookmarkStart w:id="133" w:name="_Toc380687113"/>
      <w:r>
        <w:t>Multiple Regression Analysis assessing the relationship between brand equity (perceived quality) and drivers (corporate structure and strategy;</w:t>
      </w:r>
      <w:r w:rsidR="009F5BE6">
        <w:t xml:space="preserve"> </w:t>
      </w:r>
      <w:r>
        <w:t>and macroeconomic factors) of corporate rebranding in relation to old brand.</w:t>
      </w:r>
      <w:bookmarkEnd w:id="132"/>
      <w:bookmarkEnd w:id="133"/>
      <w:r>
        <w:t xml:space="preserve"> </w:t>
      </w:r>
    </w:p>
    <w:p w:rsidR="00296618" w:rsidRDefault="00296618" w:rsidP="00296618">
      <w:r w:rsidRPr="001A4650">
        <w:t xml:space="preserve">The relationship between </w:t>
      </w:r>
      <w:r>
        <w:t>perceived quality</w:t>
      </w:r>
      <w:r w:rsidRPr="001A4650" w:rsidDel="00F35C85">
        <w:t xml:space="preserve"> </w:t>
      </w:r>
      <w:r w:rsidRPr="001A4650">
        <w:t xml:space="preserve">and the drivers of corporate rebranding was also analysed using the same methodology. </w:t>
      </w:r>
      <w:r>
        <w:t xml:space="preserve">Multiple regression was used to examine whether </w:t>
      </w:r>
      <w:r w:rsidRPr="00C00929">
        <w:t xml:space="preserve">corporate </w:t>
      </w:r>
      <w:r>
        <w:t xml:space="preserve">structure and </w:t>
      </w:r>
      <w:r w:rsidRPr="00C00929">
        <w:t>strategy and</w:t>
      </w:r>
      <w:r>
        <w:t>/or</w:t>
      </w:r>
      <w:r w:rsidRPr="00C00929">
        <w:t xml:space="preserve"> macroeconomic factors</w:t>
      </w:r>
      <w:r>
        <w:t xml:space="preserve"> impact perceived quality. According to Table 2</w:t>
      </w:r>
      <w:r w:rsidR="00D61AFB">
        <w:t>6</w:t>
      </w:r>
      <w:r>
        <w:t xml:space="preserve">, the overall model explained 0.7% </w:t>
      </w:r>
      <w:r w:rsidRPr="00100631">
        <w:t xml:space="preserve">of variance in </w:t>
      </w:r>
      <w:r>
        <w:t>brand loyalty</w:t>
      </w:r>
      <w:r w:rsidRPr="00100631">
        <w:t xml:space="preserve">, which was revealed </w:t>
      </w:r>
      <w:r>
        <w:t xml:space="preserve">not </w:t>
      </w:r>
      <w:r w:rsidRPr="00100631">
        <w:t>to be statistically significant, F</w:t>
      </w:r>
      <w:r>
        <w:rPr>
          <w:vertAlign w:val="subscript"/>
        </w:rPr>
        <w:t>2</w:t>
      </w:r>
      <w:r w:rsidRPr="00100631">
        <w:rPr>
          <w:vertAlign w:val="subscript"/>
        </w:rPr>
        <w:t>,99</w:t>
      </w:r>
      <w:r w:rsidRPr="00100631">
        <w:t xml:space="preserve"> = 2.92, p &lt;0 .093. The model reveals that </w:t>
      </w:r>
      <w:r w:rsidRPr="00C00929">
        <w:t>macroeconomic factors</w:t>
      </w:r>
      <w:r>
        <w:t xml:space="preserve"> </w:t>
      </w:r>
      <w:r w:rsidRPr="00100631">
        <w:t xml:space="preserve">(Beta = </w:t>
      </w:r>
      <w:r>
        <w:t>0.094</w:t>
      </w:r>
      <w:r w:rsidRPr="00100631">
        <w:t>, p &lt;</w:t>
      </w:r>
      <w:r>
        <w:t xml:space="preserve"> 0.3995</w:t>
      </w:r>
      <w:r w:rsidRPr="00100631">
        <w:t xml:space="preserve">) </w:t>
      </w:r>
      <w:r>
        <w:t>and</w:t>
      </w:r>
      <w:r w:rsidRPr="00100631">
        <w:t xml:space="preserve"> </w:t>
      </w:r>
      <w:r w:rsidRPr="00C00929">
        <w:t xml:space="preserve">corporate </w:t>
      </w:r>
      <w:r>
        <w:t xml:space="preserve">structure and </w:t>
      </w:r>
      <w:r w:rsidRPr="00C00929">
        <w:lastRenderedPageBreak/>
        <w:t xml:space="preserve">strategy </w:t>
      </w:r>
      <w:r w:rsidRPr="00100631">
        <w:t xml:space="preserve">(Beta = </w:t>
      </w:r>
      <w:r>
        <w:t>-0</w:t>
      </w:r>
      <w:r w:rsidRPr="00100631">
        <w:t>.</w:t>
      </w:r>
      <w:r>
        <w:t>0016</w:t>
      </w:r>
      <w:r w:rsidRPr="00100631">
        <w:t>, p &lt;0 .9</w:t>
      </w:r>
      <w:r>
        <w:t>878</w:t>
      </w:r>
      <w:r w:rsidRPr="00100631">
        <w:t xml:space="preserve">) </w:t>
      </w:r>
      <w:r>
        <w:t xml:space="preserve">do not </w:t>
      </w:r>
      <w:r w:rsidRPr="00100631">
        <w:t>significant</w:t>
      </w:r>
      <w:r>
        <w:t>ly</w:t>
      </w:r>
      <w:r w:rsidRPr="00100631">
        <w:t xml:space="preserve"> </w:t>
      </w:r>
      <w:r>
        <w:t>impact</w:t>
      </w:r>
      <w:r w:rsidRPr="00100631">
        <w:t xml:space="preserve"> </w:t>
      </w:r>
      <w:r>
        <w:t>perceived quality</w:t>
      </w:r>
      <w:r w:rsidDel="00F35C85">
        <w:t xml:space="preserve"> </w:t>
      </w:r>
      <w:r>
        <w:t>as per Tables 2</w:t>
      </w:r>
      <w:r w:rsidR="00D61AFB">
        <w:t>6</w:t>
      </w:r>
      <w:r>
        <w:t>, 2</w:t>
      </w:r>
      <w:r w:rsidR="00D61AFB">
        <w:t>7</w:t>
      </w:r>
      <w:r>
        <w:t>, 2</w:t>
      </w:r>
      <w:r w:rsidR="00D61AFB">
        <w:t>8</w:t>
      </w:r>
      <w:r>
        <w:t xml:space="preserve"> and 2</w:t>
      </w:r>
      <w:r w:rsidR="00D61AFB">
        <w:t>9</w:t>
      </w:r>
      <w:r>
        <w:t>.</w:t>
      </w:r>
    </w:p>
    <w:p w:rsidR="00296618" w:rsidRDefault="00296618" w:rsidP="00296618">
      <w:pPr>
        <w:pStyle w:val="Caption"/>
        <w:rPr>
          <w:sz w:val="24"/>
        </w:rPr>
      </w:pPr>
      <w:bookmarkStart w:id="134" w:name="_Toc380684372"/>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26</w:t>
      </w:r>
      <w:r w:rsidRPr="00336BBE">
        <w:rPr>
          <w:sz w:val="24"/>
        </w:rPr>
        <w:fldChar w:fldCharType="end"/>
      </w:r>
      <w:r w:rsidRPr="00336BBE">
        <w:rPr>
          <w:sz w:val="24"/>
        </w:rPr>
        <w:t>: Summary of Fit</w:t>
      </w:r>
      <w:bookmarkEnd w:id="134"/>
    </w:p>
    <w:tbl>
      <w:tblPr>
        <w:tblStyle w:val="TableGrid5"/>
        <w:tblW w:w="0" w:type="auto"/>
        <w:tblLook w:val="04A0" w:firstRow="1" w:lastRow="0" w:firstColumn="1" w:lastColumn="0" w:noHBand="0" w:noVBand="1"/>
      </w:tblPr>
      <w:tblGrid>
        <w:gridCol w:w="3652"/>
        <w:gridCol w:w="2341"/>
      </w:tblGrid>
      <w:tr w:rsidR="00D61AFB" w:rsidRPr="00FB60F8" w:rsidTr="00CA1B5C">
        <w:tc>
          <w:tcPr>
            <w:tcW w:w="3652" w:type="dxa"/>
          </w:tcPr>
          <w:p w:rsidR="00D61AFB" w:rsidRPr="00FB60F8" w:rsidRDefault="00D61AFB" w:rsidP="00CA1B5C">
            <w:pPr>
              <w:spacing w:before="0" w:after="0" w:line="240" w:lineRule="auto"/>
              <w:jc w:val="left"/>
            </w:pPr>
            <w:r w:rsidRPr="00FB60F8">
              <w:t>RSquare</w:t>
            </w:r>
          </w:p>
        </w:tc>
        <w:tc>
          <w:tcPr>
            <w:tcW w:w="2341" w:type="dxa"/>
          </w:tcPr>
          <w:p w:rsidR="00D61AFB" w:rsidRPr="004B1560" w:rsidRDefault="00D61AFB" w:rsidP="00CA1B5C">
            <w:pPr>
              <w:widowControl w:val="0"/>
              <w:autoSpaceDE w:val="0"/>
              <w:autoSpaceDN w:val="0"/>
              <w:adjustRightInd w:val="0"/>
              <w:spacing w:after="0" w:line="240" w:lineRule="auto"/>
              <w:jc w:val="right"/>
            </w:pPr>
            <w:r w:rsidRPr="004B1560">
              <w:t>0.00741</w:t>
            </w:r>
          </w:p>
        </w:tc>
      </w:tr>
      <w:tr w:rsidR="00D61AFB" w:rsidRPr="00FB60F8" w:rsidTr="00CA1B5C">
        <w:tc>
          <w:tcPr>
            <w:tcW w:w="3652" w:type="dxa"/>
          </w:tcPr>
          <w:p w:rsidR="00D61AFB" w:rsidRPr="00FB60F8" w:rsidRDefault="00D61AFB" w:rsidP="00CA1B5C">
            <w:pPr>
              <w:spacing w:before="0" w:after="0" w:line="240" w:lineRule="auto"/>
              <w:jc w:val="left"/>
            </w:pPr>
            <w:r w:rsidRPr="00FB60F8">
              <w:t>RSquare ADJ</w:t>
            </w:r>
          </w:p>
        </w:tc>
        <w:tc>
          <w:tcPr>
            <w:tcW w:w="2341" w:type="dxa"/>
          </w:tcPr>
          <w:p w:rsidR="00D61AFB" w:rsidRPr="004B1560" w:rsidRDefault="00D61AFB" w:rsidP="00CA1B5C">
            <w:pPr>
              <w:widowControl w:val="0"/>
              <w:autoSpaceDE w:val="0"/>
              <w:autoSpaceDN w:val="0"/>
              <w:adjustRightInd w:val="0"/>
              <w:spacing w:after="0" w:line="240" w:lineRule="auto"/>
              <w:jc w:val="right"/>
            </w:pPr>
            <w:r w:rsidRPr="004B1560">
              <w:t xml:space="preserve"> -0.01306</w:t>
            </w:r>
          </w:p>
        </w:tc>
      </w:tr>
      <w:tr w:rsidR="00D61AFB" w:rsidRPr="00FB60F8" w:rsidTr="00CA1B5C">
        <w:tc>
          <w:tcPr>
            <w:tcW w:w="3652" w:type="dxa"/>
          </w:tcPr>
          <w:p w:rsidR="00D61AFB" w:rsidRPr="00FB60F8" w:rsidRDefault="00D61AFB" w:rsidP="00CA1B5C">
            <w:pPr>
              <w:spacing w:before="0" w:after="0" w:line="240" w:lineRule="auto"/>
              <w:jc w:val="left"/>
              <w:rPr>
                <w:rFonts w:asciiTheme="minorHAnsi" w:hAnsiTheme="minorHAnsi"/>
                <w:sz w:val="22"/>
                <w:szCs w:val="22"/>
                <w:lang w:val="en-ZA"/>
              </w:rPr>
            </w:pPr>
            <w:r>
              <w:t>Root Mean Square Error</w:t>
            </w:r>
          </w:p>
        </w:tc>
        <w:tc>
          <w:tcPr>
            <w:tcW w:w="2341" w:type="dxa"/>
          </w:tcPr>
          <w:p w:rsidR="00D61AFB" w:rsidRPr="004B1560" w:rsidRDefault="00D61AFB" w:rsidP="00CA1B5C">
            <w:pPr>
              <w:widowControl w:val="0"/>
              <w:autoSpaceDE w:val="0"/>
              <w:autoSpaceDN w:val="0"/>
              <w:adjustRightInd w:val="0"/>
              <w:spacing w:after="0" w:line="240" w:lineRule="auto"/>
              <w:jc w:val="right"/>
            </w:pPr>
            <w:r w:rsidRPr="004B1560">
              <w:t>0.931175</w:t>
            </w:r>
          </w:p>
        </w:tc>
      </w:tr>
      <w:tr w:rsidR="00D61AFB" w:rsidRPr="00FB60F8" w:rsidTr="00CA1B5C">
        <w:tc>
          <w:tcPr>
            <w:tcW w:w="3652" w:type="dxa"/>
          </w:tcPr>
          <w:p w:rsidR="00D61AFB" w:rsidRPr="00FB60F8" w:rsidRDefault="00D61AFB" w:rsidP="00CA1B5C">
            <w:pPr>
              <w:spacing w:before="0" w:after="0" w:line="240" w:lineRule="auto"/>
              <w:jc w:val="left"/>
              <w:rPr>
                <w:rFonts w:asciiTheme="minorHAnsi" w:hAnsiTheme="minorHAnsi"/>
                <w:sz w:val="22"/>
                <w:szCs w:val="22"/>
                <w:lang w:val="en-ZA"/>
              </w:rPr>
            </w:pPr>
            <w:r>
              <w:t>Mean of Response</w:t>
            </w:r>
          </w:p>
        </w:tc>
        <w:tc>
          <w:tcPr>
            <w:tcW w:w="2341" w:type="dxa"/>
          </w:tcPr>
          <w:p w:rsidR="00D61AFB" w:rsidRPr="004B1560" w:rsidRDefault="00D61AFB" w:rsidP="00CA1B5C">
            <w:pPr>
              <w:widowControl w:val="0"/>
              <w:autoSpaceDE w:val="0"/>
              <w:autoSpaceDN w:val="0"/>
              <w:adjustRightInd w:val="0"/>
              <w:spacing w:after="0" w:line="240" w:lineRule="auto"/>
              <w:jc w:val="right"/>
            </w:pPr>
            <w:r w:rsidRPr="004B1560">
              <w:t>0.033776</w:t>
            </w:r>
          </w:p>
        </w:tc>
      </w:tr>
      <w:tr w:rsidR="00D61AFB" w:rsidRPr="00FB60F8" w:rsidTr="00CA1B5C">
        <w:tc>
          <w:tcPr>
            <w:tcW w:w="3652" w:type="dxa"/>
          </w:tcPr>
          <w:p w:rsidR="00D61AFB" w:rsidRPr="00FB60F8" w:rsidRDefault="00D61AFB" w:rsidP="00CA1B5C">
            <w:pPr>
              <w:spacing w:before="0" w:after="0" w:line="240" w:lineRule="auto"/>
              <w:jc w:val="left"/>
              <w:rPr>
                <w:rFonts w:asciiTheme="minorHAnsi" w:hAnsiTheme="minorHAnsi"/>
                <w:sz w:val="22"/>
                <w:szCs w:val="22"/>
                <w:lang w:val="en-ZA"/>
              </w:rPr>
            </w:pPr>
            <w:r>
              <w:t>Observations (or Sum Wgts)</w:t>
            </w:r>
          </w:p>
        </w:tc>
        <w:tc>
          <w:tcPr>
            <w:tcW w:w="2341" w:type="dxa"/>
          </w:tcPr>
          <w:p w:rsidR="00D61AFB" w:rsidRPr="004B1560" w:rsidRDefault="00D61AFB" w:rsidP="00CA1B5C">
            <w:pPr>
              <w:widowControl w:val="0"/>
              <w:autoSpaceDE w:val="0"/>
              <w:autoSpaceDN w:val="0"/>
              <w:adjustRightInd w:val="0"/>
              <w:spacing w:after="0" w:line="240" w:lineRule="auto"/>
              <w:jc w:val="right"/>
            </w:pPr>
            <w:r w:rsidRPr="004B1560">
              <w:t>100</w:t>
            </w:r>
          </w:p>
        </w:tc>
      </w:tr>
    </w:tbl>
    <w:p w:rsidR="00296618" w:rsidRPr="000C1ACF" w:rsidRDefault="00296618" w:rsidP="00296618"/>
    <w:p w:rsidR="00296618" w:rsidRDefault="00296618" w:rsidP="00296618">
      <w:pPr>
        <w:pStyle w:val="Caption"/>
        <w:rPr>
          <w:sz w:val="24"/>
        </w:rPr>
      </w:pPr>
      <w:bookmarkStart w:id="135" w:name="_Toc380684373"/>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27</w:t>
      </w:r>
      <w:r w:rsidRPr="00336BBE">
        <w:rPr>
          <w:sz w:val="24"/>
        </w:rPr>
        <w:fldChar w:fldCharType="end"/>
      </w:r>
      <w:r w:rsidRPr="00336BBE">
        <w:rPr>
          <w:sz w:val="24"/>
        </w:rPr>
        <w:t>: Analysis of Variance</w:t>
      </w:r>
      <w:bookmarkEnd w:id="135"/>
    </w:p>
    <w:tbl>
      <w:tblPr>
        <w:tblStyle w:val="TableGrid6"/>
        <w:tblW w:w="0" w:type="auto"/>
        <w:tblLook w:val="04A0" w:firstRow="1" w:lastRow="0" w:firstColumn="1" w:lastColumn="0" w:noHBand="0" w:noVBand="1"/>
      </w:tblPr>
      <w:tblGrid>
        <w:gridCol w:w="1790"/>
        <w:gridCol w:w="1012"/>
        <w:gridCol w:w="2268"/>
        <w:gridCol w:w="2095"/>
        <w:gridCol w:w="1789"/>
      </w:tblGrid>
      <w:tr w:rsidR="00D61AFB" w:rsidRPr="00C12D2D" w:rsidTr="00CA1B5C">
        <w:tc>
          <w:tcPr>
            <w:tcW w:w="1790" w:type="dxa"/>
          </w:tcPr>
          <w:p w:rsidR="00D61AFB" w:rsidRPr="002477AA" w:rsidRDefault="00D61AFB" w:rsidP="00CA1B5C">
            <w:pPr>
              <w:spacing w:before="0" w:after="0" w:line="240" w:lineRule="auto"/>
              <w:jc w:val="left"/>
            </w:pPr>
            <w:r>
              <w:t>Source</w:t>
            </w:r>
          </w:p>
        </w:tc>
        <w:tc>
          <w:tcPr>
            <w:tcW w:w="1012" w:type="dxa"/>
          </w:tcPr>
          <w:p w:rsidR="00D61AFB" w:rsidRPr="002477AA" w:rsidRDefault="00D61AFB" w:rsidP="00CA1B5C">
            <w:pPr>
              <w:spacing w:before="0" w:after="0" w:line="240" w:lineRule="auto"/>
              <w:jc w:val="left"/>
            </w:pPr>
            <w:r w:rsidRPr="00C12D2D">
              <w:t>DF</w:t>
            </w:r>
          </w:p>
        </w:tc>
        <w:tc>
          <w:tcPr>
            <w:tcW w:w="2268" w:type="dxa"/>
          </w:tcPr>
          <w:p w:rsidR="00D61AFB" w:rsidRPr="002477AA" w:rsidRDefault="00D61AFB" w:rsidP="00CA1B5C">
            <w:pPr>
              <w:spacing w:before="0" w:after="0" w:line="240" w:lineRule="auto"/>
              <w:jc w:val="left"/>
            </w:pPr>
            <w:r>
              <w:t>Sum of Squares</w:t>
            </w:r>
          </w:p>
        </w:tc>
        <w:tc>
          <w:tcPr>
            <w:tcW w:w="2095" w:type="dxa"/>
          </w:tcPr>
          <w:p w:rsidR="00D61AFB" w:rsidRPr="002477AA" w:rsidRDefault="00D61AFB" w:rsidP="00CA1B5C">
            <w:pPr>
              <w:spacing w:before="0" w:after="0" w:line="240" w:lineRule="auto"/>
              <w:jc w:val="left"/>
            </w:pPr>
            <w:r>
              <w:t>Mean Square</w:t>
            </w:r>
          </w:p>
        </w:tc>
        <w:tc>
          <w:tcPr>
            <w:tcW w:w="1789" w:type="dxa"/>
          </w:tcPr>
          <w:p w:rsidR="00D61AFB" w:rsidRPr="002477AA" w:rsidRDefault="00D61AFB" w:rsidP="00CA1B5C">
            <w:pPr>
              <w:spacing w:before="0" w:after="0" w:line="240" w:lineRule="auto"/>
              <w:jc w:val="left"/>
            </w:pPr>
            <w:r>
              <w:t>F Ratio</w:t>
            </w:r>
          </w:p>
        </w:tc>
      </w:tr>
      <w:tr w:rsidR="00D61AFB" w:rsidRPr="00C12D2D" w:rsidTr="00CA1B5C">
        <w:tc>
          <w:tcPr>
            <w:tcW w:w="1790" w:type="dxa"/>
          </w:tcPr>
          <w:p w:rsidR="00D61AFB" w:rsidRPr="002477AA" w:rsidRDefault="00D61AFB" w:rsidP="00CA1B5C">
            <w:pPr>
              <w:spacing w:before="0" w:after="0" w:line="240" w:lineRule="auto"/>
              <w:jc w:val="left"/>
            </w:pPr>
            <w:r>
              <w:t>Model</w:t>
            </w:r>
            <w:r>
              <w:tab/>
            </w:r>
          </w:p>
        </w:tc>
        <w:tc>
          <w:tcPr>
            <w:tcW w:w="1012" w:type="dxa"/>
          </w:tcPr>
          <w:p w:rsidR="00D61AFB" w:rsidRPr="002477AA" w:rsidRDefault="00D61AFB" w:rsidP="00CA1B5C">
            <w:pPr>
              <w:widowControl w:val="0"/>
              <w:autoSpaceDE w:val="0"/>
              <w:autoSpaceDN w:val="0"/>
              <w:adjustRightInd w:val="0"/>
              <w:spacing w:after="0" w:line="240" w:lineRule="auto"/>
              <w:jc w:val="right"/>
            </w:pPr>
            <w:r w:rsidRPr="002477AA">
              <w:t>2</w:t>
            </w:r>
          </w:p>
        </w:tc>
        <w:tc>
          <w:tcPr>
            <w:tcW w:w="2268" w:type="dxa"/>
          </w:tcPr>
          <w:p w:rsidR="00D61AFB" w:rsidRPr="002477AA" w:rsidRDefault="00D61AFB" w:rsidP="00CA1B5C">
            <w:pPr>
              <w:widowControl w:val="0"/>
              <w:autoSpaceDE w:val="0"/>
              <w:autoSpaceDN w:val="0"/>
              <w:adjustRightInd w:val="0"/>
              <w:spacing w:after="0" w:line="240" w:lineRule="auto"/>
              <w:jc w:val="right"/>
            </w:pPr>
            <w:r w:rsidRPr="002477AA">
              <w:t>0.627855</w:t>
            </w:r>
          </w:p>
        </w:tc>
        <w:tc>
          <w:tcPr>
            <w:tcW w:w="2095" w:type="dxa"/>
          </w:tcPr>
          <w:p w:rsidR="00D61AFB" w:rsidRPr="002477AA" w:rsidRDefault="00D61AFB" w:rsidP="00CA1B5C">
            <w:pPr>
              <w:widowControl w:val="0"/>
              <w:autoSpaceDE w:val="0"/>
              <w:autoSpaceDN w:val="0"/>
              <w:adjustRightInd w:val="0"/>
              <w:spacing w:after="0" w:line="240" w:lineRule="auto"/>
              <w:jc w:val="right"/>
            </w:pPr>
            <w:r w:rsidRPr="002477AA">
              <w:t>0.313927</w:t>
            </w:r>
          </w:p>
        </w:tc>
        <w:tc>
          <w:tcPr>
            <w:tcW w:w="1789" w:type="dxa"/>
          </w:tcPr>
          <w:p w:rsidR="00D61AFB" w:rsidRPr="002477AA" w:rsidRDefault="00D61AFB" w:rsidP="00CA1B5C">
            <w:pPr>
              <w:spacing w:before="0" w:after="0" w:line="240" w:lineRule="auto"/>
              <w:jc w:val="left"/>
            </w:pPr>
            <w:r w:rsidRPr="002477AA">
              <w:t>0.3620</w:t>
            </w:r>
          </w:p>
        </w:tc>
      </w:tr>
      <w:tr w:rsidR="00D61AFB" w:rsidRPr="00C12D2D" w:rsidTr="00CA1B5C">
        <w:tc>
          <w:tcPr>
            <w:tcW w:w="1790" w:type="dxa"/>
          </w:tcPr>
          <w:p w:rsidR="00D61AFB" w:rsidRPr="002477AA" w:rsidRDefault="00D61AFB" w:rsidP="00CA1B5C">
            <w:pPr>
              <w:spacing w:before="0" w:after="0" w:line="240" w:lineRule="auto"/>
              <w:jc w:val="left"/>
            </w:pPr>
            <w:r>
              <w:t>Error</w:t>
            </w:r>
            <w:r>
              <w:tab/>
            </w:r>
          </w:p>
        </w:tc>
        <w:tc>
          <w:tcPr>
            <w:tcW w:w="1012" w:type="dxa"/>
          </w:tcPr>
          <w:p w:rsidR="00D61AFB" w:rsidRPr="002477AA" w:rsidRDefault="00D61AFB" w:rsidP="00CA1B5C">
            <w:pPr>
              <w:widowControl w:val="0"/>
              <w:autoSpaceDE w:val="0"/>
              <w:autoSpaceDN w:val="0"/>
              <w:adjustRightInd w:val="0"/>
              <w:spacing w:after="0" w:line="240" w:lineRule="auto"/>
              <w:jc w:val="right"/>
            </w:pPr>
            <w:r w:rsidRPr="002477AA">
              <w:t>97</w:t>
            </w:r>
          </w:p>
        </w:tc>
        <w:tc>
          <w:tcPr>
            <w:tcW w:w="2268" w:type="dxa"/>
          </w:tcPr>
          <w:p w:rsidR="00D61AFB" w:rsidRPr="002477AA" w:rsidRDefault="00D61AFB" w:rsidP="00CA1B5C">
            <w:pPr>
              <w:widowControl w:val="0"/>
              <w:autoSpaceDE w:val="0"/>
              <w:autoSpaceDN w:val="0"/>
              <w:adjustRightInd w:val="0"/>
              <w:spacing w:after="0" w:line="240" w:lineRule="auto"/>
              <w:jc w:val="right"/>
            </w:pPr>
            <w:r w:rsidRPr="002477AA">
              <w:t>84.107503</w:t>
            </w:r>
          </w:p>
        </w:tc>
        <w:tc>
          <w:tcPr>
            <w:tcW w:w="2095" w:type="dxa"/>
          </w:tcPr>
          <w:p w:rsidR="00D61AFB" w:rsidRPr="002477AA" w:rsidRDefault="00D61AFB" w:rsidP="00CA1B5C">
            <w:pPr>
              <w:widowControl w:val="0"/>
              <w:autoSpaceDE w:val="0"/>
              <w:autoSpaceDN w:val="0"/>
              <w:adjustRightInd w:val="0"/>
              <w:spacing w:after="0" w:line="240" w:lineRule="auto"/>
              <w:jc w:val="right"/>
            </w:pPr>
            <w:r w:rsidRPr="002477AA">
              <w:t>0.867088</w:t>
            </w:r>
          </w:p>
        </w:tc>
        <w:tc>
          <w:tcPr>
            <w:tcW w:w="1789" w:type="dxa"/>
          </w:tcPr>
          <w:p w:rsidR="00D61AFB" w:rsidRPr="002477AA" w:rsidRDefault="00D61AFB" w:rsidP="00CA1B5C">
            <w:pPr>
              <w:spacing w:before="0" w:after="0" w:line="240" w:lineRule="auto"/>
              <w:jc w:val="left"/>
            </w:pPr>
            <w:r>
              <w:t>Prob &gt; F</w:t>
            </w:r>
          </w:p>
        </w:tc>
      </w:tr>
      <w:tr w:rsidR="00D61AFB" w:rsidRPr="00C12D2D" w:rsidTr="00CA1B5C">
        <w:tc>
          <w:tcPr>
            <w:tcW w:w="1790" w:type="dxa"/>
          </w:tcPr>
          <w:p w:rsidR="00D61AFB" w:rsidRPr="002477AA" w:rsidRDefault="00D61AFB" w:rsidP="00CA1B5C">
            <w:pPr>
              <w:spacing w:before="0" w:after="0" w:line="240" w:lineRule="auto"/>
              <w:jc w:val="left"/>
            </w:pPr>
            <w:r>
              <w:t>C. Total</w:t>
            </w:r>
          </w:p>
        </w:tc>
        <w:tc>
          <w:tcPr>
            <w:tcW w:w="1012" w:type="dxa"/>
          </w:tcPr>
          <w:p w:rsidR="00D61AFB" w:rsidRPr="002477AA" w:rsidRDefault="00D61AFB" w:rsidP="00CA1B5C">
            <w:pPr>
              <w:widowControl w:val="0"/>
              <w:autoSpaceDE w:val="0"/>
              <w:autoSpaceDN w:val="0"/>
              <w:adjustRightInd w:val="0"/>
              <w:spacing w:after="0" w:line="240" w:lineRule="auto"/>
              <w:jc w:val="right"/>
            </w:pPr>
            <w:r w:rsidRPr="002477AA">
              <w:t>99</w:t>
            </w:r>
          </w:p>
        </w:tc>
        <w:tc>
          <w:tcPr>
            <w:tcW w:w="2268" w:type="dxa"/>
          </w:tcPr>
          <w:p w:rsidR="00D61AFB" w:rsidRPr="002477AA" w:rsidRDefault="00D61AFB" w:rsidP="00CA1B5C">
            <w:pPr>
              <w:widowControl w:val="0"/>
              <w:autoSpaceDE w:val="0"/>
              <w:autoSpaceDN w:val="0"/>
              <w:adjustRightInd w:val="0"/>
              <w:spacing w:after="0" w:line="240" w:lineRule="auto"/>
              <w:jc w:val="right"/>
            </w:pPr>
            <w:r w:rsidRPr="002477AA">
              <w:t>84.735358</w:t>
            </w:r>
          </w:p>
        </w:tc>
        <w:tc>
          <w:tcPr>
            <w:tcW w:w="2095" w:type="dxa"/>
          </w:tcPr>
          <w:p w:rsidR="00D61AFB" w:rsidRPr="002477AA" w:rsidRDefault="00D61AFB" w:rsidP="00CA1B5C">
            <w:pPr>
              <w:spacing w:before="0" w:after="0" w:line="240" w:lineRule="auto"/>
              <w:jc w:val="left"/>
            </w:pPr>
          </w:p>
        </w:tc>
        <w:tc>
          <w:tcPr>
            <w:tcW w:w="1789" w:type="dxa"/>
          </w:tcPr>
          <w:p w:rsidR="00D61AFB" w:rsidRPr="002477AA" w:rsidRDefault="00D61AFB" w:rsidP="00CA1B5C">
            <w:pPr>
              <w:spacing w:before="0" w:after="0" w:line="240" w:lineRule="auto"/>
              <w:jc w:val="left"/>
            </w:pPr>
            <w:r w:rsidRPr="002477AA">
              <w:t>0.6972</w:t>
            </w:r>
          </w:p>
        </w:tc>
      </w:tr>
    </w:tbl>
    <w:p w:rsidR="00296618" w:rsidRPr="000C1ACF" w:rsidRDefault="00296618" w:rsidP="00296618"/>
    <w:p w:rsidR="00296618" w:rsidRDefault="00296618" w:rsidP="00296618">
      <w:pPr>
        <w:pStyle w:val="Caption"/>
        <w:rPr>
          <w:sz w:val="24"/>
        </w:rPr>
      </w:pPr>
      <w:bookmarkStart w:id="136" w:name="_Toc380684374"/>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28</w:t>
      </w:r>
      <w:r w:rsidRPr="00336BBE">
        <w:rPr>
          <w:sz w:val="24"/>
        </w:rPr>
        <w:fldChar w:fldCharType="end"/>
      </w:r>
      <w:r w:rsidRPr="00336BBE">
        <w:rPr>
          <w:sz w:val="24"/>
        </w:rPr>
        <w:t>: Parameter Estimates</w:t>
      </w:r>
      <w:bookmarkEnd w:id="136"/>
    </w:p>
    <w:tbl>
      <w:tblPr>
        <w:tblStyle w:val="TableGrid7"/>
        <w:tblW w:w="9180" w:type="dxa"/>
        <w:tblLayout w:type="fixed"/>
        <w:tblLook w:val="04A0" w:firstRow="1" w:lastRow="0" w:firstColumn="1" w:lastColumn="0" w:noHBand="0" w:noVBand="1"/>
      </w:tblPr>
      <w:tblGrid>
        <w:gridCol w:w="2093"/>
        <w:gridCol w:w="1417"/>
        <w:gridCol w:w="1134"/>
        <w:gridCol w:w="851"/>
        <w:gridCol w:w="1134"/>
        <w:gridCol w:w="1417"/>
        <w:gridCol w:w="1134"/>
      </w:tblGrid>
      <w:tr w:rsidR="00D61AFB" w:rsidRPr="00C12D2D" w:rsidTr="00CA1B5C">
        <w:tc>
          <w:tcPr>
            <w:tcW w:w="2093" w:type="dxa"/>
          </w:tcPr>
          <w:p w:rsidR="00D61AFB" w:rsidRPr="00C12D2D" w:rsidRDefault="00D61AFB" w:rsidP="00CA1B5C">
            <w:pPr>
              <w:spacing w:before="0" w:after="0" w:line="240" w:lineRule="auto"/>
              <w:jc w:val="left"/>
            </w:pPr>
            <w:r w:rsidRPr="0004627C">
              <w:t>Term</w:t>
            </w:r>
          </w:p>
        </w:tc>
        <w:tc>
          <w:tcPr>
            <w:tcW w:w="1417" w:type="dxa"/>
          </w:tcPr>
          <w:p w:rsidR="00D61AFB" w:rsidRPr="00C12D2D" w:rsidRDefault="00D61AFB" w:rsidP="00CA1B5C">
            <w:pPr>
              <w:spacing w:before="0" w:after="0" w:line="240" w:lineRule="auto"/>
              <w:jc w:val="left"/>
            </w:pPr>
            <w:r w:rsidRPr="0004627C">
              <w:t>Estimate</w:t>
            </w:r>
          </w:p>
        </w:tc>
        <w:tc>
          <w:tcPr>
            <w:tcW w:w="1134" w:type="dxa"/>
          </w:tcPr>
          <w:p w:rsidR="00D61AFB" w:rsidRPr="00C12D2D" w:rsidRDefault="00D61AFB" w:rsidP="00CA1B5C">
            <w:pPr>
              <w:spacing w:before="0" w:after="0" w:line="240" w:lineRule="auto"/>
              <w:jc w:val="left"/>
            </w:pPr>
            <w:r w:rsidRPr="0004627C">
              <w:t>Std Error</w:t>
            </w:r>
          </w:p>
        </w:tc>
        <w:tc>
          <w:tcPr>
            <w:tcW w:w="851" w:type="dxa"/>
          </w:tcPr>
          <w:p w:rsidR="00D61AFB" w:rsidRPr="0004627C" w:rsidRDefault="00D61AFB" w:rsidP="00CA1B5C">
            <w:pPr>
              <w:spacing w:before="0" w:after="0" w:line="240" w:lineRule="auto"/>
              <w:jc w:val="left"/>
            </w:pPr>
            <w:r w:rsidRPr="0004627C">
              <w:t>T Ratio</w:t>
            </w:r>
          </w:p>
        </w:tc>
        <w:tc>
          <w:tcPr>
            <w:tcW w:w="1134" w:type="dxa"/>
          </w:tcPr>
          <w:p w:rsidR="00D61AFB" w:rsidRPr="00C12D2D" w:rsidRDefault="00D61AFB" w:rsidP="00CA1B5C">
            <w:pPr>
              <w:spacing w:before="0" w:after="0" w:line="240" w:lineRule="auto"/>
              <w:jc w:val="left"/>
              <w:rPr>
                <w:rFonts w:asciiTheme="minorHAnsi" w:hAnsiTheme="minorHAnsi"/>
                <w:sz w:val="22"/>
                <w:szCs w:val="22"/>
                <w:lang w:val="en-ZA"/>
              </w:rPr>
            </w:pPr>
            <w:r>
              <w:t>Prob&gt;|t|</w:t>
            </w:r>
          </w:p>
        </w:tc>
        <w:tc>
          <w:tcPr>
            <w:tcW w:w="1417" w:type="dxa"/>
          </w:tcPr>
          <w:p w:rsidR="00D61AFB" w:rsidRPr="00C12D2D" w:rsidRDefault="00D61AFB" w:rsidP="00CA1B5C">
            <w:pPr>
              <w:spacing w:before="0" w:after="0" w:line="240" w:lineRule="auto"/>
              <w:jc w:val="left"/>
              <w:rPr>
                <w:rFonts w:asciiTheme="minorHAnsi" w:hAnsiTheme="minorHAnsi"/>
                <w:sz w:val="22"/>
                <w:szCs w:val="22"/>
                <w:lang w:val="en-ZA"/>
              </w:rPr>
            </w:pPr>
            <w:r>
              <w:t>Lower 95%</w:t>
            </w:r>
          </w:p>
        </w:tc>
        <w:tc>
          <w:tcPr>
            <w:tcW w:w="1134" w:type="dxa"/>
          </w:tcPr>
          <w:p w:rsidR="00D61AFB" w:rsidRPr="00C12D2D" w:rsidRDefault="00D61AFB" w:rsidP="00CA1B5C">
            <w:pPr>
              <w:spacing w:before="0" w:after="0" w:line="240" w:lineRule="auto"/>
              <w:jc w:val="left"/>
              <w:rPr>
                <w:rFonts w:asciiTheme="minorHAnsi" w:hAnsiTheme="minorHAnsi"/>
                <w:sz w:val="22"/>
                <w:szCs w:val="22"/>
                <w:lang w:val="en-ZA"/>
              </w:rPr>
            </w:pPr>
            <w:r>
              <w:t>Upper 95%</w:t>
            </w:r>
          </w:p>
        </w:tc>
      </w:tr>
      <w:tr w:rsidR="00D61AFB" w:rsidRPr="00C12D2D" w:rsidTr="00CA1B5C">
        <w:tc>
          <w:tcPr>
            <w:tcW w:w="2093" w:type="dxa"/>
          </w:tcPr>
          <w:p w:rsidR="00D61AFB" w:rsidRPr="002477AA" w:rsidRDefault="00D61AFB" w:rsidP="00CA1B5C">
            <w:pPr>
              <w:spacing w:before="0" w:after="0" w:line="240" w:lineRule="auto"/>
              <w:jc w:val="left"/>
            </w:pPr>
            <w:r>
              <w:t>Intercept</w:t>
            </w:r>
          </w:p>
        </w:tc>
        <w:tc>
          <w:tcPr>
            <w:tcW w:w="1417" w:type="dxa"/>
          </w:tcPr>
          <w:p w:rsidR="00D61AFB" w:rsidRPr="002477AA" w:rsidRDefault="00D61AFB" w:rsidP="00CA1B5C">
            <w:pPr>
              <w:widowControl w:val="0"/>
              <w:autoSpaceDE w:val="0"/>
              <w:autoSpaceDN w:val="0"/>
              <w:adjustRightInd w:val="0"/>
              <w:spacing w:after="0" w:line="240" w:lineRule="auto"/>
              <w:jc w:val="right"/>
            </w:pPr>
            <w:r w:rsidRPr="002477AA">
              <w:t>0.0321076</w:t>
            </w:r>
          </w:p>
        </w:tc>
        <w:tc>
          <w:tcPr>
            <w:tcW w:w="1134" w:type="dxa"/>
          </w:tcPr>
          <w:p w:rsidR="00D61AFB" w:rsidRPr="002477AA" w:rsidRDefault="00D61AFB" w:rsidP="00CA1B5C">
            <w:pPr>
              <w:widowControl w:val="0"/>
              <w:autoSpaceDE w:val="0"/>
              <w:autoSpaceDN w:val="0"/>
              <w:adjustRightInd w:val="0"/>
              <w:spacing w:after="0" w:line="240" w:lineRule="auto"/>
              <w:jc w:val="right"/>
            </w:pPr>
            <w:r>
              <w:t>0.09314</w:t>
            </w:r>
          </w:p>
        </w:tc>
        <w:tc>
          <w:tcPr>
            <w:tcW w:w="851" w:type="dxa"/>
          </w:tcPr>
          <w:p w:rsidR="00D61AFB" w:rsidRPr="002477AA" w:rsidRDefault="00D61AFB" w:rsidP="00CA1B5C">
            <w:pPr>
              <w:widowControl w:val="0"/>
              <w:autoSpaceDE w:val="0"/>
              <w:autoSpaceDN w:val="0"/>
              <w:adjustRightInd w:val="0"/>
              <w:spacing w:after="0" w:line="240" w:lineRule="auto"/>
              <w:jc w:val="right"/>
            </w:pPr>
            <w:r w:rsidRPr="002477AA">
              <w:t>0.34</w:t>
            </w:r>
          </w:p>
        </w:tc>
        <w:tc>
          <w:tcPr>
            <w:tcW w:w="1134" w:type="dxa"/>
          </w:tcPr>
          <w:p w:rsidR="00D61AFB" w:rsidRPr="002477AA" w:rsidRDefault="00D61AFB" w:rsidP="00CA1B5C">
            <w:pPr>
              <w:widowControl w:val="0"/>
              <w:autoSpaceDE w:val="0"/>
              <w:autoSpaceDN w:val="0"/>
              <w:adjustRightInd w:val="0"/>
              <w:spacing w:after="0" w:line="240" w:lineRule="auto"/>
              <w:jc w:val="right"/>
            </w:pPr>
            <w:r w:rsidRPr="002477AA">
              <w:t>0.7311</w:t>
            </w:r>
          </w:p>
        </w:tc>
        <w:tc>
          <w:tcPr>
            <w:tcW w:w="1417" w:type="dxa"/>
          </w:tcPr>
          <w:p w:rsidR="00D61AFB" w:rsidRPr="002477AA" w:rsidRDefault="00D61AFB" w:rsidP="00CA1B5C">
            <w:pPr>
              <w:widowControl w:val="0"/>
              <w:autoSpaceDE w:val="0"/>
              <w:autoSpaceDN w:val="0"/>
              <w:adjustRightInd w:val="0"/>
              <w:spacing w:after="0" w:line="240" w:lineRule="auto"/>
              <w:jc w:val="right"/>
            </w:pPr>
            <w:r w:rsidRPr="002477AA">
              <w:t xml:space="preserve"> -0.152756</w:t>
            </w:r>
          </w:p>
        </w:tc>
        <w:tc>
          <w:tcPr>
            <w:tcW w:w="1134" w:type="dxa"/>
          </w:tcPr>
          <w:p w:rsidR="00D61AFB" w:rsidRPr="002477AA" w:rsidRDefault="00D61AFB" w:rsidP="00CA1B5C">
            <w:pPr>
              <w:widowControl w:val="0"/>
              <w:autoSpaceDE w:val="0"/>
              <w:autoSpaceDN w:val="0"/>
              <w:adjustRightInd w:val="0"/>
              <w:spacing w:after="0" w:line="240" w:lineRule="auto"/>
              <w:jc w:val="right"/>
            </w:pPr>
            <w:r>
              <w:t>0.21697</w:t>
            </w:r>
          </w:p>
        </w:tc>
      </w:tr>
      <w:tr w:rsidR="00D61AFB" w:rsidRPr="00C12D2D" w:rsidTr="00CA1B5C">
        <w:tc>
          <w:tcPr>
            <w:tcW w:w="2093" w:type="dxa"/>
          </w:tcPr>
          <w:p w:rsidR="00D61AFB" w:rsidRDefault="00D61AFB" w:rsidP="00CA1B5C">
            <w:pPr>
              <w:spacing w:before="0" w:after="0" w:line="240" w:lineRule="auto"/>
              <w:jc w:val="left"/>
            </w:pPr>
            <w:r>
              <w:t>Corporate structure and strategy</w:t>
            </w:r>
          </w:p>
          <w:p w:rsidR="00D61AFB" w:rsidRPr="002477AA" w:rsidRDefault="00D61AFB" w:rsidP="00CA1B5C">
            <w:pPr>
              <w:spacing w:before="0" w:after="0" w:line="240" w:lineRule="auto"/>
              <w:jc w:val="left"/>
            </w:pPr>
            <w:r>
              <w:t>(Q5,6,7)</w:t>
            </w:r>
          </w:p>
        </w:tc>
        <w:tc>
          <w:tcPr>
            <w:tcW w:w="1417" w:type="dxa"/>
          </w:tcPr>
          <w:p w:rsidR="00D61AFB" w:rsidRPr="002477AA" w:rsidRDefault="00D61AFB" w:rsidP="00CA1B5C">
            <w:pPr>
              <w:widowControl w:val="0"/>
              <w:autoSpaceDE w:val="0"/>
              <w:autoSpaceDN w:val="0"/>
              <w:adjustRightInd w:val="0"/>
              <w:spacing w:after="0" w:line="240" w:lineRule="auto"/>
              <w:jc w:val="right"/>
            </w:pPr>
            <w:r w:rsidRPr="002477AA">
              <w:t xml:space="preserve"> -0.001625</w:t>
            </w:r>
          </w:p>
        </w:tc>
        <w:tc>
          <w:tcPr>
            <w:tcW w:w="1134" w:type="dxa"/>
          </w:tcPr>
          <w:p w:rsidR="00D61AFB" w:rsidRPr="002477AA" w:rsidRDefault="00D61AFB" w:rsidP="00CA1B5C">
            <w:pPr>
              <w:widowControl w:val="0"/>
              <w:autoSpaceDE w:val="0"/>
              <w:autoSpaceDN w:val="0"/>
              <w:adjustRightInd w:val="0"/>
              <w:spacing w:after="0" w:line="240" w:lineRule="auto"/>
              <w:jc w:val="right"/>
            </w:pPr>
            <w:r w:rsidRPr="002477AA">
              <w:t>0.10576</w:t>
            </w:r>
          </w:p>
        </w:tc>
        <w:tc>
          <w:tcPr>
            <w:tcW w:w="851" w:type="dxa"/>
          </w:tcPr>
          <w:p w:rsidR="00D61AFB" w:rsidRPr="002477AA" w:rsidRDefault="00D61AFB" w:rsidP="00CA1B5C">
            <w:pPr>
              <w:widowControl w:val="0"/>
              <w:autoSpaceDE w:val="0"/>
              <w:autoSpaceDN w:val="0"/>
              <w:adjustRightInd w:val="0"/>
              <w:spacing w:after="0" w:line="240" w:lineRule="auto"/>
              <w:jc w:val="right"/>
            </w:pPr>
            <w:r w:rsidRPr="002477AA">
              <w:t xml:space="preserve"> -0.02</w:t>
            </w:r>
          </w:p>
        </w:tc>
        <w:tc>
          <w:tcPr>
            <w:tcW w:w="1134" w:type="dxa"/>
          </w:tcPr>
          <w:p w:rsidR="00D61AFB" w:rsidRPr="002477AA" w:rsidRDefault="00D61AFB" w:rsidP="00CA1B5C">
            <w:pPr>
              <w:widowControl w:val="0"/>
              <w:autoSpaceDE w:val="0"/>
              <w:autoSpaceDN w:val="0"/>
              <w:adjustRightInd w:val="0"/>
              <w:spacing w:after="0" w:line="240" w:lineRule="auto"/>
              <w:jc w:val="right"/>
            </w:pPr>
            <w:r w:rsidRPr="002477AA">
              <w:t>0.9878</w:t>
            </w:r>
          </w:p>
        </w:tc>
        <w:tc>
          <w:tcPr>
            <w:tcW w:w="1417" w:type="dxa"/>
          </w:tcPr>
          <w:p w:rsidR="00D61AFB" w:rsidRPr="002477AA" w:rsidRDefault="00D61AFB" w:rsidP="00CA1B5C">
            <w:pPr>
              <w:widowControl w:val="0"/>
              <w:autoSpaceDE w:val="0"/>
              <w:autoSpaceDN w:val="0"/>
              <w:adjustRightInd w:val="0"/>
              <w:spacing w:after="0" w:line="240" w:lineRule="auto"/>
              <w:jc w:val="right"/>
            </w:pPr>
            <w:r w:rsidRPr="002477AA">
              <w:t xml:space="preserve"> -0.211529</w:t>
            </w:r>
          </w:p>
        </w:tc>
        <w:tc>
          <w:tcPr>
            <w:tcW w:w="1134" w:type="dxa"/>
          </w:tcPr>
          <w:p w:rsidR="00D61AFB" w:rsidRPr="002477AA" w:rsidRDefault="00D61AFB" w:rsidP="00CA1B5C">
            <w:pPr>
              <w:widowControl w:val="0"/>
              <w:autoSpaceDE w:val="0"/>
              <w:autoSpaceDN w:val="0"/>
              <w:adjustRightInd w:val="0"/>
              <w:spacing w:after="0" w:line="240" w:lineRule="auto"/>
              <w:jc w:val="right"/>
            </w:pPr>
            <w:r>
              <w:t>0.20827</w:t>
            </w:r>
          </w:p>
        </w:tc>
      </w:tr>
      <w:tr w:rsidR="00D61AFB" w:rsidRPr="00C12D2D" w:rsidTr="00CA1B5C">
        <w:tc>
          <w:tcPr>
            <w:tcW w:w="2093" w:type="dxa"/>
          </w:tcPr>
          <w:p w:rsidR="00D61AFB" w:rsidRDefault="00D61AFB" w:rsidP="00CA1B5C">
            <w:pPr>
              <w:spacing w:before="0" w:after="0" w:line="240" w:lineRule="auto"/>
              <w:jc w:val="left"/>
            </w:pPr>
            <w:r>
              <w:t>Macroeconomic factors</w:t>
            </w:r>
          </w:p>
          <w:p w:rsidR="00D61AFB" w:rsidRDefault="00D61AFB" w:rsidP="00CA1B5C">
            <w:pPr>
              <w:spacing w:before="0" w:after="0" w:line="240" w:lineRule="auto"/>
              <w:jc w:val="left"/>
            </w:pPr>
            <w:r>
              <w:t>(Q16-21)</w:t>
            </w:r>
          </w:p>
        </w:tc>
        <w:tc>
          <w:tcPr>
            <w:tcW w:w="1417" w:type="dxa"/>
          </w:tcPr>
          <w:p w:rsidR="00D61AFB" w:rsidRPr="002477AA" w:rsidRDefault="00D61AFB" w:rsidP="00CA1B5C">
            <w:pPr>
              <w:widowControl w:val="0"/>
              <w:autoSpaceDE w:val="0"/>
              <w:autoSpaceDN w:val="0"/>
              <w:adjustRightInd w:val="0"/>
              <w:spacing w:after="0" w:line="240" w:lineRule="auto"/>
              <w:jc w:val="right"/>
            </w:pPr>
            <w:r w:rsidRPr="002477AA">
              <w:t>0.0947546</w:t>
            </w:r>
          </w:p>
        </w:tc>
        <w:tc>
          <w:tcPr>
            <w:tcW w:w="1134" w:type="dxa"/>
          </w:tcPr>
          <w:p w:rsidR="00D61AFB" w:rsidRPr="002477AA" w:rsidRDefault="00D61AFB" w:rsidP="00CA1B5C">
            <w:pPr>
              <w:widowControl w:val="0"/>
              <w:autoSpaceDE w:val="0"/>
              <w:autoSpaceDN w:val="0"/>
              <w:adjustRightInd w:val="0"/>
              <w:spacing w:after="0" w:line="240" w:lineRule="auto"/>
              <w:jc w:val="right"/>
            </w:pPr>
            <w:r>
              <w:t>0.11198</w:t>
            </w:r>
          </w:p>
        </w:tc>
        <w:tc>
          <w:tcPr>
            <w:tcW w:w="851" w:type="dxa"/>
          </w:tcPr>
          <w:p w:rsidR="00D61AFB" w:rsidRPr="002477AA" w:rsidRDefault="00D61AFB" w:rsidP="00CA1B5C">
            <w:pPr>
              <w:widowControl w:val="0"/>
              <w:autoSpaceDE w:val="0"/>
              <w:autoSpaceDN w:val="0"/>
              <w:adjustRightInd w:val="0"/>
              <w:spacing w:after="0" w:line="240" w:lineRule="auto"/>
              <w:jc w:val="right"/>
            </w:pPr>
            <w:r w:rsidRPr="002477AA">
              <w:t>0.85</w:t>
            </w:r>
          </w:p>
        </w:tc>
        <w:tc>
          <w:tcPr>
            <w:tcW w:w="1134" w:type="dxa"/>
          </w:tcPr>
          <w:p w:rsidR="00D61AFB" w:rsidRPr="002477AA" w:rsidRDefault="00D61AFB" w:rsidP="00CA1B5C">
            <w:pPr>
              <w:widowControl w:val="0"/>
              <w:autoSpaceDE w:val="0"/>
              <w:autoSpaceDN w:val="0"/>
              <w:adjustRightInd w:val="0"/>
              <w:spacing w:after="0" w:line="240" w:lineRule="auto"/>
              <w:jc w:val="right"/>
            </w:pPr>
            <w:r w:rsidRPr="002477AA">
              <w:t>0.3995</w:t>
            </w:r>
          </w:p>
        </w:tc>
        <w:tc>
          <w:tcPr>
            <w:tcW w:w="1417" w:type="dxa"/>
          </w:tcPr>
          <w:p w:rsidR="00D61AFB" w:rsidRPr="002477AA" w:rsidRDefault="00D61AFB" w:rsidP="00CA1B5C">
            <w:pPr>
              <w:widowControl w:val="0"/>
              <w:autoSpaceDE w:val="0"/>
              <w:autoSpaceDN w:val="0"/>
              <w:adjustRightInd w:val="0"/>
              <w:spacing w:after="0" w:line="240" w:lineRule="auto"/>
              <w:jc w:val="right"/>
            </w:pPr>
            <w:r w:rsidRPr="002477AA">
              <w:t xml:space="preserve"> -0.127498</w:t>
            </w:r>
          </w:p>
        </w:tc>
        <w:tc>
          <w:tcPr>
            <w:tcW w:w="1134" w:type="dxa"/>
          </w:tcPr>
          <w:p w:rsidR="00D61AFB" w:rsidRPr="002477AA" w:rsidRDefault="00D61AFB" w:rsidP="00CA1B5C">
            <w:pPr>
              <w:widowControl w:val="0"/>
              <w:autoSpaceDE w:val="0"/>
              <w:autoSpaceDN w:val="0"/>
              <w:adjustRightInd w:val="0"/>
              <w:spacing w:after="0" w:line="240" w:lineRule="auto"/>
              <w:jc w:val="right"/>
            </w:pPr>
            <w:r>
              <w:t>0.31700</w:t>
            </w:r>
          </w:p>
        </w:tc>
      </w:tr>
    </w:tbl>
    <w:p w:rsidR="00296618" w:rsidRPr="000C1ACF" w:rsidRDefault="00296618" w:rsidP="00296618"/>
    <w:p w:rsidR="00296618" w:rsidRDefault="00296618" w:rsidP="00296618">
      <w:pPr>
        <w:pStyle w:val="Caption"/>
        <w:rPr>
          <w:sz w:val="24"/>
        </w:rPr>
      </w:pPr>
      <w:bookmarkStart w:id="137" w:name="_Toc380684375"/>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29</w:t>
      </w:r>
      <w:r w:rsidRPr="00336BBE">
        <w:rPr>
          <w:sz w:val="24"/>
        </w:rPr>
        <w:fldChar w:fldCharType="end"/>
      </w:r>
      <w:r w:rsidRPr="00336BBE">
        <w:rPr>
          <w:sz w:val="24"/>
        </w:rPr>
        <w:t>: Effect Test</w:t>
      </w:r>
      <w:bookmarkEnd w:id="137"/>
    </w:p>
    <w:tbl>
      <w:tblPr>
        <w:tblStyle w:val="TableGrid8"/>
        <w:tblpPr w:leftFromText="180" w:rightFromText="180" w:vertAnchor="text" w:horzAnchor="margin" w:tblpY="165"/>
        <w:tblW w:w="7429" w:type="dxa"/>
        <w:tblLook w:val="04A0" w:firstRow="1" w:lastRow="0" w:firstColumn="1" w:lastColumn="0" w:noHBand="0" w:noVBand="1"/>
      </w:tblPr>
      <w:tblGrid>
        <w:gridCol w:w="2122"/>
        <w:gridCol w:w="955"/>
        <w:gridCol w:w="620"/>
        <w:gridCol w:w="1484"/>
        <w:gridCol w:w="971"/>
        <w:gridCol w:w="1277"/>
      </w:tblGrid>
      <w:tr w:rsidR="00D61AFB" w:rsidRPr="0004627C" w:rsidTr="00CA1B5C">
        <w:trPr>
          <w:trHeight w:val="588"/>
        </w:trPr>
        <w:tc>
          <w:tcPr>
            <w:tcW w:w="2122" w:type="dxa"/>
          </w:tcPr>
          <w:p w:rsidR="00D61AFB" w:rsidRPr="0004627C" w:rsidRDefault="00D61AFB" w:rsidP="00CA1B5C">
            <w:pPr>
              <w:spacing w:before="0" w:after="0" w:line="240" w:lineRule="auto"/>
              <w:jc w:val="left"/>
              <w:rPr>
                <w:rFonts w:eastAsia="Times New Roman" w:cs="Times New Roman"/>
              </w:rPr>
            </w:pPr>
            <w:r w:rsidRPr="0004627C">
              <w:rPr>
                <w:rFonts w:eastAsia="Times New Roman" w:cs="Times New Roman"/>
              </w:rPr>
              <w:t>Source</w:t>
            </w:r>
          </w:p>
        </w:tc>
        <w:tc>
          <w:tcPr>
            <w:tcW w:w="955" w:type="dxa"/>
          </w:tcPr>
          <w:p w:rsidR="00D61AFB" w:rsidRPr="0004627C" w:rsidRDefault="00D61AFB" w:rsidP="00CA1B5C">
            <w:pPr>
              <w:spacing w:before="0" w:after="0" w:line="240" w:lineRule="auto"/>
              <w:jc w:val="left"/>
              <w:rPr>
                <w:rFonts w:eastAsia="Times New Roman" w:cs="Times New Roman"/>
              </w:rPr>
            </w:pPr>
            <w:r w:rsidRPr="0004627C">
              <w:rPr>
                <w:rFonts w:eastAsia="Times New Roman" w:cs="Times New Roman"/>
              </w:rPr>
              <w:t>Nparm</w:t>
            </w:r>
          </w:p>
        </w:tc>
        <w:tc>
          <w:tcPr>
            <w:tcW w:w="620" w:type="dxa"/>
          </w:tcPr>
          <w:p w:rsidR="00D61AFB" w:rsidRPr="0004627C" w:rsidRDefault="00D61AFB" w:rsidP="00CA1B5C">
            <w:pPr>
              <w:spacing w:before="0" w:after="0" w:line="240" w:lineRule="auto"/>
              <w:jc w:val="left"/>
              <w:rPr>
                <w:rFonts w:eastAsia="Times New Roman" w:cs="Times New Roman"/>
              </w:rPr>
            </w:pPr>
            <w:r w:rsidRPr="0004627C">
              <w:rPr>
                <w:rFonts w:eastAsia="Times New Roman" w:cs="Times New Roman"/>
              </w:rPr>
              <w:t>DF</w:t>
            </w:r>
          </w:p>
        </w:tc>
        <w:tc>
          <w:tcPr>
            <w:tcW w:w="1484" w:type="dxa"/>
          </w:tcPr>
          <w:p w:rsidR="00D61AFB" w:rsidRPr="0004627C" w:rsidRDefault="00D61AFB" w:rsidP="00CA1B5C">
            <w:pPr>
              <w:spacing w:before="0" w:after="0" w:line="240" w:lineRule="auto"/>
              <w:jc w:val="left"/>
              <w:rPr>
                <w:rFonts w:eastAsia="Times New Roman" w:cs="Times New Roman"/>
              </w:rPr>
            </w:pPr>
            <w:r w:rsidRPr="0004627C">
              <w:rPr>
                <w:rFonts w:eastAsia="Times New Roman" w:cs="Times New Roman"/>
              </w:rPr>
              <w:t>Sum of Squares</w:t>
            </w:r>
          </w:p>
        </w:tc>
        <w:tc>
          <w:tcPr>
            <w:tcW w:w="971" w:type="dxa"/>
          </w:tcPr>
          <w:p w:rsidR="00D61AFB" w:rsidRPr="0004627C" w:rsidRDefault="00D61AFB" w:rsidP="00CA1B5C">
            <w:pPr>
              <w:spacing w:before="0" w:after="0" w:line="240" w:lineRule="auto"/>
              <w:jc w:val="left"/>
              <w:rPr>
                <w:rFonts w:eastAsia="Times New Roman" w:cs="Times New Roman"/>
              </w:rPr>
            </w:pPr>
            <w:r w:rsidRPr="0004627C">
              <w:rPr>
                <w:rFonts w:eastAsia="Times New Roman" w:cs="Times New Roman"/>
              </w:rPr>
              <w:t>F Ratio</w:t>
            </w:r>
          </w:p>
        </w:tc>
        <w:tc>
          <w:tcPr>
            <w:tcW w:w="1277" w:type="dxa"/>
          </w:tcPr>
          <w:p w:rsidR="00D61AFB" w:rsidRPr="0004627C" w:rsidRDefault="00D61AFB" w:rsidP="00CA1B5C">
            <w:pPr>
              <w:spacing w:before="0" w:after="0" w:line="240" w:lineRule="auto"/>
              <w:jc w:val="left"/>
              <w:rPr>
                <w:rFonts w:eastAsia="Times New Roman" w:cs="Times New Roman"/>
              </w:rPr>
            </w:pPr>
            <w:r w:rsidRPr="0004627C">
              <w:rPr>
                <w:rFonts w:eastAsia="Times New Roman" w:cs="Times New Roman"/>
              </w:rPr>
              <w:t>Prob &gt; F</w:t>
            </w:r>
          </w:p>
        </w:tc>
      </w:tr>
      <w:tr w:rsidR="00D61AFB" w:rsidRPr="0004627C" w:rsidTr="00CA1B5C">
        <w:trPr>
          <w:trHeight w:val="272"/>
        </w:trPr>
        <w:tc>
          <w:tcPr>
            <w:tcW w:w="2122" w:type="dxa"/>
          </w:tcPr>
          <w:p w:rsidR="00D61AFB" w:rsidRDefault="00D61AFB" w:rsidP="00CA1B5C">
            <w:pPr>
              <w:spacing w:before="0" w:after="0" w:line="240" w:lineRule="auto"/>
              <w:jc w:val="left"/>
            </w:pPr>
            <w:r>
              <w:t>Corporate structure and strategy</w:t>
            </w:r>
          </w:p>
          <w:p w:rsidR="00D61AFB" w:rsidRPr="002477AA" w:rsidRDefault="00D61AFB" w:rsidP="00CA1B5C">
            <w:pPr>
              <w:spacing w:before="0" w:after="0" w:line="240" w:lineRule="auto"/>
              <w:jc w:val="left"/>
            </w:pPr>
            <w:r>
              <w:t>(Q5,6,7)</w:t>
            </w:r>
          </w:p>
        </w:tc>
        <w:tc>
          <w:tcPr>
            <w:tcW w:w="955" w:type="dxa"/>
          </w:tcPr>
          <w:p w:rsidR="00D61AFB" w:rsidRPr="002477AA" w:rsidRDefault="00D61AFB" w:rsidP="00CA1B5C">
            <w:pPr>
              <w:spacing w:before="0" w:after="0" w:line="240" w:lineRule="auto"/>
              <w:jc w:val="left"/>
            </w:pPr>
            <w:r w:rsidRPr="002477AA">
              <w:t>1</w:t>
            </w:r>
          </w:p>
        </w:tc>
        <w:tc>
          <w:tcPr>
            <w:tcW w:w="620" w:type="dxa"/>
          </w:tcPr>
          <w:p w:rsidR="00D61AFB" w:rsidRPr="002477AA" w:rsidRDefault="00D61AFB" w:rsidP="00CA1B5C">
            <w:pPr>
              <w:spacing w:before="0" w:after="0" w:line="240" w:lineRule="auto"/>
              <w:jc w:val="left"/>
            </w:pPr>
            <w:r w:rsidRPr="002477AA">
              <w:t>1</w:t>
            </w:r>
          </w:p>
        </w:tc>
        <w:tc>
          <w:tcPr>
            <w:tcW w:w="1484" w:type="dxa"/>
          </w:tcPr>
          <w:p w:rsidR="00D61AFB" w:rsidRPr="002477AA" w:rsidRDefault="00D61AFB" w:rsidP="00CA1B5C">
            <w:pPr>
              <w:widowControl w:val="0"/>
              <w:autoSpaceDE w:val="0"/>
              <w:autoSpaceDN w:val="0"/>
              <w:adjustRightInd w:val="0"/>
              <w:spacing w:after="0" w:line="240" w:lineRule="auto"/>
              <w:jc w:val="right"/>
            </w:pPr>
            <w:r w:rsidRPr="002477AA">
              <w:t>0.00020470</w:t>
            </w:r>
          </w:p>
        </w:tc>
        <w:tc>
          <w:tcPr>
            <w:tcW w:w="971" w:type="dxa"/>
          </w:tcPr>
          <w:p w:rsidR="00D61AFB" w:rsidRPr="002477AA" w:rsidRDefault="00D61AFB" w:rsidP="00CA1B5C">
            <w:pPr>
              <w:widowControl w:val="0"/>
              <w:autoSpaceDE w:val="0"/>
              <w:autoSpaceDN w:val="0"/>
              <w:adjustRightInd w:val="0"/>
              <w:spacing w:after="0" w:line="240" w:lineRule="auto"/>
              <w:jc w:val="right"/>
            </w:pPr>
            <w:r w:rsidRPr="002477AA">
              <w:t>0.0002</w:t>
            </w:r>
          </w:p>
        </w:tc>
        <w:tc>
          <w:tcPr>
            <w:tcW w:w="1277" w:type="dxa"/>
          </w:tcPr>
          <w:p w:rsidR="00D61AFB" w:rsidRPr="002477AA" w:rsidRDefault="00D61AFB" w:rsidP="00CA1B5C">
            <w:pPr>
              <w:widowControl w:val="0"/>
              <w:autoSpaceDE w:val="0"/>
              <w:autoSpaceDN w:val="0"/>
              <w:adjustRightInd w:val="0"/>
              <w:spacing w:after="0" w:line="240" w:lineRule="auto"/>
              <w:jc w:val="right"/>
            </w:pPr>
            <w:r w:rsidRPr="002477AA">
              <w:t>0.9878</w:t>
            </w:r>
          </w:p>
        </w:tc>
      </w:tr>
      <w:tr w:rsidR="00D61AFB" w:rsidRPr="0004627C" w:rsidTr="00CA1B5C">
        <w:trPr>
          <w:trHeight w:val="272"/>
        </w:trPr>
        <w:tc>
          <w:tcPr>
            <w:tcW w:w="2122" w:type="dxa"/>
          </w:tcPr>
          <w:p w:rsidR="00D61AFB" w:rsidRDefault="00D61AFB" w:rsidP="00CA1B5C">
            <w:pPr>
              <w:spacing w:before="0" w:after="0" w:line="240" w:lineRule="auto"/>
              <w:jc w:val="left"/>
            </w:pPr>
            <w:r>
              <w:t>Macroeconomic factors</w:t>
            </w:r>
          </w:p>
          <w:p w:rsidR="00D61AFB" w:rsidRPr="0004627C" w:rsidRDefault="00D61AFB" w:rsidP="00CA1B5C">
            <w:pPr>
              <w:spacing w:before="0" w:after="0" w:line="240" w:lineRule="auto"/>
              <w:jc w:val="left"/>
            </w:pPr>
            <w:r>
              <w:t>(Q16-21)</w:t>
            </w:r>
          </w:p>
        </w:tc>
        <w:tc>
          <w:tcPr>
            <w:tcW w:w="955" w:type="dxa"/>
          </w:tcPr>
          <w:p w:rsidR="00D61AFB" w:rsidRPr="0004627C" w:rsidRDefault="00D61AFB" w:rsidP="00CA1B5C">
            <w:pPr>
              <w:spacing w:before="0" w:after="0" w:line="240" w:lineRule="auto"/>
              <w:jc w:val="left"/>
            </w:pPr>
            <w:r>
              <w:t>1</w:t>
            </w:r>
          </w:p>
        </w:tc>
        <w:tc>
          <w:tcPr>
            <w:tcW w:w="620" w:type="dxa"/>
          </w:tcPr>
          <w:p w:rsidR="00D61AFB" w:rsidRPr="0004627C" w:rsidRDefault="00D61AFB" w:rsidP="00CA1B5C">
            <w:pPr>
              <w:spacing w:before="0" w:after="0" w:line="240" w:lineRule="auto"/>
              <w:jc w:val="left"/>
            </w:pPr>
            <w:r>
              <w:t>1</w:t>
            </w:r>
          </w:p>
        </w:tc>
        <w:tc>
          <w:tcPr>
            <w:tcW w:w="1484" w:type="dxa"/>
          </w:tcPr>
          <w:p w:rsidR="00D61AFB" w:rsidRPr="002477AA" w:rsidRDefault="00D61AFB" w:rsidP="00CA1B5C">
            <w:pPr>
              <w:widowControl w:val="0"/>
              <w:autoSpaceDE w:val="0"/>
              <w:autoSpaceDN w:val="0"/>
              <w:adjustRightInd w:val="0"/>
              <w:spacing w:after="0" w:line="240" w:lineRule="auto"/>
              <w:jc w:val="right"/>
            </w:pPr>
            <w:r w:rsidRPr="002477AA">
              <w:t>0.62082574</w:t>
            </w:r>
          </w:p>
        </w:tc>
        <w:tc>
          <w:tcPr>
            <w:tcW w:w="971" w:type="dxa"/>
          </w:tcPr>
          <w:p w:rsidR="00D61AFB" w:rsidRPr="002477AA" w:rsidRDefault="00D61AFB" w:rsidP="00CA1B5C">
            <w:pPr>
              <w:widowControl w:val="0"/>
              <w:autoSpaceDE w:val="0"/>
              <w:autoSpaceDN w:val="0"/>
              <w:adjustRightInd w:val="0"/>
              <w:spacing w:after="0" w:line="240" w:lineRule="auto"/>
              <w:jc w:val="right"/>
            </w:pPr>
            <w:r w:rsidRPr="002477AA">
              <w:t>0.7160</w:t>
            </w:r>
          </w:p>
        </w:tc>
        <w:tc>
          <w:tcPr>
            <w:tcW w:w="1277" w:type="dxa"/>
          </w:tcPr>
          <w:p w:rsidR="00D61AFB" w:rsidRPr="002477AA" w:rsidRDefault="00D61AFB" w:rsidP="00CA1B5C">
            <w:pPr>
              <w:widowControl w:val="0"/>
              <w:autoSpaceDE w:val="0"/>
              <w:autoSpaceDN w:val="0"/>
              <w:adjustRightInd w:val="0"/>
              <w:spacing w:after="0" w:line="240" w:lineRule="auto"/>
              <w:jc w:val="right"/>
            </w:pPr>
            <w:r w:rsidRPr="002477AA">
              <w:t>0.3995</w:t>
            </w:r>
          </w:p>
        </w:tc>
      </w:tr>
    </w:tbl>
    <w:p w:rsidR="00296618" w:rsidRDefault="00296618" w:rsidP="00296618"/>
    <w:p w:rsidR="00D61AFB" w:rsidRPr="000C1ACF" w:rsidRDefault="00D61AFB" w:rsidP="00296618"/>
    <w:p w:rsidR="00D61AFB" w:rsidRDefault="00D61AFB" w:rsidP="00296618"/>
    <w:p w:rsidR="00D61AFB" w:rsidRDefault="00D61AFB" w:rsidP="00296618"/>
    <w:p w:rsidR="00D61AFB" w:rsidRDefault="00D61AFB" w:rsidP="00296618"/>
    <w:p w:rsidR="00296618" w:rsidRDefault="00296618" w:rsidP="00296618">
      <w:r w:rsidRPr="0035631F">
        <w:t>The p-value</w:t>
      </w:r>
      <w:r>
        <w:t>s</w:t>
      </w:r>
      <w:r w:rsidRPr="0035631F">
        <w:t xml:space="preserve"> from the F-test </w:t>
      </w:r>
      <w:r>
        <w:t>were</w:t>
      </w:r>
      <w:r w:rsidRPr="0035631F">
        <w:t xml:space="preserve"> greater</w:t>
      </w:r>
      <w:r>
        <w:t xml:space="preserve"> than 0.01 (p=0.9878 and 0.3995, respectively</w:t>
      </w:r>
      <w:r w:rsidRPr="0035631F">
        <w:t xml:space="preserve">) indicating an insignificant linear relationship between the </w:t>
      </w:r>
      <w:r>
        <w:t>perceived quality</w:t>
      </w:r>
      <w:r w:rsidRPr="0035631F" w:rsidDel="00F35C85">
        <w:t xml:space="preserve"> </w:t>
      </w:r>
      <w:r w:rsidRPr="0035631F">
        <w:t xml:space="preserve">(dependant variable) and the independent variables in the model at a </w:t>
      </w:r>
      <w:r w:rsidRPr="00E35CDE">
        <w:t xml:space="preserve">95% level of confidence. </w:t>
      </w:r>
      <w:r w:rsidR="009F5BE6">
        <w:t>It</w:t>
      </w:r>
      <w:r w:rsidRPr="00E35CDE">
        <w:t xml:space="preserve"> can, therefore, </w:t>
      </w:r>
      <w:r w:rsidR="009F5BE6">
        <w:t xml:space="preserve">be </w:t>
      </w:r>
      <w:r w:rsidRPr="00E35CDE">
        <w:t>conclude</w:t>
      </w:r>
      <w:r w:rsidR="009F5BE6">
        <w:t>d</w:t>
      </w:r>
      <w:r w:rsidRPr="00E35CDE">
        <w:t xml:space="preserve"> that macroeconomic factors and</w:t>
      </w:r>
      <w:r>
        <w:t xml:space="preserve"> corporate structure and strategy have </w:t>
      </w:r>
      <w:r w:rsidRPr="0035631F">
        <w:t xml:space="preserve">no </w:t>
      </w:r>
      <w:r>
        <w:t>significant</w:t>
      </w:r>
      <w:r w:rsidRPr="0035631F">
        <w:t xml:space="preserve"> influence on levels of </w:t>
      </w:r>
      <w:r>
        <w:t>perceived quality.</w:t>
      </w:r>
    </w:p>
    <w:p w:rsidR="00296618" w:rsidRDefault="00296618" w:rsidP="00296618">
      <w:pPr>
        <w:pStyle w:val="Heading3"/>
        <w:numPr>
          <w:ilvl w:val="0"/>
          <w:numId w:val="0"/>
        </w:numPr>
        <w:ind w:firstLine="567"/>
      </w:pPr>
      <w:bookmarkStart w:id="138" w:name="_Toc380687114"/>
      <w:r>
        <w:t xml:space="preserve">4.5.4.6    </w:t>
      </w:r>
      <w:r w:rsidRPr="00B84917">
        <w:rPr>
          <w:i w:val="0"/>
        </w:rPr>
        <w:t xml:space="preserve">Infant brand and two drivers (corporate </w:t>
      </w:r>
      <w:r>
        <w:rPr>
          <w:i w:val="0"/>
        </w:rPr>
        <w:t xml:space="preserve">structure and </w:t>
      </w:r>
      <w:r w:rsidRPr="00B84917">
        <w:rPr>
          <w:i w:val="0"/>
        </w:rPr>
        <w:t>strategy</w:t>
      </w:r>
      <w:r>
        <w:rPr>
          <w:i w:val="0"/>
        </w:rPr>
        <w:t xml:space="preserve">; </w:t>
      </w:r>
      <w:r w:rsidRPr="00B84917">
        <w:rPr>
          <w:i w:val="0"/>
        </w:rPr>
        <w:t>and macroeconomic factors</w:t>
      </w:r>
      <w:r>
        <w:rPr>
          <w:i w:val="0"/>
        </w:rPr>
        <w:t>)</w:t>
      </w:r>
      <w:r w:rsidRPr="00B84917">
        <w:rPr>
          <w:i w:val="0"/>
        </w:rPr>
        <w:t>.</w:t>
      </w:r>
      <w:bookmarkEnd w:id="138"/>
      <w:r>
        <w:t xml:space="preserve">  </w:t>
      </w:r>
    </w:p>
    <w:p w:rsidR="00296618" w:rsidRDefault="00296618" w:rsidP="00296618">
      <w:pPr>
        <w:pStyle w:val="Heading3"/>
        <w:numPr>
          <w:ilvl w:val="0"/>
          <w:numId w:val="0"/>
        </w:numPr>
      </w:pPr>
      <w:bookmarkStart w:id="139" w:name="_Toc380504864"/>
      <w:bookmarkStart w:id="140" w:name="_Toc380687115"/>
      <w:r>
        <w:t>Multiple Regression Analysis assessing the relationship between brand equity component (infant brand) and drivers (corporate structure and strategy; and macroeconomic factors) of corporate rebranding in relation to NEW brand.</w:t>
      </w:r>
      <w:bookmarkEnd w:id="139"/>
      <w:bookmarkEnd w:id="140"/>
      <w:r>
        <w:t xml:space="preserve"> </w:t>
      </w:r>
    </w:p>
    <w:p w:rsidR="00296618" w:rsidRDefault="00296618" w:rsidP="00296618">
      <w:r>
        <w:t xml:space="preserve">The linear regression analysis below assesses the relationship between the dependent variable (infant brand) and the independent variables (corporate structure and strategy; and macroeconomic factors) of the new brand. </w:t>
      </w:r>
    </w:p>
    <w:p w:rsidR="00296618" w:rsidRDefault="00296618" w:rsidP="00296618">
      <w:r>
        <w:lastRenderedPageBreak/>
        <w:t xml:space="preserve">As per Tables </w:t>
      </w:r>
      <w:r w:rsidR="00D61AFB">
        <w:t>30</w:t>
      </w:r>
      <w:r>
        <w:t xml:space="preserve"> and </w:t>
      </w:r>
      <w:r w:rsidR="00D61AFB">
        <w:t>31</w:t>
      </w:r>
      <w:r>
        <w:t>, the p-value from the F-test was less than 0.01 (p=0.023) indicating a significant linear relationship between the infant brand</w:t>
      </w:r>
      <w:r w:rsidRPr="006F3878">
        <w:t xml:space="preserve"> (dependant</w:t>
      </w:r>
      <w:r>
        <w:t xml:space="preserve"> variable) and the independent variables (corporate structure and strategy; and macroeconomic factors) in the </w:t>
      </w:r>
      <w:r w:rsidRPr="00E35CDE">
        <w:t>model at a 99% level of confidence</w:t>
      </w:r>
      <w:r>
        <w:t xml:space="preserve">. </w:t>
      </w:r>
    </w:p>
    <w:p w:rsidR="00296618" w:rsidRDefault="00296618" w:rsidP="00296618">
      <w:pPr>
        <w:pStyle w:val="Caption"/>
        <w:rPr>
          <w:sz w:val="24"/>
        </w:rPr>
      </w:pPr>
      <w:bookmarkStart w:id="141" w:name="_Toc380684376"/>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30</w:t>
      </w:r>
      <w:r w:rsidRPr="00336BBE">
        <w:rPr>
          <w:sz w:val="24"/>
        </w:rPr>
        <w:fldChar w:fldCharType="end"/>
      </w:r>
      <w:r w:rsidRPr="00336BBE">
        <w:rPr>
          <w:sz w:val="24"/>
        </w:rPr>
        <w:t>: Analysis of Variance</w:t>
      </w:r>
      <w:bookmarkEnd w:id="141"/>
    </w:p>
    <w:tbl>
      <w:tblPr>
        <w:tblStyle w:val="TableGrid6"/>
        <w:tblW w:w="0" w:type="auto"/>
        <w:tblLook w:val="04A0" w:firstRow="1" w:lastRow="0" w:firstColumn="1" w:lastColumn="0" w:noHBand="0" w:noVBand="1"/>
      </w:tblPr>
      <w:tblGrid>
        <w:gridCol w:w="1790"/>
        <w:gridCol w:w="1012"/>
        <w:gridCol w:w="2268"/>
        <w:gridCol w:w="2095"/>
        <w:gridCol w:w="1789"/>
      </w:tblGrid>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Source</w:t>
            </w:r>
          </w:p>
        </w:tc>
        <w:tc>
          <w:tcPr>
            <w:tcW w:w="1012" w:type="dxa"/>
          </w:tcPr>
          <w:p w:rsidR="00D61AFB" w:rsidRPr="00C12D2D" w:rsidRDefault="00D61AFB" w:rsidP="00CA1B5C">
            <w:pPr>
              <w:spacing w:before="0" w:after="0" w:line="240" w:lineRule="auto"/>
              <w:jc w:val="left"/>
              <w:rPr>
                <w:rFonts w:asciiTheme="minorHAnsi" w:hAnsiTheme="minorHAnsi"/>
                <w:sz w:val="22"/>
                <w:szCs w:val="22"/>
                <w:lang w:val="en-ZA"/>
              </w:rPr>
            </w:pPr>
            <w:r w:rsidRPr="00C12D2D">
              <w:t>DF</w:t>
            </w:r>
          </w:p>
        </w:tc>
        <w:tc>
          <w:tcPr>
            <w:tcW w:w="2268" w:type="dxa"/>
          </w:tcPr>
          <w:p w:rsidR="00D61AFB" w:rsidRPr="00C12D2D" w:rsidRDefault="00D61AFB" w:rsidP="00CA1B5C">
            <w:pPr>
              <w:spacing w:before="0" w:after="0" w:line="240" w:lineRule="auto"/>
              <w:jc w:val="left"/>
              <w:rPr>
                <w:rFonts w:asciiTheme="minorHAnsi" w:hAnsiTheme="minorHAnsi"/>
                <w:sz w:val="22"/>
                <w:szCs w:val="22"/>
                <w:lang w:val="en-ZA"/>
              </w:rPr>
            </w:pPr>
            <w:r>
              <w:t>Sum of Squares</w:t>
            </w:r>
          </w:p>
        </w:tc>
        <w:tc>
          <w:tcPr>
            <w:tcW w:w="2095" w:type="dxa"/>
          </w:tcPr>
          <w:p w:rsidR="00D61AFB" w:rsidRPr="00C12D2D" w:rsidRDefault="00D61AFB" w:rsidP="00CA1B5C">
            <w:pPr>
              <w:spacing w:before="0" w:after="0" w:line="240" w:lineRule="auto"/>
              <w:jc w:val="left"/>
              <w:rPr>
                <w:rFonts w:asciiTheme="minorHAnsi" w:hAnsiTheme="minorHAnsi"/>
                <w:sz w:val="22"/>
                <w:szCs w:val="22"/>
                <w:lang w:val="en-ZA"/>
              </w:rPr>
            </w:pPr>
            <w:r>
              <w:t>Mean Square</w:t>
            </w:r>
          </w:p>
        </w:tc>
        <w:tc>
          <w:tcPr>
            <w:tcW w:w="1789" w:type="dxa"/>
          </w:tcPr>
          <w:p w:rsidR="00D61AFB" w:rsidRPr="00C12D2D" w:rsidRDefault="00D61AFB" w:rsidP="00CA1B5C">
            <w:pPr>
              <w:spacing w:before="0" w:after="0" w:line="240" w:lineRule="auto"/>
              <w:jc w:val="left"/>
              <w:rPr>
                <w:rFonts w:asciiTheme="minorHAnsi" w:hAnsiTheme="minorHAnsi"/>
                <w:sz w:val="22"/>
                <w:szCs w:val="22"/>
                <w:lang w:val="en-ZA"/>
              </w:rPr>
            </w:pPr>
            <w:r>
              <w:t>F Ratio</w:t>
            </w:r>
          </w:p>
        </w:tc>
      </w:tr>
      <w:tr w:rsidR="00D61AFB" w:rsidRPr="00C12D2D" w:rsidTr="00CA1B5C">
        <w:tc>
          <w:tcPr>
            <w:tcW w:w="1790"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Model</w:t>
            </w:r>
            <w:r w:rsidRPr="00AD685C">
              <w:rPr>
                <w:rFonts w:eastAsia="Times New Roman" w:cs="Times New Roman"/>
              </w:rPr>
              <w:tab/>
            </w:r>
          </w:p>
        </w:tc>
        <w:tc>
          <w:tcPr>
            <w:tcW w:w="1012"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2</w:t>
            </w:r>
          </w:p>
        </w:tc>
        <w:tc>
          <w:tcPr>
            <w:tcW w:w="2268"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11.916531</w:t>
            </w:r>
          </w:p>
        </w:tc>
        <w:tc>
          <w:tcPr>
            <w:tcW w:w="209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5.95827</w:t>
            </w:r>
          </w:p>
        </w:tc>
        <w:tc>
          <w:tcPr>
            <w:tcW w:w="1789"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6.4696</w:t>
            </w:r>
          </w:p>
        </w:tc>
      </w:tr>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Error</w:t>
            </w:r>
            <w:r>
              <w:tab/>
            </w:r>
          </w:p>
        </w:tc>
        <w:tc>
          <w:tcPr>
            <w:tcW w:w="1012"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95</w:t>
            </w:r>
          </w:p>
        </w:tc>
        <w:tc>
          <w:tcPr>
            <w:tcW w:w="2268"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87.492190</w:t>
            </w:r>
          </w:p>
        </w:tc>
        <w:tc>
          <w:tcPr>
            <w:tcW w:w="2095"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0.92097</w:t>
            </w:r>
          </w:p>
        </w:tc>
        <w:tc>
          <w:tcPr>
            <w:tcW w:w="1789"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Prob &gt; F</w:t>
            </w:r>
          </w:p>
        </w:tc>
      </w:tr>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C. Total</w:t>
            </w:r>
          </w:p>
        </w:tc>
        <w:tc>
          <w:tcPr>
            <w:tcW w:w="1012"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97</w:t>
            </w:r>
          </w:p>
        </w:tc>
        <w:tc>
          <w:tcPr>
            <w:tcW w:w="2268"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99.408720</w:t>
            </w:r>
          </w:p>
        </w:tc>
        <w:tc>
          <w:tcPr>
            <w:tcW w:w="2095" w:type="dxa"/>
          </w:tcPr>
          <w:p w:rsidR="00D61AFB" w:rsidRPr="00AD685C" w:rsidRDefault="00D61AFB" w:rsidP="00CA1B5C">
            <w:pPr>
              <w:spacing w:before="0" w:after="0" w:line="240" w:lineRule="auto"/>
              <w:jc w:val="left"/>
              <w:rPr>
                <w:rFonts w:eastAsia="Times New Roman" w:cs="Times New Roman"/>
              </w:rPr>
            </w:pPr>
          </w:p>
        </w:tc>
        <w:tc>
          <w:tcPr>
            <w:tcW w:w="1789"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0.0023*</w:t>
            </w:r>
          </w:p>
        </w:tc>
      </w:tr>
    </w:tbl>
    <w:p w:rsidR="00296618" w:rsidRDefault="00296618" w:rsidP="00296618">
      <w:pPr>
        <w:pStyle w:val="Caption"/>
        <w:rPr>
          <w:sz w:val="24"/>
        </w:rPr>
      </w:pPr>
      <w:bookmarkStart w:id="142" w:name="_Toc380684377"/>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31</w:t>
      </w:r>
      <w:r w:rsidRPr="00336BBE">
        <w:rPr>
          <w:sz w:val="24"/>
        </w:rPr>
        <w:fldChar w:fldCharType="end"/>
      </w:r>
      <w:r w:rsidRPr="00336BBE">
        <w:rPr>
          <w:sz w:val="24"/>
        </w:rPr>
        <w:t>: Parameter Estimates</w:t>
      </w:r>
      <w:bookmarkEnd w:id="142"/>
    </w:p>
    <w:tbl>
      <w:tblPr>
        <w:tblStyle w:val="TableGrid7"/>
        <w:tblW w:w="9464" w:type="dxa"/>
        <w:tblLayout w:type="fixed"/>
        <w:tblLook w:val="04A0" w:firstRow="1" w:lastRow="0" w:firstColumn="1" w:lastColumn="0" w:noHBand="0" w:noVBand="1"/>
      </w:tblPr>
      <w:tblGrid>
        <w:gridCol w:w="2093"/>
        <w:gridCol w:w="1276"/>
        <w:gridCol w:w="1275"/>
        <w:gridCol w:w="993"/>
        <w:gridCol w:w="1134"/>
        <w:gridCol w:w="1275"/>
        <w:gridCol w:w="1418"/>
      </w:tblGrid>
      <w:tr w:rsidR="00D61AFB" w:rsidRPr="00C12D2D" w:rsidTr="00CA1B5C">
        <w:tc>
          <w:tcPr>
            <w:tcW w:w="2093" w:type="dxa"/>
          </w:tcPr>
          <w:p w:rsidR="00D61AFB" w:rsidRPr="00C12D2D" w:rsidRDefault="00D61AFB" w:rsidP="00CA1B5C">
            <w:pPr>
              <w:spacing w:before="0" w:after="0" w:line="240" w:lineRule="auto"/>
              <w:jc w:val="left"/>
            </w:pPr>
            <w:r w:rsidRPr="0004627C">
              <w:t>Term</w:t>
            </w:r>
          </w:p>
        </w:tc>
        <w:tc>
          <w:tcPr>
            <w:tcW w:w="1276"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Estimate</w:t>
            </w:r>
          </w:p>
        </w:tc>
        <w:tc>
          <w:tcPr>
            <w:tcW w:w="1275"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Std Error</w:t>
            </w:r>
          </w:p>
        </w:tc>
        <w:tc>
          <w:tcPr>
            <w:tcW w:w="993"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T Ratio</w:t>
            </w:r>
          </w:p>
        </w:tc>
        <w:tc>
          <w:tcPr>
            <w:tcW w:w="1134"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Prob&gt;|t|</w:t>
            </w:r>
          </w:p>
        </w:tc>
        <w:tc>
          <w:tcPr>
            <w:tcW w:w="1275"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Lower 95%</w:t>
            </w:r>
          </w:p>
        </w:tc>
        <w:tc>
          <w:tcPr>
            <w:tcW w:w="1418" w:type="dxa"/>
          </w:tcPr>
          <w:p w:rsidR="00D61AFB" w:rsidRPr="00AD685C" w:rsidRDefault="00D61AFB" w:rsidP="00CA1B5C">
            <w:pPr>
              <w:spacing w:before="0" w:after="0" w:line="240" w:lineRule="auto"/>
              <w:jc w:val="left"/>
              <w:rPr>
                <w:rFonts w:eastAsia="Times New Roman" w:cs="Times New Roman"/>
              </w:rPr>
            </w:pPr>
            <w:r w:rsidRPr="00AD685C">
              <w:rPr>
                <w:rFonts w:eastAsia="Times New Roman" w:cs="Times New Roman"/>
              </w:rPr>
              <w:t>Upper 95%</w:t>
            </w:r>
          </w:p>
        </w:tc>
      </w:tr>
      <w:tr w:rsidR="00D61AFB" w:rsidRPr="00C12D2D" w:rsidTr="00CA1B5C">
        <w:tc>
          <w:tcPr>
            <w:tcW w:w="2093" w:type="dxa"/>
          </w:tcPr>
          <w:p w:rsidR="00D61AFB" w:rsidRPr="00C12D2D" w:rsidRDefault="00D61AFB" w:rsidP="00CA1B5C">
            <w:pPr>
              <w:spacing w:before="0" w:after="0" w:line="240" w:lineRule="auto"/>
              <w:jc w:val="left"/>
              <w:rPr>
                <w:rFonts w:asciiTheme="minorHAnsi" w:hAnsiTheme="minorHAnsi"/>
                <w:sz w:val="22"/>
                <w:szCs w:val="22"/>
                <w:lang w:val="en-ZA"/>
              </w:rPr>
            </w:pPr>
            <w:r>
              <w:t>Intercept</w:t>
            </w:r>
          </w:p>
        </w:tc>
        <w:tc>
          <w:tcPr>
            <w:tcW w:w="1276"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 xml:space="preserve"> -0.0179</w:t>
            </w:r>
          </w:p>
        </w:tc>
        <w:tc>
          <w:tcPr>
            <w:tcW w:w="127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0.09711</w:t>
            </w:r>
          </w:p>
        </w:tc>
        <w:tc>
          <w:tcPr>
            <w:tcW w:w="993"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 xml:space="preserve"> -0.19</w:t>
            </w:r>
          </w:p>
        </w:tc>
        <w:tc>
          <w:tcPr>
            <w:tcW w:w="1134"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0.8535</w:t>
            </w:r>
          </w:p>
        </w:tc>
        <w:tc>
          <w:tcPr>
            <w:tcW w:w="127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 xml:space="preserve"> -0.2107</w:t>
            </w:r>
          </w:p>
        </w:tc>
        <w:tc>
          <w:tcPr>
            <w:tcW w:w="1418"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0.174809</w:t>
            </w:r>
          </w:p>
        </w:tc>
      </w:tr>
      <w:tr w:rsidR="00D61AFB" w:rsidRPr="00C12D2D" w:rsidTr="00CA1B5C">
        <w:tc>
          <w:tcPr>
            <w:tcW w:w="2093" w:type="dxa"/>
          </w:tcPr>
          <w:p w:rsidR="00D61AFB" w:rsidRDefault="00D61AFB" w:rsidP="00CA1B5C">
            <w:pPr>
              <w:spacing w:before="0" w:after="0" w:line="240" w:lineRule="auto"/>
              <w:jc w:val="left"/>
            </w:pPr>
            <w:r>
              <w:t>Corporate structure and strategy</w:t>
            </w:r>
          </w:p>
          <w:p w:rsidR="00D61AFB" w:rsidRDefault="00D61AFB" w:rsidP="00CA1B5C">
            <w:pPr>
              <w:spacing w:before="0" w:after="0" w:line="240" w:lineRule="auto"/>
              <w:jc w:val="left"/>
            </w:pPr>
            <w:r>
              <w:t>(Q5,6,7)</w:t>
            </w:r>
          </w:p>
        </w:tc>
        <w:tc>
          <w:tcPr>
            <w:tcW w:w="1276"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0.12320</w:t>
            </w:r>
          </w:p>
        </w:tc>
        <w:tc>
          <w:tcPr>
            <w:tcW w:w="127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0.11086</w:t>
            </w:r>
          </w:p>
        </w:tc>
        <w:tc>
          <w:tcPr>
            <w:tcW w:w="993"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1.11</w:t>
            </w:r>
          </w:p>
        </w:tc>
        <w:tc>
          <w:tcPr>
            <w:tcW w:w="1134"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0.2693</w:t>
            </w:r>
          </w:p>
        </w:tc>
        <w:tc>
          <w:tcPr>
            <w:tcW w:w="127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 xml:space="preserve"> -0.0968</w:t>
            </w:r>
          </w:p>
        </w:tc>
        <w:tc>
          <w:tcPr>
            <w:tcW w:w="1418"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0.343300</w:t>
            </w:r>
          </w:p>
        </w:tc>
      </w:tr>
      <w:tr w:rsidR="00D61AFB" w:rsidRPr="00C12D2D" w:rsidTr="00CA1B5C">
        <w:tc>
          <w:tcPr>
            <w:tcW w:w="2093" w:type="dxa"/>
          </w:tcPr>
          <w:p w:rsidR="00D61AFB" w:rsidRDefault="00D61AFB" w:rsidP="00CA1B5C">
            <w:pPr>
              <w:spacing w:before="0" w:after="0" w:line="240" w:lineRule="auto"/>
              <w:jc w:val="left"/>
            </w:pPr>
            <w:r>
              <w:t>Macroeconomic factors</w:t>
            </w:r>
          </w:p>
          <w:p w:rsidR="00D61AFB" w:rsidRPr="00C12D2D" w:rsidRDefault="00D61AFB" w:rsidP="00CA1B5C">
            <w:pPr>
              <w:spacing w:before="0" w:after="0" w:line="240" w:lineRule="auto"/>
              <w:jc w:val="left"/>
              <w:rPr>
                <w:rFonts w:asciiTheme="minorHAnsi" w:hAnsiTheme="minorHAnsi"/>
                <w:sz w:val="22"/>
                <w:szCs w:val="22"/>
                <w:lang w:val="en-ZA"/>
              </w:rPr>
            </w:pPr>
            <w:r>
              <w:t xml:space="preserve"> (Q16-21)</w:t>
            </w:r>
          </w:p>
        </w:tc>
        <w:tc>
          <w:tcPr>
            <w:tcW w:w="1276"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0.37794</w:t>
            </w:r>
          </w:p>
        </w:tc>
        <w:tc>
          <w:tcPr>
            <w:tcW w:w="127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0.11826</w:t>
            </w:r>
          </w:p>
        </w:tc>
        <w:tc>
          <w:tcPr>
            <w:tcW w:w="993"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3.20</w:t>
            </w:r>
          </w:p>
        </w:tc>
        <w:tc>
          <w:tcPr>
            <w:tcW w:w="1134"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0.0019*</w:t>
            </w:r>
          </w:p>
        </w:tc>
        <w:tc>
          <w:tcPr>
            <w:tcW w:w="1275"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0.14315</w:t>
            </w:r>
          </w:p>
        </w:tc>
        <w:tc>
          <w:tcPr>
            <w:tcW w:w="1418" w:type="dxa"/>
          </w:tcPr>
          <w:p w:rsidR="00D61AFB" w:rsidRPr="00AD685C" w:rsidRDefault="00D61AFB" w:rsidP="00CA1B5C">
            <w:pPr>
              <w:widowControl w:val="0"/>
              <w:autoSpaceDE w:val="0"/>
              <w:autoSpaceDN w:val="0"/>
              <w:adjustRightInd w:val="0"/>
              <w:spacing w:after="0" w:line="240" w:lineRule="auto"/>
              <w:jc w:val="right"/>
              <w:rPr>
                <w:rFonts w:eastAsia="Times New Roman" w:cs="Times New Roman"/>
              </w:rPr>
            </w:pPr>
            <w:r w:rsidRPr="00AD685C">
              <w:rPr>
                <w:rFonts w:eastAsia="Times New Roman" w:cs="Times New Roman"/>
              </w:rPr>
              <w:t>0.612725</w:t>
            </w:r>
          </w:p>
        </w:tc>
      </w:tr>
    </w:tbl>
    <w:p w:rsidR="00296618" w:rsidRPr="000C1ACF" w:rsidRDefault="00296618" w:rsidP="00296618"/>
    <w:p w:rsidR="00296618" w:rsidRDefault="00296618" w:rsidP="00296618">
      <w:r w:rsidRPr="00EA2F31">
        <w:t>Macroeconomic factors were the only significant predictor and the model was, therefore, rerun with macroeconomic factors as the only independent variable.</w:t>
      </w:r>
      <w:r>
        <w:t xml:space="preserve"> </w:t>
      </w:r>
    </w:p>
    <w:p w:rsidR="00296618" w:rsidRDefault="00296618" w:rsidP="00296618">
      <w:pPr>
        <w:pStyle w:val="Heading3"/>
        <w:numPr>
          <w:ilvl w:val="0"/>
          <w:numId w:val="0"/>
        </w:numPr>
      </w:pPr>
      <w:bookmarkStart w:id="143" w:name="_Toc380687116"/>
      <w:r>
        <w:lastRenderedPageBreak/>
        <w:t>4.5.4.6   Infant brand and one driver</w:t>
      </w:r>
      <w:r w:rsidRPr="00B805BB">
        <w:t xml:space="preserve"> </w:t>
      </w:r>
      <w:r>
        <w:t>(macroeconomic factors).</w:t>
      </w:r>
      <w:bookmarkEnd w:id="143"/>
    </w:p>
    <w:p w:rsidR="00296618" w:rsidRDefault="00296618" w:rsidP="00296618">
      <w:pPr>
        <w:pStyle w:val="Heading3"/>
        <w:numPr>
          <w:ilvl w:val="0"/>
          <w:numId w:val="0"/>
        </w:numPr>
      </w:pPr>
      <w:bookmarkStart w:id="144" w:name="_Toc380504866"/>
      <w:bookmarkStart w:id="145" w:name="_Toc380687117"/>
      <w:r>
        <w:t>Multiple regression Analysis assessing the relationship between brand equity component (infant brand) and driver (macroeconomic factors) of corporate rebranding in relation to NEW brand.</w:t>
      </w:r>
      <w:bookmarkEnd w:id="144"/>
      <w:bookmarkEnd w:id="145"/>
      <w:r>
        <w:t xml:space="preserve"> </w:t>
      </w:r>
    </w:p>
    <w:p w:rsidR="00296618" w:rsidRDefault="00296618" w:rsidP="00423865">
      <w:pPr>
        <w:spacing w:before="0" w:after="0"/>
      </w:pPr>
      <w:r>
        <w:t>Corporate structure and strategy (Beta: 0.12320, p=0.2693) revealed not</w:t>
      </w:r>
      <w:r w:rsidRPr="009A2C52">
        <w:t xml:space="preserve"> to be a significant </w:t>
      </w:r>
      <w:r>
        <w:t>driver of b</w:t>
      </w:r>
      <w:r w:rsidRPr="009A2C52">
        <w:t xml:space="preserve">rand </w:t>
      </w:r>
      <w:r>
        <w:t xml:space="preserve">equity with regards to the new brand.  The analysis was conducted again with macroeconomic factors as the only independent variable </w:t>
      </w:r>
      <w:r w:rsidRPr="00727F38">
        <w:t xml:space="preserve">to examine whether </w:t>
      </w:r>
      <w:r>
        <w:t xml:space="preserve">these factors </w:t>
      </w:r>
      <w:r w:rsidRPr="00727F38">
        <w:t xml:space="preserve">impact </w:t>
      </w:r>
      <w:r w:rsidRPr="006F3878">
        <w:t>on Vodacom’s brand equity</w:t>
      </w:r>
      <w:r w:rsidRPr="00727F38">
        <w:t xml:space="preserve"> </w:t>
      </w:r>
      <w:r>
        <w:t xml:space="preserve">in relation to the new </w:t>
      </w:r>
      <w:r w:rsidRPr="00727F38">
        <w:t>brand. The overall model explained 1</w:t>
      </w:r>
      <w:r>
        <w:t xml:space="preserve">0.84% </w:t>
      </w:r>
      <w:r w:rsidRPr="00727F38">
        <w:t xml:space="preserve">of variance </w:t>
      </w:r>
      <w:r w:rsidRPr="006F3878">
        <w:t>in brand equity</w:t>
      </w:r>
      <w:r>
        <w:t xml:space="preserve"> (Table </w:t>
      </w:r>
      <w:r w:rsidR="00D61AFB">
        <w:t>32</w:t>
      </w:r>
      <w:r>
        <w:t>)</w:t>
      </w:r>
      <w:r w:rsidRPr="006F3878">
        <w:t>, which</w:t>
      </w:r>
      <w:r w:rsidRPr="00727F38">
        <w:t xml:space="preserve"> was revealed to be statistically significant, F</w:t>
      </w:r>
      <w:r>
        <w:rPr>
          <w:vertAlign w:val="subscript"/>
        </w:rPr>
        <w:t>2</w:t>
      </w:r>
      <w:r w:rsidRPr="00F22435">
        <w:rPr>
          <w:vertAlign w:val="subscript"/>
        </w:rPr>
        <w:t>,97</w:t>
      </w:r>
      <w:r w:rsidRPr="00727F38">
        <w:t xml:space="preserve"> = 11.67, p &lt;0 .00009. An inspection of individual predictors revealed that </w:t>
      </w:r>
      <w:r>
        <w:t>m</w:t>
      </w:r>
      <w:r w:rsidRPr="00727F38">
        <w:t>acroeconomic</w:t>
      </w:r>
      <w:r>
        <w:t xml:space="preserve"> factors</w:t>
      </w:r>
      <w:r w:rsidRPr="00727F38">
        <w:t xml:space="preserve"> (Beta = </w:t>
      </w:r>
      <w:r>
        <w:t>0.399, p &lt;0 .00009) are</w:t>
      </w:r>
      <w:r w:rsidRPr="00727F38">
        <w:t xml:space="preserve"> a significant influencer of </w:t>
      </w:r>
      <w:r w:rsidRPr="006F3878">
        <w:t>Vodacom’s brand equity.</w:t>
      </w:r>
      <w:r w:rsidRPr="00727F38">
        <w:t xml:space="preserve"> </w:t>
      </w:r>
    </w:p>
    <w:p w:rsidR="00296618" w:rsidRDefault="00296618" w:rsidP="00296618">
      <w:pPr>
        <w:pStyle w:val="Caption"/>
        <w:rPr>
          <w:sz w:val="24"/>
        </w:rPr>
      </w:pPr>
      <w:bookmarkStart w:id="146" w:name="_Toc380684378"/>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32</w:t>
      </w:r>
      <w:r w:rsidRPr="00336BBE">
        <w:rPr>
          <w:sz w:val="24"/>
        </w:rPr>
        <w:fldChar w:fldCharType="end"/>
      </w:r>
      <w:r w:rsidRPr="00336BBE">
        <w:rPr>
          <w:sz w:val="24"/>
        </w:rPr>
        <w:t>: Summary of Fit</w:t>
      </w:r>
      <w:bookmarkEnd w:id="146"/>
    </w:p>
    <w:tbl>
      <w:tblPr>
        <w:tblStyle w:val="TableGrid5"/>
        <w:tblW w:w="0" w:type="auto"/>
        <w:tblLook w:val="04A0" w:firstRow="1" w:lastRow="0" w:firstColumn="1" w:lastColumn="0" w:noHBand="0" w:noVBand="1"/>
      </w:tblPr>
      <w:tblGrid>
        <w:gridCol w:w="3652"/>
        <w:gridCol w:w="2341"/>
      </w:tblGrid>
      <w:tr w:rsidR="00D61AFB" w:rsidRPr="00FB60F8" w:rsidTr="00CA1B5C">
        <w:tc>
          <w:tcPr>
            <w:tcW w:w="3652" w:type="dxa"/>
          </w:tcPr>
          <w:p w:rsidR="00D61AFB" w:rsidRPr="00FB60F8" w:rsidRDefault="00D61AFB" w:rsidP="00CA1B5C">
            <w:pPr>
              <w:spacing w:before="0" w:after="0" w:line="240" w:lineRule="auto"/>
              <w:jc w:val="left"/>
            </w:pPr>
            <w:r w:rsidRPr="00FB60F8">
              <w:t>RSquare</w:t>
            </w:r>
          </w:p>
        </w:tc>
        <w:tc>
          <w:tcPr>
            <w:tcW w:w="2341" w:type="dxa"/>
          </w:tcPr>
          <w:p w:rsidR="00D61AFB" w:rsidRPr="0077358B" w:rsidRDefault="00D61AFB" w:rsidP="00CA1B5C">
            <w:pPr>
              <w:spacing w:before="0" w:after="0" w:line="240" w:lineRule="auto"/>
              <w:jc w:val="left"/>
            </w:pPr>
            <w:r w:rsidRPr="0077358B">
              <w:t>0.108434</w:t>
            </w:r>
          </w:p>
        </w:tc>
      </w:tr>
      <w:tr w:rsidR="00D61AFB" w:rsidRPr="00FB60F8" w:rsidTr="00CA1B5C">
        <w:tc>
          <w:tcPr>
            <w:tcW w:w="3652" w:type="dxa"/>
          </w:tcPr>
          <w:p w:rsidR="00D61AFB" w:rsidRPr="00FB60F8" w:rsidRDefault="00D61AFB" w:rsidP="00CA1B5C">
            <w:pPr>
              <w:spacing w:before="0" w:after="0" w:line="240" w:lineRule="auto"/>
              <w:jc w:val="left"/>
            </w:pPr>
            <w:r w:rsidRPr="00FB60F8">
              <w:t>RSquare ADJ</w:t>
            </w:r>
          </w:p>
        </w:tc>
        <w:tc>
          <w:tcPr>
            <w:tcW w:w="2341" w:type="dxa"/>
          </w:tcPr>
          <w:p w:rsidR="00D61AFB" w:rsidRPr="0077358B" w:rsidRDefault="00D61AFB" w:rsidP="00CA1B5C">
            <w:pPr>
              <w:spacing w:before="0" w:after="0" w:line="240" w:lineRule="auto"/>
              <w:jc w:val="left"/>
            </w:pPr>
            <w:r w:rsidRPr="0077358B">
              <w:t>0.099147</w:t>
            </w:r>
          </w:p>
        </w:tc>
      </w:tr>
      <w:tr w:rsidR="00D61AFB" w:rsidRPr="00FB60F8" w:rsidTr="00CA1B5C">
        <w:tc>
          <w:tcPr>
            <w:tcW w:w="3652" w:type="dxa"/>
          </w:tcPr>
          <w:p w:rsidR="00D61AFB" w:rsidRPr="00FB60F8" w:rsidRDefault="00D61AFB" w:rsidP="00CA1B5C">
            <w:pPr>
              <w:spacing w:before="0" w:after="0" w:line="240" w:lineRule="auto"/>
              <w:jc w:val="left"/>
              <w:rPr>
                <w:rFonts w:asciiTheme="minorHAnsi" w:hAnsiTheme="minorHAnsi"/>
                <w:sz w:val="22"/>
                <w:szCs w:val="22"/>
                <w:lang w:val="en-ZA"/>
              </w:rPr>
            </w:pPr>
            <w:r>
              <w:t>Root Mean Square Error</w:t>
            </w:r>
          </w:p>
        </w:tc>
        <w:tc>
          <w:tcPr>
            <w:tcW w:w="2341" w:type="dxa"/>
          </w:tcPr>
          <w:p w:rsidR="00D61AFB" w:rsidRPr="0077358B" w:rsidRDefault="00D61AFB" w:rsidP="00CA1B5C">
            <w:pPr>
              <w:spacing w:before="0" w:after="0" w:line="240" w:lineRule="auto"/>
              <w:jc w:val="left"/>
            </w:pPr>
            <w:r w:rsidRPr="0077358B">
              <w:t>0.960845</w:t>
            </w:r>
          </w:p>
        </w:tc>
      </w:tr>
      <w:tr w:rsidR="00D61AFB" w:rsidRPr="00FB60F8" w:rsidTr="00CA1B5C">
        <w:tc>
          <w:tcPr>
            <w:tcW w:w="3652" w:type="dxa"/>
          </w:tcPr>
          <w:p w:rsidR="00D61AFB" w:rsidRPr="00FB60F8" w:rsidRDefault="00D61AFB" w:rsidP="00CA1B5C">
            <w:pPr>
              <w:spacing w:before="0" w:after="0" w:line="240" w:lineRule="auto"/>
              <w:jc w:val="left"/>
              <w:rPr>
                <w:rFonts w:asciiTheme="minorHAnsi" w:hAnsiTheme="minorHAnsi"/>
                <w:sz w:val="22"/>
                <w:szCs w:val="22"/>
                <w:lang w:val="en-ZA"/>
              </w:rPr>
            </w:pPr>
            <w:r>
              <w:t>Mean of Response</w:t>
            </w:r>
          </w:p>
        </w:tc>
        <w:tc>
          <w:tcPr>
            <w:tcW w:w="2341" w:type="dxa"/>
          </w:tcPr>
          <w:p w:rsidR="00D61AFB" w:rsidRPr="0077358B" w:rsidRDefault="00D61AFB" w:rsidP="00CA1B5C">
            <w:pPr>
              <w:spacing w:before="0" w:after="0" w:line="240" w:lineRule="auto"/>
              <w:jc w:val="left"/>
            </w:pPr>
            <w:r w:rsidRPr="0077358B">
              <w:t xml:space="preserve"> -0.00156</w:t>
            </w:r>
          </w:p>
        </w:tc>
      </w:tr>
      <w:tr w:rsidR="00D61AFB" w:rsidRPr="00FB60F8" w:rsidTr="00CA1B5C">
        <w:tc>
          <w:tcPr>
            <w:tcW w:w="3652" w:type="dxa"/>
          </w:tcPr>
          <w:p w:rsidR="00D61AFB" w:rsidRPr="00FB60F8" w:rsidRDefault="00D61AFB" w:rsidP="00CA1B5C">
            <w:pPr>
              <w:spacing w:before="0" w:after="0" w:line="240" w:lineRule="auto"/>
              <w:jc w:val="left"/>
              <w:rPr>
                <w:rFonts w:asciiTheme="minorHAnsi" w:hAnsiTheme="minorHAnsi"/>
                <w:sz w:val="22"/>
                <w:szCs w:val="22"/>
                <w:lang w:val="en-ZA"/>
              </w:rPr>
            </w:pPr>
            <w:r>
              <w:t>Observations (or Sum Wgts)</w:t>
            </w:r>
          </w:p>
        </w:tc>
        <w:tc>
          <w:tcPr>
            <w:tcW w:w="2341" w:type="dxa"/>
          </w:tcPr>
          <w:p w:rsidR="00D61AFB" w:rsidRPr="0077358B" w:rsidRDefault="00D61AFB" w:rsidP="00CA1B5C">
            <w:pPr>
              <w:spacing w:before="0" w:after="0" w:line="240" w:lineRule="auto"/>
              <w:jc w:val="left"/>
            </w:pPr>
            <w:r w:rsidRPr="0077358B">
              <w:t>98</w:t>
            </w:r>
          </w:p>
        </w:tc>
      </w:tr>
    </w:tbl>
    <w:p w:rsidR="00296618" w:rsidRDefault="00296618" w:rsidP="00296618">
      <w:pPr>
        <w:pStyle w:val="Caption"/>
        <w:rPr>
          <w:sz w:val="24"/>
        </w:rPr>
      </w:pPr>
      <w:bookmarkStart w:id="147" w:name="_Toc380684379"/>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33</w:t>
      </w:r>
      <w:r w:rsidRPr="00336BBE">
        <w:rPr>
          <w:sz w:val="24"/>
        </w:rPr>
        <w:fldChar w:fldCharType="end"/>
      </w:r>
      <w:r w:rsidRPr="00336BBE">
        <w:rPr>
          <w:sz w:val="24"/>
        </w:rPr>
        <w:t>: Analysis of Variance</w:t>
      </w:r>
      <w:bookmarkEnd w:id="147"/>
    </w:p>
    <w:tbl>
      <w:tblPr>
        <w:tblStyle w:val="TableGrid6"/>
        <w:tblW w:w="0" w:type="auto"/>
        <w:tblLook w:val="04A0" w:firstRow="1" w:lastRow="0" w:firstColumn="1" w:lastColumn="0" w:noHBand="0" w:noVBand="1"/>
      </w:tblPr>
      <w:tblGrid>
        <w:gridCol w:w="1790"/>
        <w:gridCol w:w="1012"/>
        <w:gridCol w:w="2268"/>
        <w:gridCol w:w="2095"/>
        <w:gridCol w:w="1789"/>
      </w:tblGrid>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Source</w:t>
            </w:r>
          </w:p>
        </w:tc>
        <w:tc>
          <w:tcPr>
            <w:tcW w:w="1012" w:type="dxa"/>
          </w:tcPr>
          <w:p w:rsidR="00D61AFB" w:rsidRPr="00C12D2D" w:rsidRDefault="00D61AFB" w:rsidP="00CA1B5C">
            <w:pPr>
              <w:spacing w:before="0" w:after="0" w:line="240" w:lineRule="auto"/>
              <w:jc w:val="left"/>
              <w:rPr>
                <w:rFonts w:asciiTheme="minorHAnsi" w:hAnsiTheme="minorHAnsi"/>
                <w:sz w:val="22"/>
                <w:szCs w:val="22"/>
                <w:lang w:val="en-ZA"/>
              </w:rPr>
            </w:pPr>
            <w:r w:rsidRPr="00C12D2D">
              <w:t>DF</w:t>
            </w:r>
          </w:p>
        </w:tc>
        <w:tc>
          <w:tcPr>
            <w:tcW w:w="2268" w:type="dxa"/>
          </w:tcPr>
          <w:p w:rsidR="00D61AFB" w:rsidRPr="00C12D2D" w:rsidRDefault="00D61AFB" w:rsidP="00CA1B5C">
            <w:pPr>
              <w:spacing w:before="0" w:after="0" w:line="240" w:lineRule="auto"/>
              <w:jc w:val="left"/>
              <w:rPr>
                <w:rFonts w:asciiTheme="minorHAnsi" w:hAnsiTheme="minorHAnsi"/>
                <w:sz w:val="22"/>
                <w:szCs w:val="22"/>
                <w:lang w:val="en-ZA"/>
              </w:rPr>
            </w:pPr>
            <w:r>
              <w:t>Sum of Squares</w:t>
            </w:r>
          </w:p>
        </w:tc>
        <w:tc>
          <w:tcPr>
            <w:tcW w:w="2095" w:type="dxa"/>
          </w:tcPr>
          <w:p w:rsidR="00D61AFB" w:rsidRPr="00C12D2D" w:rsidRDefault="00D61AFB" w:rsidP="00CA1B5C">
            <w:pPr>
              <w:spacing w:before="0" w:after="0" w:line="240" w:lineRule="auto"/>
              <w:jc w:val="left"/>
              <w:rPr>
                <w:rFonts w:asciiTheme="minorHAnsi" w:hAnsiTheme="minorHAnsi"/>
                <w:sz w:val="22"/>
                <w:szCs w:val="22"/>
                <w:lang w:val="en-ZA"/>
              </w:rPr>
            </w:pPr>
            <w:r>
              <w:t>Mean Square</w:t>
            </w:r>
          </w:p>
        </w:tc>
        <w:tc>
          <w:tcPr>
            <w:tcW w:w="1789" w:type="dxa"/>
          </w:tcPr>
          <w:p w:rsidR="00D61AFB" w:rsidRPr="00C12D2D" w:rsidRDefault="00D61AFB" w:rsidP="00CA1B5C">
            <w:pPr>
              <w:spacing w:before="0" w:after="0" w:line="240" w:lineRule="auto"/>
              <w:jc w:val="left"/>
              <w:rPr>
                <w:rFonts w:asciiTheme="minorHAnsi" w:hAnsiTheme="minorHAnsi"/>
                <w:sz w:val="22"/>
                <w:szCs w:val="22"/>
                <w:lang w:val="en-ZA"/>
              </w:rPr>
            </w:pPr>
            <w:r>
              <w:t>F Ratio</w:t>
            </w:r>
          </w:p>
        </w:tc>
      </w:tr>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Model</w:t>
            </w:r>
            <w:r>
              <w:tab/>
            </w:r>
          </w:p>
        </w:tc>
        <w:tc>
          <w:tcPr>
            <w:tcW w:w="1012" w:type="dxa"/>
          </w:tcPr>
          <w:p w:rsidR="00D61AFB" w:rsidRPr="0077358B" w:rsidRDefault="00D61AFB" w:rsidP="00CA1B5C">
            <w:pPr>
              <w:spacing w:before="0" w:after="0" w:line="240" w:lineRule="auto"/>
              <w:jc w:val="left"/>
            </w:pPr>
            <w:r w:rsidRPr="0077358B">
              <w:t>1</w:t>
            </w:r>
          </w:p>
        </w:tc>
        <w:tc>
          <w:tcPr>
            <w:tcW w:w="2268" w:type="dxa"/>
          </w:tcPr>
          <w:p w:rsidR="00D61AFB" w:rsidRPr="0077358B" w:rsidRDefault="00D61AFB" w:rsidP="00CA1B5C">
            <w:pPr>
              <w:spacing w:before="0" w:after="0" w:line="240" w:lineRule="auto"/>
              <w:jc w:val="left"/>
            </w:pPr>
            <w:r w:rsidRPr="0077358B">
              <w:t>10.779259</w:t>
            </w:r>
          </w:p>
          <w:p w:rsidR="00D61AFB" w:rsidRPr="0077358B" w:rsidRDefault="00D61AFB" w:rsidP="00CA1B5C">
            <w:pPr>
              <w:spacing w:before="0" w:after="0" w:line="240" w:lineRule="auto"/>
              <w:jc w:val="left"/>
            </w:pPr>
          </w:p>
        </w:tc>
        <w:tc>
          <w:tcPr>
            <w:tcW w:w="2095" w:type="dxa"/>
          </w:tcPr>
          <w:p w:rsidR="00D61AFB" w:rsidRPr="0077358B" w:rsidRDefault="00D61AFB" w:rsidP="00CA1B5C">
            <w:pPr>
              <w:spacing w:before="0" w:after="0" w:line="240" w:lineRule="auto"/>
              <w:jc w:val="left"/>
            </w:pPr>
            <w:r w:rsidRPr="0077358B">
              <w:t>10.7793</w:t>
            </w:r>
          </w:p>
          <w:p w:rsidR="00D61AFB" w:rsidRPr="0077358B" w:rsidRDefault="00D61AFB" w:rsidP="00CA1B5C">
            <w:pPr>
              <w:spacing w:before="0" w:after="0" w:line="240" w:lineRule="auto"/>
              <w:jc w:val="left"/>
            </w:pPr>
          </w:p>
        </w:tc>
        <w:tc>
          <w:tcPr>
            <w:tcW w:w="1789" w:type="dxa"/>
          </w:tcPr>
          <w:p w:rsidR="00D61AFB" w:rsidRPr="0077358B" w:rsidRDefault="00D61AFB" w:rsidP="00CA1B5C">
            <w:pPr>
              <w:spacing w:before="0" w:after="0" w:line="240" w:lineRule="auto"/>
              <w:jc w:val="left"/>
            </w:pPr>
            <w:r w:rsidRPr="0077358B">
              <w:t>11.6757</w:t>
            </w:r>
          </w:p>
        </w:tc>
      </w:tr>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Error</w:t>
            </w:r>
            <w:r>
              <w:tab/>
            </w:r>
          </w:p>
        </w:tc>
        <w:tc>
          <w:tcPr>
            <w:tcW w:w="1012" w:type="dxa"/>
          </w:tcPr>
          <w:p w:rsidR="00D61AFB" w:rsidRPr="0077358B" w:rsidRDefault="00D61AFB" w:rsidP="00CA1B5C">
            <w:pPr>
              <w:spacing w:before="0" w:after="0" w:line="240" w:lineRule="auto"/>
              <w:jc w:val="left"/>
            </w:pPr>
            <w:r w:rsidRPr="0077358B">
              <w:t>96</w:t>
            </w:r>
          </w:p>
        </w:tc>
        <w:tc>
          <w:tcPr>
            <w:tcW w:w="2268" w:type="dxa"/>
          </w:tcPr>
          <w:p w:rsidR="00D61AFB" w:rsidRPr="0077358B" w:rsidRDefault="00D61AFB" w:rsidP="00CA1B5C">
            <w:pPr>
              <w:spacing w:before="0" w:after="0" w:line="240" w:lineRule="auto"/>
              <w:jc w:val="left"/>
            </w:pPr>
            <w:r w:rsidRPr="0077358B">
              <w:t>88.629462</w:t>
            </w:r>
          </w:p>
          <w:p w:rsidR="00D61AFB" w:rsidRPr="0077358B" w:rsidRDefault="00D61AFB" w:rsidP="00CA1B5C">
            <w:pPr>
              <w:spacing w:before="0" w:after="0" w:line="240" w:lineRule="auto"/>
              <w:jc w:val="left"/>
            </w:pPr>
          </w:p>
        </w:tc>
        <w:tc>
          <w:tcPr>
            <w:tcW w:w="2095" w:type="dxa"/>
          </w:tcPr>
          <w:p w:rsidR="00D61AFB" w:rsidRPr="0077358B" w:rsidRDefault="00D61AFB" w:rsidP="00CA1B5C">
            <w:pPr>
              <w:spacing w:before="0" w:after="0" w:line="240" w:lineRule="auto"/>
              <w:jc w:val="left"/>
            </w:pPr>
            <w:r w:rsidRPr="0077358B">
              <w:t>0.9232</w:t>
            </w:r>
          </w:p>
        </w:tc>
        <w:tc>
          <w:tcPr>
            <w:tcW w:w="1789" w:type="dxa"/>
          </w:tcPr>
          <w:p w:rsidR="00D61AFB" w:rsidRPr="0077358B" w:rsidRDefault="00D61AFB" w:rsidP="00CA1B5C">
            <w:pPr>
              <w:spacing w:before="0" w:after="0" w:line="240" w:lineRule="auto"/>
              <w:jc w:val="left"/>
            </w:pPr>
            <w:r>
              <w:t>Prob &gt; F</w:t>
            </w:r>
          </w:p>
        </w:tc>
      </w:tr>
      <w:tr w:rsidR="00D61AFB" w:rsidRPr="00C12D2D" w:rsidTr="00CA1B5C">
        <w:tc>
          <w:tcPr>
            <w:tcW w:w="1790" w:type="dxa"/>
          </w:tcPr>
          <w:p w:rsidR="00D61AFB" w:rsidRPr="00C12D2D" w:rsidRDefault="00D61AFB" w:rsidP="00CA1B5C">
            <w:pPr>
              <w:spacing w:before="0" w:after="0" w:line="240" w:lineRule="auto"/>
              <w:jc w:val="left"/>
              <w:rPr>
                <w:rFonts w:asciiTheme="minorHAnsi" w:hAnsiTheme="minorHAnsi"/>
                <w:sz w:val="22"/>
                <w:szCs w:val="22"/>
                <w:lang w:val="en-ZA"/>
              </w:rPr>
            </w:pPr>
            <w:r>
              <w:t>C. Total</w:t>
            </w:r>
          </w:p>
        </w:tc>
        <w:tc>
          <w:tcPr>
            <w:tcW w:w="1012" w:type="dxa"/>
          </w:tcPr>
          <w:p w:rsidR="00D61AFB" w:rsidRPr="0077358B" w:rsidRDefault="00D61AFB" w:rsidP="00CA1B5C">
            <w:pPr>
              <w:spacing w:before="0" w:after="0" w:line="240" w:lineRule="auto"/>
              <w:jc w:val="left"/>
            </w:pPr>
            <w:r w:rsidRPr="0077358B">
              <w:t>97</w:t>
            </w:r>
          </w:p>
        </w:tc>
        <w:tc>
          <w:tcPr>
            <w:tcW w:w="2268" w:type="dxa"/>
          </w:tcPr>
          <w:p w:rsidR="00D61AFB" w:rsidRPr="0077358B" w:rsidRDefault="00D61AFB" w:rsidP="00CA1B5C">
            <w:pPr>
              <w:spacing w:before="0" w:after="0" w:line="240" w:lineRule="auto"/>
              <w:jc w:val="left"/>
            </w:pPr>
            <w:r w:rsidRPr="0077358B">
              <w:t>99.408720</w:t>
            </w:r>
          </w:p>
        </w:tc>
        <w:tc>
          <w:tcPr>
            <w:tcW w:w="2095" w:type="dxa"/>
          </w:tcPr>
          <w:p w:rsidR="00D61AFB" w:rsidRPr="0077358B" w:rsidRDefault="00D61AFB" w:rsidP="00CA1B5C">
            <w:pPr>
              <w:spacing w:before="0" w:after="0" w:line="240" w:lineRule="auto"/>
              <w:jc w:val="left"/>
            </w:pPr>
          </w:p>
        </w:tc>
        <w:tc>
          <w:tcPr>
            <w:tcW w:w="1789" w:type="dxa"/>
          </w:tcPr>
          <w:p w:rsidR="00D61AFB" w:rsidRPr="0077358B" w:rsidRDefault="00D61AFB" w:rsidP="00CA1B5C">
            <w:pPr>
              <w:spacing w:before="0" w:after="0" w:line="240" w:lineRule="auto"/>
              <w:jc w:val="left"/>
            </w:pPr>
            <w:r w:rsidRPr="0077358B">
              <w:t>0.0009*</w:t>
            </w:r>
          </w:p>
        </w:tc>
      </w:tr>
    </w:tbl>
    <w:p w:rsidR="00D61AFB" w:rsidRDefault="00D61AFB" w:rsidP="00296618">
      <w:pPr>
        <w:pStyle w:val="Caption"/>
        <w:rPr>
          <w:sz w:val="24"/>
        </w:rPr>
      </w:pPr>
    </w:p>
    <w:p w:rsidR="00D61AFB" w:rsidRDefault="00D61AFB" w:rsidP="00296618">
      <w:pPr>
        <w:pStyle w:val="Caption"/>
        <w:rPr>
          <w:sz w:val="24"/>
        </w:rPr>
      </w:pPr>
    </w:p>
    <w:p w:rsidR="00296618" w:rsidRDefault="00296618" w:rsidP="00296618">
      <w:pPr>
        <w:pStyle w:val="Caption"/>
        <w:rPr>
          <w:sz w:val="24"/>
        </w:rPr>
      </w:pPr>
      <w:bookmarkStart w:id="148" w:name="_Toc380684380"/>
      <w:r w:rsidRPr="00336BBE">
        <w:rPr>
          <w:sz w:val="24"/>
        </w:rPr>
        <w:lastRenderedPageBreak/>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34</w:t>
      </w:r>
      <w:r w:rsidRPr="00336BBE">
        <w:rPr>
          <w:sz w:val="24"/>
        </w:rPr>
        <w:fldChar w:fldCharType="end"/>
      </w:r>
      <w:r w:rsidRPr="00336BBE">
        <w:rPr>
          <w:sz w:val="24"/>
        </w:rPr>
        <w:t>: Parameter Estimates</w:t>
      </w:r>
      <w:bookmarkEnd w:id="148"/>
    </w:p>
    <w:tbl>
      <w:tblPr>
        <w:tblStyle w:val="TableGrid7"/>
        <w:tblW w:w="9464" w:type="dxa"/>
        <w:tblLayout w:type="fixed"/>
        <w:tblLook w:val="04A0" w:firstRow="1" w:lastRow="0" w:firstColumn="1" w:lastColumn="0" w:noHBand="0" w:noVBand="1"/>
      </w:tblPr>
      <w:tblGrid>
        <w:gridCol w:w="2093"/>
        <w:gridCol w:w="1417"/>
        <w:gridCol w:w="1276"/>
        <w:gridCol w:w="851"/>
        <w:gridCol w:w="1134"/>
        <w:gridCol w:w="1417"/>
        <w:gridCol w:w="1276"/>
      </w:tblGrid>
      <w:tr w:rsidR="00D61AFB" w:rsidRPr="00C12D2D" w:rsidTr="00CA1B5C">
        <w:tc>
          <w:tcPr>
            <w:tcW w:w="2093" w:type="dxa"/>
          </w:tcPr>
          <w:p w:rsidR="00D61AFB" w:rsidRPr="00C12D2D" w:rsidRDefault="00D61AFB" w:rsidP="00CA1B5C">
            <w:pPr>
              <w:spacing w:before="0" w:after="0" w:line="240" w:lineRule="auto"/>
              <w:jc w:val="left"/>
            </w:pPr>
            <w:r w:rsidRPr="0004627C">
              <w:t>Term</w:t>
            </w:r>
          </w:p>
        </w:tc>
        <w:tc>
          <w:tcPr>
            <w:tcW w:w="1417" w:type="dxa"/>
          </w:tcPr>
          <w:p w:rsidR="00D61AFB" w:rsidRPr="00C12D2D" w:rsidRDefault="00D61AFB" w:rsidP="00CA1B5C">
            <w:pPr>
              <w:spacing w:before="0" w:after="0" w:line="240" w:lineRule="auto"/>
              <w:jc w:val="left"/>
            </w:pPr>
            <w:r w:rsidRPr="0004627C">
              <w:t>Estimate</w:t>
            </w:r>
          </w:p>
        </w:tc>
        <w:tc>
          <w:tcPr>
            <w:tcW w:w="1276" w:type="dxa"/>
          </w:tcPr>
          <w:p w:rsidR="00D61AFB" w:rsidRPr="00C12D2D" w:rsidRDefault="00D61AFB" w:rsidP="00CA1B5C">
            <w:pPr>
              <w:spacing w:before="0" w:after="0" w:line="240" w:lineRule="auto"/>
              <w:jc w:val="left"/>
            </w:pPr>
            <w:r w:rsidRPr="0004627C">
              <w:t>Std Error</w:t>
            </w:r>
          </w:p>
        </w:tc>
        <w:tc>
          <w:tcPr>
            <w:tcW w:w="851" w:type="dxa"/>
          </w:tcPr>
          <w:p w:rsidR="00D61AFB" w:rsidRPr="0004627C" w:rsidRDefault="00D61AFB" w:rsidP="00CA1B5C">
            <w:pPr>
              <w:spacing w:before="0" w:after="0" w:line="240" w:lineRule="auto"/>
              <w:jc w:val="left"/>
            </w:pPr>
            <w:r w:rsidRPr="0004627C">
              <w:t>T Ratio</w:t>
            </w:r>
          </w:p>
        </w:tc>
        <w:tc>
          <w:tcPr>
            <w:tcW w:w="1134" w:type="dxa"/>
          </w:tcPr>
          <w:p w:rsidR="00D61AFB" w:rsidRPr="00C12D2D" w:rsidRDefault="00D61AFB" w:rsidP="00CA1B5C">
            <w:pPr>
              <w:spacing w:before="0" w:after="0" w:line="240" w:lineRule="auto"/>
              <w:jc w:val="left"/>
              <w:rPr>
                <w:rFonts w:asciiTheme="minorHAnsi" w:hAnsiTheme="minorHAnsi"/>
                <w:sz w:val="22"/>
                <w:szCs w:val="22"/>
                <w:lang w:val="en-ZA"/>
              </w:rPr>
            </w:pPr>
            <w:r>
              <w:t>Prob&gt;|t|</w:t>
            </w:r>
          </w:p>
        </w:tc>
        <w:tc>
          <w:tcPr>
            <w:tcW w:w="1417" w:type="dxa"/>
          </w:tcPr>
          <w:p w:rsidR="00D61AFB" w:rsidRPr="00C12D2D" w:rsidRDefault="00D61AFB" w:rsidP="00CA1B5C">
            <w:pPr>
              <w:spacing w:before="0" w:after="0" w:line="240" w:lineRule="auto"/>
              <w:jc w:val="left"/>
              <w:rPr>
                <w:rFonts w:asciiTheme="minorHAnsi" w:hAnsiTheme="minorHAnsi"/>
                <w:sz w:val="22"/>
                <w:szCs w:val="22"/>
                <w:lang w:val="en-ZA"/>
              </w:rPr>
            </w:pPr>
            <w:r>
              <w:t>Lower 95%</w:t>
            </w:r>
          </w:p>
        </w:tc>
        <w:tc>
          <w:tcPr>
            <w:tcW w:w="1276" w:type="dxa"/>
          </w:tcPr>
          <w:p w:rsidR="00D61AFB" w:rsidRPr="00C12D2D" w:rsidRDefault="00D61AFB" w:rsidP="00CA1B5C">
            <w:pPr>
              <w:spacing w:before="0" w:after="0" w:line="240" w:lineRule="auto"/>
              <w:jc w:val="left"/>
              <w:rPr>
                <w:rFonts w:asciiTheme="minorHAnsi" w:hAnsiTheme="minorHAnsi"/>
                <w:sz w:val="22"/>
                <w:szCs w:val="22"/>
                <w:lang w:val="en-ZA"/>
              </w:rPr>
            </w:pPr>
            <w:r>
              <w:t>Upper 95%</w:t>
            </w:r>
          </w:p>
        </w:tc>
      </w:tr>
      <w:tr w:rsidR="00D61AFB" w:rsidRPr="00C12D2D" w:rsidTr="00CA1B5C">
        <w:tc>
          <w:tcPr>
            <w:tcW w:w="2093" w:type="dxa"/>
          </w:tcPr>
          <w:p w:rsidR="00D61AFB" w:rsidRPr="00C12D2D" w:rsidRDefault="00D61AFB" w:rsidP="00CA1B5C">
            <w:pPr>
              <w:spacing w:before="0" w:after="0" w:line="240" w:lineRule="auto"/>
              <w:jc w:val="left"/>
              <w:rPr>
                <w:rFonts w:asciiTheme="minorHAnsi" w:hAnsiTheme="minorHAnsi"/>
                <w:sz w:val="22"/>
                <w:szCs w:val="22"/>
                <w:lang w:val="en-ZA"/>
              </w:rPr>
            </w:pPr>
            <w:r>
              <w:t>Intercept</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 xml:space="preserve"> -0.020075</w:t>
            </w:r>
          </w:p>
        </w:tc>
        <w:tc>
          <w:tcPr>
            <w:tcW w:w="1276" w:type="dxa"/>
          </w:tcPr>
          <w:p w:rsidR="00D61AFB" w:rsidRPr="0077358B" w:rsidRDefault="00D61AFB" w:rsidP="00CA1B5C">
            <w:pPr>
              <w:widowControl w:val="0"/>
              <w:autoSpaceDE w:val="0"/>
              <w:autoSpaceDN w:val="0"/>
              <w:adjustRightInd w:val="0"/>
              <w:spacing w:after="0" w:line="240" w:lineRule="auto"/>
              <w:jc w:val="right"/>
            </w:pPr>
            <w:r w:rsidRPr="0077358B">
              <w:t>0.097211</w:t>
            </w:r>
          </w:p>
        </w:tc>
        <w:tc>
          <w:tcPr>
            <w:tcW w:w="851" w:type="dxa"/>
          </w:tcPr>
          <w:p w:rsidR="00D61AFB" w:rsidRPr="0077358B" w:rsidRDefault="00D61AFB" w:rsidP="00CA1B5C">
            <w:pPr>
              <w:widowControl w:val="0"/>
              <w:autoSpaceDE w:val="0"/>
              <w:autoSpaceDN w:val="0"/>
              <w:adjustRightInd w:val="0"/>
              <w:spacing w:after="0" w:line="240" w:lineRule="auto"/>
              <w:jc w:val="right"/>
            </w:pPr>
            <w:r w:rsidRPr="0077358B">
              <w:t xml:space="preserve"> -0.21</w:t>
            </w:r>
          </w:p>
        </w:tc>
        <w:tc>
          <w:tcPr>
            <w:tcW w:w="1134" w:type="dxa"/>
          </w:tcPr>
          <w:p w:rsidR="00D61AFB" w:rsidRPr="0077358B" w:rsidRDefault="00D61AFB" w:rsidP="00CA1B5C">
            <w:pPr>
              <w:widowControl w:val="0"/>
              <w:autoSpaceDE w:val="0"/>
              <w:autoSpaceDN w:val="0"/>
              <w:adjustRightInd w:val="0"/>
              <w:spacing w:after="0" w:line="240" w:lineRule="auto"/>
              <w:jc w:val="right"/>
            </w:pPr>
            <w:r w:rsidRPr="0077358B">
              <w:t>0.8368</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 xml:space="preserve"> -0.213037</w:t>
            </w:r>
          </w:p>
        </w:tc>
        <w:tc>
          <w:tcPr>
            <w:tcW w:w="1276" w:type="dxa"/>
          </w:tcPr>
          <w:p w:rsidR="00D61AFB" w:rsidRPr="0077358B" w:rsidRDefault="00D61AFB" w:rsidP="00CA1B5C">
            <w:pPr>
              <w:widowControl w:val="0"/>
              <w:autoSpaceDE w:val="0"/>
              <w:autoSpaceDN w:val="0"/>
              <w:adjustRightInd w:val="0"/>
              <w:spacing w:after="0" w:line="240" w:lineRule="auto"/>
              <w:jc w:val="right"/>
            </w:pPr>
            <w:r w:rsidRPr="0077358B">
              <w:t>0.172888</w:t>
            </w:r>
          </w:p>
        </w:tc>
      </w:tr>
      <w:tr w:rsidR="00D61AFB" w:rsidRPr="00C12D2D" w:rsidTr="00CA1B5C">
        <w:tc>
          <w:tcPr>
            <w:tcW w:w="2093" w:type="dxa"/>
          </w:tcPr>
          <w:p w:rsidR="00D61AFB" w:rsidRDefault="00D61AFB" w:rsidP="00CA1B5C">
            <w:pPr>
              <w:spacing w:before="0" w:after="0" w:line="240" w:lineRule="auto"/>
              <w:jc w:val="left"/>
            </w:pPr>
            <w:r>
              <w:t>Macroeconomic factors</w:t>
            </w:r>
          </w:p>
          <w:p w:rsidR="00D61AFB" w:rsidRPr="00C12D2D" w:rsidRDefault="00D61AFB" w:rsidP="00CA1B5C">
            <w:pPr>
              <w:spacing w:before="0" w:after="0" w:line="240" w:lineRule="auto"/>
              <w:jc w:val="left"/>
              <w:rPr>
                <w:rFonts w:asciiTheme="minorHAnsi" w:hAnsiTheme="minorHAnsi"/>
                <w:sz w:val="22"/>
                <w:szCs w:val="22"/>
                <w:lang w:val="en-ZA"/>
              </w:rPr>
            </w:pPr>
            <w:r>
              <w:t xml:space="preserve"> (Q16-21)</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0.3992483</w:t>
            </w:r>
          </w:p>
        </w:tc>
        <w:tc>
          <w:tcPr>
            <w:tcW w:w="1276" w:type="dxa"/>
          </w:tcPr>
          <w:p w:rsidR="00D61AFB" w:rsidRPr="0077358B" w:rsidRDefault="00D61AFB" w:rsidP="00CA1B5C">
            <w:pPr>
              <w:widowControl w:val="0"/>
              <w:autoSpaceDE w:val="0"/>
              <w:autoSpaceDN w:val="0"/>
              <w:adjustRightInd w:val="0"/>
              <w:spacing w:after="0" w:line="240" w:lineRule="auto"/>
              <w:jc w:val="right"/>
            </w:pPr>
            <w:r w:rsidRPr="0077358B">
              <w:t>0.116843</w:t>
            </w:r>
          </w:p>
        </w:tc>
        <w:tc>
          <w:tcPr>
            <w:tcW w:w="851" w:type="dxa"/>
          </w:tcPr>
          <w:p w:rsidR="00D61AFB" w:rsidRPr="0077358B" w:rsidRDefault="00D61AFB" w:rsidP="00CA1B5C">
            <w:pPr>
              <w:widowControl w:val="0"/>
              <w:autoSpaceDE w:val="0"/>
              <w:autoSpaceDN w:val="0"/>
              <w:adjustRightInd w:val="0"/>
              <w:spacing w:after="0" w:line="240" w:lineRule="auto"/>
              <w:jc w:val="right"/>
            </w:pPr>
            <w:r w:rsidRPr="0077358B">
              <w:t>3.42</w:t>
            </w:r>
          </w:p>
        </w:tc>
        <w:tc>
          <w:tcPr>
            <w:tcW w:w="1134" w:type="dxa"/>
          </w:tcPr>
          <w:p w:rsidR="00D61AFB" w:rsidRPr="0077358B" w:rsidRDefault="00D61AFB" w:rsidP="00CA1B5C">
            <w:pPr>
              <w:widowControl w:val="0"/>
              <w:autoSpaceDE w:val="0"/>
              <w:autoSpaceDN w:val="0"/>
              <w:adjustRightInd w:val="0"/>
              <w:spacing w:after="0" w:line="240" w:lineRule="auto"/>
              <w:jc w:val="right"/>
            </w:pPr>
            <w:r w:rsidRPr="0077358B">
              <w:t>0.0009*</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0.1673171</w:t>
            </w:r>
          </w:p>
        </w:tc>
        <w:tc>
          <w:tcPr>
            <w:tcW w:w="1276" w:type="dxa"/>
          </w:tcPr>
          <w:p w:rsidR="00D61AFB" w:rsidRPr="0077358B" w:rsidRDefault="00D61AFB" w:rsidP="00CA1B5C">
            <w:pPr>
              <w:widowControl w:val="0"/>
              <w:autoSpaceDE w:val="0"/>
              <w:autoSpaceDN w:val="0"/>
              <w:adjustRightInd w:val="0"/>
              <w:spacing w:after="0" w:line="240" w:lineRule="auto"/>
              <w:jc w:val="right"/>
            </w:pPr>
            <w:r>
              <w:t>0.631179</w:t>
            </w:r>
          </w:p>
        </w:tc>
      </w:tr>
    </w:tbl>
    <w:p w:rsidR="00296618" w:rsidRPr="000C1ACF" w:rsidRDefault="00296618" w:rsidP="00296618"/>
    <w:p w:rsidR="00296618" w:rsidRDefault="00296618" w:rsidP="00296618">
      <w:pPr>
        <w:spacing w:before="0" w:after="0"/>
      </w:pPr>
      <w:r w:rsidRPr="0035631F">
        <w:t>The p-value</w:t>
      </w:r>
      <w:r>
        <w:t>s</w:t>
      </w:r>
      <w:r w:rsidRPr="0035631F">
        <w:t xml:space="preserve"> from the F-test </w:t>
      </w:r>
      <w:r>
        <w:t xml:space="preserve">was less than 0.01 (p=0.0009) </w:t>
      </w:r>
      <w:r w:rsidRPr="0035631F">
        <w:t>indicating a</w:t>
      </w:r>
      <w:r>
        <w:t xml:space="preserve"> </w:t>
      </w:r>
      <w:r w:rsidRPr="0035631F">
        <w:t xml:space="preserve">significant linear relationship between the </w:t>
      </w:r>
      <w:r>
        <w:t>brand equity of Vodacom’s new brand</w:t>
      </w:r>
      <w:r w:rsidRPr="0035631F">
        <w:t xml:space="preserve"> (dependant variable) and the independent variables in the model at a </w:t>
      </w:r>
      <w:r w:rsidRPr="006F3878">
        <w:t>99% level of confidence</w:t>
      </w:r>
      <w:r w:rsidR="00D61AFB">
        <w:t xml:space="preserve"> (Table 34</w:t>
      </w:r>
      <w:r>
        <w:t>)</w:t>
      </w:r>
      <w:r w:rsidRPr="006F3878">
        <w:t>.</w:t>
      </w:r>
      <w:r w:rsidRPr="0035631F">
        <w:t xml:space="preserve"> </w:t>
      </w:r>
      <w:r w:rsidR="009F5BE6">
        <w:t>It</w:t>
      </w:r>
      <w:r w:rsidRPr="00727F38">
        <w:t xml:space="preserve"> can, therefore, </w:t>
      </w:r>
      <w:r w:rsidR="009F5BE6">
        <w:t xml:space="preserve">be </w:t>
      </w:r>
      <w:r w:rsidRPr="00727F38">
        <w:t>conclude</w:t>
      </w:r>
      <w:r w:rsidR="009F5BE6">
        <w:t>d</w:t>
      </w:r>
      <w:r w:rsidRPr="00727F38">
        <w:t xml:space="preserve"> that </w:t>
      </w:r>
      <w:r>
        <w:t>changes</w:t>
      </w:r>
      <w:r w:rsidRPr="00727F38">
        <w:t xml:space="preserve"> in </w:t>
      </w:r>
      <w:r>
        <w:t xml:space="preserve">macroeconomic conditions are highly correlated </w:t>
      </w:r>
      <w:r w:rsidRPr="006F3878">
        <w:t>to brand equity.</w:t>
      </w:r>
    </w:p>
    <w:p w:rsidR="00296618" w:rsidRDefault="00296618" w:rsidP="00296618"/>
    <w:p w:rsidR="00296618" w:rsidRDefault="00296618" w:rsidP="00296618"/>
    <w:p w:rsidR="00296618" w:rsidRDefault="00296618" w:rsidP="00296618"/>
    <w:p w:rsidR="00296618" w:rsidRDefault="00296618" w:rsidP="00296618"/>
    <w:p w:rsidR="00296618" w:rsidRDefault="00296618" w:rsidP="00296618">
      <w:pPr>
        <w:spacing w:before="0" w:after="0" w:line="240" w:lineRule="auto"/>
        <w:jc w:val="left"/>
        <w:rPr>
          <w:rFonts w:cs="Arial"/>
          <w:b/>
          <w:bCs/>
          <w:caps/>
          <w:kern w:val="32"/>
          <w:sz w:val="32"/>
          <w:szCs w:val="32"/>
        </w:rPr>
      </w:pPr>
      <w:r>
        <w:br w:type="page"/>
      </w:r>
    </w:p>
    <w:p w:rsidR="00296618" w:rsidRDefault="00296618" w:rsidP="00296618">
      <w:pPr>
        <w:pStyle w:val="Heading1"/>
        <w:numPr>
          <w:ilvl w:val="0"/>
          <w:numId w:val="19"/>
        </w:numPr>
      </w:pPr>
      <w:bookmarkStart w:id="149" w:name="_Toc380687118"/>
      <w:r>
        <w:lastRenderedPageBreak/>
        <w:t>Discussion of the results</w:t>
      </w:r>
      <w:bookmarkEnd w:id="149"/>
    </w:p>
    <w:p w:rsidR="00296618" w:rsidRDefault="00296618" w:rsidP="00296618">
      <w:pPr>
        <w:pStyle w:val="Heading2"/>
        <w:numPr>
          <w:ilvl w:val="1"/>
          <w:numId w:val="19"/>
        </w:numPr>
      </w:pPr>
      <w:bookmarkStart w:id="150" w:name="_Toc380687119"/>
      <w:r>
        <w:t>Introduction</w:t>
      </w:r>
      <w:bookmarkEnd w:id="150"/>
    </w:p>
    <w:p w:rsidR="00296618" w:rsidRPr="003529D7" w:rsidRDefault="00296618" w:rsidP="00296618">
      <w:r>
        <w:t xml:space="preserve">This chapter presents a discussion of the results shown in the preceding chapter. The discussion is presented in light of previous research and information discussed in the literature review. </w:t>
      </w:r>
    </w:p>
    <w:p w:rsidR="00296618" w:rsidRDefault="00296618" w:rsidP="00296618">
      <w:pPr>
        <w:pStyle w:val="Heading2"/>
        <w:numPr>
          <w:ilvl w:val="1"/>
          <w:numId w:val="19"/>
        </w:numPr>
      </w:pPr>
      <w:bookmarkStart w:id="151" w:name="_Toc380687120"/>
      <w:r>
        <w:t>Demographic profile of respondents</w:t>
      </w:r>
      <w:bookmarkEnd w:id="151"/>
    </w:p>
    <w:p w:rsidR="00296618" w:rsidRPr="0078582F" w:rsidRDefault="00296618" w:rsidP="00296618">
      <w:r>
        <w:t>The respondents were selected on the basis of being an employee of Vodacom. Although an equal split of male and female respondents was envisaged, the spilt of 55.5% representing females and 44.5% being males did not impact the outcome of the research. More than 94% of respondents had a post matric qualification and 9.2% had a Masters qualification. A quarter of the respondents had been employees of Vodacom for a period of nine years or more which may have influenced the outcome of the research.</w:t>
      </w:r>
    </w:p>
    <w:p w:rsidR="00296618" w:rsidRDefault="00296618" w:rsidP="00296618">
      <w:pPr>
        <w:pStyle w:val="Heading2"/>
        <w:numPr>
          <w:ilvl w:val="1"/>
          <w:numId w:val="19"/>
        </w:numPr>
      </w:pPr>
      <w:bookmarkStart w:id="152" w:name="_Toc380687121"/>
      <w:r>
        <w:t>Discussion pertaining to Research Question 1</w:t>
      </w:r>
      <w:bookmarkEnd w:id="152"/>
      <w:r w:rsidRPr="003529D7">
        <w:t xml:space="preserve"> </w:t>
      </w:r>
    </w:p>
    <w:p w:rsidR="00296618" w:rsidRDefault="00296618" w:rsidP="00296618">
      <w:pPr>
        <w:pStyle w:val="Heading3"/>
        <w:numPr>
          <w:ilvl w:val="2"/>
          <w:numId w:val="19"/>
        </w:numPr>
      </w:pPr>
      <w:bookmarkStart w:id="153" w:name="_Toc380687122"/>
      <w:r>
        <w:t>Introduction</w:t>
      </w:r>
      <w:bookmarkEnd w:id="153"/>
    </w:p>
    <w:p w:rsidR="00296618" w:rsidRDefault="00296618" w:rsidP="00296618">
      <w:r>
        <w:t>The study objective was to identify the drivers of corporate rebranding within the South African telecommunications industry. The literature review suggested that corporate</w:t>
      </w:r>
      <w:r w:rsidRPr="0097440C">
        <w:t xml:space="preserve"> rebranding drivers can be divided into </w:t>
      </w:r>
      <w:r>
        <w:t>four</w:t>
      </w:r>
      <w:r w:rsidRPr="0097440C">
        <w:t xml:space="preserve"> major categories: </w:t>
      </w:r>
      <w:r>
        <w:t xml:space="preserve">Change in ownership structure, change in corporate strategy, change in competitive position and change in external environment </w:t>
      </w:r>
      <w:r w:rsidRPr="0097440C">
        <w:t>(Boyle, 2002; Causon, 2004; Gambles and Shuster, 2003; Lomax, Mador and Fitzhenry, 2002; Kaikati and Kaikati, 2003; Muzellec and Lambkin, 2006; Stuart and Muzellec; 2004).</w:t>
      </w:r>
      <w:r>
        <w:t xml:space="preserve"> The analysis in the study categorised the drivers into 2 factors, namely; macroeconomic factors and corporate structure and strategy.</w:t>
      </w:r>
    </w:p>
    <w:p w:rsidR="00296618" w:rsidRDefault="00296618" w:rsidP="00296618">
      <w:pPr>
        <w:pStyle w:val="Heading3"/>
        <w:numPr>
          <w:ilvl w:val="2"/>
          <w:numId w:val="19"/>
        </w:numPr>
      </w:pPr>
      <w:bookmarkStart w:id="154" w:name="_Toc380687123"/>
      <w:r>
        <w:lastRenderedPageBreak/>
        <w:t>Macroeconomic factors</w:t>
      </w:r>
      <w:bookmarkEnd w:id="154"/>
    </w:p>
    <w:p w:rsidR="00296618" w:rsidRPr="00F42A18" w:rsidRDefault="00296618" w:rsidP="00296618">
      <w:r>
        <w:t>A macroeconomic factor is a combination of several drivers which were identified separately in the literature review and combined to form one factor in the research. The identified drivers were associated with competition, changes in legal conditions and changes in external environment. Therefore the factor was called ‘macroeconomic factors’. As a result, the term serves as an umbrella for the drivers concerned.</w:t>
      </w:r>
    </w:p>
    <w:p w:rsidR="00296618" w:rsidRDefault="00296618" w:rsidP="00296618">
      <w:pPr>
        <w:pStyle w:val="Heading3"/>
        <w:numPr>
          <w:ilvl w:val="2"/>
          <w:numId w:val="19"/>
        </w:numPr>
      </w:pPr>
      <w:bookmarkStart w:id="155" w:name="_Toc380687124"/>
      <w:r>
        <w:t>Corporate structure and strategy</w:t>
      </w:r>
      <w:bookmarkEnd w:id="155"/>
    </w:p>
    <w:p w:rsidR="00296618" w:rsidRDefault="00296618" w:rsidP="00296618">
      <w:r w:rsidRPr="00AC295E">
        <w:t>Corporate structure and strategy</w:t>
      </w:r>
      <w:r>
        <w:t xml:space="preserve"> is a combination of internal drivers including changes in corporate structure, strategy and ownership. These drivers were identified separately in the literature review and combined to form one factor as part of the research. </w:t>
      </w:r>
    </w:p>
    <w:p w:rsidR="00296618" w:rsidRDefault="00296618" w:rsidP="00296618">
      <w:pPr>
        <w:pStyle w:val="Heading2"/>
        <w:numPr>
          <w:ilvl w:val="1"/>
          <w:numId w:val="19"/>
        </w:numPr>
      </w:pPr>
      <w:bookmarkStart w:id="156" w:name="_Toc380687125"/>
      <w:r>
        <w:t>Discussion pertaining to Research Question 2</w:t>
      </w:r>
      <w:bookmarkEnd w:id="156"/>
      <w:r w:rsidRPr="008B3A13">
        <w:t xml:space="preserve"> </w:t>
      </w:r>
    </w:p>
    <w:p w:rsidR="00296618" w:rsidRDefault="00296618" w:rsidP="00296618">
      <w:pPr>
        <w:pStyle w:val="Heading3"/>
        <w:numPr>
          <w:ilvl w:val="2"/>
          <w:numId w:val="19"/>
        </w:numPr>
      </w:pPr>
      <w:bookmarkStart w:id="157" w:name="_Toc380687126"/>
      <w:r>
        <w:t>Introduction</w:t>
      </w:r>
      <w:bookmarkEnd w:id="157"/>
    </w:p>
    <w:p w:rsidR="00296618" w:rsidRDefault="00296618" w:rsidP="00296618">
      <w:r>
        <w:t>The study also intended to investigate the impact of corporate rebranding on brand equity within the telecommunications industry. The analysis in the study revealed three factors relating to brand equity, namely; brand awareness, perceived quality and brand loyalty for the old Vodacom brand and one new factor for the new Vodacom brand. The factor for the new branding was termed Infant brand.</w:t>
      </w:r>
    </w:p>
    <w:p w:rsidR="00296618" w:rsidRDefault="00296618" w:rsidP="00296618">
      <w:pPr>
        <w:pStyle w:val="Heading3"/>
        <w:numPr>
          <w:ilvl w:val="2"/>
          <w:numId w:val="19"/>
        </w:numPr>
      </w:pPr>
      <w:bookmarkStart w:id="158" w:name="_Toc380687127"/>
      <w:r>
        <w:t>The impact of corporate rebranding on Vodacom’s brand equity</w:t>
      </w:r>
      <w:bookmarkEnd w:id="158"/>
    </w:p>
    <w:p w:rsidR="00296618" w:rsidRDefault="00296618" w:rsidP="00296618">
      <w:r>
        <w:t>According to the literature, c</w:t>
      </w:r>
      <w:r w:rsidRPr="00EA329E">
        <w:t xml:space="preserve">orporate rebranding constitutes </w:t>
      </w:r>
      <w:r>
        <w:t>an important</w:t>
      </w:r>
      <w:r w:rsidRPr="00EA329E">
        <w:t xml:space="preserve"> aspects of brand management; it is, however, highly risky and may cause serious damage to brand loyalty and brand equity (Gotsi and Andriopoulos, 2007, Hatch and </w:t>
      </w:r>
      <w:r w:rsidRPr="00EA329E">
        <w:lastRenderedPageBreak/>
        <w:t>Schultz, 2003; Kapferer, 2004).</w:t>
      </w:r>
      <w:r>
        <w:t xml:space="preserve"> These accessions are further supported by results of the research. The results show that the brand equity of both the old and new branding in the Vodacom is not equally represented by the same dimensions. The old branding was represented by perceived quality, brand loyalty and brand awareness. </w:t>
      </w:r>
      <w:r w:rsidRPr="006F3878">
        <w:t xml:space="preserve">These findings correspond to selected previous studies that have recommended varied dimensions of brand equity in commercial enterprises (Aaker, 1991; Keller, 1993; Washburn </w:t>
      </w:r>
      <w:r>
        <w:t>and</w:t>
      </w:r>
      <w:r w:rsidRPr="006F3878">
        <w:t xml:space="preserve"> Plank, 2002).</w:t>
      </w:r>
      <w:r>
        <w:t xml:space="preserve"> The new brand was only represented by one dimension which was named infant brand. This provides further evidence that corporate rebranding is </w:t>
      </w:r>
      <w:r w:rsidRPr="00EA329E">
        <w:t xml:space="preserve">highly risky and may </w:t>
      </w:r>
      <w:r>
        <w:t>adverse impact on</w:t>
      </w:r>
      <w:r w:rsidRPr="00EA329E">
        <w:t xml:space="preserve"> brand equity</w:t>
      </w:r>
      <w:r>
        <w:t>. This notion is further confirmed by Gotsi and Andriopoulos (</w:t>
      </w:r>
      <w:r w:rsidRPr="00EA329E">
        <w:t>2007</w:t>
      </w:r>
      <w:r>
        <w:t>), Hatch and Schultz (2003) and Kapferer (</w:t>
      </w:r>
      <w:r w:rsidRPr="00EA329E">
        <w:t>2004).</w:t>
      </w:r>
      <w:r>
        <w:t xml:space="preserve"> </w:t>
      </w:r>
    </w:p>
    <w:p w:rsidR="00296618" w:rsidRDefault="00296618" w:rsidP="00296618">
      <w:r>
        <w:t xml:space="preserve">The results also showed that respondents believe that the old branding has higher brand awareness than the new branding. Respondents were also more loyal, attached and affectionate towards the old branding than the new branding. Therefore the brand equity of the Vodacom brand has been adversely impacted following a rebranding exercise. The findings correspond to assertions made by Muzellec and Lambkin (2006) who suggested that even though rebranding may positively affect a firm’s reputation, it may also diminish some of the desired attributes associated with the brand. </w:t>
      </w:r>
      <w:r w:rsidRPr="006F3878">
        <w:t xml:space="preserve">Although employees were knowledgeable about the brand, it does take a long time for a new brand to yield the desired brand image. This notion corresponds with previous studies (Singh </w:t>
      </w:r>
      <w:r>
        <w:t>and</w:t>
      </w:r>
      <w:r w:rsidRPr="006F3878">
        <w:t xml:space="preserve"> Dharamveer, 2011; Stuart </w:t>
      </w:r>
      <w:r>
        <w:t>and</w:t>
      </w:r>
      <w:r w:rsidRPr="006F3878">
        <w:t xml:space="preserve"> Muzellec, 2004).</w:t>
      </w:r>
    </w:p>
    <w:p w:rsidR="00296618" w:rsidRPr="00FC4D3B" w:rsidRDefault="00296618" w:rsidP="00296618">
      <w:pPr>
        <w:pStyle w:val="Heading3"/>
        <w:numPr>
          <w:ilvl w:val="2"/>
          <w:numId w:val="19"/>
        </w:numPr>
      </w:pPr>
      <w:bookmarkStart w:id="159" w:name="_Toc380687128"/>
      <w:r>
        <w:t>Drivers impact on brand equity</w:t>
      </w:r>
      <w:bookmarkEnd w:id="159"/>
    </w:p>
    <w:p w:rsidR="00296618" w:rsidRDefault="00296618" w:rsidP="00296618">
      <w:r>
        <w:t xml:space="preserve">The study then investigated which of the two drivers had more impact on brand equity. This was achieved by investigating the relationship between brand equity factors as dependent variables and the drivers as independent variables. Macroeconomic factors were perceived by the respondents as the driver of Vodacom’s corporate rebranding exercise. The results were statistically significant as per </w:t>
      </w:r>
      <w:r w:rsidR="00D61AFB">
        <w:t>Tables 35 and 36</w:t>
      </w:r>
      <w:r>
        <w:t xml:space="preserve">. </w:t>
      </w:r>
    </w:p>
    <w:p w:rsidR="00296618" w:rsidRPr="00D61AFB" w:rsidRDefault="00D61AFB" w:rsidP="00D61AFB">
      <w:pPr>
        <w:pStyle w:val="Caption"/>
        <w:rPr>
          <w:sz w:val="24"/>
        </w:rPr>
      </w:pPr>
      <w:bookmarkStart w:id="160" w:name="_Toc380684381"/>
      <w:r w:rsidRPr="00D61AFB">
        <w:rPr>
          <w:sz w:val="24"/>
        </w:rPr>
        <w:lastRenderedPageBreak/>
        <w:t xml:space="preserve">Table </w:t>
      </w:r>
      <w:r w:rsidRPr="00D61AFB">
        <w:rPr>
          <w:sz w:val="24"/>
        </w:rPr>
        <w:fldChar w:fldCharType="begin"/>
      </w:r>
      <w:r w:rsidRPr="00D61AFB">
        <w:rPr>
          <w:sz w:val="24"/>
        </w:rPr>
        <w:instrText xml:space="preserve"> SEQ Table \* ARABIC </w:instrText>
      </w:r>
      <w:r w:rsidRPr="00D61AFB">
        <w:rPr>
          <w:sz w:val="24"/>
        </w:rPr>
        <w:fldChar w:fldCharType="separate"/>
      </w:r>
      <w:r>
        <w:rPr>
          <w:noProof/>
          <w:sz w:val="24"/>
        </w:rPr>
        <w:t>35</w:t>
      </w:r>
      <w:r w:rsidRPr="00D61AFB">
        <w:rPr>
          <w:sz w:val="24"/>
        </w:rPr>
        <w:fldChar w:fldCharType="end"/>
      </w:r>
      <w:r w:rsidRPr="00D61AFB">
        <w:rPr>
          <w:sz w:val="24"/>
        </w:rPr>
        <w:t>: The impact of macroeconomic factors on the brand awareness factor</w:t>
      </w:r>
      <w:bookmarkEnd w:id="160"/>
    </w:p>
    <w:tbl>
      <w:tblPr>
        <w:tblStyle w:val="TableGrid7"/>
        <w:tblW w:w="9322" w:type="dxa"/>
        <w:tblLayout w:type="fixed"/>
        <w:tblLook w:val="04A0" w:firstRow="1" w:lastRow="0" w:firstColumn="1" w:lastColumn="0" w:noHBand="0" w:noVBand="1"/>
      </w:tblPr>
      <w:tblGrid>
        <w:gridCol w:w="2093"/>
        <w:gridCol w:w="1417"/>
        <w:gridCol w:w="1276"/>
        <w:gridCol w:w="851"/>
        <w:gridCol w:w="1134"/>
        <w:gridCol w:w="1417"/>
        <w:gridCol w:w="1134"/>
      </w:tblGrid>
      <w:tr w:rsidR="00D61AFB" w:rsidRPr="00260AB0" w:rsidTr="00CA1B5C">
        <w:tc>
          <w:tcPr>
            <w:tcW w:w="2093" w:type="dxa"/>
          </w:tcPr>
          <w:p w:rsidR="00D61AFB" w:rsidRPr="00046AE9" w:rsidRDefault="00D61AFB" w:rsidP="00CA1B5C">
            <w:pPr>
              <w:spacing w:before="0" w:after="0" w:line="240" w:lineRule="auto"/>
              <w:jc w:val="left"/>
            </w:pPr>
            <w:r w:rsidRPr="00046AE9">
              <w:t>Term</w:t>
            </w:r>
          </w:p>
        </w:tc>
        <w:tc>
          <w:tcPr>
            <w:tcW w:w="1417" w:type="dxa"/>
          </w:tcPr>
          <w:p w:rsidR="00D61AFB" w:rsidRPr="000E62ED" w:rsidRDefault="00D61AFB" w:rsidP="00CA1B5C">
            <w:pPr>
              <w:spacing w:before="0" w:after="0" w:line="240" w:lineRule="auto"/>
              <w:jc w:val="left"/>
            </w:pPr>
            <w:r w:rsidRPr="000E62ED">
              <w:t>Estimate</w:t>
            </w:r>
          </w:p>
        </w:tc>
        <w:tc>
          <w:tcPr>
            <w:tcW w:w="1276" w:type="dxa"/>
          </w:tcPr>
          <w:p w:rsidR="00D61AFB" w:rsidRPr="005D1077" w:rsidRDefault="00D61AFB" w:rsidP="00CA1B5C">
            <w:pPr>
              <w:spacing w:before="0" w:after="0" w:line="240" w:lineRule="auto"/>
              <w:jc w:val="left"/>
            </w:pPr>
            <w:r w:rsidRPr="00B6629B">
              <w:t>Std Error</w:t>
            </w:r>
          </w:p>
        </w:tc>
        <w:tc>
          <w:tcPr>
            <w:tcW w:w="851" w:type="dxa"/>
          </w:tcPr>
          <w:p w:rsidR="00D61AFB" w:rsidRPr="005D1077" w:rsidRDefault="00D61AFB" w:rsidP="00CA1B5C">
            <w:pPr>
              <w:spacing w:before="0" w:after="0" w:line="240" w:lineRule="auto"/>
              <w:jc w:val="left"/>
            </w:pPr>
            <w:r w:rsidRPr="005D1077">
              <w:t>T Ratio</w:t>
            </w:r>
          </w:p>
        </w:tc>
        <w:tc>
          <w:tcPr>
            <w:tcW w:w="1134" w:type="dxa"/>
          </w:tcPr>
          <w:p w:rsidR="00D61AFB" w:rsidRPr="00272493" w:rsidRDefault="00D61AFB" w:rsidP="00CA1B5C">
            <w:pPr>
              <w:spacing w:before="0" w:after="0" w:line="240" w:lineRule="auto"/>
              <w:jc w:val="left"/>
              <w:rPr>
                <w:rFonts w:asciiTheme="minorHAnsi" w:hAnsiTheme="minorHAnsi"/>
                <w:sz w:val="22"/>
                <w:szCs w:val="22"/>
                <w:lang w:val="en-ZA"/>
              </w:rPr>
            </w:pPr>
            <w:r w:rsidRPr="00046AE9">
              <w:t>Prob&gt;|t|</w:t>
            </w:r>
          </w:p>
        </w:tc>
        <w:tc>
          <w:tcPr>
            <w:tcW w:w="1417" w:type="dxa"/>
          </w:tcPr>
          <w:p w:rsidR="00D61AFB" w:rsidRPr="00272493" w:rsidRDefault="00D61AFB" w:rsidP="00CA1B5C">
            <w:pPr>
              <w:spacing w:before="0" w:after="0" w:line="240" w:lineRule="auto"/>
              <w:jc w:val="left"/>
              <w:rPr>
                <w:rFonts w:asciiTheme="minorHAnsi" w:hAnsiTheme="minorHAnsi"/>
                <w:sz w:val="22"/>
                <w:szCs w:val="22"/>
                <w:lang w:val="en-ZA"/>
              </w:rPr>
            </w:pPr>
            <w:r w:rsidRPr="00046AE9">
              <w:t>Lower 95%</w:t>
            </w:r>
          </w:p>
        </w:tc>
        <w:tc>
          <w:tcPr>
            <w:tcW w:w="1134" w:type="dxa"/>
          </w:tcPr>
          <w:p w:rsidR="00D61AFB" w:rsidRPr="00272493" w:rsidRDefault="00D61AFB" w:rsidP="00CA1B5C">
            <w:pPr>
              <w:spacing w:before="0" w:after="0" w:line="240" w:lineRule="auto"/>
              <w:jc w:val="left"/>
              <w:rPr>
                <w:rFonts w:asciiTheme="minorHAnsi" w:hAnsiTheme="minorHAnsi"/>
                <w:sz w:val="22"/>
                <w:szCs w:val="22"/>
                <w:lang w:val="en-ZA"/>
              </w:rPr>
            </w:pPr>
            <w:r w:rsidRPr="00046AE9">
              <w:t>Upper 95%</w:t>
            </w:r>
          </w:p>
        </w:tc>
      </w:tr>
      <w:tr w:rsidR="00D61AFB" w:rsidRPr="00C12D2D" w:rsidTr="00CA1B5C">
        <w:tc>
          <w:tcPr>
            <w:tcW w:w="2093" w:type="dxa"/>
          </w:tcPr>
          <w:p w:rsidR="00D61AFB" w:rsidRPr="00046AE9" w:rsidRDefault="00D61AFB" w:rsidP="00CA1B5C">
            <w:pPr>
              <w:spacing w:before="0" w:after="0" w:line="240" w:lineRule="auto"/>
              <w:jc w:val="left"/>
              <w:rPr>
                <w:rFonts w:asciiTheme="minorHAnsi" w:hAnsiTheme="minorHAnsi"/>
                <w:sz w:val="22"/>
                <w:szCs w:val="22"/>
                <w:lang w:val="en-ZA"/>
              </w:rPr>
            </w:pPr>
            <w:r w:rsidRPr="00046AE9">
              <w:t>Intercept</w:t>
            </w:r>
          </w:p>
        </w:tc>
        <w:tc>
          <w:tcPr>
            <w:tcW w:w="1417" w:type="dxa"/>
          </w:tcPr>
          <w:p w:rsidR="00D61AFB" w:rsidRPr="000E62ED" w:rsidRDefault="00D61AFB" w:rsidP="00CA1B5C">
            <w:pPr>
              <w:spacing w:before="0" w:after="0" w:line="240" w:lineRule="auto"/>
              <w:jc w:val="left"/>
            </w:pPr>
            <w:r w:rsidRPr="000E62ED">
              <w:t xml:space="preserve"> -0.01995</w:t>
            </w:r>
          </w:p>
        </w:tc>
        <w:tc>
          <w:tcPr>
            <w:tcW w:w="1276" w:type="dxa"/>
          </w:tcPr>
          <w:p w:rsidR="00D61AFB" w:rsidRPr="005D1077" w:rsidRDefault="00D61AFB" w:rsidP="00CA1B5C">
            <w:pPr>
              <w:spacing w:before="0" w:after="0" w:line="240" w:lineRule="auto"/>
              <w:jc w:val="left"/>
            </w:pPr>
            <w:r w:rsidRPr="00B6629B">
              <w:t>0.08586</w:t>
            </w:r>
          </w:p>
        </w:tc>
        <w:tc>
          <w:tcPr>
            <w:tcW w:w="851" w:type="dxa"/>
          </w:tcPr>
          <w:p w:rsidR="00D61AFB" w:rsidRPr="00272493" w:rsidRDefault="00D61AFB" w:rsidP="00CA1B5C">
            <w:pPr>
              <w:spacing w:before="0" w:after="0" w:line="240" w:lineRule="auto"/>
              <w:jc w:val="left"/>
            </w:pPr>
            <w:r w:rsidRPr="005D1077">
              <w:t xml:space="preserve"> </w:t>
            </w:r>
            <w:r w:rsidRPr="00046AE9">
              <w:t>-0.23</w:t>
            </w:r>
          </w:p>
        </w:tc>
        <w:tc>
          <w:tcPr>
            <w:tcW w:w="1134" w:type="dxa"/>
          </w:tcPr>
          <w:p w:rsidR="00D61AFB" w:rsidRPr="00272493" w:rsidRDefault="00D61AFB" w:rsidP="00CA1B5C">
            <w:pPr>
              <w:spacing w:before="0" w:after="0" w:line="240" w:lineRule="auto"/>
              <w:jc w:val="left"/>
            </w:pPr>
            <w:r w:rsidRPr="00046AE9">
              <w:t>0.8168</w:t>
            </w:r>
          </w:p>
        </w:tc>
        <w:tc>
          <w:tcPr>
            <w:tcW w:w="1417" w:type="dxa"/>
          </w:tcPr>
          <w:p w:rsidR="00D61AFB" w:rsidRPr="00272493" w:rsidRDefault="00D61AFB" w:rsidP="00CA1B5C">
            <w:pPr>
              <w:spacing w:before="0" w:after="0" w:line="240" w:lineRule="auto"/>
              <w:jc w:val="left"/>
            </w:pPr>
            <w:r w:rsidRPr="00046AE9">
              <w:t xml:space="preserve"> -0.190346</w:t>
            </w:r>
          </w:p>
        </w:tc>
        <w:tc>
          <w:tcPr>
            <w:tcW w:w="1134" w:type="dxa"/>
          </w:tcPr>
          <w:p w:rsidR="00D61AFB" w:rsidRPr="00272493" w:rsidRDefault="00D61AFB" w:rsidP="00CA1B5C">
            <w:pPr>
              <w:spacing w:before="0" w:after="0" w:line="240" w:lineRule="auto"/>
              <w:jc w:val="left"/>
            </w:pPr>
            <w:r w:rsidRPr="00046AE9">
              <w:t>0.15044</w:t>
            </w:r>
          </w:p>
        </w:tc>
      </w:tr>
      <w:tr w:rsidR="00D61AFB" w:rsidRPr="00C12D2D" w:rsidTr="00CA1B5C">
        <w:tc>
          <w:tcPr>
            <w:tcW w:w="2093" w:type="dxa"/>
          </w:tcPr>
          <w:p w:rsidR="00D61AFB" w:rsidRPr="00046AE9" w:rsidRDefault="00D61AFB" w:rsidP="00CA1B5C">
            <w:pPr>
              <w:spacing w:before="0" w:after="0" w:line="240" w:lineRule="auto"/>
              <w:jc w:val="left"/>
            </w:pPr>
            <w:r w:rsidRPr="00046AE9">
              <w:t>Macroeconomic factors</w:t>
            </w:r>
          </w:p>
          <w:p w:rsidR="00D61AFB" w:rsidRPr="000E62ED" w:rsidRDefault="00D61AFB" w:rsidP="00CA1B5C">
            <w:pPr>
              <w:spacing w:before="0" w:after="0" w:line="240" w:lineRule="auto"/>
              <w:jc w:val="left"/>
              <w:rPr>
                <w:rFonts w:asciiTheme="minorHAnsi" w:hAnsiTheme="minorHAnsi"/>
                <w:sz w:val="22"/>
                <w:szCs w:val="22"/>
                <w:lang w:val="en-ZA"/>
              </w:rPr>
            </w:pPr>
            <w:r w:rsidRPr="000E62ED">
              <w:t xml:space="preserve"> (Q 8 -12)</w:t>
            </w:r>
          </w:p>
        </w:tc>
        <w:tc>
          <w:tcPr>
            <w:tcW w:w="1417" w:type="dxa"/>
          </w:tcPr>
          <w:p w:rsidR="00D61AFB" w:rsidRPr="005D1077" w:rsidRDefault="00D61AFB" w:rsidP="00CA1B5C">
            <w:pPr>
              <w:spacing w:before="0" w:after="0" w:line="240" w:lineRule="auto"/>
              <w:jc w:val="left"/>
            </w:pPr>
            <w:r w:rsidRPr="00B6629B">
              <w:t>0.423980</w:t>
            </w:r>
          </w:p>
        </w:tc>
        <w:tc>
          <w:tcPr>
            <w:tcW w:w="1276" w:type="dxa"/>
          </w:tcPr>
          <w:p w:rsidR="00D61AFB" w:rsidRPr="00272493" w:rsidRDefault="00D61AFB" w:rsidP="00CA1B5C">
            <w:pPr>
              <w:spacing w:before="0" w:after="0" w:line="240" w:lineRule="auto"/>
              <w:jc w:val="left"/>
            </w:pPr>
            <w:r w:rsidRPr="005D1077">
              <w:t>0.10244</w:t>
            </w:r>
          </w:p>
        </w:tc>
        <w:tc>
          <w:tcPr>
            <w:tcW w:w="851" w:type="dxa"/>
          </w:tcPr>
          <w:p w:rsidR="00D61AFB" w:rsidRPr="00272493" w:rsidRDefault="00D61AFB" w:rsidP="00CA1B5C">
            <w:pPr>
              <w:spacing w:before="0" w:after="0" w:line="240" w:lineRule="auto"/>
              <w:jc w:val="left"/>
            </w:pPr>
            <w:r w:rsidRPr="00046AE9">
              <w:t>4.14</w:t>
            </w:r>
          </w:p>
        </w:tc>
        <w:tc>
          <w:tcPr>
            <w:tcW w:w="1134" w:type="dxa"/>
          </w:tcPr>
          <w:p w:rsidR="00D61AFB" w:rsidRPr="00272493" w:rsidRDefault="00D61AFB" w:rsidP="00CA1B5C">
            <w:pPr>
              <w:spacing w:before="0" w:after="0" w:line="240" w:lineRule="auto"/>
              <w:jc w:val="left"/>
            </w:pPr>
            <w:r w:rsidRPr="00046AE9">
              <w:t>&lt;.0001*</w:t>
            </w:r>
          </w:p>
        </w:tc>
        <w:tc>
          <w:tcPr>
            <w:tcW w:w="1417" w:type="dxa"/>
          </w:tcPr>
          <w:p w:rsidR="00D61AFB" w:rsidRPr="00272493" w:rsidRDefault="00D61AFB" w:rsidP="00CA1B5C">
            <w:pPr>
              <w:spacing w:before="0" w:after="0" w:line="240" w:lineRule="auto"/>
              <w:jc w:val="left"/>
            </w:pPr>
            <w:r w:rsidRPr="00046AE9">
              <w:t>0.2206858</w:t>
            </w:r>
          </w:p>
        </w:tc>
        <w:tc>
          <w:tcPr>
            <w:tcW w:w="1134" w:type="dxa"/>
          </w:tcPr>
          <w:p w:rsidR="00D61AFB" w:rsidRPr="00272493" w:rsidRDefault="00D61AFB" w:rsidP="00CA1B5C">
            <w:pPr>
              <w:spacing w:before="0" w:after="0" w:line="240" w:lineRule="auto"/>
              <w:jc w:val="left"/>
            </w:pPr>
            <w:r w:rsidRPr="00046AE9">
              <w:t>0.62727</w:t>
            </w:r>
          </w:p>
        </w:tc>
      </w:tr>
    </w:tbl>
    <w:p w:rsidR="00296618" w:rsidRPr="000C1ACF" w:rsidRDefault="00296618" w:rsidP="00296618"/>
    <w:p w:rsidR="00296618" w:rsidRPr="00D61AFB" w:rsidRDefault="00D61AFB" w:rsidP="00D61AFB">
      <w:pPr>
        <w:pStyle w:val="Caption"/>
        <w:rPr>
          <w:sz w:val="24"/>
        </w:rPr>
      </w:pPr>
      <w:bookmarkStart w:id="161" w:name="_Toc380684382"/>
      <w:r w:rsidRPr="00D61AFB">
        <w:rPr>
          <w:sz w:val="24"/>
        </w:rPr>
        <w:t xml:space="preserve">Table </w:t>
      </w:r>
      <w:r w:rsidRPr="00D61AFB">
        <w:rPr>
          <w:sz w:val="24"/>
        </w:rPr>
        <w:fldChar w:fldCharType="begin"/>
      </w:r>
      <w:r w:rsidRPr="00D61AFB">
        <w:rPr>
          <w:sz w:val="24"/>
        </w:rPr>
        <w:instrText xml:space="preserve"> SEQ Table \* ARABIC </w:instrText>
      </w:r>
      <w:r w:rsidRPr="00D61AFB">
        <w:rPr>
          <w:sz w:val="24"/>
        </w:rPr>
        <w:fldChar w:fldCharType="separate"/>
      </w:r>
      <w:r w:rsidRPr="00D61AFB">
        <w:rPr>
          <w:noProof/>
          <w:sz w:val="24"/>
        </w:rPr>
        <w:t>36</w:t>
      </w:r>
      <w:r w:rsidRPr="00D61AFB">
        <w:rPr>
          <w:sz w:val="24"/>
        </w:rPr>
        <w:fldChar w:fldCharType="end"/>
      </w:r>
      <w:r w:rsidRPr="00D61AFB">
        <w:rPr>
          <w:sz w:val="24"/>
        </w:rPr>
        <w:t>: The impact of macroeconomic factors on the infant brand factor</w:t>
      </w:r>
      <w:bookmarkEnd w:id="161"/>
    </w:p>
    <w:tbl>
      <w:tblPr>
        <w:tblStyle w:val="TableGrid7"/>
        <w:tblW w:w="9464" w:type="dxa"/>
        <w:tblLayout w:type="fixed"/>
        <w:tblLook w:val="04A0" w:firstRow="1" w:lastRow="0" w:firstColumn="1" w:lastColumn="0" w:noHBand="0" w:noVBand="1"/>
      </w:tblPr>
      <w:tblGrid>
        <w:gridCol w:w="2093"/>
        <w:gridCol w:w="1417"/>
        <w:gridCol w:w="1276"/>
        <w:gridCol w:w="851"/>
        <w:gridCol w:w="1134"/>
        <w:gridCol w:w="1417"/>
        <w:gridCol w:w="1276"/>
      </w:tblGrid>
      <w:tr w:rsidR="00D61AFB" w:rsidRPr="00C12D2D" w:rsidTr="00CA1B5C">
        <w:tc>
          <w:tcPr>
            <w:tcW w:w="2093" w:type="dxa"/>
          </w:tcPr>
          <w:p w:rsidR="00D61AFB" w:rsidRPr="00C12D2D" w:rsidRDefault="00D61AFB" w:rsidP="00CA1B5C">
            <w:pPr>
              <w:spacing w:before="0" w:after="0" w:line="240" w:lineRule="auto"/>
              <w:jc w:val="left"/>
            </w:pPr>
            <w:r w:rsidRPr="0004627C">
              <w:t>Term</w:t>
            </w:r>
          </w:p>
        </w:tc>
        <w:tc>
          <w:tcPr>
            <w:tcW w:w="1417" w:type="dxa"/>
          </w:tcPr>
          <w:p w:rsidR="00D61AFB" w:rsidRPr="00C12D2D" w:rsidRDefault="00D61AFB" w:rsidP="00CA1B5C">
            <w:pPr>
              <w:spacing w:before="0" w:after="0" w:line="240" w:lineRule="auto"/>
              <w:jc w:val="left"/>
            </w:pPr>
            <w:r w:rsidRPr="0004627C">
              <w:t>Estimate</w:t>
            </w:r>
          </w:p>
        </w:tc>
        <w:tc>
          <w:tcPr>
            <w:tcW w:w="1276" w:type="dxa"/>
          </w:tcPr>
          <w:p w:rsidR="00D61AFB" w:rsidRPr="00C12D2D" w:rsidRDefault="00D61AFB" w:rsidP="00CA1B5C">
            <w:pPr>
              <w:spacing w:before="0" w:after="0" w:line="240" w:lineRule="auto"/>
              <w:jc w:val="left"/>
            </w:pPr>
            <w:r w:rsidRPr="0004627C">
              <w:t>Std Error</w:t>
            </w:r>
          </w:p>
        </w:tc>
        <w:tc>
          <w:tcPr>
            <w:tcW w:w="851" w:type="dxa"/>
          </w:tcPr>
          <w:p w:rsidR="00D61AFB" w:rsidRPr="0004627C" w:rsidRDefault="00D61AFB" w:rsidP="00CA1B5C">
            <w:pPr>
              <w:spacing w:before="0" w:after="0" w:line="240" w:lineRule="auto"/>
              <w:jc w:val="left"/>
            </w:pPr>
            <w:r w:rsidRPr="0004627C">
              <w:t>T Ratio</w:t>
            </w:r>
          </w:p>
        </w:tc>
        <w:tc>
          <w:tcPr>
            <w:tcW w:w="1134" w:type="dxa"/>
          </w:tcPr>
          <w:p w:rsidR="00D61AFB" w:rsidRPr="00C12D2D" w:rsidRDefault="00D61AFB" w:rsidP="00CA1B5C">
            <w:pPr>
              <w:spacing w:before="0" w:after="0" w:line="240" w:lineRule="auto"/>
              <w:jc w:val="left"/>
              <w:rPr>
                <w:rFonts w:asciiTheme="minorHAnsi" w:hAnsiTheme="minorHAnsi"/>
                <w:sz w:val="22"/>
                <w:szCs w:val="22"/>
                <w:lang w:val="en-ZA"/>
              </w:rPr>
            </w:pPr>
            <w:r>
              <w:t>Prob&gt;|t|</w:t>
            </w:r>
          </w:p>
        </w:tc>
        <w:tc>
          <w:tcPr>
            <w:tcW w:w="1417" w:type="dxa"/>
          </w:tcPr>
          <w:p w:rsidR="00D61AFB" w:rsidRPr="00C12D2D" w:rsidRDefault="00D61AFB" w:rsidP="00CA1B5C">
            <w:pPr>
              <w:spacing w:before="0" w:after="0" w:line="240" w:lineRule="auto"/>
              <w:jc w:val="left"/>
              <w:rPr>
                <w:rFonts w:asciiTheme="minorHAnsi" w:hAnsiTheme="minorHAnsi"/>
                <w:sz w:val="22"/>
                <w:szCs w:val="22"/>
                <w:lang w:val="en-ZA"/>
              </w:rPr>
            </w:pPr>
            <w:r>
              <w:t>Lower 95%</w:t>
            </w:r>
          </w:p>
        </w:tc>
        <w:tc>
          <w:tcPr>
            <w:tcW w:w="1276" w:type="dxa"/>
          </w:tcPr>
          <w:p w:rsidR="00D61AFB" w:rsidRPr="00C12D2D" w:rsidRDefault="00D61AFB" w:rsidP="00CA1B5C">
            <w:pPr>
              <w:spacing w:before="0" w:after="0" w:line="240" w:lineRule="auto"/>
              <w:jc w:val="left"/>
              <w:rPr>
                <w:rFonts w:asciiTheme="minorHAnsi" w:hAnsiTheme="minorHAnsi"/>
                <w:sz w:val="22"/>
                <w:szCs w:val="22"/>
                <w:lang w:val="en-ZA"/>
              </w:rPr>
            </w:pPr>
            <w:r>
              <w:t>Upper 95%</w:t>
            </w:r>
          </w:p>
        </w:tc>
      </w:tr>
      <w:tr w:rsidR="00D61AFB" w:rsidRPr="00C12D2D" w:rsidTr="00CA1B5C">
        <w:tc>
          <w:tcPr>
            <w:tcW w:w="2093" w:type="dxa"/>
          </w:tcPr>
          <w:p w:rsidR="00D61AFB" w:rsidRPr="00C12D2D" w:rsidRDefault="00D61AFB" w:rsidP="00CA1B5C">
            <w:pPr>
              <w:spacing w:before="0" w:after="0" w:line="240" w:lineRule="auto"/>
              <w:jc w:val="left"/>
              <w:rPr>
                <w:rFonts w:asciiTheme="minorHAnsi" w:hAnsiTheme="minorHAnsi"/>
                <w:sz w:val="22"/>
                <w:szCs w:val="22"/>
                <w:lang w:val="en-ZA"/>
              </w:rPr>
            </w:pPr>
            <w:r>
              <w:t>Intercept</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 xml:space="preserve"> -0.020075</w:t>
            </w:r>
          </w:p>
        </w:tc>
        <w:tc>
          <w:tcPr>
            <w:tcW w:w="1276" w:type="dxa"/>
          </w:tcPr>
          <w:p w:rsidR="00D61AFB" w:rsidRPr="0077358B" w:rsidRDefault="00D61AFB" w:rsidP="00CA1B5C">
            <w:pPr>
              <w:widowControl w:val="0"/>
              <w:autoSpaceDE w:val="0"/>
              <w:autoSpaceDN w:val="0"/>
              <w:adjustRightInd w:val="0"/>
              <w:spacing w:after="0" w:line="240" w:lineRule="auto"/>
              <w:jc w:val="right"/>
            </w:pPr>
            <w:r w:rsidRPr="0077358B">
              <w:t>0.097211</w:t>
            </w:r>
          </w:p>
        </w:tc>
        <w:tc>
          <w:tcPr>
            <w:tcW w:w="851" w:type="dxa"/>
          </w:tcPr>
          <w:p w:rsidR="00D61AFB" w:rsidRPr="0077358B" w:rsidRDefault="00D61AFB" w:rsidP="00CA1B5C">
            <w:pPr>
              <w:widowControl w:val="0"/>
              <w:autoSpaceDE w:val="0"/>
              <w:autoSpaceDN w:val="0"/>
              <w:adjustRightInd w:val="0"/>
              <w:spacing w:after="0" w:line="240" w:lineRule="auto"/>
              <w:jc w:val="right"/>
            </w:pPr>
            <w:r w:rsidRPr="0077358B">
              <w:t xml:space="preserve"> -0.21</w:t>
            </w:r>
          </w:p>
        </w:tc>
        <w:tc>
          <w:tcPr>
            <w:tcW w:w="1134" w:type="dxa"/>
          </w:tcPr>
          <w:p w:rsidR="00D61AFB" w:rsidRPr="0077358B" w:rsidRDefault="00D61AFB" w:rsidP="00CA1B5C">
            <w:pPr>
              <w:widowControl w:val="0"/>
              <w:autoSpaceDE w:val="0"/>
              <w:autoSpaceDN w:val="0"/>
              <w:adjustRightInd w:val="0"/>
              <w:spacing w:after="0" w:line="240" w:lineRule="auto"/>
              <w:jc w:val="right"/>
            </w:pPr>
            <w:r w:rsidRPr="0077358B">
              <w:t>0.8368</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 xml:space="preserve"> -0.213037</w:t>
            </w:r>
          </w:p>
        </w:tc>
        <w:tc>
          <w:tcPr>
            <w:tcW w:w="1276" w:type="dxa"/>
          </w:tcPr>
          <w:p w:rsidR="00D61AFB" w:rsidRPr="0077358B" w:rsidRDefault="00D61AFB" w:rsidP="00CA1B5C">
            <w:pPr>
              <w:widowControl w:val="0"/>
              <w:autoSpaceDE w:val="0"/>
              <w:autoSpaceDN w:val="0"/>
              <w:adjustRightInd w:val="0"/>
              <w:spacing w:after="0" w:line="240" w:lineRule="auto"/>
              <w:jc w:val="right"/>
            </w:pPr>
            <w:r w:rsidRPr="0077358B">
              <w:t>0.172888</w:t>
            </w:r>
          </w:p>
        </w:tc>
      </w:tr>
      <w:tr w:rsidR="00D61AFB" w:rsidRPr="00C12D2D" w:rsidTr="00CA1B5C">
        <w:tc>
          <w:tcPr>
            <w:tcW w:w="2093" w:type="dxa"/>
          </w:tcPr>
          <w:p w:rsidR="00D61AFB" w:rsidRDefault="00D61AFB" w:rsidP="00CA1B5C">
            <w:pPr>
              <w:spacing w:before="0" w:after="0" w:line="240" w:lineRule="auto"/>
              <w:jc w:val="left"/>
            </w:pPr>
            <w:r>
              <w:t>Macroeconomic factors</w:t>
            </w:r>
          </w:p>
          <w:p w:rsidR="00D61AFB" w:rsidRPr="00C12D2D" w:rsidRDefault="00D61AFB" w:rsidP="00CA1B5C">
            <w:pPr>
              <w:spacing w:before="0" w:after="0" w:line="240" w:lineRule="auto"/>
              <w:jc w:val="left"/>
              <w:rPr>
                <w:rFonts w:asciiTheme="minorHAnsi" w:hAnsiTheme="minorHAnsi"/>
                <w:sz w:val="22"/>
                <w:szCs w:val="22"/>
                <w:lang w:val="en-ZA"/>
              </w:rPr>
            </w:pPr>
            <w:r>
              <w:t xml:space="preserve"> (Q16-21)</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0.3992483</w:t>
            </w:r>
          </w:p>
        </w:tc>
        <w:tc>
          <w:tcPr>
            <w:tcW w:w="1276" w:type="dxa"/>
          </w:tcPr>
          <w:p w:rsidR="00D61AFB" w:rsidRPr="0077358B" w:rsidRDefault="00D61AFB" w:rsidP="00CA1B5C">
            <w:pPr>
              <w:widowControl w:val="0"/>
              <w:autoSpaceDE w:val="0"/>
              <w:autoSpaceDN w:val="0"/>
              <w:adjustRightInd w:val="0"/>
              <w:spacing w:after="0" w:line="240" w:lineRule="auto"/>
              <w:jc w:val="right"/>
            </w:pPr>
            <w:r w:rsidRPr="0077358B">
              <w:t>0.116843</w:t>
            </w:r>
          </w:p>
        </w:tc>
        <w:tc>
          <w:tcPr>
            <w:tcW w:w="851" w:type="dxa"/>
          </w:tcPr>
          <w:p w:rsidR="00D61AFB" w:rsidRPr="0077358B" w:rsidRDefault="00D61AFB" w:rsidP="00CA1B5C">
            <w:pPr>
              <w:widowControl w:val="0"/>
              <w:autoSpaceDE w:val="0"/>
              <w:autoSpaceDN w:val="0"/>
              <w:adjustRightInd w:val="0"/>
              <w:spacing w:after="0" w:line="240" w:lineRule="auto"/>
              <w:jc w:val="right"/>
            </w:pPr>
            <w:r w:rsidRPr="0077358B">
              <w:t>3.42</w:t>
            </w:r>
          </w:p>
        </w:tc>
        <w:tc>
          <w:tcPr>
            <w:tcW w:w="1134" w:type="dxa"/>
          </w:tcPr>
          <w:p w:rsidR="00D61AFB" w:rsidRPr="0077358B" w:rsidRDefault="00D61AFB" w:rsidP="00CA1B5C">
            <w:pPr>
              <w:widowControl w:val="0"/>
              <w:autoSpaceDE w:val="0"/>
              <w:autoSpaceDN w:val="0"/>
              <w:adjustRightInd w:val="0"/>
              <w:spacing w:after="0" w:line="240" w:lineRule="auto"/>
              <w:jc w:val="right"/>
            </w:pPr>
            <w:r w:rsidRPr="0077358B">
              <w:t>0.0009*</w:t>
            </w:r>
          </w:p>
        </w:tc>
        <w:tc>
          <w:tcPr>
            <w:tcW w:w="1417" w:type="dxa"/>
          </w:tcPr>
          <w:p w:rsidR="00D61AFB" w:rsidRPr="0077358B" w:rsidRDefault="00D61AFB" w:rsidP="00CA1B5C">
            <w:pPr>
              <w:widowControl w:val="0"/>
              <w:autoSpaceDE w:val="0"/>
              <w:autoSpaceDN w:val="0"/>
              <w:adjustRightInd w:val="0"/>
              <w:spacing w:after="0" w:line="240" w:lineRule="auto"/>
              <w:jc w:val="right"/>
            </w:pPr>
            <w:r w:rsidRPr="0077358B">
              <w:t>0.1673171</w:t>
            </w:r>
          </w:p>
        </w:tc>
        <w:tc>
          <w:tcPr>
            <w:tcW w:w="1276" w:type="dxa"/>
          </w:tcPr>
          <w:p w:rsidR="00D61AFB" w:rsidRPr="0077358B" w:rsidRDefault="00D61AFB" w:rsidP="00CA1B5C">
            <w:pPr>
              <w:widowControl w:val="0"/>
              <w:autoSpaceDE w:val="0"/>
              <w:autoSpaceDN w:val="0"/>
              <w:adjustRightInd w:val="0"/>
              <w:spacing w:after="0" w:line="240" w:lineRule="auto"/>
              <w:jc w:val="right"/>
            </w:pPr>
            <w:r>
              <w:t>0.631179</w:t>
            </w:r>
          </w:p>
        </w:tc>
      </w:tr>
    </w:tbl>
    <w:p w:rsidR="00296618" w:rsidRPr="000C1ACF" w:rsidRDefault="00296618" w:rsidP="00296618"/>
    <w:p w:rsidR="00296618" w:rsidRPr="00B874D7" w:rsidRDefault="00296618" w:rsidP="00296618">
      <w:pPr>
        <w:pStyle w:val="Heading2"/>
        <w:numPr>
          <w:ilvl w:val="1"/>
          <w:numId w:val="19"/>
        </w:numPr>
      </w:pPr>
      <w:bookmarkStart w:id="162" w:name="_Toc380687129"/>
      <w:r>
        <w:t>Conclusion</w:t>
      </w:r>
      <w:bookmarkEnd w:id="162"/>
      <w:r>
        <w:t xml:space="preserve"> </w:t>
      </w:r>
    </w:p>
    <w:p w:rsidR="00296618" w:rsidRPr="00B874D7" w:rsidRDefault="00296618" w:rsidP="00296618">
      <w:r>
        <w:t xml:space="preserve">The brand equity of the Vodacom brand has been adversely impacted following a rebranding exercise. The old brand is represented by three factors that corresponded with Aaker’s model (Aaker, 1991). The new brand was represented by infant brand. </w:t>
      </w:r>
      <w:r w:rsidRPr="003E7096">
        <w:t>Macroeconomic factors</w:t>
      </w:r>
      <w:r>
        <w:t xml:space="preserve"> were perceived to the most significant drivers of corporate rebranding. </w:t>
      </w:r>
    </w:p>
    <w:p w:rsidR="00296618" w:rsidRPr="00B874D7" w:rsidRDefault="00296618" w:rsidP="00296618"/>
    <w:p w:rsidR="00296618" w:rsidRDefault="00296618" w:rsidP="00296618">
      <w:pPr>
        <w:spacing w:before="0" w:after="0" w:line="240" w:lineRule="auto"/>
        <w:jc w:val="left"/>
        <w:rPr>
          <w:rFonts w:cs="Arial"/>
          <w:b/>
          <w:bCs/>
          <w:caps/>
          <w:kern w:val="32"/>
          <w:sz w:val="32"/>
          <w:szCs w:val="32"/>
        </w:rPr>
      </w:pPr>
      <w:r>
        <w:br w:type="page"/>
      </w:r>
    </w:p>
    <w:p w:rsidR="00296618" w:rsidRDefault="00296618" w:rsidP="00296618">
      <w:pPr>
        <w:pStyle w:val="Heading1"/>
        <w:numPr>
          <w:ilvl w:val="0"/>
          <w:numId w:val="19"/>
        </w:numPr>
      </w:pPr>
      <w:bookmarkStart w:id="163" w:name="_Toc380687130"/>
      <w:r>
        <w:lastRenderedPageBreak/>
        <w:t>CONCLUSIONS AND RECOMMENDATIONS</w:t>
      </w:r>
      <w:bookmarkEnd w:id="163"/>
    </w:p>
    <w:p w:rsidR="00296618" w:rsidRDefault="00296618" w:rsidP="00296618">
      <w:pPr>
        <w:pStyle w:val="Heading2"/>
        <w:numPr>
          <w:ilvl w:val="1"/>
          <w:numId w:val="19"/>
        </w:numPr>
      </w:pPr>
      <w:bookmarkStart w:id="164" w:name="_Toc380687131"/>
      <w:r>
        <w:t>Introduction</w:t>
      </w:r>
      <w:bookmarkEnd w:id="164"/>
    </w:p>
    <w:p w:rsidR="00296618" w:rsidRPr="004D58FB" w:rsidRDefault="00296618" w:rsidP="00296618">
      <w:r>
        <w:t xml:space="preserve">In this chapter, the main findings are recapitulated as responses to the propositions presented in previous chapters. The chapter will include recommendations to management, limitations of the study and make suggestions for future research. </w:t>
      </w:r>
    </w:p>
    <w:p w:rsidR="00296618" w:rsidRDefault="00296618" w:rsidP="00296618">
      <w:pPr>
        <w:pStyle w:val="Heading2"/>
        <w:numPr>
          <w:ilvl w:val="1"/>
          <w:numId w:val="19"/>
        </w:numPr>
      </w:pPr>
      <w:bookmarkStart w:id="165" w:name="_Toc380687132"/>
      <w:r>
        <w:t>Summary of main findings</w:t>
      </w:r>
      <w:bookmarkEnd w:id="165"/>
      <w:r>
        <w:t xml:space="preserve"> </w:t>
      </w:r>
    </w:p>
    <w:p w:rsidR="00296618" w:rsidRDefault="00296618" w:rsidP="00296618">
      <w:r>
        <w:t xml:space="preserve">The objectives of this research were first, to determine drivers of corporate rebranding within the telecommunication industry in South Africa and secondly, to understand and investigate the impact of corporate rebranding on brand equity. </w:t>
      </w:r>
    </w:p>
    <w:p w:rsidR="00296618" w:rsidRDefault="00296618" w:rsidP="00296618">
      <w:pPr>
        <w:rPr>
          <w:b/>
        </w:rPr>
      </w:pPr>
      <w:r>
        <w:rPr>
          <w:b/>
        </w:rPr>
        <w:t xml:space="preserve">Research Proposition 1: </w:t>
      </w:r>
    </w:p>
    <w:p w:rsidR="00296618" w:rsidRDefault="00296618" w:rsidP="00296618">
      <w:r w:rsidRPr="001F453B">
        <w:t xml:space="preserve">The following are primary drivers of corporate rebranding for South African telecommunications companies: </w:t>
      </w:r>
    </w:p>
    <w:p w:rsidR="00296618" w:rsidRPr="001F453B" w:rsidRDefault="00296618" w:rsidP="00296618"/>
    <w:p w:rsidR="00296618" w:rsidRDefault="00296618" w:rsidP="00296618">
      <w:pPr>
        <w:ind w:left="360"/>
      </w:pPr>
      <w:r w:rsidRPr="00EA329E">
        <w:tab/>
      </w:r>
      <w:r w:rsidRPr="00EA329E">
        <w:tab/>
      </w:r>
    </w:p>
    <w:p w:rsidR="00296618" w:rsidRDefault="00296618" w:rsidP="00296618">
      <w:pPr>
        <w:ind w:left="360"/>
      </w:pPr>
    </w:p>
    <w:p w:rsidR="00296618" w:rsidRDefault="00296618" w:rsidP="00296618">
      <w:pPr>
        <w:ind w:left="360"/>
      </w:pPr>
    </w:p>
    <w:p w:rsidR="00296618" w:rsidRDefault="00296618" w:rsidP="00296618">
      <w:pPr>
        <w:ind w:left="360"/>
      </w:pPr>
    </w:p>
    <w:p w:rsidR="00296618" w:rsidRDefault="00296618" w:rsidP="00296618">
      <w:pPr>
        <w:ind w:left="360"/>
      </w:pPr>
    </w:p>
    <w:p w:rsidR="00296618" w:rsidRDefault="00296618" w:rsidP="00296618">
      <w:pPr>
        <w:ind w:left="360"/>
      </w:pPr>
    </w:p>
    <w:p w:rsidR="00296618" w:rsidRDefault="00296618" w:rsidP="00296618">
      <w:pPr>
        <w:ind w:left="360"/>
      </w:pPr>
    </w:p>
    <w:p w:rsidR="00296618" w:rsidRPr="00336BBE" w:rsidRDefault="00296618" w:rsidP="00296618">
      <w:pPr>
        <w:pStyle w:val="Caption"/>
        <w:rPr>
          <w:sz w:val="24"/>
        </w:rPr>
      </w:pPr>
      <w:bookmarkStart w:id="166" w:name="_Toc380684383"/>
      <w:r w:rsidRPr="00336BBE">
        <w:rPr>
          <w:sz w:val="24"/>
        </w:rPr>
        <w:lastRenderedPageBreak/>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37</w:t>
      </w:r>
      <w:r w:rsidRPr="00336BBE">
        <w:rPr>
          <w:sz w:val="24"/>
        </w:rPr>
        <w:fldChar w:fldCharType="end"/>
      </w:r>
      <w:r w:rsidRPr="00336BBE">
        <w:rPr>
          <w:sz w:val="24"/>
        </w:rPr>
        <w:t>: Results of Proposition 1</w:t>
      </w:r>
      <w:bookmarkEnd w:id="166"/>
    </w:p>
    <w:tbl>
      <w:tblPr>
        <w:tblStyle w:val="TableGrid"/>
        <w:tblW w:w="9039" w:type="dxa"/>
        <w:tblLook w:val="04A0" w:firstRow="1" w:lastRow="0" w:firstColumn="1" w:lastColumn="0" w:noHBand="0" w:noVBand="1"/>
      </w:tblPr>
      <w:tblGrid>
        <w:gridCol w:w="5230"/>
        <w:gridCol w:w="1990"/>
        <w:gridCol w:w="1819"/>
      </w:tblGrid>
      <w:tr w:rsidR="00296618" w:rsidTr="0063507B">
        <w:tc>
          <w:tcPr>
            <w:tcW w:w="5495" w:type="dxa"/>
          </w:tcPr>
          <w:p w:rsidR="00296618" w:rsidRDefault="00296618" w:rsidP="0063507B">
            <w:pPr>
              <w:ind w:left="360"/>
              <w:rPr>
                <w:b/>
              </w:rPr>
            </w:pPr>
            <w:r>
              <w:rPr>
                <w:b/>
              </w:rPr>
              <w:t>Proposition criteria</w:t>
            </w:r>
          </w:p>
        </w:tc>
        <w:tc>
          <w:tcPr>
            <w:tcW w:w="1701" w:type="dxa"/>
          </w:tcPr>
          <w:p w:rsidR="00296618" w:rsidRDefault="00296618" w:rsidP="0063507B">
            <w:pPr>
              <w:rPr>
                <w:b/>
              </w:rPr>
            </w:pPr>
            <w:r>
              <w:rPr>
                <w:b/>
              </w:rPr>
              <w:t xml:space="preserve">Factor </w:t>
            </w:r>
          </w:p>
        </w:tc>
        <w:tc>
          <w:tcPr>
            <w:tcW w:w="1843" w:type="dxa"/>
          </w:tcPr>
          <w:p w:rsidR="00296618" w:rsidRDefault="00296618" w:rsidP="0063507B">
            <w:pPr>
              <w:rPr>
                <w:b/>
              </w:rPr>
            </w:pPr>
            <w:r>
              <w:rPr>
                <w:b/>
              </w:rPr>
              <w:t>Conclusion</w:t>
            </w:r>
          </w:p>
        </w:tc>
      </w:tr>
      <w:tr w:rsidR="00296618" w:rsidTr="0063507B">
        <w:tc>
          <w:tcPr>
            <w:tcW w:w="5495" w:type="dxa"/>
          </w:tcPr>
          <w:p w:rsidR="00296618" w:rsidRPr="00EA329E" w:rsidRDefault="00296618" w:rsidP="0063507B">
            <w:pPr>
              <w:ind w:left="360"/>
            </w:pPr>
            <w:r w:rsidRPr="00EA329E">
              <w:t>Corporate structural change</w:t>
            </w:r>
            <w:r>
              <w:t>s</w:t>
            </w:r>
          </w:p>
          <w:p w:rsidR="00296618" w:rsidRPr="00EA329E" w:rsidRDefault="00296618" w:rsidP="0063507B">
            <w:pPr>
              <w:ind w:left="360"/>
            </w:pP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1 (Corporate structure and strategy)</w:t>
            </w:r>
          </w:p>
        </w:tc>
        <w:tc>
          <w:tcPr>
            <w:tcW w:w="1843" w:type="dxa"/>
          </w:tcPr>
          <w:p w:rsidR="00296618" w:rsidRDefault="00296618" w:rsidP="0063507B">
            <w:pPr>
              <w:rPr>
                <w:b/>
              </w:rPr>
            </w:pPr>
            <w:r>
              <w:rPr>
                <w:b/>
              </w:rPr>
              <w:t>Accept</w:t>
            </w:r>
          </w:p>
        </w:tc>
      </w:tr>
      <w:tr w:rsidR="00296618" w:rsidTr="0063507B">
        <w:tc>
          <w:tcPr>
            <w:tcW w:w="5495" w:type="dxa"/>
          </w:tcPr>
          <w:p w:rsidR="00296618" w:rsidRPr="00194B9A" w:rsidRDefault="00296618" w:rsidP="0063507B">
            <w:pPr>
              <w:ind w:left="360"/>
            </w:pPr>
            <w:r w:rsidRPr="00EA329E">
              <w:t>Change</w:t>
            </w:r>
            <w:r>
              <w:t>s</w:t>
            </w:r>
            <w:r w:rsidRPr="00EA329E">
              <w:t xml:space="preserve"> in corporate strategy including new focus or vision</w:t>
            </w: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1 (Corporate structure and strategy)</w:t>
            </w:r>
          </w:p>
        </w:tc>
        <w:tc>
          <w:tcPr>
            <w:tcW w:w="1843" w:type="dxa"/>
          </w:tcPr>
          <w:p w:rsidR="00296618" w:rsidRDefault="00296618" w:rsidP="0063507B">
            <w:pPr>
              <w:rPr>
                <w:b/>
              </w:rPr>
            </w:pPr>
            <w:r>
              <w:rPr>
                <w:b/>
              </w:rPr>
              <w:t>Accept</w:t>
            </w:r>
          </w:p>
        </w:tc>
      </w:tr>
      <w:tr w:rsidR="00296618" w:rsidTr="0063507B">
        <w:tc>
          <w:tcPr>
            <w:tcW w:w="5495" w:type="dxa"/>
          </w:tcPr>
          <w:p w:rsidR="00296618" w:rsidRPr="00194B9A" w:rsidRDefault="00296618" w:rsidP="0063507B">
            <w:pPr>
              <w:ind w:left="360"/>
            </w:pPr>
            <w:r w:rsidRPr="00EA329E">
              <w:t>Change</w:t>
            </w:r>
            <w:r>
              <w:t>s</w:t>
            </w:r>
            <w:r w:rsidRPr="00EA329E">
              <w:t xml:space="preserve"> in ownership structure including mergers and acquisitions; and divestitures</w:t>
            </w: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1 (Corporate structure and strategy)</w:t>
            </w:r>
          </w:p>
        </w:tc>
        <w:tc>
          <w:tcPr>
            <w:tcW w:w="1843" w:type="dxa"/>
          </w:tcPr>
          <w:p w:rsidR="00296618" w:rsidRDefault="00296618" w:rsidP="0063507B">
            <w:pPr>
              <w:rPr>
                <w:b/>
              </w:rPr>
            </w:pPr>
            <w:r>
              <w:rPr>
                <w:b/>
              </w:rPr>
              <w:t>Accept</w:t>
            </w:r>
          </w:p>
        </w:tc>
      </w:tr>
      <w:tr w:rsidR="00296618" w:rsidTr="0063507B">
        <w:tc>
          <w:tcPr>
            <w:tcW w:w="5495" w:type="dxa"/>
          </w:tcPr>
          <w:p w:rsidR="00296618" w:rsidRPr="00EA329E" w:rsidRDefault="00296618" w:rsidP="0063507B">
            <w:pPr>
              <w:ind w:left="360"/>
            </w:pPr>
            <w:r>
              <w:t>O</w:t>
            </w:r>
            <w:r w:rsidRPr="00EA329E">
              <w:t>utdated</w:t>
            </w:r>
            <w:r w:rsidRPr="001F453B">
              <w:t xml:space="preserve"> </w:t>
            </w:r>
            <w:r>
              <w:t>i</w:t>
            </w:r>
            <w:r w:rsidRPr="00EA329E">
              <w:t>mage</w:t>
            </w:r>
          </w:p>
        </w:tc>
        <w:tc>
          <w:tcPr>
            <w:tcW w:w="1701" w:type="dxa"/>
          </w:tcPr>
          <w:p w:rsidR="00296618" w:rsidRPr="00B23559" w:rsidRDefault="009F5BE6" w:rsidP="0063507B">
            <w:pPr>
              <w:jc w:val="left"/>
            </w:pPr>
            <w:r>
              <w:t>Not found</w:t>
            </w:r>
          </w:p>
        </w:tc>
        <w:tc>
          <w:tcPr>
            <w:tcW w:w="1843" w:type="dxa"/>
          </w:tcPr>
          <w:p w:rsidR="00296618" w:rsidRPr="00B23559" w:rsidRDefault="009F5BE6" w:rsidP="0063507B">
            <w:r>
              <w:t>Reject</w:t>
            </w:r>
          </w:p>
        </w:tc>
      </w:tr>
      <w:tr w:rsidR="00296618" w:rsidTr="0063507B">
        <w:tc>
          <w:tcPr>
            <w:tcW w:w="5495" w:type="dxa"/>
          </w:tcPr>
          <w:p w:rsidR="00296618" w:rsidRPr="00194B9A" w:rsidRDefault="00296618" w:rsidP="0063507B">
            <w:pPr>
              <w:ind w:left="360"/>
            </w:pPr>
            <w:r w:rsidRPr="00EA329E">
              <w:t>Concerns over external perceptions of the organisation and its activities</w:t>
            </w: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2 (Macroeconomic factors)</w:t>
            </w:r>
          </w:p>
        </w:tc>
        <w:tc>
          <w:tcPr>
            <w:tcW w:w="1843" w:type="dxa"/>
          </w:tcPr>
          <w:p w:rsidR="00296618" w:rsidRDefault="00296618" w:rsidP="0063507B">
            <w:pPr>
              <w:rPr>
                <w:b/>
              </w:rPr>
            </w:pPr>
            <w:r>
              <w:rPr>
                <w:b/>
              </w:rPr>
              <w:t>Accept</w:t>
            </w:r>
          </w:p>
        </w:tc>
      </w:tr>
      <w:tr w:rsidR="00296618" w:rsidTr="0063507B">
        <w:tc>
          <w:tcPr>
            <w:tcW w:w="5495" w:type="dxa"/>
          </w:tcPr>
          <w:p w:rsidR="00296618" w:rsidRPr="00194B9A" w:rsidRDefault="00296618" w:rsidP="0063507B">
            <w:pPr>
              <w:ind w:left="360"/>
            </w:pPr>
            <w:r w:rsidRPr="00EA329E">
              <w:t>Changes in economic or legal conditions including economic slowdown</w:t>
            </w: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2 (Macroeconomic factors)</w:t>
            </w:r>
          </w:p>
        </w:tc>
        <w:tc>
          <w:tcPr>
            <w:tcW w:w="1843" w:type="dxa"/>
          </w:tcPr>
          <w:p w:rsidR="00296618" w:rsidRDefault="00296618" w:rsidP="0063507B">
            <w:pPr>
              <w:rPr>
                <w:b/>
              </w:rPr>
            </w:pPr>
            <w:r>
              <w:rPr>
                <w:b/>
              </w:rPr>
              <w:t>Accept</w:t>
            </w:r>
          </w:p>
        </w:tc>
      </w:tr>
      <w:tr w:rsidR="00296618" w:rsidTr="0063507B">
        <w:tc>
          <w:tcPr>
            <w:tcW w:w="5495" w:type="dxa"/>
          </w:tcPr>
          <w:p w:rsidR="00296618" w:rsidRPr="00194B9A" w:rsidRDefault="00296618" w:rsidP="0063507B">
            <w:pPr>
              <w:ind w:left="360"/>
            </w:pPr>
            <w:r w:rsidRPr="00EA329E">
              <w:t>Change</w:t>
            </w:r>
            <w:r>
              <w:t>s</w:t>
            </w:r>
            <w:r w:rsidRPr="00EA329E">
              <w:t xml:space="preserve"> in competitive position</w:t>
            </w: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2 (Macroeconomic factors)</w:t>
            </w:r>
          </w:p>
        </w:tc>
        <w:tc>
          <w:tcPr>
            <w:tcW w:w="1843" w:type="dxa"/>
          </w:tcPr>
          <w:p w:rsidR="00296618" w:rsidRDefault="00296618" w:rsidP="0063507B">
            <w:pPr>
              <w:rPr>
                <w:b/>
              </w:rPr>
            </w:pPr>
            <w:r>
              <w:rPr>
                <w:b/>
              </w:rPr>
              <w:t>Accept</w:t>
            </w:r>
          </w:p>
        </w:tc>
      </w:tr>
      <w:tr w:rsidR="00296618" w:rsidTr="0063507B">
        <w:tc>
          <w:tcPr>
            <w:tcW w:w="5495" w:type="dxa"/>
          </w:tcPr>
          <w:p w:rsidR="00296618" w:rsidRPr="00EA329E" w:rsidRDefault="00296618" w:rsidP="0063507B">
            <w:pPr>
              <w:ind w:left="360"/>
            </w:pPr>
            <w:r w:rsidRPr="00EA329E">
              <w:t>Change</w:t>
            </w:r>
            <w:r>
              <w:t>s</w:t>
            </w:r>
            <w:r w:rsidRPr="00EA329E">
              <w:t xml:space="preserve"> in external environment</w:t>
            </w:r>
          </w:p>
        </w:tc>
        <w:tc>
          <w:tcPr>
            <w:tcW w:w="1701" w:type="dxa"/>
          </w:tcPr>
          <w:p w:rsidR="00296618" w:rsidRPr="00553636" w:rsidRDefault="00296618" w:rsidP="0063507B">
            <w:pPr>
              <w:widowControl w:val="0"/>
              <w:autoSpaceDE w:val="0"/>
              <w:autoSpaceDN w:val="0"/>
              <w:adjustRightInd w:val="0"/>
              <w:spacing w:before="0" w:after="0" w:line="240" w:lineRule="auto"/>
              <w:jc w:val="left"/>
              <w:rPr>
                <w:rFonts w:cs="Arial"/>
                <w:color w:val="000000"/>
                <w:lang w:val="en-ZA"/>
              </w:rPr>
            </w:pPr>
            <w:r>
              <w:rPr>
                <w:rFonts w:cs="Arial"/>
                <w:color w:val="000000"/>
                <w:lang w:val="en-ZA"/>
              </w:rPr>
              <w:t>Factor 2 (Macroeconomic factors)</w:t>
            </w:r>
          </w:p>
        </w:tc>
        <w:tc>
          <w:tcPr>
            <w:tcW w:w="1843" w:type="dxa"/>
          </w:tcPr>
          <w:p w:rsidR="00296618" w:rsidRDefault="00296618" w:rsidP="0063507B">
            <w:pPr>
              <w:rPr>
                <w:b/>
              </w:rPr>
            </w:pPr>
            <w:r>
              <w:rPr>
                <w:b/>
              </w:rPr>
              <w:t>Accept</w:t>
            </w:r>
          </w:p>
        </w:tc>
      </w:tr>
    </w:tbl>
    <w:p w:rsidR="00296618" w:rsidRPr="009F5BE6" w:rsidRDefault="00296618" w:rsidP="00296618">
      <w:r w:rsidRPr="005543D2">
        <w:t>Therefore, the Research Pr</w:t>
      </w:r>
      <w:r>
        <w:t xml:space="preserve">oposition 1 is </w:t>
      </w:r>
      <w:r w:rsidR="009F5BE6">
        <w:t xml:space="preserve">effectively </w:t>
      </w:r>
      <w:r w:rsidRPr="005543D2">
        <w:rPr>
          <w:b/>
        </w:rPr>
        <w:t>accepted</w:t>
      </w:r>
      <w:r w:rsidR="009F5BE6">
        <w:rPr>
          <w:b/>
        </w:rPr>
        <w:t xml:space="preserve">, </w:t>
      </w:r>
      <w:r w:rsidR="009F5BE6">
        <w:t>as all</w:t>
      </w:r>
      <w:r w:rsidR="000D00CC">
        <w:t xml:space="preserve"> criteria were found with the exception of </w:t>
      </w:r>
      <w:r w:rsidR="000D00CC" w:rsidRPr="000D00CC">
        <w:rPr>
          <w:i/>
        </w:rPr>
        <w:t>‘outdated image’</w:t>
      </w:r>
      <w:r w:rsidR="000D00CC">
        <w:t>.</w:t>
      </w:r>
    </w:p>
    <w:p w:rsidR="00423865" w:rsidRDefault="00423865" w:rsidP="00296618">
      <w:pPr>
        <w:rPr>
          <w:b/>
        </w:rPr>
      </w:pPr>
    </w:p>
    <w:p w:rsidR="00296618" w:rsidRDefault="00296618" w:rsidP="00296618">
      <w:pPr>
        <w:rPr>
          <w:b/>
        </w:rPr>
      </w:pPr>
      <w:r>
        <w:rPr>
          <w:b/>
        </w:rPr>
        <w:lastRenderedPageBreak/>
        <w:t xml:space="preserve">Research Proposition 2: </w:t>
      </w:r>
    </w:p>
    <w:p w:rsidR="00296618" w:rsidRPr="00B84917" w:rsidRDefault="00296618" w:rsidP="00296618">
      <w:pPr>
        <w:pStyle w:val="Caption"/>
        <w:rPr>
          <w:b w:val="0"/>
          <w:sz w:val="24"/>
        </w:rPr>
      </w:pPr>
      <w:bookmarkStart w:id="167" w:name="_Toc380684384"/>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38</w:t>
      </w:r>
      <w:r w:rsidRPr="00336BBE">
        <w:rPr>
          <w:sz w:val="24"/>
        </w:rPr>
        <w:fldChar w:fldCharType="end"/>
      </w:r>
      <w:r w:rsidRPr="00336BBE">
        <w:rPr>
          <w:sz w:val="24"/>
        </w:rPr>
        <w:t>: Results of research proposition 2 in relation to the old brand</w:t>
      </w:r>
      <w:bookmarkEnd w:id="167"/>
      <w:r>
        <w:rPr>
          <w:sz w:val="24"/>
        </w:rPr>
        <w:t xml:space="preserve"> </w:t>
      </w:r>
    </w:p>
    <w:tbl>
      <w:tblPr>
        <w:tblStyle w:val="TableGrid"/>
        <w:tblW w:w="0" w:type="auto"/>
        <w:tblLook w:val="04A0" w:firstRow="1" w:lastRow="0" w:firstColumn="1" w:lastColumn="0" w:noHBand="0" w:noVBand="1"/>
      </w:tblPr>
      <w:tblGrid>
        <w:gridCol w:w="4928"/>
        <w:gridCol w:w="2126"/>
        <w:gridCol w:w="1701"/>
      </w:tblGrid>
      <w:tr w:rsidR="00296618" w:rsidTr="0063507B">
        <w:tc>
          <w:tcPr>
            <w:tcW w:w="4928" w:type="dxa"/>
          </w:tcPr>
          <w:p w:rsidR="00296618" w:rsidRPr="00D70F5A" w:rsidRDefault="00296618" w:rsidP="0063507B">
            <w:pPr>
              <w:rPr>
                <w:b/>
              </w:rPr>
            </w:pPr>
            <w:r w:rsidRPr="00D70F5A">
              <w:rPr>
                <w:b/>
              </w:rPr>
              <w:t>Proposition criteria</w:t>
            </w:r>
            <w:r>
              <w:rPr>
                <w:b/>
              </w:rPr>
              <w:t xml:space="preserve"> (Old brand)</w:t>
            </w:r>
          </w:p>
        </w:tc>
        <w:tc>
          <w:tcPr>
            <w:tcW w:w="2126" w:type="dxa"/>
          </w:tcPr>
          <w:p w:rsidR="00296618" w:rsidRDefault="00296618" w:rsidP="0063507B">
            <w:pPr>
              <w:rPr>
                <w:b/>
              </w:rPr>
            </w:pPr>
            <w:r>
              <w:rPr>
                <w:b/>
              </w:rPr>
              <w:t>Statistical significance</w:t>
            </w:r>
          </w:p>
        </w:tc>
        <w:tc>
          <w:tcPr>
            <w:tcW w:w="1701" w:type="dxa"/>
          </w:tcPr>
          <w:p w:rsidR="00296618" w:rsidRPr="00D70F5A" w:rsidRDefault="00296618" w:rsidP="0063507B">
            <w:r w:rsidRPr="00D70F5A">
              <w:rPr>
                <w:b/>
              </w:rPr>
              <w:t>Conclusion</w:t>
            </w:r>
          </w:p>
        </w:tc>
      </w:tr>
      <w:tr w:rsidR="00296618" w:rsidTr="0063507B">
        <w:tc>
          <w:tcPr>
            <w:tcW w:w="4928" w:type="dxa"/>
          </w:tcPr>
          <w:p w:rsidR="00296618" w:rsidRPr="00D70F5A" w:rsidRDefault="00296618" w:rsidP="0063507B">
            <w:r>
              <w:rPr>
                <w:rFonts w:cs="Arial"/>
                <w:color w:val="000000"/>
                <w:lang w:val="en-ZA"/>
              </w:rPr>
              <w:t>Corporate structure and strategy</w:t>
            </w:r>
            <w:r>
              <w:t xml:space="preserve"> impacts brand awareness</w:t>
            </w:r>
          </w:p>
        </w:tc>
        <w:tc>
          <w:tcPr>
            <w:tcW w:w="2126" w:type="dxa"/>
          </w:tcPr>
          <w:p w:rsidR="00296618" w:rsidRPr="002675ED" w:rsidRDefault="00296618" w:rsidP="0063507B">
            <w:r w:rsidRPr="002675ED">
              <w:t>0.1805</w:t>
            </w:r>
          </w:p>
        </w:tc>
        <w:tc>
          <w:tcPr>
            <w:tcW w:w="1701" w:type="dxa"/>
          </w:tcPr>
          <w:p w:rsidR="00296618" w:rsidRDefault="00296618" w:rsidP="0063507B">
            <w:pPr>
              <w:rPr>
                <w:b/>
              </w:rPr>
            </w:pPr>
            <w:r w:rsidRPr="00B23559">
              <w:t>Inconclusive</w:t>
            </w:r>
          </w:p>
        </w:tc>
      </w:tr>
      <w:tr w:rsidR="00296618" w:rsidTr="0063507B">
        <w:tc>
          <w:tcPr>
            <w:tcW w:w="4928" w:type="dxa"/>
          </w:tcPr>
          <w:p w:rsidR="00296618" w:rsidRDefault="00296618" w:rsidP="0063507B">
            <w:pPr>
              <w:rPr>
                <w:b/>
              </w:rPr>
            </w:pPr>
            <w:r>
              <w:rPr>
                <w:rFonts w:cs="Arial"/>
                <w:color w:val="000000"/>
                <w:lang w:val="en-ZA"/>
              </w:rPr>
              <w:t>Corporate structure and strategy</w:t>
            </w:r>
            <w:r>
              <w:t xml:space="preserve"> impacts brand associations</w:t>
            </w:r>
          </w:p>
        </w:tc>
        <w:tc>
          <w:tcPr>
            <w:tcW w:w="2126" w:type="dxa"/>
          </w:tcPr>
          <w:p w:rsidR="00296618" w:rsidRPr="002675ED" w:rsidRDefault="00296618" w:rsidP="0063507B">
            <w:r w:rsidRPr="002675ED">
              <w:t>0.073</w:t>
            </w:r>
          </w:p>
        </w:tc>
        <w:tc>
          <w:tcPr>
            <w:tcW w:w="1701" w:type="dxa"/>
          </w:tcPr>
          <w:p w:rsidR="00296618" w:rsidRDefault="00296618" w:rsidP="0063507B">
            <w:pPr>
              <w:rPr>
                <w:b/>
              </w:rPr>
            </w:pPr>
            <w:r w:rsidRPr="00B23559">
              <w:t>Inconclusive</w:t>
            </w:r>
          </w:p>
        </w:tc>
      </w:tr>
      <w:tr w:rsidR="00296618" w:rsidTr="0063507B">
        <w:tc>
          <w:tcPr>
            <w:tcW w:w="4928" w:type="dxa"/>
          </w:tcPr>
          <w:p w:rsidR="00296618" w:rsidRDefault="00296618" w:rsidP="0063507B">
            <w:pPr>
              <w:rPr>
                <w:b/>
              </w:rPr>
            </w:pPr>
            <w:r>
              <w:rPr>
                <w:rFonts w:cs="Arial"/>
                <w:color w:val="000000"/>
                <w:lang w:val="en-ZA"/>
              </w:rPr>
              <w:t>Corporate structure and strategy</w:t>
            </w:r>
            <w:r>
              <w:t xml:space="preserve"> impacts brand loyalty</w:t>
            </w:r>
          </w:p>
        </w:tc>
        <w:tc>
          <w:tcPr>
            <w:tcW w:w="2126" w:type="dxa"/>
          </w:tcPr>
          <w:p w:rsidR="00296618" w:rsidRPr="002675ED" w:rsidRDefault="00296618" w:rsidP="0063507B">
            <w:r w:rsidRPr="002675ED">
              <w:t>0.987</w:t>
            </w:r>
          </w:p>
        </w:tc>
        <w:tc>
          <w:tcPr>
            <w:tcW w:w="1701" w:type="dxa"/>
          </w:tcPr>
          <w:p w:rsidR="00296618" w:rsidRDefault="00296618" w:rsidP="0063507B">
            <w:pPr>
              <w:rPr>
                <w:b/>
              </w:rPr>
            </w:pPr>
            <w:r w:rsidRPr="00B23559">
              <w:t>Inconclusive</w:t>
            </w:r>
          </w:p>
        </w:tc>
      </w:tr>
      <w:tr w:rsidR="00296618" w:rsidTr="0063507B">
        <w:tc>
          <w:tcPr>
            <w:tcW w:w="4928" w:type="dxa"/>
          </w:tcPr>
          <w:p w:rsidR="00296618" w:rsidRPr="002675ED" w:rsidRDefault="00296618" w:rsidP="0063507B">
            <w:pPr>
              <w:rPr>
                <w:b/>
              </w:rPr>
            </w:pPr>
            <w:r w:rsidRPr="002675ED">
              <w:rPr>
                <w:b/>
              </w:rPr>
              <w:t>Macroeconomic factors impact brand awareness</w:t>
            </w:r>
          </w:p>
        </w:tc>
        <w:tc>
          <w:tcPr>
            <w:tcW w:w="2126" w:type="dxa"/>
          </w:tcPr>
          <w:p w:rsidR="00296618" w:rsidRPr="002675ED" w:rsidRDefault="00296618" w:rsidP="0063507B">
            <w:pPr>
              <w:rPr>
                <w:b/>
              </w:rPr>
            </w:pPr>
            <w:r w:rsidRPr="002675ED">
              <w:rPr>
                <w:b/>
              </w:rPr>
              <w:t>0.0001</w:t>
            </w:r>
          </w:p>
        </w:tc>
        <w:tc>
          <w:tcPr>
            <w:tcW w:w="1701" w:type="dxa"/>
          </w:tcPr>
          <w:p w:rsidR="00296618" w:rsidRPr="002675ED" w:rsidRDefault="00296618" w:rsidP="0063507B">
            <w:pPr>
              <w:rPr>
                <w:b/>
              </w:rPr>
            </w:pPr>
            <w:r>
              <w:rPr>
                <w:b/>
              </w:rPr>
              <w:t>Accept</w:t>
            </w:r>
          </w:p>
        </w:tc>
      </w:tr>
      <w:tr w:rsidR="00296618" w:rsidTr="0063507B">
        <w:tc>
          <w:tcPr>
            <w:tcW w:w="4928" w:type="dxa"/>
          </w:tcPr>
          <w:p w:rsidR="00296618" w:rsidRDefault="00296618" w:rsidP="0063507B">
            <w:pPr>
              <w:rPr>
                <w:b/>
              </w:rPr>
            </w:pPr>
            <w:r>
              <w:t>Macroeconomic factors impact brand associations</w:t>
            </w:r>
          </w:p>
        </w:tc>
        <w:tc>
          <w:tcPr>
            <w:tcW w:w="2126" w:type="dxa"/>
          </w:tcPr>
          <w:p w:rsidR="00296618" w:rsidRPr="002675ED" w:rsidRDefault="00296618" w:rsidP="0063507B">
            <w:r w:rsidRPr="002675ED">
              <w:t>0.362</w:t>
            </w:r>
          </w:p>
        </w:tc>
        <w:tc>
          <w:tcPr>
            <w:tcW w:w="1701" w:type="dxa"/>
          </w:tcPr>
          <w:p w:rsidR="00296618" w:rsidRDefault="00296618" w:rsidP="0063507B">
            <w:pPr>
              <w:rPr>
                <w:b/>
              </w:rPr>
            </w:pPr>
            <w:r w:rsidRPr="00B23559">
              <w:t>Inconclusive</w:t>
            </w:r>
          </w:p>
        </w:tc>
      </w:tr>
      <w:tr w:rsidR="00296618" w:rsidTr="0063507B">
        <w:tc>
          <w:tcPr>
            <w:tcW w:w="4928" w:type="dxa"/>
          </w:tcPr>
          <w:p w:rsidR="00296618" w:rsidRDefault="00296618" w:rsidP="0063507B">
            <w:pPr>
              <w:rPr>
                <w:b/>
              </w:rPr>
            </w:pPr>
            <w:r>
              <w:t>Macroeconomic factors impact brand loyalty</w:t>
            </w:r>
          </w:p>
        </w:tc>
        <w:tc>
          <w:tcPr>
            <w:tcW w:w="2126" w:type="dxa"/>
          </w:tcPr>
          <w:p w:rsidR="00296618" w:rsidRPr="002675ED" w:rsidRDefault="00296618" w:rsidP="0063507B">
            <w:r w:rsidRPr="002675ED">
              <w:t>0.399</w:t>
            </w:r>
          </w:p>
        </w:tc>
        <w:tc>
          <w:tcPr>
            <w:tcW w:w="1701" w:type="dxa"/>
          </w:tcPr>
          <w:p w:rsidR="00296618" w:rsidRDefault="00296618" w:rsidP="0063507B">
            <w:pPr>
              <w:rPr>
                <w:b/>
              </w:rPr>
            </w:pPr>
            <w:r w:rsidRPr="00B23559">
              <w:t>Inconclusive</w:t>
            </w:r>
          </w:p>
        </w:tc>
      </w:tr>
    </w:tbl>
    <w:p w:rsidR="00296618" w:rsidRPr="000D00CC" w:rsidRDefault="00296618" w:rsidP="00296618">
      <w:r w:rsidRPr="005543D2">
        <w:t>Therefore, the Research Pr</w:t>
      </w:r>
      <w:r>
        <w:t xml:space="preserve">oposition 1 is </w:t>
      </w:r>
      <w:r>
        <w:rPr>
          <w:b/>
        </w:rPr>
        <w:t>inconclusive</w:t>
      </w:r>
      <w:r w:rsidR="000D00CC">
        <w:rPr>
          <w:b/>
        </w:rPr>
        <w:t xml:space="preserve"> </w:t>
      </w:r>
      <w:r w:rsidR="000D00CC">
        <w:t xml:space="preserve">for the old branding, with exception of the impact of </w:t>
      </w:r>
      <w:r w:rsidR="000D00CC" w:rsidRPr="000D00CC">
        <w:rPr>
          <w:i/>
        </w:rPr>
        <w:t>‘microeconomic factors’</w:t>
      </w:r>
      <w:r w:rsidR="000D00CC">
        <w:t xml:space="preserve"> on brand awareness. </w:t>
      </w:r>
    </w:p>
    <w:p w:rsidR="00296618" w:rsidRDefault="00296618" w:rsidP="00296618">
      <w:pPr>
        <w:rPr>
          <w:b/>
        </w:rPr>
      </w:pPr>
    </w:p>
    <w:p w:rsidR="00296618" w:rsidRDefault="00296618" w:rsidP="00296618">
      <w:pPr>
        <w:rPr>
          <w:b/>
        </w:rPr>
      </w:pPr>
    </w:p>
    <w:p w:rsidR="00296618" w:rsidRDefault="00296618" w:rsidP="00296618">
      <w:pPr>
        <w:rPr>
          <w:b/>
        </w:rPr>
      </w:pPr>
    </w:p>
    <w:p w:rsidR="00296618" w:rsidRDefault="00296618" w:rsidP="00296618">
      <w:pPr>
        <w:pStyle w:val="Caption"/>
        <w:rPr>
          <w:sz w:val="24"/>
        </w:rPr>
      </w:pPr>
    </w:p>
    <w:p w:rsidR="00296618" w:rsidRPr="00336BBE" w:rsidRDefault="00296618" w:rsidP="00296618">
      <w:pPr>
        <w:pStyle w:val="Caption"/>
        <w:rPr>
          <w:sz w:val="24"/>
        </w:rPr>
      </w:pPr>
      <w:bookmarkStart w:id="168" w:name="_Toc380684385"/>
      <w:r w:rsidRPr="00336BBE">
        <w:rPr>
          <w:sz w:val="24"/>
        </w:rPr>
        <w:t xml:space="preserve">Table </w:t>
      </w:r>
      <w:r w:rsidRPr="00336BBE">
        <w:rPr>
          <w:sz w:val="24"/>
        </w:rPr>
        <w:fldChar w:fldCharType="begin"/>
      </w:r>
      <w:r w:rsidRPr="00336BBE">
        <w:rPr>
          <w:sz w:val="24"/>
        </w:rPr>
        <w:instrText xml:space="preserve"> SEQ Table \* ARABIC </w:instrText>
      </w:r>
      <w:r w:rsidRPr="00336BBE">
        <w:rPr>
          <w:sz w:val="24"/>
        </w:rPr>
        <w:fldChar w:fldCharType="separate"/>
      </w:r>
      <w:r w:rsidR="00D61AFB">
        <w:rPr>
          <w:noProof/>
          <w:sz w:val="24"/>
        </w:rPr>
        <w:t>39</w:t>
      </w:r>
      <w:r w:rsidRPr="00336BBE">
        <w:rPr>
          <w:sz w:val="24"/>
        </w:rPr>
        <w:fldChar w:fldCharType="end"/>
      </w:r>
      <w:r w:rsidRPr="00336BBE">
        <w:rPr>
          <w:sz w:val="24"/>
        </w:rPr>
        <w:t>: Results of research proposition 2 in relation to the new brand</w:t>
      </w:r>
      <w:bookmarkEnd w:id="168"/>
    </w:p>
    <w:tbl>
      <w:tblPr>
        <w:tblStyle w:val="TableGrid"/>
        <w:tblW w:w="0" w:type="auto"/>
        <w:tblLook w:val="04A0" w:firstRow="1" w:lastRow="0" w:firstColumn="1" w:lastColumn="0" w:noHBand="0" w:noVBand="1"/>
      </w:tblPr>
      <w:tblGrid>
        <w:gridCol w:w="4928"/>
        <w:gridCol w:w="2126"/>
        <w:gridCol w:w="1701"/>
      </w:tblGrid>
      <w:tr w:rsidR="00296618" w:rsidRPr="00D70F5A" w:rsidTr="0063507B">
        <w:tc>
          <w:tcPr>
            <w:tcW w:w="4928" w:type="dxa"/>
          </w:tcPr>
          <w:p w:rsidR="00296618" w:rsidRPr="00D70F5A" w:rsidRDefault="00296618" w:rsidP="0063507B">
            <w:pPr>
              <w:rPr>
                <w:b/>
              </w:rPr>
            </w:pPr>
            <w:r w:rsidRPr="00D70F5A">
              <w:rPr>
                <w:b/>
              </w:rPr>
              <w:t>Proposition criteria</w:t>
            </w:r>
            <w:r>
              <w:rPr>
                <w:b/>
              </w:rPr>
              <w:t xml:space="preserve"> (New brand)</w:t>
            </w:r>
          </w:p>
        </w:tc>
        <w:tc>
          <w:tcPr>
            <w:tcW w:w="2126" w:type="dxa"/>
          </w:tcPr>
          <w:p w:rsidR="00296618" w:rsidRDefault="00296618" w:rsidP="0063507B">
            <w:pPr>
              <w:rPr>
                <w:b/>
              </w:rPr>
            </w:pPr>
            <w:r>
              <w:rPr>
                <w:b/>
              </w:rPr>
              <w:t>Statistical significance</w:t>
            </w:r>
          </w:p>
        </w:tc>
        <w:tc>
          <w:tcPr>
            <w:tcW w:w="1701" w:type="dxa"/>
          </w:tcPr>
          <w:p w:rsidR="00296618" w:rsidRPr="00D70F5A" w:rsidRDefault="00296618" w:rsidP="0063507B">
            <w:r w:rsidRPr="00D70F5A">
              <w:rPr>
                <w:b/>
              </w:rPr>
              <w:t>Conclusion</w:t>
            </w:r>
          </w:p>
        </w:tc>
      </w:tr>
      <w:tr w:rsidR="00296618" w:rsidRPr="0097440C" w:rsidTr="0063507B">
        <w:tc>
          <w:tcPr>
            <w:tcW w:w="4928" w:type="dxa"/>
          </w:tcPr>
          <w:p w:rsidR="00296618" w:rsidRPr="0097440C" w:rsidRDefault="00296618" w:rsidP="0063507B">
            <w:r>
              <w:rPr>
                <w:rFonts w:cs="Arial"/>
                <w:color w:val="000000"/>
                <w:lang w:val="en-ZA"/>
              </w:rPr>
              <w:t>Corporate structure and strategy</w:t>
            </w:r>
            <w:r w:rsidRPr="0097440C">
              <w:t xml:space="preserve"> impacts infant brand </w:t>
            </w:r>
          </w:p>
        </w:tc>
        <w:tc>
          <w:tcPr>
            <w:tcW w:w="2126" w:type="dxa"/>
          </w:tcPr>
          <w:p w:rsidR="00296618" w:rsidRPr="0097440C" w:rsidRDefault="00296618" w:rsidP="0063507B">
            <w:r w:rsidRPr="0097440C">
              <w:t>0.2693</w:t>
            </w:r>
          </w:p>
        </w:tc>
        <w:tc>
          <w:tcPr>
            <w:tcW w:w="1701" w:type="dxa"/>
          </w:tcPr>
          <w:p w:rsidR="00296618" w:rsidRPr="0097440C" w:rsidRDefault="00296618" w:rsidP="0063507B">
            <w:r w:rsidRPr="00B23559">
              <w:t>Inconclusive</w:t>
            </w:r>
          </w:p>
        </w:tc>
      </w:tr>
      <w:tr w:rsidR="00296618" w:rsidRPr="0097440C" w:rsidTr="0063507B">
        <w:tc>
          <w:tcPr>
            <w:tcW w:w="4928" w:type="dxa"/>
          </w:tcPr>
          <w:p w:rsidR="00296618" w:rsidRPr="0097440C" w:rsidRDefault="00296618" w:rsidP="0063507B">
            <w:pPr>
              <w:rPr>
                <w:b/>
              </w:rPr>
            </w:pPr>
            <w:r w:rsidRPr="0097440C">
              <w:rPr>
                <w:b/>
              </w:rPr>
              <w:t xml:space="preserve">Macroeconomic factors impact infant brand </w:t>
            </w:r>
          </w:p>
        </w:tc>
        <w:tc>
          <w:tcPr>
            <w:tcW w:w="2126" w:type="dxa"/>
          </w:tcPr>
          <w:p w:rsidR="00296618" w:rsidRPr="0097440C" w:rsidRDefault="00296618" w:rsidP="0063507B">
            <w:pPr>
              <w:rPr>
                <w:b/>
              </w:rPr>
            </w:pPr>
            <w:r w:rsidRPr="0097440C">
              <w:rPr>
                <w:b/>
              </w:rPr>
              <w:t>0.0019</w:t>
            </w:r>
          </w:p>
        </w:tc>
        <w:tc>
          <w:tcPr>
            <w:tcW w:w="1701" w:type="dxa"/>
          </w:tcPr>
          <w:p w:rsidR="00296618" w:rsidRPr="0097440C" w:rsidRDefault="00296618" w:rsidP="0063507B">
            <w:pPr>
              <w:rPr>
                <w:b/>
              </w:rPr>
            </w:pPr>
            <w:r w:rsidRPr="0097440C">
              <w:rPr>
                <w:b/>
              </w:rPr>
              <w:t>Accept</w:t>
            </w:r>
          </w:p>
        </w:tc>
      </w:tr>
    </w:tbl>
    <w:p w:rsidR="00296618" w:rsidRPr="000D00CC" w:rsidRDefault="00296618" w:rsidP="00296618">
      <w:r w:rsidRPr="0097440C">
        <w:t xml:space="preserve">Therefore, the Research Proposition 2 is </w:t>
      </w:r>
      <w:r>
        <w:rPr>
          <w:b/>
        </w:rPr>
        <w:t>inconclusive</w:t>
      </w:r>
      <w:r w:rsidR="000D00CC">
        <w:rPr>
          <w:b/>
        </w:rPr>
        <w:t xml:space="preserve"> </w:t>
      </w:r>
      <w:r w:rsidR="000D00CC">
        <w:t xml:space="preserve">for the new brand, with the exception of the impact of </w:t>
      </w:r>
      <w:r w:rsidR="000D00CC" w:rsidRPr="000D00CC">
        <w:rPr>
          <w:i/>
        </w:rPr>
        <w:t>‘macroeconomic factors’</w:t>
      </w:r>
      <w:r w:rsidR="000D00CC">
        <w:t xml:space="preserve">. Proposition 2 is essentially driven by </w:t>
      </w:r>
      <w:r w:rsidR="000D00CC" w:rsidRPr="000D00CC">
        <w:rPr>
          <w:i/>
        </w:rPr>
        <w:t>‘macroeconomic factors’</w:t>
      </w:r>
      <w:r w:rsidR="000D00CC">
        <w:t xml:space="preserve">. </w:t>
      </w:r>
    </w:p>
    <w:p w:rsidR="00296618" w:rsidRPr="0097440C" w:rsidRDefault="00296618" w:rsidP="00296618">
      <w:pPr>
        <w:rPr>
          <w:b/>
        </w:rPr>
      </w:pPr>
    </w:p>
    <w:p w:rsidR="00296618" w:rsidRPr="0097440C" w:rsidRDefault="00296618" w:rsidP="00296618">
      <w:pPr>
        <w:pStyle w:val="Heading2"/>
        <w:numPr>
          <w:ilvl w:val="1"/>
          <w:numId w:val="19"/>
        </w:numPr>
      </w:pPr>
      <w:bookmarkStart w:id="169" w:name="_Toc380687133"/>
      <w:r w:rsidRPr="0097440C">
        <w:t>Recommendations and managerial implications</w:t>
      </w:r>
      <w:bookmarkEnd w:id="169"/>
      <w:r w:rsidRPr="0097440C">
        <w:t xml:space="preserve"> </w:t>
      </w:r>
    </w:p>
    <w:p w:rsidR="00296618" w:rsidRPr="0097440C" w:rsidRDefault="00296618" w:rsidP="00296618"/>
    <w:p w:rsidR="00296618" w:rsidRPr="0097440C" w:rsidRDefault="00296618" w:rsidP="00296618">
      <w:r w:rsidRPr="0097440C">
        <w:t>According to the literature, there are several organisational implications for rebranding</w:t>
      </w:r>
      <w:r>
        <w:t>,</w:t>
      </w:r>
      <w:r w:rsidRPr="0097440C">
        <w:t xml:space="preserve"> namely; impact on brand equity (Gotsi and Andriopoulos, 2007</w:t>
      </w:r>
      <w:r>
        <w:t>;</w:t>
      </w:r>
      <w:r w:rsidRPr="0097440C">
        <w:t xml:space="preserve"> Hatch and Schultz, 2003; Kapferer, 2004</w:t>
      </w:r>
      <w:r>
        <w:t>;</w:t>
      </w:r>
      <w:r w:rsidRPr="0097440C">
        <w:t xml:space="preserve"> Mosupyoe, 2011) bearing on organisational culture (Mosupyoe, 2011; Hatch and Shultz, 2003; Gotsi et al, 2008) and effect on organisational resources (Causon, 2004; Stuart and Muzellec, 2004; Mosupyoe, 2011)</w:t>
      </w:r>
    </w:p>
    <w:p w:rsidR="00296618" w:rsidRPr="00272493" w:rsidRDefault="00296618" w:rsidP="00296618">
      <w:pPr>
        <w:rPr>
          <w:b/>
        </w:rPr>
      </w:pPr>
      <w:r w:rsidRPr="00272493">
        <w:rPr>
          <w:b/>
        </w:rPr>
        <w:lastRenderedPageBreak/>
        <w:t>Impact on brand equity</w:t>
      </w:r>
    </w:p>
    <w:p w:rsidR="00296618" w:rsidRPr="0097440C" w:rsidRDefault="00296618" w:rsidP="00296618">
      <w:r w:rsidRPr="0097440C">
        <w:t>Building brand equity requires organisations to establish and nurture a distinctive value proposition, unique positioning and brand image with all stakeholders. Strong brand equity assists customers in simplifying their purchase decisions and also drives investor confidence leading to increased shareholder valu</w:t>
      </w:r>
      <w:r w:rsidR="00D532DC">
        <w:t xml:space="preserve">e. Kerin and Sethuraman (1998) and </w:t>
      </w:r>
      <w:r w:rsidRPr="0097440C">
        <w:t xml:space="preserve">Kim </w:t>
      </w:r>
      <w:r>
        <w:t>e</w:t>
      </w:r>
      <w:r w:rsidRPr="0097440C">
        <w:t>t al. (2003) purported that there is a strong correlation between brand equity and shareholder value. Therefore a decrease in brand equity as a result of an unsuccessful corporate rebranding exercise may result in decease in shareholder value. However</w:t>
      </w:r>
      <w:r>
        <w:t>,</w:t>
      </w:r>
      <w:r w:rsidRPr="0097440C">
        <w:t xml:space="preserve"> the converse also holds true as a successful corporate rebranding may increase shareholder value.</w:t>
      </w:r>
    </w:p>
    <w:p w:rsidR="00296618" w:rsidRDefault="00296618" w:rsidP="00296618">
      <w:pPr>
        <w:rPr>
          <w:b/>
        </w:rPr>
      </w:pPr>
    </w:p>
    <w:p w:rsidR="00296618" w:rsidRPr="00272493" w:rsidRDefault="00296618" w:rsidP="00296618">
      <w:pPr>
        <w:rPr>
          <w:b/>
        </w:rPr>
      </w:pPr>
      <w:r w:rsidRPr="00272493">
        <w:rPr>
          <w:b/>
        </w:rPr>
        <w:t>Bearing on organisational culture</w:t>
      </w:r>
    </w:p>
    <w:p w:rsidR="00296618" w:rsidRPr="0097440C" w:rsidRDefault="00296618" w:rsidP="00296618">
      <w:r w:rsidRPr="0097440C">
        <w:t xml:space="preserve">Culture is unique to corporates and creates a differential advantage. Hatch and Schultz (2003) define organisational culture as the internal values, beliefs and basic assumptions that exemplify the heritage of a corporate and communicate its meanings to its </w:t>
      </w:r>
      <w:r>
        <w:t>employees</w:t>
      </w:r>
      <w:r w:rsidRPr="0097440C">
        <w:t>. Therefore, when corporates rebrand as a result of changes in macroeconomic conditions and/or fundamental deviations in corporate strategy, culture should be embodied in the new corporate image. However, it is difficult to implement a new culture as culture dictates the attitudes and behaviour of employees. Gotsi et al</w:t>
      </w:r>
      <w:r w:rsidR="009A5BA3">
        <w:t>.</w:t>
      </w:r>
      <w:r w:rsidRPr="0097440C">
        <w:t xml:space="preserve"> (2008) concur; they state that cultural alignment to corporate brand values is important. However, corporate rebranding brings a dynamic challenge as newly espoused corporate brand values rarely reflect the tacit meanings and values that organisational members hold and use.</w:t>
      </w:r>
    </w:p>
    <w:p w:rsidR="00296618" w:rsidRPr="00272493" w:rsidRDefault="00296618" w:rsidP="00296618">
      <w:pPr>
        <w:rPr>
          <w:b/>
        </w:rPr>
      </w:pPr>
      <w:r w:rsidRPr="00272493">
        <w:rPr>
          <w:b/>
        </w:rPr>
        <w:t xml:space="preserve">Effect on organisational resources </w:t>
      </w:r>
    </w:p>
    <w:p w:rsidR="00296618" w:rsidRPr="0097440C" w:rsidRDefault="00296618" w:rsidP="00296618">
      <w:r w:rsidRPr="0097440C">
        <w:t xml:space="preserve">Organisational resource requirements for a rebranding exercise range from human resource to finance. The most important resource to any corporate is its human capital. It is important for corporates to </w:t>
      </w:r>
      <w:r>
        <w:t>obtain</w:t>
      </w:r>
      <w:r w:rsidRPr="0097440C">
        <w:t xml:space="preserve"> a buy-in from its internal </w:t>
      </w:r>
      <w:r w:rsidRPr="0097440C">
        <w:lastRenderedPageBreak/>
        <w:t>stakeholders to ensure smooth transition. If employees are not prepared and informed in advance, there tend</w:t>
      </w:r>
      <w:r>
        <w:t>s</w:t>
      </w:r>
      <w:r w:rsidRPr="0097440C">
        <w:t xml:space="preserve"> to be high level of anxiety and low employee morale (Mosupyoe, 2011). Vodacom adopted the logo and colour of the parent brand. This strategic decision definitely required more organisational resources especially financial resource to communicate the new logo. It is evident that the exercise of rebranding Vodacom has been expensive. The company had spent more than R200</w:t>
      </w:r>
      <w:r>
        <w:t xml:space="preserve"> </w:t>
      </w:r>
      <w:r w:rsidRPr="0097440C">
        <w:t>m</w:t>
      </w:r>
      <w:r>
        <w:t>illion</w:t>
      </w:r>
      <w:r w:rsidRPr="0097440C">
        <w:t xml:space="preserve"> for the exercise (Vodacom Annual Report, 2012).  Perceptions and attitudes are difficult to change</w:t>
      </w:r>
      <w:r>
        <w:t>,</w:t>
      </w:r>
      <w:r w:rsidRPr="0097440C">
        <w:t xml:space="preserve"> so it is for this reason and for that matter imperative that a corporate takes cognisant of them. </w:t>
      </w:r>
    </w:p>
    <w:p w:rsidR="00296618" w:rsidRDefault="00296618" w:rsidP="00296618">
      <w:r w:rsidRPr="0097440C">
        <w:t xml:space="preserve">Corporates should assess perceptions of customers against the dimensions of corporate branding as a guide for deciding on branding permutation strategies to adopt. Equally important </w:t>
      </w:r>
      <w:r>
        <w:t>are</w:t>
      </w:r>
      <w:r w:rsidRPr="0097440C">
        <w:t xml:space="preserve"> the history and culture as they dictate customer views and accelerate the rate of accepting change. Internal stakeholders are key to any corporate whether for a non-profit or for profit corporates. It is therefore crucial to </w:t>
      </w:r>
      <w:r>
        <w:t>obtain</w:t>
      </w:r>
      <w:r w:rsidRPr="0097440C">
        <w:t xml:space="preserve"> a buy-in from these stakeholders prior to announcing changes to external stakeholders. Changes to the logo, colour scheme and slogan are superficial especially when the service, internal processes and some elements of the marketing mix remain the same. What counts the most is the service and products themselves. Marketing creates hype where customer expectations are elevated</w:t>
      </w:r>
      <w:r>
        <w:t>,</w:t>
      </w:r>
      <w:r w:rsidRPr="0097440C">
        <w:t xml:space="preserve"> and if the service or product does not live up to the promise, there seem</w:t>
      </w:r>
      <w:r>
        <w:t>s</w:t>
      </w:r>
      <w:r w:rsidRPr="0097440C">
        <w:t xml:space="preserve"> to be a let down by the hype of the bending in relation to the service or product. What the corporates could do is concentrate more on improving the technical capabilities of their networks in addition to the branding elements they plan to change (Mosupyoe, 2011).</w:t>
      </w:r>
    </w:p>
    <w:p w:rsidR="00296618" w:rsidRDefault="00296618" w:rsidP="00296618">
      <w:pPr>
        <w:pStyle w:val="Heading2"/>
        <w:numPr>
          <w:ilvl w:val="1"/>
          <w:numId w:val="19"/>
        </w:numPr>
      </w:pPr>
      <w:bookmarkStart w:id="170" w:name="_Toc380687134"/>
      <w:r>
        <w:t>Limitations of the research</w:t>
      </w:r>
      <w:bookmarkEnd w:id="170"/>
    </w:p>
    <w:p w:rsidR="00296618" w:rsidRDefault="00296618" w:rsidP="00296618">
      <w:r>
        <w:t xml:space="preserve">As in most research studies, this study is not without limitations. In conducting this research, the sampling method was non-probabilistic; therefore the respondents used in this study might not necessarily be representative of the population. </w:t>
      </w:r>
    </w:p>
    <w:p w:rsidR="00296618" w:rsidRDefault="00296618" w:rsidP="00296618">
      <w:r>
        <w:lastRenderedPageBreak/>
        <w:t>The following limitations were noted:</w:t>
      </w:r>
    </w:p>
    <w:p w:rsidR="00296618" w:rsidRDefault="00296618" w:rsidP="00296618">
      <w:pPr>
        <w:pStyle w:val="ListParagraph"/>
        <w:numPr>
          <w:ilvl w:val="0"/>
          <w:numId w:val="21"/>
        </w:numPr>
      </w:pPr>
      <w:r>
        <w:t>Only Vodacom employees ware targeted in gathering the data for this study and this could have bias inclination and thus affecting the data.</w:t>
      </w:r>
    </w:p>
    <w:p w:rsidR="00296618" w:rsidRPr="00701E94" w:rsidRDefault="00296618" w:rsidP="00296618">
      <w:pPr>
        <w:pStyle w:val="ListParagraph"/>
      </w:pPr>
    </w:p>
    <w:p w:rsidR="00296618" w:rsidRDefault="00296618" w:rsidP="00296618">
      <w:pPr>
        <w:pStyle w:val="Heading2"/>
        <w:numPr>
          <w:ilvl w:val="1"/>
          <w:numId w:val="19"/>
        </w:numPr>
      </w:pPr>
      <w:bookmarkStart w:id="171" w:name="_Toc380687135"/>
      <w:r>
        <w:t>Suggestions for further research</w:t>
      </w:r>
      <w:bookmarkEnd w:id="171"/>
    </w:p>
    <w:p w:rsidR="00296618" w:rsidRPr="00740DE6" w:rsidRDefault="00296618" w:rsidP="00296618">
      <w:r>
        <w:t>The following areas of future research are suggested that may complement the findings in this study:</w:t>
      </w:r>
    </w:p>
    <w:p w:rsidR="00296618" w:rsidRDefault="00296618" w:rsidP="00296618">
      <w:pPr>
        <w:pStyle w:val="ListParagraph"/>
        <w:numPr>
          <w:ilvl w:val="0"/>
          <w:numId w:val="24"/>
        </w:numPr>
      </w:pPr>
      <w:r>
        <w:t>A similar study should be undertaken with a sample that includes other stakeholders such as customers, suppliers and general public.</w:t>
      </w:r>
    </w:p>
    <w:p w:rsidR="00296618" w:rsidRDefault="00296618" w:rsidP="00296618">
      <w:pPr>
        <w:pStyle w:val="ListParagraph"/>
      </w:pPr>
    </w:p>
    <w:p w:rsidR="00296618" w:rsidRDefault="00296618" w:rsidP="00296618">
      <w:pPr>
        <w:pStyle w:val="ListParagraph"/>
        <w:numPr>
          <w:ilvl w:val="0"/>
          <w:numId w:val="24"/>
        </w:numPr>
      </w:pPr>
      <w:r>
        <w:t xml:space="preserve">Study the impact of corporate rebranding on customer equity and possibly the relationship between customer and brand equity. </w:t>
      </w:r>
    </w:p>
    <w:p w:rsidR="00296618" w:rsidRDefault="00296618" w:rsidP="00296618">
      <w:pPr>
        <w:pStyle w:val="ListParagraph"/>
      </w:pPr>
    </w:p>
    <w:p w:rsidR="00296618" w:rsidRDefault="00296618" w:rsidP="00296618">
      <w:pPr>
        <w:pStyle w:val="ListParagraph"/>
        <w:numPr>
          <w:ilvl w:val="0"/>
          <w:numId w:val="24"/>
        </w:numPr>
      </w:pPr>
      <w:r>
        <w:t>Establish the financial implications of corporate rebranding for South African organisations.</w:t>
      </w:r>
    </w:p>
    <w:p w:rsidR="00296618" w:rsidRDefault="00296618" w:rsidP="00296618">
      <w:pPr>
        <w:pStyle w:val="ListParagraph"/>
      </w:pPr>
    </w:p>
    <w:p w:rsidR="00296618" w:rsidRDefault="00296618" w:rsidP="00296618">
      <w:pPr>
        <w:pStyle w:val="ListParagraph"/>
        <w:numPr>
          <w:ilvl w:val="0"/>
          <w:numId w:val="24"/>
        </w:numPr>
      </w:pPr>
      <w:r>
        <w:t>A similar study should be undertaken with focus on other</w:t>
      </w:r>
      <w:r w:rsidR="000D00CC">
        <w:t xml:space="preserve"> organisations and other</w:t>
      </w:r>
      <w:r>
        <w:t xml:space="preserve"> industries.</w:t>
      </w:r>
    </w:p>
    <w:p w:rsidR="00296618" w:rsidRDefault="00296618" w:rsidP="00296618">
      <w:pPr>
        <w:pStyle w:val="ListParagraph"/>
      </w:pPr>
    </w:p>
    <w:p w:rsidR="00296618" w:rsidRDefault="00296618" w:rsidP="00296618">
      <w:pPr>
        <w:pStyle w:val="ListParagraph"/>
        <w:numPr>
          <w:ilvl w:val="0"/>
          <w:numId w:val="24"/>
        </w:numPr>
      </w:pPr>
      <w:r>
        <w:t xml:space="preserve">Longitudinal study should be done to determine the long term impact of corporate rebranding on brand equity. </w:t>
      </w:r>
    </w:p>
    <w:p w:rsidR="00296618" w:rsidRDefault="00296618" w:rsidP="00296618">
      <w:pPr>
        <w:pStyle w:val="ListParagraph"/>
      </w:pPr>
    </w:p>
    <w:p w:rsidR="00296618" w:rsidRPr="00701E94" w:rsidRDefault="00296618" w:rsidP="00296618">
      <w:pPr>
        <w:pStyle w:val="ListParagraph"/>
      </w:pPr>
    </w:p>
    <w:p w:rsidR="00740DE6" w:rsidRPr="00296618" w:rsidRDefault="00296618" w:rsidP="00296618">
      <w:pPr>
        <w:spacing w:before="0" w:after="0" w:line="240" w:lineRule="auto"/>
        <w:jc w:val="left"/>
        <w:rPr>
          <w:rFonts w:cs="Arial"/>
          <w:b/>
          <w:bCs/>
          <w:caps/>
          <w:kern w:val="32"/>
          <w:sz w:val="32"/>
          <w:szCs w:val="32"/>
        </w:rPr>
      </w:pPr>
      <w:r>
        <w:br w:type="page"/>
      </w:r>
      <w:bookmarkEnd w:id="3"/>
      <w:bookmarkEnd w:id="4"/>
      <w:bookmarkEnd w:id="5"/>
      <w:bookmarkEnd w:id="6"/>
      <w:bookmarkEnd w:id="7"/>
    </w:p>
    <w:p w:rsidR="00272493" w:rsidRPr="00EA329E" w:rsidRDefault="00272493" w:rsidP="00272493">
      <w:pPr>
        <w:pStyle w:val="Heading1"/>
        <w:numPr>
          <w:ilvl w:val="0"/>
          <w:numId w:val="0"/>
        </w:numPr>
      </w:pPr>
      <w:bookmarkStart w:id="172" w:name="_Toc380687136"/>
      <w:r w:rsidRPr="00EA329E">
        <w:lastRenderedPageBreak/>
        <w:t>References</w:t>
      </w:r>
      <w:bookmarkEnd w:id="172"/>
    </w:p>
    <w:p w:rsidR="00272493" w:rsidRDefault="00272493" w:rsidP="00272493">
      <w:r w:rsidRPr="00DB6F62">
        <w:t>.</w:t>
      </w:r>
    </w:p>
    <w:p w:rsidR="005C2C93" w:rsidRDefault="005C2C93" w:rsidP="005C2C93">
      <w:r w:rsidRPr="00EA329E">
        <w:t>Aaker, D.  (1991). Managing brand equity: Capitalizing on the value of a brand name, Simon and Schuster.</w:t>
      </w:r>
    </w:p>
    <w:p w:rsidR="005C2C93" w:rsidRDefault="005C2C93" w:rsidP="005C2C93">
      <w:r>
        <w:t>Aaker, D.A., Jacobson, R. (1994): “The Financial Information Content of Perceived Quality,” Journal of Marketing Research, 31(2):191-202.</w:t>
      </w:r>
    </w:p>
    <w:p w:rsidR="005C2C93" w:rsidRDefault="005C2C93" w:rsidP="005C2C93">
      <w:r>
        <w:t xml:space="preserve">Aaker, D.A. Joachimsthaler, F. (2000), </w:t>
      </w:r>
      <w:r w:rsidRPr="00282908">
        <w:rPr>
          <w:i/>
        </w:rPr>
        <w:t>Brand Leadership</w:t>
      </w:r>
      <w:r>
        <w:t>: Building Assets in the Information Society,</w:t>
      </w:r>
      <w:r>
        <w:tab/>
        <w:t xml:space="preserve"> The Free Press, New York.</w:t>
      </w:r>
    </w:p>
    <w:p w:rsidR="00C27223" w:rsidRDefault="00C27223" w:rsidP="00C27223">
      <w:r>
        <w:t xml:space="preserve">Abratt, R. (1989), “A new approach to the corporate image management process”, </w:t>
      </w:r>
      <w:r w:rsidRPr="00C27223">
        <w:rPr>
          <w:i/>
        </w:rPr>
        <w:t>Journal of Marketing Management</w:t>
      </w:r>
      <w:r>
        <w:t>, 5 (1): 63-76.</w:t>
      </w:r>
    </w:p>
    <w:p w:rsidR="007126D6" w:rsidRDefault="007126D6" w:rsidP="00C27223">
      <w:r>
        <w:t xml:space="preserve">Abratt, R. and Bick, </w:t>
      </w:r>
      <w:r w:rsidRPr="007126D6">
        <w:t>G</w:t>
      </w:r>
      <w:r>
        <w:t>. (</w:t>
      </w:r>
      <w:r w:rsidRPr="007126D6">
        <w:t>2003</w:t>
      </w:r>
      <w:r>
        <w:t>)</w:t>
      </w:r>
      <w:r w:rsidRPr="007126D6">
        <w:t xml:space="preserve">: Valuing Brands and Brand Equity: Methods and Processes. </w:t>
      </w:r>
      <w:r w:rsidRPr="007126D6">
        <w:rPr>
          <w:i/>
        </w:rPr>
        <w:t>Journal of Applied Management and Entrepreneurship</w:t>
      </w:r>
      <w:r>
        <w:t xml:space="preserve"> 8(1): </w:t>
      </w:r>
      <w:r w:rsidRPr="007126D6">
        <w:t>21-39.</w:t>
      </w:r>
    </w:p>
    <w:p w:rsidR="001A3651" w:rsidRPr="00EA329E" w:rsidRDefault="001A3651" w:rsidP="001A3651">
      <w:r>
        <w:t xml:space="preserve">Abratt, R. and Mofokeng, T.N. (2001), “Development and management of corporate image in South Africa”, </w:t>
      </w:r>
      <w:r w:rsidRPr="001A3651">
        <w:rPr>
          <w:i/>
        </w:rPr>
        <w:t>European Journal of Marketing</w:t>
      </w:r>
      <w:r>
        <w:t>, 35 (3/4): 368-386.</w:t>
      </w:r>
    </w:p>
    <w:p w:rsidR="005C2C93" w:rsidRDefault="005C2C93" w:rsidP="005C2C93">
      <w:r w:rsidRPr="00EA329E">
        <w:t>Anderson, R. . Hair, et al. (2006). Multivariate data analysis, Pearson</w:t>
      </w:r>
      <w:r w:rsidR="00A853B2">
        <w:t>, New Jersey</w:t>
      </w:r>
    </w:p>
    <w:p w:rsidR="00262AFA" w:rsidRDefault="00262AFA" w:rsidP="00262AFA">
      <w:r>
        <w:t xml:space="preserve">Balmer, J.M.T. (2000), “The ACID test of corporate identity”, </w:t>
      </w:r>
      <w:r w:rsidRPr="001A3651">
        <w:rPr>
          <w:i/>
        </w:rPr>
        <w:t>Co</w:t>
      </w:r>
      <w:r w:rsidR="001A3651" w:rsidRPr="001A3651">
        <w:rPr>
          <w:i/>
        </w:rPr>
        <w:t>rporate Reputation Review</w:t>
      </w:r>
      <w:r w:rsidR="001A3651">
        <w:t xml:space="preserve">, </w:t>
      </w:r>
      <w:r>
        <w:t>4</w:t>
      </w:r>
      <w:r w:rsidR="001A3651">
        <w:t xml:space="preserve"> (</w:t>
      </w:r>
      <w:r>
        <w:t>1): 11-22.</w:t>
      </w:r>
    </w:p>
    <w:p w:rsidR="00262AFA" w:rsidRPr="00EA329E" w:rsidRDefault="00262AFA" w:rsidP="00262AFA">
      <w:r>
        <w:t xml:space="preserve">Balmer, J.M.T. (2001a), “Corporate identity, corporate branding and corporate marketing, seeing through the fog”, </w:t>
      </w:r>
      <w:r w:rsidRPr="00262AFA">
        <w:rPr>
          <w:i/>
        </w:rPr>
        <w:t>European Journal of Marketing</w:t>
      </w:r>
      <w:r>
        <w:t>, 35 (3/4): 248-91.</w:t>
      </w:r>
    </w:p>
    <w:p w:rsidR="005C2C93" w:rsidRDefault="005C2C93" w:rsidP="005C2C93">
      <w:r w:rsidRPr="00EA329E">
        <w:t xml:space="preserve">Balmer, J. ,Greyser, S (2002). "Managing the multiple identities of the corporation." </w:t>
      </w:r>
      <w:r w:rsidRPr="00180D03">
        <w:rPr>
          <w:i/>
        </w:rPr>
        <w:t>California management review</w:t>
      </w:r>
      <w:r w:rsidRPr="00EA329E">
        <w:t xml:space="preserve"> </w:t>
      </w:r>
      <w:r w:rsidRPr="003073D5">
        <w:t>44(3): 72-86.</w:t>
      </w:r>
    </w:p>
    <w:p w:rsidR="00957696" w:rsidRDefault="00957696" w:rsidP="00957696">
      <w:r>
        <w:lastRenderedPageBreak/>
        <w:t xml:space="preserve">Barwise, P. (1993). Brand equity: Snark or Boojum, </w:t>
      </w:r>
      <w:r w:rsidRPr="00957696">
        <w:rPr>
          <w:i/>
        </w:rPr>
        <w:t>International Journal of Research in Marketing</w:t>
      </w:r>
      <w:r>
        <w:t>, 10 (1): 93-104.</w:t>
      </w:r>
    </w:p>
    <w:p w:rsidR="005C2C93" w:rsidRDefault="005C2C93" w:rsidP="005C2C93">
      <w:r>
        <w:t xml:space="preserve">Barwise, P., Higson, C., Likierman, and A., Marsh, P. (1989), </w:t>
      </w:r>
      <w:r w:rsidRPr="00282908">
        <w:rPr>
          <w:i/>
        </w:rPr>
        <w:t>Accounting for Brands</w:t>
      </w:r>
      <w:r>
        <w:t>, The London Business School and The Institute of Chartered Accountants in England and Wales, London.</w:t>
      </w:r>
    </w:p>
    <w:p w:rsidR="005C2C93" w:rsidRDefault="005C2C93" w:rsidP="005C2C93">
      <w:r>
        <w:t xml:space="preserve">Basu, K. (2006). ‘Merging brands after mergers’, </w:t>
      </w:r>
      <w:r w:rsidRPr="00180D03">
        <w:rPr>
          <w:i/>
        </w:rPr>
        <w:t>California Management Review</w:t>
      </w:r>
      <w:r>
        <w:t xml:space="preserve">, </w:t>
      </w:r>
      <w:r w:rsidRPr="003073D5">
        <w:t>48 (4): 28-40.</w:t>
      </w:r>
    </w:p>
    <w:p w:rsidR="005C2C93" w:rsidRDefault="005C2C93" w:rsidP="005C2C93">
      <w:r>
        <w:t xml:space="preserve">Berry, L.L., Lefkowith, E. and Clark, T. (1988), “In services, what’s in a name”, </w:t>
      </w:r>
      <w:r w:rsidRPr="00180D03">
        <w:rPr>
          <w:i/>
        </w:rPr>
        <w:t>Harvard Business Review</w:t>
      </w:r>
      <w:r>
        <w:t>, 66:  28-30.</w:t>
      </w:r>
    </w:p>
    <w:p w:rsidR="005C2C93" w:rsidRDefault="005C2C93" w:rsidP="005C2C93">
      <w:r w:rsidRPr="00EA329E">
        <w:t xml:space="preserve">Boyle, E. (2002). "The failure of business format franchising in British forecourt retailing: a case study of the rebranding of Shell Retail’s forecourts." </w:t>
      </w:r>
      <w:r w:rsidRPr="00180D03">
        <w:rPr>
          <w:i/>
        </w:rPr>
        <w:t>International Journal of Retail &amp; Distribution Management</w:t>
      </w:r>
      <w:r w:rsidRPr="00EA329E">
        <w:t xml:space="preserve"> 30(5): 251-263.</w:t>
      </w:r>
    </w:p>
    <w:p w:rsidR="00E442AB" w:rsidRDefault="00E442AB" w:rsidP="005C2C93">
      <w:r>
        <w:t>Braun, KA. (1999).</w:t>
      </w:r>
      <w:r w:rsidRPr="00E442AB">
        <w:t xml:space="preserve"> “Postexperience advertising effects on consumer memory</w:t>
      </w:r>
      <w:r>
        <w:t>”</w:t>
      </w:r>
      <w:r w:rsidRPr="00E442AB">
        <w:t xml:space="preserve">, </w:t>
      </w:r>
      <w:r w:rsidRPr="00E442AB">
        <w:rPr>
          <w:i/>
        </w:rPr>
        <w:t>Journal of Consumer Research</w:t>
      </w:r>
      <w:r w:rsidRPr="00E442AB">
        <w:t>, 25</w:t>
      </w:r>
      <w:r>
        <w:t xml:space="preserve"> (</w:t>
      </w:r>
      <w:r w:rsidRPr="00E442AB">
        <w:t>4</w:t>
      </w:r>
      <w:r>
        <w:t>):</w:t>
      </w:r>
      <w:r w:rsidRPr="00E442AB">
        <w:t xml:space="preserve"> 319-334.</w:t>
      </w:r>
    </w:p>
    <w:p w:rsidR="005C2C93" w:rsidRPr="00EA329E" w:rsidRDefault="005C2C93" w:rsidP="005C2C93">
      <w:r w:rsidRPr="00DB6F62">
        <w:t xml:space="preserve">Castleberry , B . S . and Ehrenberg , A . S . C . ( 1990 ) ‘Brand usage: A factor in consumer beliefs ’ , </w:t>
      </w:r>
      <w:r w:rsidRPr="00180D03">
        <w:rPr>
          <w:i/>
        </w:rPr>
        <w:t>Market Research</w:t>
      </w:r>
      <w:r w:rsidRPr="00DB6F62">
        <w:t xml:space="preserve"> , </w:t>
      </w:r>
      <w:r>
        <w:t xml:space="preserve">27 (4): </w:t>
      </w:r>
      <w:r w:rsidRPr="00DB6F62">
        <w:t xml:space="preserve"> 477 – 484 .</w:t>
      </w:r>
    </w:p>
    <w:p w:rsidR="005C2C93" w:rsidRDefault="005C2C93" w:rsidP="005C2C93">
      <w:r w:rsidRPr="00EA329E">
        <w:t xml:space="preserve">Causon, J. (2004). "The internal brand: successful cultural change and employee empowerment." </w:t>
      </w:r>
      <w:r w:rsidRPr="00180D03">
        <w:rPr>
          <w:i/>
        </w:rPr>
        <w:t>Journal of Change Management</w:t>
      </w:r>
      <w:r w:rsidRPr="00EA329E">
        <w:t xml:space="preserve"> 4(4): 297-307.</w:t>
      </w:r>
    </w:p>
    <w:p w:rsidR="0086651C" w:rsidRDefault="0086651C" w:rsidP="0086651C">
      <w:r>
        <w:t xml:space="preserve">Chen, A.C. (2001), “Using free association to examine the relationship between the characteristics of brand associations and brand equity”, </w:t>
      </w:r>
      <w:r w:rsidRPr="0086651C">
        <w:rPr>
          <w:i/>
        </w:rPr>
        <w:t>Journal of Product &amp; Brand Management</w:t>
      </w:r>
      <w:r>
        <w:t>, 10 (6/7): 439-49.</w:t>
      </w:r>
    </w:p>
    <w:p w:rsidR="0086651C" w:rsidRDefault="005C2C93" w:rsidP="0086651C">
      <w:r w:rsidRPr="00EA329E">
        <w:t xml:space="preserve">Chu, J. (2001). "The renaming of library schools in China and the effects." </w:t>
      </w:r>
      <w:r w:rsidRPr="00180D03">
        <w:rPr>
          <w:i/>
        </w:rPr>
        <w:t>New library world</w:t>
      </w:r>
      <w:r w:rsidRPr="00EA329E">
        <w:t xml:space="preserve"> 102(7/8): 274-277.</w:t>
      </w:r>
      <w:r w:rsidR="0086651C" w:rsidRPr="0086651C">
        <w:t xml:space="preserve"> </w:t>
      </w:r>
    </w:p>
    <w:p w:rsidR="005C2C93" w:rsidRPr="00EA329E" w:rsidRDefault="0086651C" w:rsidP="005C2C93">
      <w:r w:rsidRPr="008D3863">
        <w:t>Cleary, D.P. (1981), Great American Brands, Fairchild, New York, NY.</w:t>
      </w:r>
    </w:p>
    <w:p w:rsidR="005C2C93" w:rsidRDefault="005C2C93" w:rsidP="005C2C93">
      <w:r w:rsidRPr="00EA329E">
        <w:lastRenderedPageBreak/>
        <w:t xml:space="preserve">Cobb-Walgren, </w:t>
      </w:r>
      <w:r w:rsidR="00A1371B">
        <w:t xml:space="preserve">C. Ruble, C. and </w:t>
      </w:r>
      <w:r w:rsidR="00A1371B" w:rsidRPr="00A1371B">
        <w:t>Donthu, N</w:t>
      </w:r>
      <w:r w:rsidR="00A1371B">
        <w:t xml:space="preserve">. </w:t>
      </w:r>
      <w:r w:rsidRPr="00EA329E">
        <w:t xml:space="preserve">(1995). "Brand equity, brand preference, and purchase intent." </w:t>
      </w:r>
      <w:r w:rsidRPr="00180D03">
        <w:rPr>
          <w:i/>
        </w:rPr>
        <w:t>Journal of Advertising</w:t>
      </w:r>
      <w:r w:rsidRPr="00EA329E">
        <w:t>: 25-40.</w:t>
      </w:r>
    </w:p>
    <w:p w:rsidR="00692914" w:rsidRPr="00EA329E" w:rsidRDefault="00692914" w:rsidP="00692914">
      <w:r w:rsidRPr="00692914">
        <w:t>Costello</w:t>
      </w:r>
      <w:r>
        <w:t xml:space="preserve">, A.B and </w:t>
      </w:r>
      <w:r w:rsidRPr="00692914">
        <w:t>Osborne</w:t>
      </w:r>
      <w:r>
        <w:t>, J.W. (2005).</w:t>
      </w:r>
      <w:r w:rsidRPr="00692914">
        <w:t xml:space="preserve"> </w:t>
      </w:r>
      <w:r>
        <w:t xml:space="preserve">Best Practices in Exploratory Factor Analysis: Four Recommendations for Getting the Most from Your Analysis, </w:t>
      </w:r>
      <w:r w:rsidRPr="00692914">
        <w:rPr>
          <w:i/>
        </w:rPr>
        <w:t>Practical Assessment Research &amp; Evaluation</w:t>
      </w:r>
      <w:r>
        <w:rPr>
          <w:i/>
        </w:rPr>
        <w:t>,</w:t>
      </w:r>
      <w:r w:rsidRPr="00692914">
        <w:t xml:space="preserve"> </w:t>
      </w:r>
      <w:r>
        <w:t>10 (7): 1-9.</w:t>
      </w:r>
    </w:p>
    <w:p w:rsidR="00703B3C" w:rsidRPr="00EA329E" w:rsidRDefault="00703B3C" w:rsidP="005C2C93">
      <w:r w:rsidRPr="00703B3C">
        <w:t>Crave</w:t>
      </w:r>
      <w:r w:rsidR="00A1371B">
        <w:t xml:space="preserve">ns K.S. and </w:t>
      </w:r>
      <w:r w:rsidRPr="00703B3C">
        <w:t xml:space="preserve">Guilding, C. </w:t>
      </w:r>
      <w:r w:rsidR="00A1371B">
        <w:t>(</w:t>
      </w:r>
      <w:r w:rsidRPr="00703B3C">
        <w:t>1999</w:t>
      </w:r>
      <w:r w:rsidR="00A1371B">
        <w:t>).</w:t>
      </w:r>
      <w:r w:rsidRPr="00703B3C">
        <w:t xml:space="preserve"> Strategic Bran</w:t>
      </w:r>
      <w:r>
        <w:t xml:space="preserve">d Valuation: A Cross-Functional Perspective, </w:t>
      </w:r>
      <w:r w:rsidRPr="00703B3C">
        <w:rPr>
          <w:i/>
        </w:rPr>
        <w:t>Business Horizons</w:t>
      </w:r>
      <w:r>
        <w:t>, 4 (42): 53</w:t>
      </w:r>
    </w:p>
    <w:p w:rsidR="005C2C93" w:rsidRPr="00180D03" w:rsidRDefault="005C2C93" w:rsidP="005C2C93">
      <w:pPr>
        <w:rPr>
          <w:i/>
        </w:rPr>
      </w:pPr>
      <w:r w:rsidRPr="00EA329E">
        <w:t xml:space="preserve">Creswell, J. W. (1994). "Qualitative and quantitative approaches." </w:t>
      </w:r>
      <w:r w:rsidRPr="00180D03">
        <w:rPr>
          <w:i/>
        </w:rPr>
        <w:t>Qualitative and quantitative approaches.</w:t>
      </w:r>
    </w:p>
    <w:p w:rsidR="005C2C93" w:rsidRPr="00EA329E" w:rsidRDefault="005C2C93" w:rsidP="005C2C93">
      <w:r w:rsidRPr="00EA329E">
        <w:t xml:space="preserve">Daly, A. and D. Moloney (2004). "Managing corporate rebranding." </w:t>
      </w:r>
      <w:r w:rsidRPr="00180D03">
        <w:rPr>
          <w:i/>
        </w:rPr>
        <w:t xml:space="preserve">Irish Marketing Review </w:t>
      </w:r>
      <w:r w:rsidRPr="00EA329E">
        <w:t>17(1/2): 30.</w:t>
      </w:r>
    </w:p>
    <w:p w:rsidR="005C2C93" w:rsidRPr="00EA329E" w:rsidRDefault="005C2C93" w:rsidP="005C2C93">
      <w:r w:rsidRPr="00EA329E">
        <w:t xml:space="preserve">De Chernatony, L. (2002). "Would a brand smell any sweeter by a corporate name?" </w:t>
      </w:r>
      <w:r w:rsidRPr="00180D03">
        <w:rPr>
          <w:i/>
        </w:rPr>
        <w:t>Corporate reputation review</w:t>
      </w:r>
      <w:r w:rsidRPr="00EA329E">
        <w:t xml:space="preserve"> 5(2-3): 2-3.</w:t>
      </w:r>
    </w:p>
    <w:p w:rsidR="005C2C93" w:rsidRPr="00EA329E" w:rsidRDefault="005C2C93" w:rsidP="005C2C93">
      <w:r w:rsidRPr="00EA329E">
        <w:t xml:space="preserve">De Chernatony, L., S. Drury, et al. (2004). "Identifying and sustaining services brands' values." </w:t>
      </w:r>
      <w:r w:rsidRPr="00180D03">
        <w:rPr>
          <w:i/>
        </w:rPr>
        <w:t>Journal of Marketing Communications</w:t>
      </w:r>
      <w:r w:rsidRPr="00EA329E">
        <w:t xml:space="preserve"> 10(2): 73-93.</w:t>
      </w:r>
    </w:p>
    <w:p w:rsidR="005C2C93" w:rsidRDefault="005C2C93" w:rsidP="005C2C93">
      <w:r w:rsidRPr="00EA329E">
        <w:t xml:space="preserve">De Chernatony, L. and </w:t>
      </w:r>
      <w:r>
        <w:t xml:space="preserve">Riley, </w:t>
      </w:r>
      <w:r w:rsidRPr="00EA329E">
        <w:t xml:space="preserve">F. D. O. (1998). "Defining a" brand": Beyond the literature with experts' interpretations." </w:t>
      </w:r>
      <w:r w:rsidRPr="00180D03">
        <w:rPr>
          <w:i/>
        </w:rPr>
        <w:t>Journal of Marketing Management</w:t>
      </w:r>
      <w:r w:rsidRPr="00EA329E">
        <w:t xml:space="preserve"> 14(5): 417-443.</w:t>
      </w:r>
    </w:p>
    <w:p w:rsidR="00C27223" w:rsidRDefault="00C27223" w:rsidP="00C27223">
      <w:r>
        <w:t xml:space="preserve">Dowling, G. (1993), “Developing your company image into a corporate asset”, </w:t>
      </w:r>
      <w:r w:rsidRPr="00C27223">
        <w:rPr>
          <w:i/>
        </w:rPr>
        <w:t>Long Range Planning</w:t>
      </w:r>
      <w:r>
        <w:t>, 26 (2): 102-9.</w:t>
      </w:r>
    </w:p>
    <w:p w:rsidR="00A145F3" w:rsidRPr="00EA329E" w:rsidRDefault="00A145F3" w:rsidP="00A145F3">
      <w:r>
        <w:t xml:space="preserve">Eagle, L. and Kitchen, P. (2000), “Building brands or bolstering egos? A comparative review of the impact and measurement of advertising on brand equity”, </w:t>
      </w:r>
      <w:r w:rsidRPr="00A145F3">
        <w:rPr>
          <w:i/>
        </w:rPr>
        <w:t>Journal of Marketing Communications</w:t>
      </w:r>
      <w:r>
        <w:t>, 6 (2):  91-106.</w:t>
      </w:r>
    </w:p>
    <w:p w:rsidR="005C2C93" w:rsidRDefault="005C2C93" w:rsidP="005C2C93">
      <w:r>
        <w:lastRenderedPageBreak/>
        <w:t>Einwiller, S. and</w:t>
      </w:r>
      <w:r w:rsidRPr="00EA329E">
        <w:t xml:space="preserve"> Will</w:t>
      </w:r>
      <w:r>
        <w:t>, M.</w:t>
      </w:r>
      <w:r w:rsidRPr="00EA329E">
        <w:t xml:space="preserve"> (2002). "Towards an integrated approach to corporate branding–an empirical study." Corporate Communications: </w:t>
      </w:r>
      <w:r w:rsidRPr="00180D03">
        <w:rPr>
          <w:i/>
        </w:rPr>
        <w:t xml:space="preserve">An International Journal </w:t>
      </w:r>
      <w:r w:rsidRPr="00EA329E">
        <w:t>7(2): 100-109.</w:t>
      </w:r>
    </w:p>
    <w:p w:rsidR="006663EC" w:rsidRPr="00EA329E" w:rsidRDefault="006663EC" w:rsidP="006663EC">
      <w:r>
        <w:t xml:space="preserve">Faircloth, J.B., Capella, L.M. and Alford, B.L. (2001), “The effect of brand attitude and brand image on brand equity”, </w:t>
      </w:r>
      <w:r w:rsidRPr="006663EC">
        <w:rPr>
          <w:i/>
        </w:rPr>
        <w:t>Journal of Marketing Theory &amp; Practice</w:t>
      </w:r>
      <w:r>
        <w:t>, 9</w:t>
      </w:r>
      <w:r w:rsidR="00A145F3">
        <w:t xml:space="preserve"> (</w:t>
      </w:r>
      <w:r>
        <w:t>3</w:t>
      </w:r>
      <w:r w:rsidR="00A145F3">
        <w:t xml:space="preserve">): </w:t>
      </w:r>
      <w:r>
        <w:t xml:space="preserve"> 61-75.</w:t>
      </w:r>
    </w:p>
    <w:p w:rsidR="005C2C93" w:rsidRDefault="005C2C93" w:rsidP="005C2C93">
      <w:r w:rsidRPr="00EA329E">
        <w:t xml:space="preserve">Feldwick, P. (1996). "Do we really need brand equity'?" </w:t>
      </w:r>
      <w:r w:rsidRPr="00180D03">
        <w:rPr>
          <w:i/>
        </w:rPr>
        <w:t xml:space="preserve">Journal of Brand Management </w:t>
      </w:r>
      <w:r w:rsidRPr="00EA329E">
        <w:t>4: 9-28.</w:t>
      </w:r>
    </w:p>
    <w:p w:rsidR="00800753" w:rsidRDefault="00800753" w:rsidP="00800753">
      <w:r>
        <w:t xml:space="preserve">Franzen, G. (1999). </w:t>
      </w:r>
      <w:r w:rsidRPr="00800753">
        <w:rPr>
          <w:i/>
        </w:rPr>
        <w:t>Brands and advertising: How advertising effectiveness influences brand equity</w:t>
      </w:r>
      <w:r>
        <w:t>, Admap, Henley-on-Thames.</w:t>
      </w:r>
    </w:p>
    <w:p w:rsidR="005C2C93" w:rsidRPr="00EA329E" w:rsidRDefault="005C2C93" w:rsidP="005C2C93">
      <w:r w:rsidRPr="00DB6F62">
        <w:t>Fr</w:t>
      </w:r>
      <w:r w:rsidR="006663EC">
        <w:t>anzen , G . and Bouwman , M . (</w:t>
      </w:r>
      <w:r w:rsidRPr="00DB6F62">
        <w:t xml:space="preserve">2001) </w:t>
      </w:r>
      <w:r w:rsidRPr="00B72867">
        <w:rPr>
          <w:i/>
        </w:rPr>
        <w:t>‘The Mental World of Brands: Mind, Memory and Brand Success ’</w:t>
      </w:r>
      <w:r w:rsidRPr="00DB6F62">
        <w:t xml:space="preserve"> , </w:t>
      </w:r>
      <w:r>
        <w:t xml:space="preserve">Oxfordshire. </w:t>
      </w:r>
      <w:r w:rsidRPr="00B72867">
        <w:t>World Advertising Research Centre</w:t>
      </w:r>
      <w:r>
        <w:t>.</w:t>
      </w:r>
    </w:p>
    <w:p w:rsidR="005C2C93" w:rsidRDefault="005C2C93" w:rsidP="005C2C93">
      <w:r>
        <w:t xml:space="preserve">Gambles, B. and </w:t>
      </w:r>
      <w:r w:rsidRPr="00EA329E">
        <w:t>Schuster</w:t>
      </w:r>
      <w:r>
        <w:t>, H.</w:t>
      </w:r>
      <w:r w:rsidRPr="00EA329E">
        <w:t xml:space="preserve"> (2003). "The changing image of Birmingham libraries: marketing strategy into action." </w:t>
      </w:r>
      <w:r w:rsidRPr="00180D03">
        <w:rPr>
          <w:i/>
        </w:rPr>
        <w:t>New library world</w:t>
      </w:r>
      <w:r w:rsidRPr="00EA329E">
        <w:t xml:space="preserve"> 104(9): 361-371.</w:t>
      </w:r>
    </w:p>
    <w:p w:rsidR="005C2C93" w:rsidRPr="00EA329E" w:rsidRDefault="005C2C93" w:rsidP="005C2C93">
      <w:r w:rsidRPr="008D3863">
        <w:t xml:space="preserve">Ginden, R. (1993), The name game”, </w:t>
      </w:r>
      <w:r w:rsidRPr="00180D03">
        <w:rPr>
          <w:i/>
        </w:rPr>
        <w:t>Cheers</w:t>
      </w:r>
      <w:r w:rsidRPr="008D3863">
        <w:t>, pp. 59-62.</w:t>
      </w:r>
    </w:p>
    <w:p w:rsidR="005C2C93" w:rsidRPr="00EA329E" w:rsidRDefault="005C2C93" w:rsidP="005C2C93">
      <w:r w:rsidRPr="00EA329E">
        <w:t xml:space="preserve">Golafshani, N. (2003). "Understanding reliability and validity in qualitative research." </w:t>
      </w:r>
      <w:r w:rsidRPr="00180D03">
        <w:rPr>
          <w:i/>
        </w:rPr>
        <w:t>The qualitative report</w:t>
      </w:r>
      <w:r w:rsidRPr="00EA329E">
        <w:t xml:space="preserve"> 8(4): 597-607.</w:t>
      </w:r>
    </w:p>
    <w:p w:rsidR="005C2C93" w:rsidRDefault="005C2C93" w:rsidP="005C2C93">
      <w:r w:rsidRPr="00EA329E">
        <w:t>Gots</w:t>
      </w:r>
      <w:r>
        <w:t xml:space="preserve">i, M. and </w:t>
      </w:r>
      <w:r w:rsidRPr="00EA329E">
        <w:t>Andriopoulos</w:t>
      </w:r>
      <w:r>
        <w:t>, C.</w:t>
      </w:r>
      <w:r w:rsidRPr="00EA329E">
        <w:t xml:space="preserve"> (2007). "Understanding the pitfalls in the corporate rebranding process." </w:t>
      </w:r>
      <w:r w:rsidRPr="00180D03">
        <w:rPr>
          <w:i/>
        </w:rPr>
        <w:t>Corporate Communications: An International Journal</w:t>
      </w:r>
      <w:r w:rsidRPr="00EA329E">
        <w:t xml:space="preserve"> 12(4): 341-355.</w:t>
      </w:r>
    </w:p>
    <w:p w:rsidR="009A5BA3" w:rsidRPr="00EA329E" w:rsidRDefault="009A5BA3" w:rsidP="009A5BA3">
      <w:r>
        <w:t xml:space="preserve">Gotsi, M., Andriopoulos, C. and  Wilson, A. (2008). “Corporate re-branding: is cultural alignment the weakest link?”. </w:t>
      </w:r>
      <w:r w:rsidRPr="009A5BA3">
        <w:rPr>
          <w:i/>
        </w:rPr>
        <w:t>Management Decision</w:t>
      </w:r>
      <w:r>
        <w:t>, 46 (1): 46-57.</w:t>
      </w:r>
    </w:p>
    <w:p w:rsidR="005C2C93" w:rsidRPr="00EA329E" w:rsidRDefault="005C2C93" w:rsidP="005C2C93">
      <w:r>
        <w:t xml:space="preserve">Hague, P. N. and </w:t>
      </w:r>
      <w:r w:rsidRPr="00EA329E">
        <w:t>Jackson</w:t>
      </w:r>
      <w:r>
        <w:t>, P.</w:t>
      </w:r>
      <w:r w:rsidRPr="00EA329E">
        <w:t xml:space="preserve"> (1994). </w:t>
      </w:r>
      <w:r w:rsidRPr="00180D03">
        <w:rPr>
          <w:i/>
        </w:rPr>
        <w:t>The power of industrial brands: an effective route to competitive advantage</w:t>
      </w:r>
      <w:r>
        <w:t xml:space="preserve">. London, </w:t>
      </w:r>
      <w:r w:rsidRPr="00EA329E">
        <w:t>McGraw-Hill.</w:t>
      </w:r>
      <w:r>
        <w:t xml:space="preserve"> </w:t>
      </w:r>
    </w:p>
    <w:p w:rsidR="00262AFA" w:rsidRDefault="005C2C93" w:rsidP="005C2C93">
      <w:r w:rsidRPr="00EA329E">
        <w:lastRenderedPageBreak/>
        <w:t xml:space="preserve">Hair, J. F., R. E. Anderson, et al. (1998). "Multivariate data analysis. 1998." Englewood Cliffs. Prentice Hall. </w:t>
      </w:r>
    </w:p>
    <w:p w:rsidR="005C2C93" w:rsidRPr="00EA329E" w:rsidRDefault="005C2C93" w:rsidP="005C2C93">
      <w:r w:rsidRPr="00EA329E">
        <w:t xml:space="preserve">Hankinson, P., W. Lomax, et al. (2007). "The time factor in rebranding organizations: its effects on staff knowledge, attitudes and behaviour in UK charities." </w:t>
      </w:r>
      <w:r w:rsidRPr="00180D03">
        <w:rPr>
          <w:i/>
        </w:rPr>
        <w:t>Journal of Product &amp; Brand Management</w:t>
      </w:r>
      <w:r w:rsidRPr="00EA329E">
        <w:t xml:space="preserve"> 16(4): 236-246.</w:t>
      </w:r>
    </w:p>
    <w:p w:rsidR="005C2C93" w:rsidRDefault="005C2C93" w:rsidP="005C2C93">
      <w:r w:rsidRPr="00EA329E">
        <w:t>Hatch, M. J. and Schultz</w:t>
      </w:r>
      <w:r>
        <w:t>, M.</w:t>
      </w:r>
      <w:r w:rsidRPr="00EA329E">
        <w:t xml:space="preserve"> (2003). "Bringing the corporation into corporate branding." </w:t>
      </w:r>
      <w:r w:rsidRPr="00180D03">
        <w:rPr>
          <w:i/>
        </w:rPr>
        <w:t>European Journal of Marketing</w:t>
      </w:r>
      <w:r w:rsidRPr="00EA329E">
        <w:t xml:space="preserve"> 37(7/8): 1041-1064.</w:t>
      </w:r>
    </w:p>
    <w:p w:rsidR="00A71BA1" w:rsidRDefault="005C2C93" w:rsidP="005C2C93">
      <w:r w:rsidRPr="00DB6F62">
        <w:t xml:space="preserve">Hussey, J. and Hussey, R. (1997) </w:t>
      </w:r>
      <w:r w:rsidRPr="00180D03">
        <w:rPr>
          <w:i/>
        </w:rPr>
        <w:t>Business Research, Palgrave Publishers</w:t>
      </w:r>
      <w:r w:rsidR="00A71BA1">
        <w:t>, New York.</w:t>
      </w:r>
    </w:p>
    <w:p w:rsidR="005C2C93" w:rsidRPr="00EA329E" w:rsidRDefault="005C2C93" w:rsidP="005C2C93">
      <w:r w:rsidRPr="00EA329E">
        <w:t xml:space="preserve">Javalgi, R. R. G. and </w:t>
      </w:r>
      <w:r>
        <w:t xml:space="preserve">Moberg, </w:t>
      </w:r>
      <w:r w:rsidRPr="00EA329E">
        <w:t xml:space="preserve">C. R. (1997). "Service loyalty: implications for service providers." </w:t>
      </w:r>
      <w:r w:rsidRPr="00180D03">
        <w:rPr>
          <w:i/>
        </w:rPr>
        <w:t>Journal of Services Marketing</w:t>
      </w:r>
      <w:r w:rsidRPr="00EA329E">
        <w:t xml:space="preserve"> 11(3): 165-179.</w:t>
      </w:r>
    </w:p>
    <w:p w:rsidR="005C2C93" w:rsidRPr="00EA329E" w:rsidRDefault="005C2C93" w:rsidP="005C2C93">
      <w:r w:rsidRPr="00EA329E">
        <w:t xml:space="preserve">Kaikati, J. G. and </w:t>
      </w:r>
      <w:r>
        <w:t xml:space="preserve">Kaikati, </w:t>
      </w:r>
      <w:r w:rsidRPr="00EA329E">
        <w:t xml:space="preserve">A. M. (2003). "A rose by any other name: rebranding campaigns that work." </w:t>
      </w:r>
      <w:r w:rsidRPr="00180D03">
        <w:rPr>
          <w:i/>
        </w:rPr>
        <w:t>Journal of Business Strategy</w:t>
      </w:r>
      <w:r w:rsidRPr="00EA329E">
        <w:t xml:space="preserve"> 24(6): 17-23.</w:t>
      </w:r>
    </w:p>
    <w:p w:rsidR="005C2C93" w:rsidRDefault="005C2C93" w:rsidP="005C2C93">
      <w:r>
        <w:t xml:space="preserve">Kalof, L. and </w:t>
      </w:r>
      <w:r w:rsidRPr="00EA329E">
        <w:t>Dan</w:t>
      </w:r>
      <w:r>
        <w:t>, A.</w:t>
      </w:r>
      <w:r w:rsidRPr="00EA329E">
        <w:t xml:space="preserve"> (2008). </w:t>
      </w:r>
      <w:r w:rsidRPr="00180D03">
        <w:rPr>
          <w:i/>
        </w:rPr>
        <w:t>Essentials of social research</w:t>
      </w:r>
      <w:r w:rsidRPr="00EA329E">
        <w:t>,</w:t>
      </w:r>
      <w:r w:rsidRPr="00B72867">
        <w:t xml:space="preserve"> Berkshire, UK: McGraw-Hill/Open University Press.</w:t>
      </w:r>
      <w:r w:rsidRPr="00EA329E">
        <w:t xml:space="preserve"> </w:t>
      </w:r>
    </w:p>
    <w:p w:rsidR="005C2C93" w:rsidRDefault="005C2C93" w:rsidP="005C2C93">
      <w:r>
        <w:t xml:space="preserve">Kamakura, W.A., and Russell, G.J., (1993), “Measuring Brand Value with Scanner Data”, </w:t>
      </w:r>
      <w:r w:rsidRPr="00282908">
        <w:rPr>
          <w:i/>
        </w:rPr>
        <w:t>International Journal of Research in Marketing</w:t>
      </w:r>
      <w:r>
        <w:t>, 10: 9-22.</w:t>
      </w:r>
    </w:p>
    <w:p w:rsidR="00A71BA1" w:rsidRDefault="00A71BA1" w:rsidP="00A71BA1">
      <w:r>
        <w:t xml:space="preserve">Kapferer, J. (2004), </w:t>
      </w:r>
      <w:r w:rsidRPr="00A71BA1">
        <w:rPr>
          <w:i/>
        </w:rPr>
        <w:t>The New Strategic Brand Management</w:t>
      </w:r>
      <w:r>
        <w:t>. London</w:t>
      </w:r>
    </w:p>
    <w:p w:rsidR="005C2C93" w:rsidRDefault="005C2C93" w:rsidP="005C2C93">
      <w:r w:rsidRPr="00EA329E">
        <w:t xml:space="preserve">Kapferer, J. N. (2008). </w:t>
      </w:r>
      <w:r w:rsidRPr="00894ADE">
        <w:rPr>
          <w:i/>
        </w:rPr>
        <w:t>The New Strategic Brand Management: Creating and Sustaining Brand Equity Long Term</w:t>
      </w:r>
      <w:r w:rsidRPr="00EA329E">
        <w:t xml:space="preserve"> </w:t>
      </w:r>
      <w:r w:rsidRPr="00894ADE">
        <w:rPr>
          <w:i/>
        </w:rPr>
        <w:t>4th edition</w:t>
      </w:r>
      <w:r w:rsidRPr="00EA329E">
        <w:t>, Kogan Page</w:t>
      </w:r>
      <w:r>
        <w:t xml:space="preserve"> Limited, London.</w:t>
      </w:r>
    </w:p>
    <w:p w:rsidR="00AD6B7E" w:rsidRDefault="00AD6B7E" w:rsidP="005C2C93">
      <w:r>
        <w:t>Kay, M.</w:t>
      </w:r>
      <w:r w:rsidRPr="00AD6B7E">
        <w:t xml:space="preserve"> </w:t>
      </w:r>
      <w:r>
        <w:t xml:space="preserve">(2006). </w:t>
      </w:r>
      <w:r w:rsidRPr="00AD6B7E">
        <w:t xml:space="preserve">“Strong Brands and Corporate Brands”, </w:t>
      </w:r>
      <w:r w:rsidRPr="00AD6B7E">
        <w:rPr>
          <w:i/>
        </w:rPr>
        <w:t>European Journal of Marketing</w:t>
      </w:r>
      <w:r w:rsidRPr="00AD6B7E">
        <w:t>, 40</w:t>
      </w:r>
      <w:r>
        <w:t xml:space="preserve"> (</w:t>
      </w:r>
      <w:r w:rsidRPr="00AD6B7E">
        <w:t>7/8</w:t>
      </w:r>
      <w:r>
        <w:t xml:space="preserve">): </w:t>
      </w:r>
      <w:r w:rsidRPr="00AD6B7E">
        <w:t>742-760</w:t>
      </w:r>
      <w:r>
        <w:t xml:space="preserve">. </w:t>
      </w:r>
    </w:p>
    <w:p w:rsidR="00262AFA" w:rsidRDefault="00262AFA" w:rsidP="00262AFA">
      <w:r>
        <w:t xml:space="preserve">Keller, K.L. (1993), “Conceptualizing, Measuring and Managing Customer-Based Brand Equity”, </w:t>
      </w:r>
      <w:r w:rsidRPr="00262AFA">
        <w:rPr>
          <w:i/>
        </w:rPr>
        <w:t>Journal of Marketing</w:t>
      </w:r>
      <w:r>
        <w:t>, 57: 1-22.</w:t>
      </w:r>
    </w:p>
    <w:p w:rsidR="00490402" w:rsidRPr="00EA329E" w:rsidRDefault="00490402" w:rsidP="00490402">
      <w:r>
        <w:lastRenderedPageBreak/>
        <w:t xml:space="preserve">Keller, K.L. (1998), </w:t>
      </w:r>
      <w:r w:rsidRPr="00490402">
        <w:rPr>
          <w:i/>
        </w:rPr>
        <w:t>Strategic Brand Management: Building, Measuring and Managing Brand Equity</w:t>
      </w:r>
      <w:r>
        <w:t>, Prentice Hall, Upper Saddle River, New Jersey.</w:t>
      </w:r>
    </w:p>
    <w:p w:rsidR="005C2C93" w:rsidRDefault="005C2C93" w:rsidP="005C2C93">
      <w:r w:rsidRPr="00EA329E">
        <w:t xml:space="preserve">Keller, K. L. (2000). "The brand report card." </w:t>
      </w:r>
      <w:r w:rsidRPr="00180D03">
        <w:rPr>
          <w:i/>
        </w:rPr>
        <w:t>Harvard Business Review</w:t>
      </w:r>
      <w:r w:rsidRPr="00EA329E">
        <w:t xml:space="preserve"> 78(1): 147-158.</w:t>
      </w:r>
    </w:p>
    <w:p w:rsidR="00957696" w:rsidRDefault="00957696" w:rsidP="00957696">
      <w:r>
        <w:t xml:space="preserve">Keller, K.L. (2003), </w:t>
      </w:r>
      <w:r w:rsidRPr="00957696">
        <w:rPr>
          <w:i/>
        </w:rPr>
        <w:t>Strategic Brand Management: Building, Measuring and Managing Brand Equity</w:t>
      </w:r>
      <w:r>
        <w:t>, 2nd ed., Prentice-Hall, Englewood Cliffs, NJ.</w:t>
      </w:r>
    </w:p>
    <w:p w:rsidR="005C2C93" w:rsidRDefault="005C2C93" w:rsidP="005C2C93">
      <w:r>
        <w:t xml:space="preserve">Kerin, R.A and Sethuraman, R. (1998) Exploring the Brand Value – Shareholder value Nexus for Consumer Goods Companies. </w:t>
      </w:r>
      <w:r w:rsidRPr="00180D03">
        <w:rPr>
          <w:i/>
        </w:rPr>
        <w:t>Journal of the academy of Marketing Science</w:t>
      </w:r>
      <w:r>
        <w:t>, 26:  260-273.</w:t>
      </w:r>
    </w:p>
    <w:p w:rsidR="005C2C93" w:rsidRPr="00EA329E" w:rsidRDefault="005C2C93" w:rsidP="005C2C93">
      <w:r>
        <w:t xml:space="preserve">Kim, H., Kim , W and An, J. (2003) The effect of consumer –based brand equity on firms’ financial performance. </w:t>
      </w:r>
      <w:r w:rsidRPr="00180D03">
        <w:rPr>
          <w:i/>
        </w:rPr>
        <w:t>The Journal of Consumer Marketing</w:t>
      </w:r>
      <w:r>
        <w:t>, 20: 335 – 351.</w:t>
      </w:r>
    </w:p>
    <w:p w:rsidR="005C2C93" w:rsidRDefault="005C2C93" w:rsidP="005C2C93">
      <w:r>
        <w:t xml:space="preserve">Kilic, C. and </w:t>
      </w:r>
      <w:r w:rsidRPr="00EA329E">
        <w:t xml:space="preserve"> Dursun</w:t>
      </w:r>
      <w:r>
        <w:t>, T.</w:t>
      </w:r>
      <w:r w:rsidRPr="00EA329E">
        <w:t xml:space="preserve"> (2006). "The Effect of Corporate Identity Changes on Firm Value: An Empirical Investigation." </w:t>
      </w:r>
      <w:r w:rsidRPr="00180D03">
        <w:rPr>
          <w:i/>
        </w:rPr>
        <w:t>Journal of the American Academy of Business</w:t>
      </w:r>
      <w:r w:rsidRPr="00EA329E">
        <w:t xml:space="preserve"> 10(1): 234-240.</w:t>
      </w:r>
    </w:p>
    <w:p w:rsidR="00123E2D" w:rsidRDefault="00E442AB" w:rsidP="005C2C93">
      <w:r>
        <w:t xml:space="preserve">King. </w:t>
      </w:r>
      <w:r w:rsidR="00123E2D" w:rsidRPr="00123E2D">
        <w:t xml:space="preserve">(1991), “Brand building in the 1990s”, </w:t>
      </w:r>
      <w:r w:rsidR="00123E2D" w:rsidRPr="00123E2D">
        <w:rPr>
          <w:i/>
        </w:rPr>
        <w:t>Journal of Marketing Management</w:t>
      </w:r>
      <w:r w:rsidR="00123E2D" w:rsidRPr="00123E2D">
        <w:t>, 7</w:t>
      </w:r>
      <w:r w:rsidR="00123E2D">
        <w:t xml:space="preserve">: </w:t>
      </w:r>
      <w:r w:rsidR="00123E2D" w:rsidRPr="00123E2D">
        <w:t>3-13.</w:t>
      </w:r>
    </w:p>
    <w:p w:rsidR="00E442AB" w:rsidRDefault="00E442AB" w:rsidP="005C2C93">
      <w:r w:rsidRPr="00E442AB">
        <w:t>Koku, PS</w:t>
      </w:r>
      <w:r>
        <w:t>.</w:t>
      </w:r>
      <w:r w:rsidRPr="00E442AB">
        <w:t xml:space="preserve"> </w:t>
      </w:r>
      <w:r>
        <w:t>(</w:t>
      </w:r>
      <w:r w:rsidRPr="00E442AB">
        <w:t>1997a</w:t>
      </w:r>
      <w:r>
        <w:t>)</w:t>
      </w:r>
      <w:r w:rsidRPr="00E442AB">
        <w:t>, “Corporate name change signaling in the services industry</w:t>
      </w:r>
      <w:r>
        <w:t>”</w:t>
      </w:r>
      <w:r w:rsidRPr="00E442AB">
        <w:t xml:space="preserve">, </w:t>
      </w:r>
      <w:r>
        <w:rPr>
          <w:i/>
        </w:rPr>
        <w:t>Journal of Services Marketing</w:t>
      </w:r>
      <w:r w:rsidRPr="00E442AB">
        <w:rPr>
          <w:i/>
        </w:rPr>
        <w:t>,</w:t>
      </w:r>
      <w:r w:rsidRPr="00E442AB">
        <w:t xml:space="preserve"> 11</w:t>
      </w:r>
      <w:r>
        <w:t>(</w:t>
      </w:r>
      <w:r w:rsidRPr="00E442AB">
        <w:t>6</w:t>
      </w:r>
      <w:r>
        <w:t>):</w:t>
      </w:r>
      <w:r w:rsidRPr="00E442AB">
        <w:t xml:space="preserve"> 392-408.</w:t>
      </w:r>
    </w:p>
    <w:p w:rsidR="00957696" w:rsidRDefault="00957696" w:rsidP="00957696">
      <w:r>
        <w:t xml:space="preserve">Kotler, P. (2000), </w:t>
      </w:r>
      <w:r w:rsidRPr="00957696">
        <w:rPr>
          <w:i/>
        </w:rPr>
        <w:t>Marketing Management: Analysis, Planning, Implementation and Control</w:t>
      </w:r>
      <w:r>
        <w:t>, 10</w:t>
      </w:r>
      <w:r w:rsidRPr="00957696">
        <w:rPr>
          <w:vertAlign w:val="superscript"/>
        </w:rPr>
        <w:t>th</w:t>
      </w:r>
      <w:r>
        <w:t xml:space="preserve"> ed., Prentice-Hall, Englewood Cliffs, NJ.</w:t>
      </w:r>
    </w:p>
    <w:p w:rsidR="005C2C93" w:rsidRDefault="005C2C93" w:rsidP="005C2C93">
      <w:r>
        <w:t xml:space="preserve">Kotler, P. and Keller, K. (2009) </w:t>
      </w:r>
      <w:r w:rsidRPr="004715AB">
        <w:rPr>
          <w:i/>
        </w:rPr>
        <w:t>Marketing Management</w:t>
      </w:r>
      <w:r>
        <w:t>, Pearson International Edition, London</w:t>
      </w:r>
    </w:p>
    <w:p w:rsidR="005C2C93" w:rsidRPr="006916E6" w:rsidRDefault="005C2C93" w:rsidP="005C2C93">
      <w:r w:rsidRPr="006916E6">
        <w:lastRenderedPageBreak/>
        <w:t xml:space="preserve">Lambkin, M.C and L. Muzellec. </w:t>
      </w:r>
      <w:r>
        <w:t>(</w:t>
      </w:r>
      <w:r w:rsidRPr="006916E6">
        <w:t>2008</w:t>
      </w:r>
      <w:r>
        <w:t>)</w:t>
      </w:r>
      <w:r w:rsidRPr="006916E6">
        <w:t xml:space="preserve">. Rebranding in the Banking Industry following Mergers and Acquisitions. </w:t>
      </w:r>
      <w:r>
        <w:rPr>
          <w:i/>
        </w:rPr>
        <w:t>International Journal o</w:t>
      </w:r>
      <w:r w:rsidRPr="006916E6">
        <w:rPr>
          <w:i/>
        </w:rPr>
        <w:t>f Bank Marketing</w:t>
      </w:r>
      <w:r>
        <w:t xml:space="preserve">, 26(5): </w:t>
      </w:r>
      <w:r w:rsidRPr="006916E6">
        <w:t xml:space="preserve">328-352. </w:t>
      </w:r>
    </w:p>
    <w:p w:rsidR="005C2C93" w:rsidRDefault="005C2C93" w:rsidP="005C2C93">
      <w:r w:rsidRPr="00EA329E">
        <w:t xml:space="preserve">Lassar, W., B. Mittal, et al. (1995). "Measuring customer-based brand equity." </w:t>
      </w:r>
      <w:r w:rsidRPr="00180D03">
        <w:rPr>
          <w:i/>
        </w:rPr>
        <w:t>Journal of consumer marketing</w:t>
      </w:r>
      <w:r w:rsidRPr="00EA329E">
        <w:t xml:space="preserve"> 12(4): 11-19.</w:t>
      </w:r>
    </w:p>
    <w:p w:rsidR="005C2C93" w:rsidRPr="00EA329E" w:rsidRDefault="005C2C93" w:rsidP="005C2C93">
      <w:r w:rsidRPr="00DB6F62">
        <w:t xml:space="preserve">Leedy, P.D and Ormrod, J.E. (2005) </w:t>
      </w:r>
      <w:r w:rsidRPr="00180D03">
        <w:rPr>
          <w:i/>
        </w:rPr>
        <w:t>Practical Research</w:t>
      </w:r>
      <w:r w:rsidRPr="00DB6F62">
        <w:t xml:space="preserve">. </w:t>
      </w:r>
      <w:r w:rsidRPr="00180D03">
        <w:rPr>
          <w:i/>
        </w:rPr>
        <w:t>Planning and design,</w:t>
      </w:r>
      <w:r w:rsidRPr="00DB6F62">
        <w:t xml:space="preserve"> 8th ed., Pearson Prentice Hall, Upper Saddle River, New Jersey.</w:t>
      </w:r>
    </w:p>
    <w:p w:rsidR="005C2C93" w:rsidRPr="00EA329E" w:rsidRDefault="005C2C93" w:rsidP="005C2C93">
      <w:r>
        <w:t xml:space="preserve">Lomax, W. and </w:t>
      </w:r>
      <w:r w:rsidRPr="00EA329E">
        <w:t>Mador</w:t>
      </w:r>
      <w:r>
        <w:t>, M.</w:t>
      </w:r>
      <w:r w:rsidRPr="00EA329E">
        <w:t xml:space="preserve"> (2006). "Corporate rebranding: From normative models to knowledge management." </w:t>
      </w:r>
      <w:r w:rsidRPr="00180D03">
        <w:rPr>
          <w:i/>
        </w:rPr>
        <w:t>Journal of Brand Management</w:t>
      </w:r>
      <w:r w:rsidRPr="00EA329E">
        <w:t xml:space="preserve"> 14(1): 82-95.</w:t>
      </w:r>
    </w:p>
    <w:p w:rsidR="005C2C93" w:rsidRDefault="005C2C93" w:rsidP="005C2C93">
      <w:r w:rsidRPr="00EA329E">
        <w:t>Lomax, W., M. Mador, et al. (2002). "Corporate rebranding: learning from experience."</w:t>
      </w:r>
      <w:r>
        <w:t xml:space="preserve"> </w:t>
      </w:r>
      <w:r w:rsidRPr="00894ADE">
        <w:rPr>
          <w:i/>
        </w:rPr>
        <w:t>Ocassional Paper Series,</w:t>
      </w:r>
      <w:r>
        <w:t xml:space="preserve"> No 48.</w:t>
      </w:r>
    </w:p>
    <w:p w:rsidR="005C2C93" w:rsidRDefault="005C2C93" w:rsidP="005C2C93">
      <w:r>
        <w:t>Lorenzini, B. and McCarthy, B. (1992), “</w:t>
      </w:r>
      <w:r w:rsidRPr="00180D03">
        <w:rPr>
          <w:i/>
        </w:rPr>
        <w:t>The branding evolution”, Restaurants &amp; Institutions</w:t>
      </w:r>
      <w:r>
        <w:t>, 102:  87-106.</w:t>
      </w:r>
    </w:p>
    <w:p w:rsidR="00DB312E" w:rsidRDefault="00DB312E" w:rsidP="00DB312E">
      <w:pPr>
        <w:rPr>
          <w:i/>
        </w:rPr>
      </w:pPr>
      <w:r w:rsidRPr="00A853B2">
        <w:t xml:space="preserve">Malhotra, N.K. and Birks, D.F. (2003). </w:t>
      </w:r>
      <w:r w:rsidRPr="00A853B2">
        <w:rPr>
          <w:i/>
        </w:rPr>
        <w:t>Marketing Research: An Applied Approach, Prentice Hall, Harlow.</w:t>
      </w:r>
    </w:p>
    <w:p w:rsidR="00FE3F5D" w:rsidRPr="00EA329E" w:rsidRDefault="00FE3F5D" w:rsidP="00FE3F5D">
      <w:r>
        <w:t xml:space="preserve">Melewar, T.C., Hussey, G. and Srivoravilai, N. (2005). “Corporate visual identity: the re-branding of France telecom”. </w:t>
      </w:r>
      <w:r w:rsidRPr="00FE3F5D">
        <w:rPr>
          <w:i/>
        </w:rPr>
        <w:t>Brand management</w:t>
      </w:r>
      <w:r>
        <w:t>, 12 (5): 379-394.</w:t>
      </w:r>
    </w:p>
    <w:p w:rsidR="005C2C93" w:rsidRDefault="005C2C93" w:rsidP="005C2C93">
      <w:r>
        <w:t xml:space="preserve">Merrilees, B. and </w:t>
      </w:r>
      <w:r w:rsidRPr="00EA329E">
        <w:t>Miller</w:t>
      </w:r>
      <w:r>
        <w:t>, D.</w:t>
      </w:r>
      <w:r w:rsidRPr="00EA329E">
        <w:t xml:space="preserve"> (2008). "Principles of corporate rebranding." </w:t>
      </w:r>
      <w:r w:rsidRPr="00180D03">
        <w:rPr>
          <w:i/>
        </w:rPr>
        <w:t xml:space="preserve">European Journal of Marketing </w:t>
      </w:r>
      <w:r w:rsidRPr="00EA329E">
        <w:t>42(5/6): 537-552.</w:t>
      </w:r>
    </w:p>
    <w:p w:rsidR="005C2C93" w:rsidRPr="00EA329E" w:rsidRDefault="005C2C93" w:rsidP="005C2C93">
      <w:r>
        <w:t xml:space="preserve">Montgomery, C. and Wernerfelt, B. (1992), “Risk reduction and umbrella branding”, </w:t>
      </w:r>
      <w:r w:rsidRPr="00180D03">
        <w:rPr>
          <w:i/>
        </w:rPr>
        <w:t>Journal of Business</w:t>
      </w:r>
      <w:r>
        <w:t>, 65: 31-50.</w:t>
      </w:r>
    </w:p>
    <w:p w:rsidR="005C2C93" w:rsidRDefault="005C2C93" w:rsidP="005C2C93">
      <w:r>
        <w:t xml:space="preserve">Montameni, R. and </w:t>
      </w:r>
      <w:r w:rsidRPr="00EA329E">
        <w:t>Shahrokhi</w:t>
      </w:r>
      <w:r>
        <w:t>, M.</w:t>
      </w:r>
      <w:r w:rsidRPr="00EA329E">
        <w:t xml:space="preserve"> (1998). "Brand equity valuation: a global perspective." </w:t>
      </w:r>
      <w:r w:rsidRPr="00180D03">
        <w:rPr>
          <w:i/>
        </w:rPr>
        <w:t>Journal of Product &amp; Brand Management</w:t>
      </w:r>
      <w:r w:rsidRPr="00EA329E">
        <w:t xml:space="preserve"> 7(4): 275-290.</w:t>
      </w:r>
    </w:p>
    <w:p w:rsidR="000F5FC0" w:rsidRPr="00EA329E" w:rsidRDefault="000F5FC0" w:rsidP="005C2C93">
      <w:r>
        <w:lastRenderedPageBreak/>
        <w:t xml:space="preserve">Mosupyoe, S.S.L.N. (2001). The implications of corporate rebranding in the South African cellular telecommunications service industry: Challenges and opportunities, </w:t>
      </w:r>
      <w:r w:rsidRPr="000F5FC0">
        <w:t>1st International Conference on Accounting, Business and Economics</w:t>
      </w:r>
      <w:r>
        <w:t>, 500-508</w:t>
      </w:r>
    </w:p>
    <w:p w:rsidR="005C2C93" w:rsidRPr="00EA329E" w:rsidRDefault="005C2C93" w:rsidP="005C2C93">
      <w:r w:rsidRPr="00EA329E">
        <w:t xml:space="preserve">Muzellec, L., M. Doogan, </w:t>
      </w:r>
      <w:r w:rsidR="00EC7F5C">
        <w:t>Lambkin, M.</w:t>
      </w:r>
      <w:r w:rsidRPr="00EA329E">
        <w:t xml:space="preserve">. (2003). "Corporate rebranding-an exploratory review." </w:t>
      </w:r>
      <w:r w:rsidRPr="00180D03">
        <w:rPr>
          <w:i/>
        </w:rPr>
        <w:t>Irish Marketing Review</w:t>
      </w:r>
      <w:r w:rsidRPr="00EA329E">
        <w:t xml:space="preserve"> 16: 31-40.</w:t>
      </w:r>
    </w:p>
    <w:p w:rsidR="005C2C93" w:rsidRDefault="005C2C93" w:rsidP="005C2C93">
      <w:r w:rsidRPr="00EA329E">
        <w:t>Muzellec, L. and Lambkin</w:t>
      </w:r>
      <w:r>
        <w:t>, M.</w:t>
      </w:r>
      <w:r w:rsidRPr="00EA329E">
        <w:t xml:space="preserve"> (2006). "Corporate rebranding: destroying, transferring or creating brand equity?" </w:t>
      </w:r>
      <w:r w:rsidRPr="00180D03">
        <w:rPr>
          <w:i/>
        </w:rPr>
        <w:t>European Journal of Marketing</w:t>
      </w:r>
      <w:r w:rsidRPr="00EA329E">
        <w:t xml:space="preserve"> 40(7/8): 803-824.</w:t>
      </w:r>
    </w:p>
    <w:p w:rsidR="00E81B4E" w:rsidRPr="00E81B4E" w:rsidRDefault="00E81B4E" w:rsidP="00E81B4E">
      <w:r w:rsidRPr="00E81B4E">
        <w:t xml:space="preserve">Muzellec L. and </w:t>
      </w:r>
      <w:r>
        <w:t xml:space="preserve">Lambkin, </w:t>
      </w:r>
      <w:r w:rsidRPr="00E81B4E">
        <w:t xml:space="preserve">M.C. </w:t>
      </w:r>
      <w:r>
        <w:t>(</w:t>
      </w:r>
      <w:r w:rsidRPr="00E81B4E">
        <w:t>2008</w:t>
      </w:r>
      <w:r>
        <w:t>)</w:t>
      </w:r>
      <w:r w:rsidRPr="00E81B4E">
        <w:t>. Corporate rebranding: Implications for Brand Ar</w:t>
      </w:r>
      <w:r>
        <w:t xml:space="preserve">chitecture Management. </w:t>
      </w:r>
      <w:r w:rsidRPr="00E81B4E">
        <w:rPr>
          <w:i/>
        </w:rPr>
        <w:t>Journal of Strategic Marketing</w:t>
      </w:r>
      <w:r>
        <w:t xml:space="preserve">, 16 (4): </w:t>
      </w:r>
      <w:r w:rsidRPr="00E81B4E">
        <w:t xml:space="preserve">283-299. </w:t>
      </w:r>
    </w:p>
    <w:p w:rsidR="005C2C93" w:rsidRDefault="005C2C93" w:rsidP="005C2C93">
      <w:r w:rsidRPr="008D3863">
        <w:t xml:space="preserve">O’Malley, D. (1991), </w:t>
      </w:r>
      <w:r w:rsidRPr="00180D03">
        <w:rPr>
          <w:i/>
        </w:rPr>
        <w:t>“Brand means business”,</w:t>
      </w:r>
      <w:r w:rsidRPr="008D3863">
        <w:t xml:space="preserve"> Accountancy, </w:t>
      </w:r>
      <w:r>
        <w:t>107:</w:t>
      </w:r>
      <w:r w:rsidRPr="008D3863">
        <w:t xml:space="preserve"> 107-8.</w:t>
      </w:r>
    </w:p>
    <w:p w:rsidR="005C2C93" w:rsidRDefault="005C2C93" w:rsidP="005C2C93">
      <w:r>
        <w:t xml:space="preserve">Pahud de Mortanges, C. and van Riel, A (2003) Brand Equity and Shareholder Value. </w:t>
      </w:r>
      <w:r w:rsidRPr="00180D03">
        <w:rPr>
          <w:i/>
        </w:rPr>
        <w:t>European Management Journal</w:t>
      </w:r>
      <w:r>
        <w:t>, 21: 521 – 527.</w:t>
      </w:r>
    </w:p>
    <w:p w:rsidR="005C2C93" w:rsidRDefault="005C2C93" w:rsidP="005C2C93">
      <w:r>
        <w:t xml:space="preserve">Park, CS, and Srinivasan, V. (1994). </w:t>
      </w:r>
      <w:r w:rsidRPr="00C14605">
        <w:t>A Survey-Based Method for Measuring and Understanding Brand Equity and Its Extendibility.</w:t>
      </w:r>
      <w:r>
        <w:t xml:space="preserve"> </w:t>
      </w:r>
      <w:r w:rsidRPr="00C14605">
        <w:rPr>
          <w:i/>
        </w:rPr>
        <w:t>Journal of Marketing Research</w:t>
      </w:r>
      <w:r>
        <w:t>, 31(2): 271-288.</w:t>
      </w:r>
    </w:p>
    <w:p w:rsidR="005C2C93" w:rsidRDefault="005C2C93" w:rsidP="005C2C93">
      <w:r>
        <w:t>Perrier, R.</w:t>
      </w:r>
      <w:r w:rsidRPr="008B6B95">
        <w:t xml:space="preserve"> (1997), </w:t>
      </w:r>
      <w:r w:rsidRPr="008B6B95">
        <w:rPr>
          <w:i/>
        </w:rPr>
        <w:t>Brand Valuation</w:t>
      </w:r>
      <w:r w:rsidRPr="008B6B95">
        <w:t>, 3rd Ed, Premier Books, London.</w:t>
      </w:r>
    </w:p>
    <w:p w:rsidR="005C2C93" w:rsidRDefault="005C2C93" w:rsidP="005C2C93">
      <w:r w:rsidRPr="00DB6F62">
        <w:t xml:space="preserve">Peterson , R . A . and Jolibert , A . J . P . ( 1995 ) ‘ A meta-analysis of country-of-origin effects ’ , </w:t>
      </w:r>
      <w:r w:rsidRPr="00180D03">
        <w:rPr>
          <w:i/>
        </w:rPr>
        <w:t>Journal of International Business Studies</w:t>
      </w:r>
      <w:r w:rsidRPr="00DB6F62">
        <w:t xml:space="preserve"> , </w:t>
      </w:r>
      <w:r>
        <w:t xml:space="preserve">24(6): </w:t>
      </w:r>
      <w:r w:rsidR="001A3651">
        <w:t xml:space="preserve"> 883 – 900.</w:t>
      </w:r>
    </w:p>
    <w:p w:rsidR="00490402" w:rsidRDefault="00490402" w:rsidP="00490402">
      <w:r>
        <w:t xml:space="preserve">Preacher, K.J. and MacCallum, R.C. (2003). Repairing Tom Swift's Electric Factor Analysis Machine," </w:t>
      </w:r>
      <w:r w:rsidRPr="00490402">
        <w:rPr>
          <w:i/>
        </w:rPr>
        <w:t>Understanding Statistics</w:t>
      </w:r>
      <w:r>
        <w:t>, 2 (1): 13-43.</w:t>
      </w:r>
    </w:p>
    <w:p w:rsidR="001A3651" w:rsidRDefault="001A3651" w:rsidP="001A3651">
      <w:r>
        <w:t xml:space="preserve">Rindova, V.P. (1997), “The image cascade and the formation of corporate reputations”, </w:t>
      </w:r>
      <w:r w:rsidRPr="001A3651">
        <w:rPr>
          <w:i/>
        </w:rPr>
        <w:t>Corporate Reputation Review</w:t>
      </w:r>
      <w:r>
        <w:t>, 1(2): 189-94.</w:t>
      </w:r>
    </w:p>
    <w:p w:rsidR="00A71BA1" w:rsidRPr="00A71BA1" w:rsidRDefault="00A71BA1" w:rsidP="00A71BA1">
      <w:r>
        <w:lastRenderedPageBreak/>
        <w:t xml:space="preserve">Rosenthal, G. (2003).  “A Name by Any Other Name: Responding to Increasing Role of Marketing in Higher Education,” </w:t>
      </w:r>
      <w:r w:rsidRPr="00A71BA1">
        <w:rPr>
          <w:i/>
        </w:rPr>
        <w:t>Doctoral</w:t>
      </w:r>
      <w:r>
        <w:rPr>
          <w:i/>
        </w:rPr>
        <w:t xml:space="preserve"> </w:t>
      </w:r>
      <w:r w:rsidRPr="00A71BA1">
        <w:rPr>
          <w:i/>
        </w:rPr>
        <w:t>Dissertation</w:t>
      </w:r>
      <w:r>
        <w:t>: University of Pennsylvania.</w:t>
      </w:r>
    </w:p>
    <w:p w:rsidR="005C2C93" w:rsidRPr="00EA329E" w:rsidRDefault="005C2C93" w:rsidP="005C2C93">
      <w:r w:rsidRPr="00EA329E">
        <w:t xml:space="preserve">Silverman, S. N., D. E. Sprott, et al. (1999). "Relating consumer-based sources of brand equity to market outcomes." </w:t>
      </w:r>
      <w:r w:rsidRPr="00180D03">
        <w:rPr>
          <w:i/>
        </w:rPr>
        <w:t>Advances in Consumer Research</w:t>
      </w:r>
      <w:r w:rsidRPr="00EA329E">
        <w:t xml:space="preserve"> 26: 352-358.</w:t>
      </w:r>
    </w:p>
    <w:p w:rsidR="005C2C93" w:rsidRPr="00EA329E" w:rsidRDefault="005C2C93" w:rsidP="005C2C93">
      <w:r>
        <w:t xml:space="preserve">Simms, C. and </w:t>
      </w:r>
      <w:r w:rsidRPr="00EA329E">
        <w:t>Trott</w:t>
      </w:r>
      <w:r>
        <w:t>, P.</w:t>
      </w:r>
      <w:r w:rsidRPr="00EA329E">
        <w:t xml:space="preserve"> (2007). "An analysis of the repositioning of the “BMW Mini” brand." </w:t>
      </w:r>
      <w:r w:rsidRPr="00180D03">
        <w:rPr>
          <w:i/>
        </w:rPr>
        <w:t>Journal of Product &amp; Brand Management</w:t>
      </w:r>
      <w:r w:rsidRPr="00EA329E">
        <w:t xml:space="preserve"> 16(5): 297-309.</w:t>
      </w:r>
    </w:p>
    <w:p w:rsidR="005C2C93" w:rsidRDefault="005C2C93" w:rsidP="005C2C93">
      <w:r w:rsidRPr="00EA329E">
        <w:t>Simon, C. J. and Sullivan</w:t>
      </w:r>
      <w:r>
        <w:t>,</w:t>
      </w:r>
      <w:r w:rsidRPr="008D3863">
        <w:t xml:space="preserve"> </w:t>
      </w:r>
      <w:r w:rsidRPr="00EA329E">
        <w:t>M. W</w:t>
      </w:r>
      <w:r>
        <w:t xml:space="preserve">. </w:t>
      </w:r>
      <w:r w:rsidRPr="00EA329E">
        <w:t xml:space="preserve"> (1993). </w:t>
      </w:r>
      <w:r w:rsidRPr="00180D03">
        <w:rPr>
          <w:i/>
        </w:rPr>
        <w:t>"The measurement and determinants of brand equity: a financial approach."</w:t>
      </w:r>
      <w:r w:rsidRPr="00EA329E">
        <w:t xml:space="preserve"> Marketing science 12(1): 28-52.</w:t>
      </w:r>
    </w:p>
    <w:p w:rsidR="005C2C93" w:rsidRPr="00EA329E" w:rsidRDefault="005C2C93" w:rsidP="005C2C93">
      <w:r>
        <w:t xml:space="preserve">Singh, H. and Dharamveer, Dr. (2011). Rebranding – A boon to survive, Indian </w:t>
      </w:r>
      <w:r w:rsidRPr="00180D03">
        <w:rPr>
          <w:i/>
        </w:rPr>
        <w:t>Journal of Marketing</w:t>
      </w:r>
      <w:r w:rsidR="009A5BA3">
        <w:t>, 41 (6):</w:t>
      </w:r>
      <w:r>
        <w:t xml:space="preserve"> 55-60.</w:t>
      </w:r>
    </w:p>
    <w:p w:rsidR="005C2C93" w:rsidRDefault="005C2C93" w:rsidP="005C2C93">
      <w:r>
        <w:t xml:space="preserve">Stuart, H. and </w:t>
      </w:r>
      <w:r w:rsidRPr="00EA329E">
        <w:t>Muzellec</w:t>
      </w:r>
      <w:r>
        <w:t>, L.</w:t>
      </w:r>
      <w:r w:rsidRPr="00EA329E">
        <w:t xml:space="preserve"> (2004). "Corporate makeovers: Can a hyena be rebranded?" </w:t>
      </w:r>
      <w:r w:rsidRPr="00180D03">
        <w:rPr>
          <w:i/>
        </w:rPr>
        <w:t>Journal of Brand Management</w:t>
      </w:r>
      <w:r w:rsidRPr="00EA329E">
        <w:t xml:space="preserve"> 11(6): 472-482.</w:t>
      </w:r>
    </w:p>
    <w:p w:rsidR="005C2C93" w:rsidRDefault="005C2C93" w:rsidP="005C2C93">
      <w:r w:rsidRPr="008D3863">
        <w:t xml:space="preserve">The Economist (1988), “The year of the brand”, </w:t>
      </w:r>
      <w:r w:rsidRPr="00180D03">
        <w:rPr>
          <w:i/>
        </w:rPr>
        <w:t>The Economist</w:t>
      </w:r>
      <w:r w:rsidRPr="008D3863">
        <w:t xml:space="preserve">, </w:t>
      </w:r>
      <w:r>
        <w:t xml:space="preserve">309: </w:t>
      </w:r>
      <w:r w:rsidRPr="008D3863">
        <w:t>95-100.</w:t>
      </w:r>
    </w:p>
    <w:p w:rsidR="005C2C93" w:rsidRDefault="005C2C93" w:rsidP="005C2C93">
      <w:r>
        <w:t xml:space="preserve">Tollington, T. (1998), “Separating the brand asset from the goodwill asset”, </w:t>
      </w:r>
      <w:r w:rsidRPr="008B6B95">
        <w:rPr>
          <w:i/>
        </w:rPr>
        <w:t>Journal of Product &amp; Brand Management</w:t>
      </w:r>
      <w:r>
        <w:t>, 7(4): 291-304.</w:t>
      </w:r>
    </w:p>
    <w:p w:rsidR="005C2C93" w:rsidRDefault="009A5BA3" w:rsidP="005C2C93">
      <w:r>
        <w:t>Verlegh , P . W . J . (</w:t>
      </w:r>
      <w:r w:rsidR="005C2C93" w:rsidRPr="00DB6F62">
        <w:t xml:space="preserve">2001) ‘ Country-of-origin effects on consumer product evaluations ’ , </w:t>
      </w:r>
      <w:r w:rsidR="005C2C93" w:rsidRPr="00180D03">
        <w:rPr>
          <w:i/>
        </w:rPr>
        <w:t xml:space="preserve">Doctoral Thesis, </w:t>
      </w:r>
      <w:r w:rsidR="005C2C93" w:rsidRPr="00A71BA1">
        <w:t>Wageningen University</w:t>
      </w:r>
      <w:r w:rsidR="00A71BA1" w:rsidRPr="00A71BA1">
        <w:t>.</w:t>
      </w:r>
    </w:p>
    <w:p w:rsidR="00EE40EE" w:rsidRPr="00EE40EE" w:rsidRDefault="00EE40EE" w:rsidP="007557CA">
      <w:pPr>
        <w:jc w:val="left"/>
      </w:pPr>
      <w:r>
        <w:t xml:space="preserve">Vodacom. (2012). </w:t>
      </w:r>
      <w:r w:rsidRPr="007557CA">
        <w:rPr>
          <w:i/>
        </w:rPr>
        <w:t xml:space="preserve">2012 </w:t>
      </w:r>
      <w:r w:rsidRPr="00EE40EE">
        <w:rPr>
          <w:i/>
        </w:rPr>
        <w:t>Annual Report</w:t>
      </w:r>
      <w:r>
        <w:rPr>
          <w:i/>
        </w:rPr>
        <w:t xml:space="preserve">. Financial Statement. </w:t>
      </w:r>
      <w:r w:rsidR="007557CA">
        <w:t xml:space="preserve">Retrieved </w:t>
      </w:r>
      <w:r>
        <w:t xml:space="preserve">September 28, 2013 from </w:t>
      </w:r>
      <w:r w:rsidRPr="00EE40EE">
        <w:t>http://www.vodacom.com/com/aboutus/annualresults</w:t>
      </w:r>
      <w:r w:rsidR="007557CA">
        <w:t>.html.</w:t>
      </w:r>
    </w:p>
    <w:p w:rsidR="00A71BA1" w:rsidRPr="00EA329E" w:rsidRDefault="00A71BA1" w:rsidP="00A71BA1">
      <w:r>
        <w:t xml:space="preserve">Walvis, T.H. (2007). Three laws of branding: Neuroscientifi c foundations of effective brand building, </w:t>
      </w:r>
      <w:r w:rsidRPr="00A71BA1">
        <w:rPr>
          <w:i/>
        </w:rPr>
        <w:t>Brand Management</w:t>
      </w:r>
      <w:r>
        <w:t>, 16 (</w:t>
      </w:r>
      <w:r w:rsidRPr="00703B3C">
        <w:t>3</w:t>
      </w:r>
      <w:r>
        <w:t>):</w:t>
      </w:r>
      <w:r w:rsidRPr="00703B3C">
        <w:t xml:space="preserve"> 176–194</w:t>
      </w:r>
    </w:p>
    <w:p w:rsidR="00461A25" w:rsidRDefault="00461A25" w:rsidP="00461A25">
      <w:r>
        <w:lastRenderedPageBreak/>
        <w:t xml:space="preserve">Washburn, J. H. and  Plank, R. E. (2002). Measuring brand equity: An evaluation of a consumer based brand equity scale, </w:t>
      </w:r>
      <w:r w:rsidRPr="00461A25">
        <w:rPr>
          <w:i/>
        </w:rPr>
        <w:t>Journal of Marketing Theory and Practice</w:t>
      </w:r>
      <w:r>
        <w:t>, 10 (1): 46-62.</w:t>
      </w:r>
    </w:p>
    <w:p w:rsidR="007126D6" w:rsidRDefault="007126D6" w:rsidP="00461A25">
      <w:r w:rsidRPr="007126D6">
        <w:t xml:space="preserve">Wood, L. </w:t>
      </w:r>
      <w:r w:rsidR="009A5BA3">
        <w:t>(</w:t>
      </w:r>
      <w:r w:rsidRPr="007126D6">
        <w:t>2000</w:t>
      </w:r>
      <w:r w:rsidR="009A5BA3">
        <w:t>)</w:t>
      </w:r>
      <w:r w:rsidRPr="007126D6">
        <w:t xml:space="preserve">. Brands and brand equity: definition and management, </w:t>
      </w:r>
      <w:r w:rsidRPr="002808B0">
        <w:rPr>
          <w:i/>
        </w:rPr>
        <w:t>Management decision</w:t>
      </w:r>
      <w:r w:rsidR="002808B0">
        <w:t>,</w:t>
      </w:r>
      <w:r>
        <w:t xml:space="preserve"> 38 </w:t>
      </w:r>
      <w:r w:rsidRPr="007126D6">
        <w:t>(9): 662-669.</w:t>
      </w:r>
    </w:p>
    <w:p w:rsidR="005C2C93" w:rsidRDefault="005C2C93" w:rsidP="005C2C93">
      <w:r w:rsidRPr="00DB6F62">
        <w:t xml:space="preserve">Woodside , A . G . and Trappey , R . J . ( 1992 ) ‘ Finding out why customers shop your store and buy your brand: Automatic cognitive processing models of primary choice ’ , </w:t>
      </w:r>
      <w:r w:rsidRPr="00180D03">
        <w:rPr>
          <w:i/>
        </w:rPr>
        <w:t>Journal of Advertising Research</w:t>
      </w:r>
      <w:r w:rsidRPr="00DB6F62">
        <w:t xml:space="preserve"> , </w:t>
      </w:r>
      <w:r>
        <w:t xml:space="preserve">32(6): </w:t>
      </w:r>
      <w:r w:rsidRPr="00DB6F62">
        <w:t>59 – 78.</w:t>
      </w:r>
    </w:p>
    <w:p w:rsidR="00A853B2" w:rsidRPr="00EA329E" w:rsidRDefault="00A853B2" w:rsidP="005C2C93">
      <w:r w:rsidRPr="00A853B2">
        <w:t xml:space="preserve">Wuensch, K.L. (2005). Scales of measurement. In B.S. Everitt &amp; D.C. Howell (Eds.), </w:t>
      </w:r>
      <w:r w:rsidRPr="00A853B2">
        <w:rPr>
          <w:i/>
        </w:rPr>
        <w:t>Encyclopedia of statistics in behavioral science</w:t>
      </w:r>
      <w:r w:rsidRPr="00A853B2">
        <w:t xml:space="preserve"> (pp. 1785-1789). West Sussex, UK: Wiley.</w:t>
      </w:r>
    </w:p>
    <w:p w:rsidR="005C2C93" w:rsidRPr="00EA329E" w:rsidRDefault="005C2C93" w:rsidP="005C2C93">
      <w:r>
        <w:t xml:space="preserve">Yoo, B. and </w:t>
      </w:r>
      <w:r w:rsidRPr="00EA329E">
        <w:t>Donthu</w:t>
      </w:r>
      <w:r>
        <w:t>, N.</w:t>
      </w:r>
      <w:r w:rsidRPr="00EA329E">
        <w:t xml:space="preserve"> (2001). "Developing and validating a multidimensional consumer-based brand equity scale". </w:t>
      </w:r>
      <w:r w:rsidRPr="00180D03">
        <w:rPr>
          <w:i/>
        </w:rPr>
        <w:t>Journal of Business Research</w:t>
      </w:r>
      <w:r w:rsidRPr="00EA329E">
        <w:t xml:space="preserve"> 52(1): 1-14.</w:t>
      </w:r>
    </w:p>
    <w:p w:rsidR="005C2C93" w:rsidRDefault="005C2C93" w:rsidP="005C2C93">
      <w:r w:rsidRPr="00EA329E">
        <w:t xml:space="preserve">Zeithaml, V. A. (1988). "Consumer perceptions of price, quality, and value: a means-end model and synthesis of evidence." </w:t>
      </w:r>
      <w:r w:rsidRPr="00180D03">
        <w:rPr>
          <w:i/>
        </w:rPr>
        <w:t>The Journal of Marketing</w:t>
      </w:r>
      <w:r w:rsidRPr="00EA329E">
        <w:t>: 2-22.</w:t>
      </w:r>
    </w:p>
    <w:p w:rsidR="00703B3C" w:rsidRDefault="00D47A7D" w:rsidP="005C2C93">
      <w:r w:rsidRPr="00D47A7D">
        <w:t xml:space="preserve">Zikmund, W G. (2003). </w:t>
      </w:r>
      <w:r w:rsidRPr="00D47A7D">
        <w:rPr>
          <w:i/>
        </w:rPr>
        <w:t>Business Research Methods</w:t>
      </w:r>
      <w:r w:rsidRPr="00D47A7D">
        <w:t>, 7th edition, Thomson/South-Western, Ohio.</w:t>
      </w:r>
    </w:p>
    <w:p w:rsidR="000F5FC0" w:rsidRDefault="000F5FC0" w:rsidP="00D47A7D">
      <w:pPr>
        <w:spacing w:before="0" w:after="0" w:line="240" w:lineRule="auto"/>
        <w:jc w:val="left"/>
      </w:pPr>
    </w:p>
    <w:p w:rsidR="005C2C93" w:rsidRPr="00EA329E" w:rsidRDefault="005C2C93" w:rsidP="000F5FC0">
      <w:pPr>
        <w:spacing w:before="0" w:after="0"/>
        <w:rPr>
          <w:rFonts w:cs="Arial"/>
          <w:bCs/>
          <w:caps/>
          <w:kern w:val="32"/>
          <w:sz w:val="32"/>
          <w:szCs w:val="32"/>
        </w:rPr>
      </w:pPr>
      <w:r w:rsidRPr="00EA329E">
        <w:br w:type="page"/>
      </w:r>
    </w:p>
    <w:p w:rsidR="00272493" w:rsidRPr="00EA329E" w:rsidRDefault="00272493" w:rsidP="00272493"/>
    <w:p w:rsidR="00272493" w:rsidRPr="00EA329E" w:rsidRDefault="00272493" w:rsidP="00272493">
      <w:pPr>
        <w:spacing w:before="0" w:after="0" w:line="240" w:lineRule="auto"/>
        <w:jc w:val="left"/>
        <w:rPr>
          <w:rFonts w:cs="Arial"/>
          <w:bCs/>
          <w:caps/>
          <w:kern w:val="32"/>
          <w:sz w:val="32"/>
          <w:szCs w:val="32"/>
        </w:rPr>
      </w:pPr>
      <w:r w:rsidRPr="00EA329E">
        <w:br w:type="page"/>
      </w:r>
    </w:p>
    <w:p w:rsidR="00272493" w:rsidRPr="00EA329E" w:rsidRDefault="00272493" w:rsidP="00272493">
      <w:pPr>
        <w:pStyle w:val="Heading1"/>
        <w:numPr>
          <w:ilvl w:val="0"/>
          <w:numId w:val="0"/>
        </w:numPr>
      </w:pPr>
      <w:bookmarkStart w:id="173" w:name="_Toc380687137"/>
      <w:r w:rsidRPr="00EA329E">
        <w:lastRenderedPageBreak/>
        <w:t>Appendi</w:t>
      </w:r>
      <w:r>
        <w:t>ces</w:t>
      </w:r>
      <w:bookmarkEnd w:id="173"/>
    </w:p>
    <w:p w:rsidR="00272493" w:rsidRPr="00EA329E" w:rsidRDefault="00272493" w:rsidP="00272493">
      <w:pPr>
        <w:pStyle w:val="Heading2"/>
        <w:numPr>
          <w:ilvl w:val="0"/>
          <w:numId w:val="0"/>
        </w:numPr>
      </w:pPr>
      <w:bookmarkStart w:id="174" w:name="_Toc380687138"/>
      <w:r w:rsidRPr="00EA329E">
        <w:t>Appendix A: Letter to Respondents</w:t>
      </w:r>
      <w:bookmarkEnd w:id="174"/>
    </w:p>
    <w:p w:rsidR="00272493" w:rsidRPr="00EA329E" w:rsidRDefault="00272493" w:rsidP="00272493">
      <w:pPr>
        <w:rPr>
          <w:rFonts w:cs="Arial"/>
        </w:rPr>
      </w:pPr>
      <w:r w:rsidRPr="00EA329E">
        <w:rPr>
          <w:rFonts w:cs="Arial"/>
        </w:rPr>
        <w:t>Dear Respondent</w:t>
      </w:r>
    </w:p>
    <w:p w:rsidR="00272493" w:rsidRDefault="00272493" w:rsidP="00272493">
      <w:pPr>
        <w:widowControl w:val="0"/>
        <w:autoSpaceDE w:val="0"/>
        <w:autoSpaceDN w:val="0"/>
        <w:adjustRightInd w:val="0"/>
        <w:spacing w:before="6" w:after="0"/>
        <w:rPr>
          <w:color w:val="000000"/>
        </w:rPr>
      </w:pPr>
      <w:r>
        <w:rPr>
          <w:rFonts w:cs="Arial"/>
          <w:b/>
          <w:color w:val="000000"/>
          <w:spacing w:val="1"/>
        </w:rPr>
        <w:t>I</w:t>
      </w:r>
      <w:r>
        <w:rPr>
          <w:rFonts w:cs="Arial"/>
          <w:b/>
          <w:color w:val="000000"/>
          <w:spacing w:val="-3"/>
        </w:rPr>
        <w:t>n</w:t>
      </w:r>
      <w:r>
        <w:rPr>
          <w:rFonts w:cs="Arial"/>
          <w:b/>
          <w:color w:val="000000"/>
        </w:rPr>
        <w:t>v</w:t>
      </w:r>
      <w:r>
        <w:rPr>
          <w:rFonts w:cs="Arial"/>
          <w:b/>
          <w:color w:val="000000"/>
          <w:spacing w:val="-1"/>
        </w:rPr>
        <w:t>i</w:t>
      </w:r>
      <w:r>
        <w:rPr>
          <w:rFonts w:cs="Arial"/>
          <w:b/>
          <w:color w:val="000000"/>
          <w:spacing w:val="1"/>
        </w:rPr>
        <w:t>t</w:t>
      </w:r>
      <w:r>
        <w:rPr>
          <w:rFonts w:cs="Arial"/>
          <w:b/>
          <w:color w:val="000000"/>
          <w:spacing w:val="-1"/>
        </w:rPr>
        <w:t>a</w:t>
      </w:r>
      <w:r>
        <w:rPr>
          <w:rFonts w:cs="Arial"/>
          <w:b/>
          <w:color w:val="000000"/>
          <w:spacing w:val="1"/>
        </w:rPr>
        <w:t>t</w:t>
      </w:r>
      <w:r>
        <w:rPr>
          <w:rFonts w:cs="Arial"/>
          <w:b/>
          <w:color w:val="000000"/>
          <w:spacing w:val="-1"/>
        </w:rPr>
        <w:t>io</w:t>
      </w:r>
      <w:r>
        <w:rPr>
          <w:rFonts w:cs="Arial"/>
          <w:b/>
          <w:color w:val="000000"/>
        </w:rPr>
        <w:t xml:space="preserve">n </w:t>
      </w:r>
      <w:r>
        <w:rPr>
          <w:rFonts w:cs="Arial"/>
          <w:b/>
          <w:color w:val="000000"/>
          <w:spacing w:val="1"/>
        </w:rPr>
        <w:t>t</w:t>
      </w:r>
      <w:r>
        <w:rPr>
          <w:rFonts w:cs="Arial"/>
          <w:b/>
          <w:color w:val="000000"/>
        </w:rPr>
        <w:t xml:space="preserve">o </w:t>
      </w:r>
      <w:r>
        <w:rPr>
          <w:rFonts w:cs="Arial"/>
          <w:b/>
          <w:color w:val="000000"/>
          <w:spacing w:val="1"/>
        </w:rPr>
        <w:t>p</w:t>
      </w:r>
      <w:r>
        <w:rPr>
          <w:rFonts w:cs="Arial"/>
          <w:b/>
          <w:color w:val="000000"/>
          <w:spacing w:val="-1"/>
        </w:rPr>
        <w:t>a</w:t>
      </w:r>
      <w:r>
        <w:rPr>
          <w:rFonts w:cs="Arial"/>
          <w:b/>
          <w:color w:val="000000"/>
        </w:rPr>
        <w:t>r</w:t>
      </w:r>
      <w:r>
        <w:rPr>
          <w:rFonts w:cs="Arial"/>
          <w:b/>
          <w:color w:val="000000"/>
          <w:spacing w:val="1"/>
        </w:rPr>
        <w:t>t</w:t>
      </w:r>
      <w:r>
        <w:rPr>
          <w:rFonts w:cs="Arial"/>
          <w:b/>
          <w:color w:val="000000"/>
          <w:spacing w:val="2"/>
        </w:rPr>
        <w:t>i</w:t>
      </w:r>
      <w:r>
        <w:rPr>
          <w:rFonts w:cs="Arial"/>
          <w:b/>
          <w:color w:val="000000"/>
        </w:rPr>
        <w:t>c</w:t>
      </w:r>
      <w:r>
        <w:rPr>
          <w:rFonts w:cs="Arial"/>
          <w:b/>
          <w:color w:val="000000"/>
          <w:spacing w:val="-1"/>
        </w:rPr>
        <w:t>ipa</w:t>
      </w:r>
      <w:r>
        <w:rPr>
          <w:rFonts w:cs="Arial"/>
          <w:b/>
          <w:color w:val="000000"/>
          <w:spacing w:val="1"/>
        </w:rPr>
        <w:t>t</w:t>
      </w:r>
      <w:r>
        <w:rPr>
          <w:rFonts w:cs="Arial"/>
          <w:b/>
          <w:color w:val="000000"/>
        </w:rPr>
        <w:t xml:space="preserve">e </w:t>
      </w:r>
      <w:r>
        <w:rPr>
          <w:rFonts w:cs="Arial"/>
          <w:b/>
          <w:color w:val="000000"/>
          <w:spacing w:val="2"/>
        </w:rPr>
        <w:t>i</w:t>
      </w:r>
      <w:r>
        <w:rPr>
          <w:rFonts w:cs="Arial"/>
          <w:b/>
          <w:color w:val="000000"/>
        </w:rPr>
        <w:t>n a</w:t>
      </w:r>
      <w:r>
        <w:rPr>
          <w:rFonts w:cs="Arial"/>
          <w:b/>
          <w:color w:val="000000"/>
          <w:spacing w:val="1"/>
        </w:rPr>
        <w:t xml:space="preserve"> </w:t>
      </w:r>
      <w:r>
        <w:rPr>
          <w:rFonts w:cs="Arial"/>
          <w:b/>
          <w:color w:val="000000"/>
        </w:rPr>
        <w:t>survey</w:t>
      </w:r>
    </w:p>
    <w:p w:rsidR="00272493" w:rsidRDefault="00272493" w:rsidP="00272493">
      <w:pPr>
        <w:widowControl w:val="0"/>
        <w:autoSpaceDE w:val="0"/>
        <w:autoSpaceDN w:val="0"/>
        <w:adjustRightInd w:val="0"/>
        <w:spacing w:after="0"/>
        <w:ind w:right="200"/>
        <w:rPr>
          <w:color w:val="000000"/>
        </w:rPr>
      </w:pPr>
      <w:r>
        <w:rPr>
          <w:color w:val="000000"/>
        </w:rPr>
        <w:t>You</w:t>
      </w:r>
      <w:r>
        <w:rPr>
          <w:color w:val="000000"/>
          <w:spacing w:val="-10"/>
        </w:rPr>
        <w:t xml:space="preserve"> </w:t>
      </w:r>
      <w:r>
        <w:rPr>
          <w:color w:val="000000"/>
          <w:spacing w:val="-1"/>
        </w:rPr>
        <w:t>ar</w:t>
      </w:r>
      <w:r>
        <w:rPr>
          <w:color w:val="000000"/>
        </w:rPr>
        <w:t>e</w:t>
      </w:r>
      <w:r>
        <w:rPr>
          <w:color w:val="000000"/>
          <w:spacing w:val="-1"/>
        </w:rPr>
        <w:t xml:space="preserve"> </w:t>
      </w:r>
      <w:r>
        <w:rPr>
          <w:color w:val="000000"/>
        </w:rPr>
        <w:t>invit</w:t>
      </w:r>
      <w:r>
        <w:rPr>
          <w:color w:val="000000"/>
          <w:spacing w:val="-1"/>
        </w:rPr>
        <w:t>e</w:t>
      </w:r>
      <w:r>
        <w:rPr>
          <w:color w:val="000000"/>
        </w:rPr>
        <w:t>d to p</w:t>
      </w:r>
      <w:r>
        <w:rPr>
          <w:color w:val="000000"/>
          <w:spacing w:val="1"/>
        </w:rPr>
        <w:t>a</w:t>
      </w:r>
      <w:r>
        <w:rPr>
          <w:color w:val="000000"/>
          <w:spacing w:val="-1"/>
        </w:rPr>
        <w:t>r</w:t>
      </w:r>
      <w:r>
        <w:rPr>
          <w:color w:val="000000"/>
        </w:rPr>
        <w:t>ti</w:t>
      </w:r>
      <w:r>
        <w:rPr>
          <w:color w:val="000000"/>
          <w:spacing w:val="-1"/>
        </w:rPr>
        <w:t>c</w:t>
      </w:r>
      <w:r>
        <w:rPr>
          <w:color w:val="000000"/>
        </w:rPr>
        <w:t>ip</w:t>
      </w:r>
      <w:r>
        <w:rPr>
          <w:color w:val="000000"/>
          <w:spacing w:val="-1"/>
        </w:rPr>
        <w:t>a</w:t>
      </w:r>
      <w:r>
        <w:rPr>
          <w:color w:val="000000"/>
        </w:rPr>
        <w:t>te</w:t>
      </w:r>
      <w:r>
        <w:rPr>
          <w:color w:val="000000"/>
          <w:spacing w:val="-1"/>
        </w:rPr>
        <w:t xml:space="preserve"> </w:t>
      </w:r>
      <w:r>
        <w:rPr>
          <w:color w:val="000000"/>
        </w:rPr>
        <w:t>in a</w:t>
      </w:r>
      <w:r>
        <w:rPr>
          <w:color w:val="000000"/>
          <w:spacing w:val="-1"/>
        </w:rPr>
        <w:t xml:space="preserve"> survey I am c</w:t>
      </w:r>
      <w:r>
        <w:rPr>
          <w:color w:val="000000"/>
        </w:rPr>
        <w:t>ondu</w:t>
      </w:r>
      <w:r>
        <w:rPr>
          <w:color w:val="000000"/>
          <w:spacing w:val="-1"/>
        </w:rPr>
        <w:t>c</w:t>
      </w:r>
      <w:r>
        <w:rPr>
          <w:color w:val="000000"/>
        </w:rPr>
        <w:t>t</w:t>
      </w:r>
      <w:r>
        <w:rPr>
          <w:color w:val="000000"/>
          <w:spacing w:val="-1"/>
        </w:rPr>
        <w:t>ing</w:t>
      </w:r>
      <w:r>
        <w:rPr>
          <w:color w:val="000000"/>
        </w:rPr>
        <w:t xml:space="preserve"> </w:t>
      </w:r>
      <w:r>
        <w:rPr>
          <w:color w:val="000000"/>
          <w:spacing w:val="-1"/>
        </w:rPr>
        <w:t>a</w:t>
      </w:r>
      <w:r>
        <w:rPr>
          <w:color w:val="000000"/>
        </w:rPr>
        <w:t>s p</w:t>
      </w:r>
      <w:r>
        <w:rPr>
          <w:color w:val="000000"/>
          <w:spacing w:val="1"/>
        </w:rPr>
        <w:t>a</w:t>
      </w:r>
      <w:r>
        <w:rPr>
          <w:color w:val="000000"/>
          <w:spacing w:val="-1"/>
        </w:rPr>
        <w:t>r</w:t>
      </w:r>
      <w:r>
        <w:rPr>
          <w:color w:val="000000"/>
        </w:rPr>
        <w:t>t of</w:t>
      </w:r>
      <w:r>
        <w:rPr>
          <w:color w:val="000000"/>
          <w:spacing w:val="-1"/>
        </w:rPr>
        <w:t xml:space="preserve"> </w:t>
      </w:r>
      <w:r>
        <w:rPr>
          <w:color w:val="000000"/>
          <w:spacing w:val="5"/>
        </w:rPr>
        <w:t>m</w:t>
      </w:r>
      <w:r>
        <w:rPr>
          <w:color w:val="000000"/>
        </w:rPr>
        <w:t>y Masters studies through WITS Business School.</w:t>
      </w:r>
    </w:p>
    <w:p w:rsidR="00272493" w:rsidRDefault="00272493" w:rsidP="00272493">
      <w:pPr>
        <w:widowControl w:val="0"/>
        <w:autoSpaceDE w:val="0"/>
        <w:autoSpaceDN w:val="0"/>
        <w:adjustRightInd w:val="0"/>
        <w:spacing w:after="0"/>
        <w:ind w:right="83"/>
        <w:rPr>
          <w:color w:val="000000"/>
          <w:spacing w:val="-1"/>
        </w:rPr>
      </w:pPr>
      <w:r>
        <w:rPr>
          <w:color w:val="000000"/>
        </w:rPr>
        <w:t>I</w:t>
      </w:r>
      <w:r>
        <w:rPr>
          <w:color w:val="000000"/>
          <w:spacing w:val="-11"/>
        </w:rPr>
        <w:t xml:space="preserve"> </w:t>
      </w:r>
      <w:r>
        <w:rPr>
          <w:color w:val="000000"/>
          <w:spacing w:val="-1"/>
        </w:rPr>
        <w:t>a</w:t>
      </w:r>
      <w:r>
        <w:rPr>
          <w:color w:val="000000"/>
        </w:rPr>
        <w:t xml:space="preserve">m </w:t>
      </w:r>
      <w:r>
        <w:rPr>
          <w:color w:val="000000"/>
          <w:spacing w:val="-1"/>
        </w:rPr>
        <w:t>c</w:t>
      </w:r>
      <w:r>
        <w:rPr>
          <w:color w:val="000000"/>
        </w:rPr>
        <w:t>ondu</w:t>
      </w:r>
      <w:r>
        <w:rPr>
          <w:color w:val="000000"/>
          <w:spacing w:val="-1"/>
        </w:rPr>
        <w:t>c</w:t>
      </w:r>
      <w:r>
        <w:rPr>
          <w:color w:val="000000"/>
        </w:rPr>
        <w:t>ti</w:t>
      </w:r>
      <w:r>
        <w:rPr>
          <w:color w:val="000000"/>
          <w:spacing w:val="2"/>
        </w:rPr>
        <w:t>n</w:t>
      </w:r>
      <w:r>
        <w:rPr>
          <w:color w:val="000000"/>
        </w:rPr>
        <w:t>g</w:t>
      </w:r>
      <w:r>
        <w:rPr>
          <w:color w:val="000000"/>
          <w:spacing w:val="-2"/>
        </w:rPr>
        <w:t xml:space="preserve"> the survey</w:t>
      </w:r>
      <w:r>
        <w:rPr>
          <w:color w:val="000000"/>
          <w:spacing w:val="2"/>
        </w:rPr>
        <w:t xml:space="preserve"> </w:t>
      </w:r>
      <w:r>
        <w:rPr>
          <w:color w:val="000000"/>
        </w:rPr>
        <w:t>on the drivers of c</w:t>
      </w:r>
      <w:r w:rsidRPr="00162FAB">
        <w:rPr>
          <w:color w:val="000000"/>
        </w:rPr>
        <w:t>orporate rebranding in the telecommunications industry in South Africa and</w:t>
      </w:r>
      <w:r>
        <w:rPr>
          <w:color w:val="000000"/>
        </w:rPr>
        <w:t xml:space="preserve"> of particular interest is </w:t>
      </w:r>
      <w:r w:rsidRPr="00162FAB">
        <w:rPr>
          <w:color w:val="000000"/>
        </w:rPr>
        <w:t>the impact</w:t>
      </w:r>
      <w:r>
        <w:rPr>
          <w:color w:val="000000"/>
        </w:rPr>
        <w:t xml:space="preserve"> this phenomenon</w:t>
      </w:r>
      <w:r w:rsidRPr="00162FAB">
        <w:rPr>
          <w:color w:val="000000"/>
        </w:rPr>
        <w:t xml:space="preserve"> </w:t>
      </w:r>
      <w:r>
        <w:rPr>
          <w:color w:val="000000"/>
        </w:rPr>
        <w:t xml:space="preserve">has had </w:t>
      </w:r>
      <w:r w:rsidRPr="00162FAB">
        <w:rPr>
          <w:color w:val="000000"/>
        </w:rPr>
        <w:t>on</w:t>
      </w:r>
      <w:r>
        <w:rPr>
          <w:color w:val="000000"/>
        </w:rPr>
        <w:t xml:space="preserve"> </w:t>
      </w:r>
      <w:r w:rsidRPr="00162FAB">
        <w:rPr>
          <w:color w:val="000000"/>
        </w:rPr>
        <w:t>brand equity</w:t>
      </w:r>
      <w:r>
        <w:rPr>
          <w:color w:val="000000"/>
          <w:spacing w:val="5"/>
        </w:rPr>
        <w:t>.</w:t>
      </w:r>
      <w:r>
        <w:rPr>
          <w:color w:val="000000"/>
        </w:rPr>
        <w:t xml:space="preserve"> As an employee of Vodacom, you have been invit</w:t>
      </w:r>
      <w:r>
        <w:rPr>
          <w:color w:val="000000"/>
          <w:spacing w:val="-1"/>
        </w:rPr>
        <w:t>e</w:t>
      </w:r>
      <w:r>
        <w:rPr>
          <w:color w:val="000000"/>
        </w:rPr>
        <w:t>d to p</w:t>
      </w:r>
      <w:r>
        <w:rPr>
          <w:color w:val="000000"/>
          <w:spacing w:val="-1"/>
        </w:rPr>
        <w:t>ar</w:t>
      </w:r>
      <w:r>
        <w:rPr>
          <w:color w:val="000000"/>
        </w:rPr>
        <w:t>t</w:t>
      </w:r>
      <w:r>
        <w:rPr>
          <w:color w:val="000000"/>
          <w:spacing w:val="3"/>
        </w:rPr>
        <w:t>i</w:t>
      </w:r>
      <w:r>
        <w:rPr>
          <w:color w:val="000000"/>
          <w:spacing w:val="-1"/>
        </w:rPr>
        <w:t>c</w:t>
      </w:r>
      <w:r>
        <w:rPr>
          <w:color w:val="000000"/>
        </w:rPr>
        <w:t>ip</w:t>
      </w:r>
      <w:r>
        <w:rPr>
          <w:color w:val="000000"/>
          <w:spacing w:val="-1"/>
        </w:rPr>
        <w:t>a</w:t>
      </w:r>
      <w:r>
        <w:rPr>
          <w:color w:val="000000"/>
        </w:rPr>
        <w:t>te</w:t>
      </w:r>
      <w:r>
        <w:rPr>
          <w:color w:val="000000"/>
          <w:spacing w:val="-1"/>
        </w:rPr>
        <w:t xml:space="preserve"> </w:t>
      </w:r>
      <w:r>
        <w:rPr>
          <w:color w:val="000000"/>
        </w:rPr>
        <w:t>in this stu</w:t>
      </w:r>
      <w:r>
        <w:rPr>
          <w:color w:val="000000"/>
          <w:spacing w:val="2"/>
        </w:rPr>
        <w:t>d</w:t>
      </w:r>
      <w:r>
        <w:rPr>
          <w:color w:val="000000"/>
          <w:spacing w:val="-5"/>
        </w:rPr>
        <w:t>y</w:t>
      </w:r>
      <w:r>
        <w:rPr>
          <w:color w:val="000000"/>
        </w:rPr>
        <w:t>. This</w:t>
      </w:r>
      <w:r>
        <w:rPr>
          <w:color w:val="000000"/>
          <w:spacing w:val="-1"/>
        </w:rPr>
        <w:t xml:space="preserve"> </w:t>
      </w:r>
      <w:r>
        <w:rPr>
          <w:color w:val="000000"/>
        </w:rPr>
        <w:t>su</w:t>
      </w:r>
      <w:r>
        <w:rPr>
          <w:color w:val="000000"/>
          <w:spacing w:val="-1"/>
        </w:rPr>
        <w:t>r</w:t>
      </w:r>
      <w:r>
        <w:rPr>
          <w:color w:val="000000"/>
        </w:rPr>
        <w:t>v</w:t>
      </w:r>
      <w:r>
        <w:rPr>
          <w:color w:val="000000"/>
          <w:spacing w:val="4"/>
        </w:rPr>
        <w:t>e</w:t>
      </w:r>
      <w:r>
        <w:rPr>
          <w:color w:val="000000"/>
          <w:spacing w:val="-5"/>
        </w:rPr>
        <w:t>y</w:t>
      </w:r>
      <w:r>
        <w:rPr>
          <w:color w:val="000000"/>
        </w:rPr>
        <w:t xml:space="preserve"> will </w:t>
      </w:r>
      <w:r>
        <w:rPr>
          <w:color w:val="000000"/>
          <w:spacing w:val="-1"/>
        </w:rPr>
        <w:t>re</w:t>
      </w:r>
      <w:r>
        <w:rPr>
          <w:color w:val="000000"/>
        </w:rPr>
        <w:t>qui</w:t>
      </w:r>
      <w:r>
        <w:rPr>
          <w:color w:val="000000"/>
          <w:spacing w:val="-1"/>
        </w:rPr>
        <w:t>r</w:t>
      </w:r>
      <w:r>
        <w:rPr>
          <w:color w:val="000000"/>
        </w:rPr>
        <w:t>e</w:t>
      </w:r>
      <w:r>
        <w:rPr>
          <w:color w:val="000000"/>
          <w:spacing w:val="-1"/>
        </w:rPr>
        <w:t xml:space="preserve"> a</w:t>
      </w:r>
      <w:r>
        <w:rPr>
          <w:color w:val="000000"/>
        </w:rPr>
        <w:t>bout ten</w:t>
      </w:r>
      <w:r>
        <w:rPr>
          <w:color w:val="000000"/>
          <w:spacing w:val="-2"/>
        </w:rPr>
        <w:t xml:space="preserve"> </w:t>
      </w:r>
      <w:r>
        <w:rPr>
          <w:color w:val="000000"/>
        </w:rPr>
        <w:t>minut</w:t>
      </w:r>
      <w:r>
        <w:rPr>
          <w:color w:val="000000"/>
          <w:spacing w:val="-1"/>
        </w:rPr>
        <w:t>e</w:t>
      </w:r>
      <w:r>
        <w:rPr>
          <w:color w:val="000000"/>
        </w:rPr>
        <w:t>s of</w:t>
      </w:r>
      <w:r>
        <w:rPr>
          <w:color w:val="000000"/>
          <w:spacing w:val="4"/>
        </w:rPr>
        <w:t xml:space="preserve"> </w:t>
      </w:r>
      <w:r>
        <w:rPr>
          <w:color w:val="000000"/>
          <w:spacing w:val="-5"/>
        </w:rPr>
        <w:t>y</w:t>
      </w:r>
      <w:r>
        <w:rPr>
          <w:color w:val="000000"/>
        </w:rPr>
        <w:t>our</w:t>
      </w:r>
      <w:r>
        <w:rPr>
          <w:color w:val="000000"/>
          <w:spacing w:val="-1"/>
        </w:rPr>
        <w:t xml:space="preserve"> </w:t>
      </w:r>
      <w:r>
        <w:rPr>
          <w:color w:val="000000"/>
        </w:rPr>
        <w:t>t</w:t>
      </w:r>
      <w:r>
        <w:rPr>
          <w:color w:val="000000"/>
          <w:spacing w:val="3"/>
        </w:rPr>
        <w:t>i</w:t>
      </w:r>
      <w:r>
        <w:rPr>
          <w:color w:val="000000"/>
        </w:rPr>
        <w:t>m</w:t>
      </w:r>
      <w:r>
        <w:rPr>
          <w:color w:val="000000"/>
          <w:spacing w:val="-1"/>
        </w:rPr>
        <w:t>e</w:t>
      </w:r>
      <w:r>
        <w:rPr>
          <w:color w:val="000000"/>
        </w:rPr>
        <w:t xml:space="preserve">. It will </w:t>
      </w:r>
      <w:r>
        <w:rPr>
          <w:color w:val="000000"/>
          <w:spacing w:val="-1"/>
        </w:rPr>
        <w:t>a</w:t>
      </w:r>
      <w:r>
        <w:rPr>
          <w:color w:val="000000"/>
          <w:spacing w:val="3"/>
        </w:rPr>
        <w:t>s</w:t>
      </w:r>
      <w:r>
        <w:rPr>
          <w:color w:val="000000"/>
        </w:rPr>
        <w:t xml:space="preserve">k </w:t>
      </w:r>
      <w:r>
        <w:rPr>
          <w:color w:val="000000"/>
          <w:spacing w:val="-1"/>
        </w:rPr>
        <w:t>a</w:t>
      </w:r>
      <w:r>
        <w:rPr>
          <w:color w:val="000000"/>
        </w:rPr>
        <w:t>bout</w:t>
      </w:r>
      <w:r>
        <w:rPr>
          <w:color w:val="000000"/>
          <w:spacing w:val="3"/>
        </w:rPr>
        <w:t xml:space="preserve"> </w:t>
      </w:r>
      <w:r>
        <w:rPr>
          <w:color w:val="000000"/>
          <w:spacing w:val="-5"/>
        </w:rPr>
        <w:t>y</w:t>
      </w:r>
      <w:r>
        <w:rPr>
          <w:color w:val="000000"/>
        </w:rPr>
        <w:t>o</w:t>
      </w:r>
      <w:r>
        <w:rPr>
          <w:color w:val="000000"/>
          <w:spacing w:val="2"/>
        </w:rPr>
        <w:t>u</w:t>
      </w:r>
      <w:r>
        <w:rPr>
          <w:color w:val="000000"/>
        </w:rPr>
        <w:t xml:space="preserve">r </w:t>
      </w:r>
      <w:r>
        <w:rPr>
          <w:color w:val="000000"/>
          <w:spacing w:val="-1"/>
        </w:rPr>
        <w:t>e</w:t>
      </w:r>
      <w:r>
        <w:rPr>
          <w:color w:val="000000"/>
          <w:spacing w:val="2"/>
        </w:rPr>
        <w:t>x</w:t>
      </w:r>
      <w:r>
        <w:rPr>
          <w:color w:val="000000"/>
        </w:rPr>
        <w:t>p</w:t>
      </w:r>
      <w:r>
        <w:rPr>
          <w:color w:val="000000"/>
          <w:spacing w:val="-1"/>
        </w:rPr>
        <w:t>er</w:t>
      </w:r>
      <w:r>
        <w:rPr>
          <w:color w:val="000000"/>
        </w:rPr>
        <w:t>i</w:t>
      </w:r>
      <w:r>
        <w:rPr>
          <w:color w:val="000000"/>
          <w:spacing w:val="-1"/>
        </w:rPr>
        <w:t>e</w:t>
      </w:r>
      <w:r>
        <w:rPr>
          <w:color w:val="000000"/>
        </w:rPr>
        <w:t>n</w:t>
      </w:r>
      <w:r>
        <w:rPr>
          <w:color w:val="000000"/>
          <w:spacing w:val="-1"/>
        </w:rPr>
        <w:t>c</w:t>
      </w:r>
      <w:r>
        <w:rPr>
          <w:color w:val="000000"/>
        </w:rPr>
        <w:t>e</w:t>
      </w:r>
      <w:r>
        <w:rPr>
          <w:color w:val="000000"/>
          <w:spacing w:val="-1"/>
        </w:rPr>
        <w:t xml:space="preserve"> and perception of the old and new Vodacom branding. </w:t>
      </w:r>
    </w:p>
    <w:p w:rsidR="00272493" w:rsidRDefault="00272493" w:rsidP="00272493">
      <w:pPr>
        <w:widowControl w:val="0"/>
        <w:autoSpaceDE w:val="0"/>
        <w:autoSpaceDN w:val="0"/>
        <w:adjustRightInd w:val="0"/>
        <w:spacing w:after="0"/>
        <w:ind w:left="100" w:right="83"/>
        <w:rPr>
          <w:color w:val="000000"/>
        </w:rPr>
      </w:pPr>
      <w:r w:rsidRPr="00EA329E">
        <w:rPr>
          <w:rFonts w:cs="Arial"/>
        </w:rPr>
        <w:t xml:space="preserve">Confidentiality </w:t>
      </w:r>
      <w:r>
        <w:rPr>
          <w:rFonts w:cs="Arial"/>
        </w:rPr>
        <w:t>was</w:t>
      </w:r>
      <w:r w:rsidRPr="00EA329E">
        <w:rPr>
          <w:rFonts w:cs="Arial"/>
        </w:rPr>
        <w:t xml:space="preserve"> observed throughout the thesis process and the final report </w:t>
      </w:r>
      <w:r>
        <w:rPr>
          <w:rFonts w:cs="Arial"/>
        </w:rPr>
        <w:t>was</w:t>
      </w:r>
      <w:r w:rsidRPr="00EA329E">
        <w:rPr>
          <w:rFonts w:cs="Arial"/>
        </w:rPr>
        <w:t xml:space="preserve"> used for academic purposes only. An electronic copy of the final research report and results </w:t>
      </w:r>
      <w:r>
        <w:rPr>
          <w:rFonts w:cs="Arial"/>
        </w:rPr>
        <w:t>was</w:t>
      </w:r>
      <w:r w:rsidRPr="00EA329E">
        <w:rPr>
          <w:rFonts w:cs="Arial"/>
        </w:rPr>
        <w:t xml:space="preserve"> shared with all respondents.</w:t>
      </w:r>
    </w:p>
    <w:p w:rsidR="00272493" w:rsidRDefault="00272493" w:rsidP="00272493">
      <w:pPr>
        <w:widowControl w:val="0"/>
        <w:autoSpaceDE w:val="0"/>
        <w:autoSpaceDN w:val="0"/>
        <w:adjustRightInd w:val="0"/>
        <w:spacing w:after="0"/>
        <w:ind w:right="863"/>
        <w:rPr>
          <w:color w:val="000000"/>
        </w:rPr>
      </w:pPr>
      <w:r>
        <w:rPr>
          <w:color w:val="000000"/>
          <w:spacing w:val="1"/>
        </w:rPr>
        <w:t>Your participation and views are appreciated</w:t>
      </w:r>
      <w:r>
        <w:rPr>
          <w:color w:val="000000"/>
        </w:rPr>
        <w:t xml:space="preserve">, </w:t>
      </w:r>
      <w:r>
        <w:rPr>
          <w:color w:val="000000"/>
          <w:spacing w:val="-1"/>
        </w:rPr>
        <w:t>fee</w:t>
      </w:r>
      <w:r>
        <w:rPr>
          <w:color w:val="000000"/>
        </w:rPr>
        <w:t xml:space="preserve">l </w:t>
      </w:r>
      <w:r>
        <w:rPr>
          <w:color w:val="000000"/>
          <w:spacing w:val="2"/>
        </w:rPr>
        <w:t>f</w:t>
      </w:r>
      <w:r>
        <w:rPr>
          <w:color w:val="000000"/>
          <w:spacing w:val="-1"/>
        </w:rPr>
        <w:t>re</w:t>
      </w:r>
      <w:r>
        <w:rPr>
          <w:color w:val="000000"/>
        </w:rPr>
        <w:t>e</w:t>
      </w:r>
      <w:r>
        <w:rPr>
          <w:color w:val="000000"/>
          <w:spacing w:val="-1"/>
        </w:rPr>
        <w:t xml:space="preserve"> </w:t>
      </w:r>
      <w:r>
        <w:rPr>
          <w:color w:val="000000"/>
        </w:rPr>
        <w:t>to</w:t>
      </w:r>
      <w:r>
        <w:rPr>
          <w:color w:val="000000"/>
          <w:spacing w:val="2"/>
        </w:rPr>
        <w:t xml:space="preserve"> </w:t>
      </w:r>
      <w:r>
        <w:rPr>
          <w:color w:val="000000"/>
          <w:spacing w:val="-1"/>
        </w:rPr>
        <w:t>c</w:t>
      </w:r>
      <w:r>
        <w:rPr>
          <w:color w:val="000000"/>
        </w:rPr>
        <w:t>ont</w:t>
      </w:r>
      <w:r>
        <w:rPr>
          <w:color w:val="000000"/>
          <w:spacing w:val="-1"/>
        </w:rPr>
        <w:t>ac</w:t>
      </w:r>
      <w:r>
        <w:rPr>
          <w:color w:val="000000"/>
        </w:rPr>
        <w:t xml:space="preserve">t </w:t>
      </w:r>
      <w:r>
        <w:rPr>
          <w:color w:val="000000"/>
          <w:spacing w:val="3"/>
        </w:rPr>
        <w:t>m</w:t>
      </w:r>
      <w:r>
        <w:rPr>
          <w:color w:val="000000"/>
          <w:spacing w:val="-1"/>
        </w:rPr>
        <w:t>e</w:t>
      </w:r>
      <w:r>
        <w:rPr>
          <w:color w:val="000000"/>
        </w:rPr>
        <w:t xml:space="preserve">. </w:t>
      </w:r>
      <w:r>
        <w:rPr>
          <w:color w:val="000000"/>
          <w:spacing w:val="3"/>
        </w:rPr>
        <w:t>M</w:t>
      </w:r>
      <w:r>
        <w:rPr>
          <w:color w:val="000000"/>
        </w:rPr>
        <w:t>y</w:t>
      </w:r>
      <w:r>
        <w:rPr>
          <w:color w:val="000000"/>
          <w:spacing w:val="-2"/>
        </w:rPr>
        <w:t xml:space="preserve"> </w:t>
      </w:r>
      <w:r>
        <w:rPr>
          <w:color w:val="000000"/>
          <w:spacing w:val="-1"/>
        </w:rPr>
        <w:t>c</w:t>
      </w:r>
      <w:r>
        <w:rPr>
          <w:color w:val="000000"/>
        </w:rPr>
        <w:t>ont</w:t>
      </w:r>
      <w:r>
        <w:rPr>
          <w:color w:val="000000"/>
          <w:spacing w:val="-1"/>
        </w:rPr>
        <w:t>ac</w:t>
      </w:r>
      <w:r>
        <w:rPr>
          <w:color w:val="000000"/>
        </w:rPr>
        <w:t>t in</w:t>
      </w:r>
      <w:r>
        <w:rPr>
          <w:color w:val="000000"/>
          <w:spacing w:val="-1"/>
        </w:rPr>
        <w:t>f</w:t>
      </w:r>
      <w:r>
        <w:rPr>
          <w:color w:val="000000"/>
        </w:rPr>
        <w:t>o</w:t>
      </w:r>
      <w:r>
        <w:rPr>
          <w:color w:val="000000"/>
          <w:spacing w:val="-1"/>
        </w:rPr>
        <w:t>r</w:t>
      </w:r>
      <w:r>
        <w:rPr>
          <w:color w:val="000000"/>
        </w:rPr>
        <w:t>m</w:t>
      </w:r>
      <w:r>
        <w:rPr>
          <w:color w:val="000000"/>
          <w:spacing w:val="-1"/>
        </w:rPr>
        <w:t>a</w:t>
      </w:r>
      <w:r>
        <w:rPr>
          <w:color w:val="000000"/>
        </w:rPr>
        <w:t>tion is:-</w:t>
      </w:r>
    </w:p>
    <w:p w:rsidR="00272493" w:rsidRDefault="00272493" w:rsidP="00272493">
      <w:pPr>
        <w:rPr>
          <w:color w:val="000000"/>
          <w:spacing w:val="2"/>
        </w:rPr>
      </w:pPr>
      <w:r>
        <w:rPr>
          <w:color w:val="000000"/>
          <w:spacing w:val="2"/>
        </w:rPr>
        <w:t>Thank You for your support and time</w:t>
      </w:r>
    </w:p>
    <w:p w:rsidR="00272493" w:rsidRPr="00EA329E" w:rsidRDefault="00272493" w:rsidP="00272493">
      <w:pPr>
        <w:rPr>
          <w:rFonts w:cs="Arial"/>
        </w:rPr>
      </w:pPr>
      <w:r w:rsidRPr="00EA329E">
        <w:rPr>
          <w:rFonts w:cs="Arial"/>
        </w:rPr>
        <w:t xml:space="preserve">Yours sincerely </w:t>
      </w:r>
    </w:p>
    <w:p w:rsidR="00272493" w:rsidRPr="00EA329E" w:rsidRDefault="00272493" w:rsidP="00272493">
      <w:pPr>
        <w:rPr>
          <w:rFonts w:cs="Arial"/>
        </w:rPr>
      </w:pPr>
      <w:r w:rsidRPr="00EA329E">
        <w:rPr>
          <w:rFonts w:cs="Arial"/>
        </w:rPr>
        <w:t>Rodney Moloko</w:t>
      </w:r>
    </w:p>
    <w:p w:rsidR="00272493" w:rsidRPr="00EA329E" w:rsidRDefault="00272493" w:rsidP="00272493">
      <w:pPr>
        <w:rPr>
          <w:rFonts w:cs="Arial"/>
        </w:rPr>
      </w:pPr>
      <w:r w:rsidRPr="00EA329E">
        <w:rPr>
          <w:rFonts w:cs="Arial"/>
        </w:rPr>
        <w:t>Mobile number: +2782 9999 090</w:t>
      </w:r>
    </w:p>
    <w:p w:rsidR="00272493" w:rsidRDefault="00272493" w:rsidP="00272493">
      <w:pPr>
        <w:jc w:val="left"/>
        <w:rPr>
          <w:rStyle w:val="Hyperlink"/>
          <w:rFonts w:cs="Arial"/>
          <w:color w:val="auto"/>
        </w:rPr>
      </w:pPr>
      <w:r w:rsidRPr="00EA329E">
        <w:rPr>
          <w:rFonts w:cs="Arial"/>
        </w:rPr>
        <w:t xml:space="preserve">Email address: </w:t>
      </w:r>
      <w:hyperlink r:id="rId26" w:history="1">
        <w:r w:rsidRPr="00D568EA">
          <w:rPr>
            <w:rStyle w:val="Hyperlink"/>
            <w:rFonts w:cs="Arial"/>
            <w:color w:val="auto"/>
          </w:rPr>
          <w:t>rmoloko@gmail.com</w:t>
        </w:r>
      </w:hyperlink>
    </w:p>
    <w:p w:rsidR="00272493" w:rsidRDefault="00272493" w:rsidP="00272493">
      <w:pPr>
        <w:jc w:val="left"/>
        <w:rPr>
          <w:rStyle w:val="Hyperlink"/>
          <w:rFonts w:cs="Arial"/>
          <w:color w:val="auto"/>
        </w:rPr>
      </w:pPr>
    </w:p>
    <w:p w:rsidR="00272493" w:rsidRPr="00EA329E" w:rsidRDefault="00272493" w:rsidP="00272493">
      <w:pPr>
        <w:pStyle w:val="Heading2"/>
        <w:numPr>
          <w:ilvl w:val="0"/>
          <w:numId w:val="0"/>
        </w:numPr>
      </w:pPr>
      <w:bookmarkStart w:id="175" w:name="_Toc380687139"/>
      <w:r w:rsidRPr="00EA329E">
        <w:t xml:space="preserve">Appendix </w:t>
      </w:r>
      <w:r>
        <w:t>B</w:t>
      </w:r>
      <w:r w:rsidRPr="00EA329E">
        <w:t xml:space="preserve">: </w:t>
      </w:r>
      <w:r>
        <w:t>Questionnaire</w:t>
      </w:r>
      <w:bookmarkEnd w:id="175"/>
    </w:p>
    <w:p w:rsidR="00272493" w:rsidRDefault="00272493" w:rsidP="00272493">
      <w:pPr>
        <w:spacing w:before="0" w:after="0" w:line="240" w:lineRule="auto"/>
        <w:jc w:val="left"/>
        <w:rPr>
          <w:rFonts w:asciiTheme="minorHAnsi" w:eastAsiaTheme="minorHAnsi" w:hAnsiTheme="minorHAnsi" w:cstheme="minorBidi"/>
          <w:b/>
          <w:sz w:val="28"/>
          <w:szCs w:val="22"/>
          <w:lang w:val="en-ZA"/>
        </w:rPr>
      </w:pPr>
    </w:p>
    <w:p w:rsidR="00272493" w:rsidRPr="006B439C" w:rsidRDefault="00272493" w:rsidP="00272493">
      <w:pPr>
        <w:spacing w:before="0" w:after="0" w:line="240" w:lineRule="auto"/>
        <w:jc w:val="left"/>
        <w:rPr>
          <w:rFonts w:eastAsiaTheme="minorHAnsi" w:cs="Arial"/>
          <w:b/>
          <w:i/>
          <w:lang w:val="en-ZA"/>
        </w:rPr>
      </w:pPr>
      <w:r w:rsidRPr="006B439C">
        <w:rPr>
          <w:rFonts w:eastAsiaTheme="minorHAnsi" w:cs="Arial"/>
          <w:b/>
          <w:lang w:val="en-ZA"/>
        </w:rPr>
        <w:t xml:space="preserve">Questionnaire: </w:t>
      </w:r>
      <w:r w:rsidRPr="006B439C">
        <w:rPr>
          <w:rFonts w:eastAsiaTheme="minorHAnsi" w:cs="Arial"/>
          <w:b/>
          <w:i/>
          <w:lang w:val="en-ZA"/>
        </w:rPr>
        <w:t>Corporate rebranding in the telecommunications industry in South Africa and the impact on brand equity</w:t>
      </w:r>
    </w:p>
    <w:p w:rsidR="00272493" w:rsidRPr="006C5458" w:rsidRDefault="00272493" w:rsidP="00272493">
      <w:pPr>
        <w:spacing w:before="0" w:after="0" w:line="240" w:lineRule="auto"/>
        <w:jc w:val="left"/>
        <w:rPr>
          <w:rFonts w:asciiTheme="minorHAnsi" w:eastAsiaTheme="minorHAnsi" w:hAnsiTheme="minorHAnsi" w:cstheme="minorBidi"/>
          <w:sz w:val="22"/>
          <w:szCs w:val="22"/>
          <w:lang w:val="en-ZA"/>
        </w:rPr>
      </w:pPr>
    </w:p>
    <w:p w:rsidR="00272493" w:rsidRPr="002D2EC9" w:rsidRDefault="00272493" w:rsidP="00272493">
      <w:pPr>
        <w:spacing w:before="0" w:after="0" w:line="240" w:lineRule="auto"/>
        <w:jc w:val="left"/>
        <w:rPr>
          <w:rFonts w:asciiTheme="minorHAnsi" w:eastAsiaTheme="minorHAnsi" w:hAnsiTheme="minorHAnsi" w:cstheme="minorBidi"/>
          <w:b/>
          <w:lang w:val="en-ZA"/>
        </w:rPr>
      </w:pPr>
      <w:r w:rsidRPr="002D2EC9">
        <w:rPr>
          <w:rFonts w:asciiTheme="minorHAnsi" w:eastAsiaTheme="minorHAnsi" w:hAnsiTheme="minorHAnsi" w:cstheme="minorBidi"/>
          <w:b/>
          <w:lang w:val="en-ZA"/>
        </w:rPr>
        <w:t>Section A: Demographic information</w:t>
      </w:r>
    </w:p>
    <w:p w:rsidR="00272493" w:rsidRPr="002D2EC9" w:rsidRDefault="00272493" w:rsidP="00272493">
      <w:pPr>
        <w:spacing w:before="0" w:after="0" w:line="240" w:lineRule="auto"/>
        <w:jc w:val="left"/>
        <w:rPr>
          <w:rFonts w:asciiTheme="minorHAnsi" w:eastAsiaTheme="minorHAnsi" w:hAnsiTheme="minorHAnsi" w:cstheme="minorBidi"/>
          <w:lang w:val="en-ZA"/>
        </w:rPr>
      </w:pPr>
    </w:p>
    <w:p w:rsidR="00272493" w:rsidRPr="002D2EC9" w:rsidRDefault="00272493" w:rsidP="00272493">
      <w:pPr>
        <w:numPr>
          <w:ilvl w:val="0"/>
          <w:numId w:val="17"/>
        </w:numPr>
        <w:spacing w:before="0" w:after="0" w:line="200" w:lineRule="atLeast"/>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Gender</w:t>
      </w:r>
    </w:p>
    <w:tbl>
      <w:tblPr>
        <w:tblStyle w:val="TableGrid1"/>
        <w:tblW w:w="0" w:type="auto"/>
        <w:tblLook w:val="04A0" w:firstRow="1" w:lastRow="0" w:firstColumn="1" w:lastColumn="0" w:noHBand="0" w:noVBand="1"/>
      </w:tblPr>
      <w:tblGrid>
        <w:gridCol w:w="3085"/>
        <w:gridCol w:w="2693"/>
      </w:tblGrid>
      <w:tr w:rsidR="00272493" w:rsidRPr="00B363EC" w:rsidTr="00272493">
        <w:tc>
          <w:tcPr>
            <w:tcW w:w="3085" w:type="dxa"/>
          </w:tcPr>
          <w:p w:rsidR="00272493" w:rsidRPr="002D2EC9" w:rsidRDefault="00272493" w:rsidP="00272493">
            <w:pPr>
              <w:spacing w:before="0" w:after="0" w:line="200" w:lineRule="atLeast"/>
              <w:jc w:val="center"/>
              <w:rPr>
                <w:rFonts w:asciiTheme="minorHAnsi" w:hAnsiTheme="minorHAnsi"/>
                <w:lang w:val="en-ZA"/>
              </w:rPr>
            </w:pPr>
            <w:r w:rsidRPr="002D2EC9">
              <w:rPr>
                <w:rFonts w:asciiTheme="minorHAnsi" w:hAnsiTheme="minorHAnsi"/>
                <w:lang w:val="en-ZA"/>
              </w:rPr>
              <w:t>Male</w:t>
            </w:r>
          </w:p>
        </w:tc>
        <w:tc>
          <w:tcPr>
            <w:tcW w:w="2693" w:type="dxa"/>
          </w:tcPr>
          <w:p w:rsidR="00272493" w:rsidRPr="002D2EC9" w:rsidRDefault="00272493" w:rsidP="00272493">
            <w:pPr>
              <w:spacing w:before="0" w:after="0" w:line="200" w:lineRule="atLeast"/>
              <w:jc w:val="center"/>
              <w:rPr>
                <w:rFonts w:asciiTheme="minorHAnsi" w:hAnsiTheme="minorHAnsi"/>
                <w:lang w:val="en-ZA"/>
              </w:rPr>
            </w:pPr>
            <w:r w:rsidRPr="002D2EC9">
              <w:rPr>
                <w:rFonts w:asciiTheme="minorHAnsi" w:hAnsiTheme="minorHAnsi"/>
                <w:lang w:val="en-ZA"/>
              </w:rPr>
              <w:t>Female</w:t>
            </w:r>
          </w:p>
        </w:tc>
      </w:tr>
    </w:tbl>
    <w:p w:rsidR="00272493" w:rsidRPr="002D2EC9" w:rsidRDefault="00272493" w:rsidP="00272493">
      <w:pPr>
        <w:spacing w:before="0" w:after="0" w:line="200" w:lineRule="atLeast"/>
        <w:jc w:val="left"/>
        <w:rPr>
          <w:rFonts w:asciiTheme="minorHAnsi" w:eastAsiaTheme="minorHAnsi" w:hAnsiTheme="minorHAnsi" w:cstheme="minorBidi"/>
          <w:lang w:val="en-ZA"/>
        </w:rPr>
      </w:pPr>
    </w:p>
    <w:p w:rsidR="00272493" w:rsidRPr="002D2EC9" w:rsidRDefault="00272493" w:rsidP="00272493">
      <w:pPr>
        <w:numPr>
          <w:ilvl w:val="0"/>
          <w:numId w:val="17"/>
        </w:numPr>
        <w:spacing w:before="0" w:after="0" w:line="200" w:lineRule="atLeast"/>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Please indicate the number of years as a Vodacom employee.</w:t>
      </w:r>
    </w:p>
    <w:tbl>
      <w:tblPr>
        <w:tblStyle w:val="TableGrid1"/>
        <w:tblpPr w:leftFromText="180" w:rightFromText="180" w:vertAnchor="text" w:horzAnchor="margin" w:tblpY="134"/>
        <w:tblW w:w="0" w:type="auto"/>
        <w:tblLook w:val="04A0" w:firstRow="1" w:lastRow="0" w:firstColumn="1" w:lastColumn="0" w:noHBand="0" w:noVBand="1"/>
      </w:tblPr>
      <w:tblGrid>
        <w:gridCol w:w="1791"/>
        <w:gridCol w:w="1790"/>
        <w:gridCol w:w="1790"/>
        <w:gridCol w:w="1791"/>
        <w:gridCol w:w="1792"/>
      </w:tblGrid>
      <w:tr w:rsidR="00272493" w:rsidRPr="00B363EC" w:rsidTr="00272493">
        <w:tc>
          <w:tcPr>
            <w:tcW w:w="1848"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Less than 2 years</w:t>
            </w:r>
          </w:p>
        </w:tc>
        <w:tc>
          <w:tcPr>
            <w:tcW w:w="1848"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2-5 years</w:t>
            </w:r>
          </w:p>
        </w:tc>
        <w:tc>
          <w:tcPr>
            <w:tcW w:w="1848"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6-9 years</w:t>
            </w:r>
          </w:p>
        </w:tc>
        <w:tc>
          <w:tcPr>
            <w:tcW w:w="184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6-8 years</w:t>
            </w:r>
          </w:p>
        </w:tc>
        <w:tc>
          <w:tcPr>
            <w:tcW w:w="184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More than 8 years</w:t>
            </w:r>
          </w:p>
        </w:tc>
      </w:tr>
    </w:tbl>
    <w:p w:rsidR="00272493" w:rsidRPr="002D2EC9" w:rsidRDefault="00272493" w:rsidP="00272493">
      <w:pPr>
        <w:spacing w:before="0" w:after="0" w:line="240" w:lineRule="auto"/>
        <w:jc w:val="left"/>
        <w:rPr>
          <w:rFonts w:asciiTheme="minorHAnsi" w:eastAsiaTheme="minorHAnsi" w:hAnsiTheme="minorHAnsi" w:cstheme="minorBidi"/>
          <w:lang w:val="en-ZA"/>
        </w:rPr>
      </w:pPr>
    </w:p>
    <w:p w:rsidR="00272493" w:rsidRPr="002D2EC9" w:rsidRDefault="00272493" w:rsidP="00272493">
      <w:pPr>
        <w:spacing w:before="0" w:after="0" w:line="200" w:lineRule="atLeast"/>
        <w:jc w:val="left"/>
        <w:rPr>
          <w:rFonts w:asciiTheme="minorHAnsi" w:eastAsiaTheme="minorHAnsi" w:hAnsiTheme="minorHAnsi" w:cstheme="minorBidi"/>
          <w:lang w:val="en-ZA"/>
        </w:rPr>
      </w:pPr>
    </w:p>
    <w:p w:rsidR="00272493" w:rsidRDefault="00272493" w:rsidP="00272493">
      <w:pPr>
        <w:pStyle w:val="ListParagraph"/>
        <w:numPr>
          <w:ilvl w:val="0"/>
          <w:numId w:val="17"/>
        </w:numPr>
        <w:spacing w:before="0" w:after="0" w:line="240" w:lineRule="auto"/>
        <w:jc w:val="left"/>
        <w:rPr>
          <w:rFonts w:asciiTheme="minorHAnsi" w:eastAsiaTheme="minorHAnsi" w:hAnsiTheme="minorHAnsi" w:cstheme="minorBidi"/>
          <w:lang w:val="en-ZA"/>
        </w:rPr>
      </w:pPr>
      <w:r w:rsidRPr="00E65596">
        <w:rPr>
          <w:rFonts w:asciiTheme="minorHAnsi" w:eastAsiaTheme="minorHAnsi" w:hAnsiTheme="minorHAnsi" w:cstheme="minorBidi"/>
          <w:lang w:val="en-ZA"/>
        </w:rPr>
        <w:t>Function</w:t>
      </w:r>
    </w:p>
    <w:tbl>
      <w:tblPr>
        <w:tblStyle w:val="TableGrid1"/>
        <w:tblW w:w="0" w:type="auto"/>
        <w:tblLook w:val="04A0" w:firstRow="1" w:lastRow="0" w:firstColumn="1" w:lastColumn="0" w:noHBand="0" w:noVBand="1"/>
      </w:tblPr>
      <w:tblGrid>
        <w:gridCol w:w="2647"/>
        <w:gridCol w:w="2047"/>
        <w:gridCol w:w="2213"/>
        <w:gridCol w:w="2047"/>
      </w:tblGrid>
      <w:tr w:rsidR="00272493" w:rsidRPr="00B363EC" w:rsidTr="00272493">
        <w:tc>
          <w:tcPr>
            <w:tcW w:w="2943" w:type="dxa"/>
          </w:tcPr>
          <w:p w:rsidR="00272493" w:rsidRPr="002D2EC9" w:rsidRDefault="00272493" w:rsidP="00272493">
            <w:pPr>
              <w:spacing w:before="0" w:after="0" w:line="200" w:lineRule="atLeast"/>
              <w:jc w:val="left"/>
              <w:rPr>
                <w:rFonts w:asciiTheme="minorHAnsi" w:hAnsiTheme="minorHAnsi"/>
                <w:lang w:val="en-ZA"/>
              </w:rPr>
            </w:pPr>
            <w:r>
              <w:rPr>
                <w:rFonts w:asciiTheme="minorHAnsi" w:hAnsiTheme="minorHAnsi"/>
                <w:lang w:val="en-ZA"/>
              </w:rPr>
              <w:t>Sales</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2410" w:type="dxa"/>
          </w:tcPr>
          <w:p w:rsidR="00272493" w:rsidRPr="002D2EC9" w:rsidRDefault="00272493" w:rsidP="00272493">
            <w:pPr>
              <w:spacing w:before="0" w:after="0" w:line="200" w:lineRule="atLeast"/>
              <w:jc w:val="left"/>
              <w:rPr>
                <w:rFonts w:asciiTheme="minorHAnsi" w:hAnsiTheme="minorHAnsi"/>
                <w:lang w:val="en-ZA"/>
              </w:rPr>
            </w:pPr>
            <w:r>
              <w:rPr>
                <w:rFonts w:asciiTheme="minorHAnsi" w:hAnsiTheme="minorHAnsi"/>
                <w:lang w:val="en-ZA"/>
              </w:rPr>
              <w:t>Marketing</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r>
      <w:tr w:rsidR="00272493" w:rsidRPr="00B363EC" w:rsidTr="00272493">
        <w:tc>
          <w:tcPr>
            <w:tcW w:w="294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Finance</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2410" w:type="dxa"/>
          </w:tcPr>
          <w:p w:rsidR="00272493" w:rsidRPr="002D2EC9" w:rsidRDefault="00272493" w:rsidP="00272493">
            <w:pPr>
              <w:spacing w:before="0" w:after="0" w:line="200" w:lineRule="atLeast"/>
              <w:jc w:val="left"/>
              <w:rPr>
                <w:rFonts w:asciiTheme="minorHAnsi" w:hAnsiTheme="minorHAnsi"/>
                <w:lang w:val="en-ZA"/>
              </w:rPr>
            </w:pPr>
            <w:r>
              <w:rPr>
                <w:rFonts w:asciiTheme="minorHAnsi" w:hAnsiTheme="minorHAnsi"/>
                <w:lang w:val="en-ZA"/>
              </w:rPr>
              <w:t>Other</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r>
      <w:tr w:rsidR="00272493" w:rsidRPr="00B363EC" w:rsidTr="00272493">
        <w:tc>
          <w:tcPr>
            <w:tcW w:w="2943" w:type="dxa"/>
          </w:tcPr>
          <w:p w:rsidR="00272493" w:rsidRPr="002D2EC9" w:rsidRDefault="00E85236" w:rsidP="00272493">
            <w:pPr>
              <w:spacing w:before="0" w:after="0" w:line="200" w:lineRule="atLeast"/>
              <w:jc w:val="left"/>
              <w:rPr>
                <w:rFonts w:asciiTheme="minorHAnsi" w:hAnsiTheme="minorHAnsi"/>
                <w:lang w:val="en-ZA"/>
              </w:rPr>
            </w:pPr>
            <w:hyperlink r:id="rId27" w:tooltip="http://en.wikipedia.org/wiki/Bachelor%27s_degree" w:history="1">
              <w:r w:rsidR="00272493">
                <w:rPr>
                  <w:rFonts w:asciiTheme="minorHAnsi" w:hAnsiTheme="minorHAnsi"/>
                  <w:lang w:val="en-ZA"/>
                </w:rPr>
                <w:t>Customer</w:t>
              </w:r>
            </w:hyperlink>
            <w:r w:rsidR="00272493">
              <w:rPr>
                <w:rFonts w:asciiTheme="minorHAnsi" w:hAnsiTheme="minorHAnsi"/>
                <w:lang w:val="en-ZA"/>
              </w:rPr>
              <w:t xml:space="preserve"> Service</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2410" w:type="dxa"/>
          </w:tcPr>
          <w:p w:rsidR="00272493" w:rsidRPr="002D2EC9" w:rsidRDefault="00272493" w:rsidP="00272493">
            <w:pPr>
              <w:spacing w:before="0" w:after="0" w:line="200" w:lineRule="atLeast"/>
              <w:jc w:val="left"/>
              <w:rPr>
                <w:rFonts w:asciiTheme="minorHAnsi" w:hAnsiTheme="minorHAnsi"/>
                <w:lang w:val="en-ZA"/>
              </w:rPr>
            </w:pP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r>
    </w:tbl>
    <w:p w:rsidR="00272493" w:rsidRDefault="00272493" w:rsidP="00272493">
      <w:pPr>
        <w:spacing w:before="0" w:after="0" w:line="240" w:lineRule="auto"/>
        <w:jc w:val="left"/>
        <w:rPr>
          <w:rFonts w:asciiTheme="minorHAnsi" w:eastAsiaTheme="minorHAnsi" w:hAnsiTheme="minorHAnsi" w:cstheme="minorBidi"/>
          <w:lang w:val="en-ZA"/>
        </w:rPr>
      </w:pPr>
    </w:p>
    <w:p w:rsidR="00272493" w:rsidRPr="00584B43" w:rsidRDefault="00272493" w:rsidP="00272493">
      <w:pPr>
        <w:pStyle w:val="ListParagraph"/>
        <w:numPr>
          <w:ilvl w:val="0"/>
          <w:numId w:val="17"/>
        </w:numPr>
        <w:spacing w:before="0" w:after="0" w:line="240" w:lineRule="auto"/>
        <w:jc w:val="left"/>
        <w:rPr>
          <w:rFonts w:asciiTheme="minorHAnsi" w:eastAsiaTheme="minorHAnsi" w:hAnsiTheme="minorHAnsi" w:cstheme="minorBidi"/>
          <w:lang w:val="en-ZA"/>
        </w:rPr>
      </w:pPr>
      <w:r w:rsidRPr="00584B43">
        <w:rPr>
          <w:rFonts w:asciiTheme="minorHAnsi" w:eastAsiaTheme="minorHAnsi" w:hAnsiTheme="minorHAnsi" w:cstheme="minorBidi"/>
          <w:lang w:val="en-ZA"/>
        </w:rPr>
        <w:t>What is your highest level of education?</w:t>
      </w:r>
    </w:p>
    <w:p w:rsidR="00272493" w:rsidRPr="002D2EC9" w:rsidRDefault="00272493" w:rsidP="00272493">
      <w:pPr>
        <w:spacing w:before="0" w:after="0" w:line="200" w:lineRule="atLeast"/>
        <w:jc w:val="left"/>
        <w:rPr>
          <w:rFonts w:asciiTheme="minorHAnsi" w:eastAsiaTheme="minorHAnsi" w:hAnsiTheme="minorHAnsi" w:cstheme="minorBidi"/>
          <w:lang w:val="en-ZA"/>
        </w:rPr>
      </w:pPr>
    </w:p>
    <w:tbl>
      <w:tblPr>
        <w:tblStyle w:val="TableGrid1"/>
        <w:tblW w:w="0" w:type="auto"/>
        <w:tblLook w:val="04A0" w:firstRow="1" w:lastRow="0" w:firstColumn="1" w:lastColumn="0" w:noHBand="0" w:noVBand="1"/>
      </w:tblPr>
      <w:tblGrid>
        <w:gridCol w:w="2673"/>
        <w:gridCol w:w="2047"/>
        <w:gridCol w:w="2187"/>
        <w:gridCol w:w="2047"/>
      </w:tblGrid>
      <w:tr w:rsidR="00272493" w:rsidRPr="00B363EC" w:rsidTr="00272493">
        <w:tc>
          <w:tcPr>
            <w:tcW w:w="2943" w:type="dxa"/>
          </w:tcPr>
          <w:p w:rsidR="00272493" w:rsidRPr="002D2EC9" w:rsidRDefault="00272493" w:rsidP="00272493">
            <w:pPr>
              <w:spacing w:before="0" w:after="0" w:line="200" w:lineRule="atLeast"/>
              <w:jc w:val="left"/>
              <w:rPr>
                <w:rFonts w:asciiTheme="minorHAnsi" w:hAnsiTheme="minorHAnsi"/>
                <w:lang w:val="en-ZA"/>
              </w:rPr>
            </w:pPr>
            <w:r w:rsidRPr="002D2EC9">
              <w:rPr>
                <w:rFonts w:asciiTheme="minorHAnsi" w:hAnsiTheme="minorHAnsi"/>
                <w:lang w:val="en-ZA"/>
              </w:rPr>
              <w:t>Matric</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2410" w:type="dxa"/>
          </w:tcPr>
          <w:p w:rsidR="00272493" w:rsidRPr="002D2EC9" w:rsidRDefault="00272493" w:rsidP="00272493">
            <w:pPr>
              <w:spacing w:before="0" w:after="0" w:line="200" w:lineRule="atLeast"/>
              <w:jc w:val="left"/>
              <w:rPr>
                <w:rFonts w:asciiTheme="minorHAnsi" w:hAnsiTheme="minorHAnsi"/>
                <w:lang w:val="en-ZA"/>
              </w:rPr>
            </w:pPr>
            <w:r w:rsidRPr="002D2EC9">
              <w:rPr>
                <w:rFonts w:asciiTheme="minorHAnsi" w:hAnsiTheme="minorHAnsi"/>
                <w:lang w:val="en-ZA"/>
              </w:rPr>
              <w:t>Honours Degree</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r>
      <w:tr w:rsidR="00272493" w:rsidRPr="00B363EC" w:rsidTr="00272493">
        <w:tc>
          <w:tcPr>
            <w:tcW w:w="294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Certificate/ Diploma</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2410" w:type="dxa"/>
          </w:tcPr>
          <w:p w:rsidR="00272493" w:rsidRPr="002D2EC9" w:rsidRDefault="00272493" w:rsidP="00272493">
            <w:pPr>
              <w:spacing w:before="0" w:after="0" w:line="200" w:lineRule="atLeast"/>
              <w:jc w:val="left"/>
              <w:rPr>
                <w:rFonts w:asciiTheme="minorHAnsi" w:hAnsiTheme="minorHAnsi"/>
                <w:lang w:val="en-ZA"/>
              </w:rPr>
            </w:pPr>
            <w:r w:rsidRPr="002D2EC9">
              <w:rPr>
                <w:rFonts w:asciiTheme="minorHAnsi" w:hAnsiTheme="minorHAnsi"/>
                <w:lang w:val="en-ZA"/>
              </w:rPr>
              <w:t>Master’s Degree</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r>
      <w:tr w:rsidR="00272493" w:rsidRPr="00B363EC" w:rsidTr="00272493">
        <w:tc>
          <w:tcPr>
            <w:tcW w:w="2943" w:type="dxa"/>
          </w:tcPr>
          <w:p w:rsidR="00272493" w:rsidRPr="002D2EC9" w:rsidRDefault="00E85236" w:rsidP="00272493">
            <w:pPr>
              <w:spacing w:before="0" w:after="0" w:line="200" w:lineRule="atLeast"/>
              <w:jc w:val="left"/>
              <w:rPr>
                <w:rFonts w:asciiTheme="minorHAnsi" w:hAnsiTheme="minorHAnsi"/>
                <w:lang w:val="en-ZA"/>
              </w:rPr>
            </w:pPr>
            <w:hyperlink r:id="rId28" w:tooltip="http://en.wikipedia.org/wiki/Bachelor%27s_degree" w:history="1">
              <w:r w:rsidR="00272493" w:rsidRPr="002D2EC9">
                <w:rPr>
                  <w:rFonts w:asciiTheme="minorHAnsi" w:hAnsiTheme="minorHAnsi"/>
                  <w:lang w:val="en-ZA"/>
                </w:rPr>
                <w:t>Bachelor's degree</w:t>
              </w:r>
            </w:hyperlink>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2410" w:type="dxa"/>
          </w:tcPr>
          <w:p w:rsidR="00272493" w:rsidRPr="002D2EC9" w:rsidRDefault="00272493" w:rsidP="00272493">
            <w:pPr>
              <w:spacing w:before="0" w:after="0" w:line="200" w:lineRule="atLeast"/>
              <w:jc w:val="left"/>
              <w:rPr>
                <w:rFonts w:asciiTheme="minorHAnsi" w:hAnsiTheme="minorHAnsi"/>
                <w:lang w:val="en-ZA"/>
              </w:rPr>
            </w:pPr>
            <w:r w:rsidRPr="002D2EC9">
              <w:rPr>
                <w:rFonts w:asciiTheme="minorHAnsi" w:hAnsiTheme="minorHAnsi"/>
                <w:lang w:val="en-ZA"/>
              </w:rPr>
              <w:t>Doctoral Degree</w:t>
            </w:r>
          </w:p>
        </w:tc>
        <w:tc>
          <w:tcPr>
            <w:tcW w:w="2410"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r>
    </w:tbl>
    <w:p w:rsidR="00272493" w:rsidRDefault="00272493" w:rsidP="00272493">
      <w:pPr>
        <w:spacing w:before="0" w:after="0" w:line="240" w:lineRule="auto"/>
        <w:jc w:val="left"/>
        <w:rPr>
          <w:rFonts w:asciiTheme="minorHAnsi" w:eastAsiaTheme="minorHAnsi" w:hAnsiTheme="minorHAnsi" w:cstheme="minorBidi"/>
          <w:lang w:val="en-ZA"/>
        </w:rPr>
      </w:pPr>
    </w:p>
    <w:p w:rsidR="00272493" w:rsidRPr="00E65596" w:rsidRDefault="00272493" w:rsidP="00272493">
      <w:pPr>
        <w:spacing w:before="0" w:after="0" w:line="240" w:lineRule="auto"/>
        <w:jc w:val="left"/>
        <w:rPr>
          <w:rFonts w:asciiTheme="minorHAnsi" w:eastAsiaTheme="minorHAnsi" w:hAnsiTheme="minorHAnsi" w:cstheme="minorBidi"/>
          <w:lang w:val="en-ZA"/>
        </w:rPr>
      </w:pPr>
    </w:p>
    <w:p w:rsidR="00272493" w:rsidRDefault="00272493" w:rsidP="00272493">
      <w:pPr>
        <w:spacing w:before="0" w:after="0" w:line="240" w:lineRule="auto"/>
        <w:jc w:val="left"/>
        <w:rPr>
          <w:rFonts w:asciiTheme="minorHAnsi" w:eastAsiaTheme="minorHAnsi" w:hAnsiTheme="minorHAnsi" w:cstheme="minorBidi"/>
          <w:b/>
          <w:lang w:val="en-ZA"/>
        </w:rPr>
      </w:pPr>
      <w:r w:rsidRPr="00584B43">
        <w:rPr>
          <w:rFonts w:asciiTheme="minorHAnsi" w:eastAsiaTheme="minorHAnsi" w:hAnsiTheme="minorHAnsi" w:cstheme="minorBidi"/>
          <w:b/>
          <w:lang w:val="en-ZA"/>
        </w:rPr>
        <w:t>Section B: Drivers for rebranding</w:t>
      </w:r>
    </w:p>
    <w:p w:rsidR="00272493" w:rsidRPr="00584B43" w:rsidRDefault="00272493" w:rsidP="00272493">
      <w:pPr>
        <w:spacing w:before="0" w:after="0" w:line="240" w:lineRule="auto"/>
        <w:jc w:val="left"/>
        <w:rPr>
          <w:rFonts w:asciiTheme="minorHAnsi" w:eastAsiaTheme="minorHAnsi" w:hAnsiTheme="minorHAnsi" w:cstheme="minorBidi"/>
          <w:b/>
          <w:lang w:val="en-ZA"/>
        </w:rPr>
      </w:pPr>
    </w:p>
    <w:p w:rsidR="00272493" w:rsidRPr="002D2EC9" w:rsidRDefault="00272493" w:rsidP="00272493">
      <w:pPr>
        <w:widowControl w:val="0"/>
        <w:autoSpaceDE w:val="0"/>
        <w:autoSpaceDN w:val="0"/>
        <w:adjustRightInd w:val="0"/>
        <w:spacing w:before="0" w:after="0"/>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Please indicate the extent to which you agree/disagree with the statement:</w:t>
      </w:r>
    </w:p>
    <w:tbl>
      <w:tblPr>
        <w:tblStyle w:val="TableGrid1"/>
        <w:tblW w:w="0" w:type="auto"/>
        <w:tblLook w:val="04A0" w:firstRow="1" w:lastRow="0" w:firstColumn="1" w:lastColumn="0" w:noHBand="0" w:noVBand="1"/>
      </w:tblPr>
      <w:tblGrid>
        <w:gridCol w:w="491"/>
        <w:gridCol w:w="5443"/>
        <w:gridCol w:w="604"/>
        <w:gridCol w:w="604"/>
        <w:gridCol w:w="604"/>
        <w:gridCol w:w="604"/>
        <w:gridCol w:w="604"/>
      </w:tblGrid>
      <w:tr w:rsidR="00272493" w:rsidRPr="00B363EC" w:rsidTr="00272493">
        <w:trPr>
          <w:cantSplit/>
          <w:trHeight w:val="1134"/>
        </w:trPr>
        <w:tc>
          <w:tcPr>
            <w:tcW w:w="10173" w:type="dxa"/>
            <w:gridSpan w:val="2"/>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Statement:</w:t>
            </w:r>
          </w:p>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708" w:type="dxa"/>
            <w:textDirection w:val="btLr"/>
          </w:tcPr>
          <w:p w:rsidR="00272493" w:rsidRPr="002D2EC9" w:rsidRDefault="00272493" w:rsidP="00272493">
            <w:pPr>
              <w:spacing w:before="100" w:beforeAutospacing="1" w:after="100" w:afterAutospacing="1" w:line="240" w:lineRule="auto"/>
              <w:ind w:left="113" w:right="113"/>
              <w:jc w:val="left"/>
              <w:rPr>
                <w:rFonts w:asciiTheme="minorHAnsi" w:hAnsiTheme="minorHAnsi"/>
                <w:lang w:val="en-ZA"/>
              </w:rPr>
            </w:pPr>
            <w:r w:rsidRPr="002D2EC9">
              <w:rPr>
                <w:rFonts w:asciiTheme="minorHAnsi" w:hAnsiTheme="minorHAnsi"/>
                <w:lang w:val="en-ZA"/>
              </w:rPr>
              <w:t>Strongly Disagree</w:t>
            </w:r>
          </w:p>
        </w:tc>
        <w:tc>
          <w:tcPr>
            <w:tcW w:w="709" w:type="dxa"/>
            <w:textDirection w:val="btLr"/>
          </w:tcPr>
          <w:p w:rsidR="00272493" w:rsidRPr="002D2EC9" w:rsidRDefault="00272493" w:rsidP="00272493">
            <w:pPr>
              <w:spacing w:before="100" w:beforeAutospacing="1" w:after="100" w:afterAutospacing="1" w:line="240" w:lineRule="auto"/>
              <w:ind w:left="113" w:right="113"/>
              <w:jc w:val="left"/>
              <w:rPr>
                <w:rFonts w:asciiTheme="minorHAnsi" w:hAnsiTheme="minorHAnsi"/>
                <w:lang w:val="en-ZA"/>
              </w:rPr>
            </w:pPr>
            <w:r w:rsidRPr="002D2EC9">
              <w:rPr>
                <w:rFonts w:asciiTheme="minorHAnsi" w:hAnsiTheme="minorHAnsi"/>
                <w:lang w:val="en-ZA"/>
              </w:rPr>
              <w:t>Disagree</w:t>
            </w:r>
          </w:p>
        </w:tc>
        <w:tc>
          <w:tcPr>
            <w:tcW w:w="709" w:type="dxa"/>
            <w:textDirection w:val="btLr"/>
          </w:tcPr>
          <w:p w:rsidR="00272493" w:rsidRPr="002D2EC9" w:rsidRDefault="00272493" w:rsidP="00272493">
            <w:pPr>
              <w:spacing w:before="100" w:beforeAutospacing="1" w:after="100" w:afterAutospacing="1" w:line="240" w:lineRule="auto"/>
              <w:ind w:left="113" w:right="113"/>
              <w:jc w:val="left"/>
              <w:rPr>
                <w:rFonts w:asciiTheme="minorHAnsi" w:hAnsiTheme="minorHAnsi"/>
                <w:lang w:val="en-ZA"/>
              </w:rPr>
            </w:pPr>
            <w:r w:rsidRPr="002D2EC9">
              <w:rPr>
                <w:rFonts w:asciiTheme="minorHAnsi" w:hAnsiTheme="minorHAnsi"/>
                <w:lang w:val="en-ZA"/>
              </w:rPr>
              <w:t>Neutral</w:t>
            </w:r>
          </w:p>
        </w:tc>
        <w:tc>
          <w:tcPr>
            <w:tcW w:w="709" w:type="dxa"/>
            <w:textDirection w:val="btLr"/>
          </w:tcPr>
          <w:p w:rsidR="00272493" w:rsidRPr="002D2EC9" w:rsidRDefault="00272493" w:rsidP="00272493">
            <w:pPr>
              <w:spacing w:before="100" w:beforeAutospacing="1" w:after="100" w:afterAutospacing="1" w:line="240" w:lineRule="auto"/>
              <w:ind w:left="113" w:right="113"/>
              <w:jc w:val="left"/>
              <w:rPr>
                <w:rFonts w:asciiTheme="minorHAnsi" w:hAnsiTheme="minorHAnsi"/>
                <w:lang w:val="en-ZA"/>
              </w:rPr>
            </w:pPr>
            <w:r w:rsidRPr="002D2EC9">
              <w:rPr>
                <w:rFonts w:asciiTheme="minorHAnsi" w:hAnsiTheme="minorHAnsi"/>
                <w:lang w:val="en-ZA"/>
              </w:rPr>
              <w:t>Agree</w:t>
            </w:r>
          </w:p>
        </w:tc>
        <w:tc>
          <w:tcPr>
            <w:tcW w:w="708" w:type="dxa"/>
            <w:textDirection w:val="btLr"/>
          </w:tcPr>
          <w:p w:rsidR="00272493" w:rsidRPr="002D2EC9" w:rsidRDefault="00272493" w:rsidP="00272493">
            <w:pPr>
              <w:spacing w:before="100" w:beforeAutospacing="1" w:after="100" w:afterAutospacing="1" w:line="240" w:lineRule="auto"/>
              <w:ind w:left="113" w:right="113"/>
              <w:jc w:val="left"/>
              <w:rPr>
                <w:rFonts w:asciiTheme="minorHAnsi" w:hAnsiTheme="minorHAnsi"/>
                <w:lang w:val="en-ZA"/>
              </w:rPr>
            </w:pPr>
            <w:r w:rsidRPr="002D2EC9">
              <w:rPr>
                <w:rFonts w:asciiTheme="minorHAnsi" w:hAnsiTheme="minorHAnsi"/>
                <w:lang w:val="en-ZA"/>
              </w:rPr>
              <w:t>Strongly Agree</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5</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Corporate structural changes are have led to corporate rebranding for South African telecommunications companies</w:t>
            </w:r>
            <w:r w:rsidRPr="002D2EC9">
              <w:rPr>
                <w:rFonts w:asciiTheme="minorHAnsi" w:hAnsiTheme="minorHAnsi"/>
                <w:lang w:val="en-ZA"/>
              </w:rPr>
              <w:tab/>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lastRenderedPageBreak/>
              <w:t>6</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Changes in corporate strategy including new focus or vision are drivers of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7</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Changes in ownership structure including mergers and acquisitions; and divestitures are drivers of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8</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Concerns over external perceptions of the organisation and its activities may lead to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9</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Aging of company image is primary driver of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10</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Changes in economic or legal conditions including economic slowdown have encouraged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11</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Changes in competitive position have led to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3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12</w:t>
            </w:r>
          </w:p>
        </w:tc>
        <w:tc>
          <w:tcPr>
            <w:tcW w:w="963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Changes in external environment promote corporate rebranding for South African telecommunications companies</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70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708"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bl>
    <w:p w:rsidR="00272493" w:rsidRPr="002D2EC9" w:rsidRDefault="00272493" w:rsidP="00272493">
      <w:pPr>
        <w:spacing w:before="0" w:after="200" w:line="276" w:lineRule="auto"/>
        <w:jc w:val="left"/>
        <w:rPr>
          <w:rFonts w:asciiTheme="minorHAnsi" w:eastAsiaTheme="minorHAnsi" w:hAnsiTheme="minorHAnsi" w:cstheme="minorBidi"/>
          <w:lang w:val="en-ZA"/>
        </w:rPr>
      </w:pPr>
    </w:p>
    <w:p w:rsidR="00272493" w:rsidRDefault="00272493" w:rsidP="00272493">
      <w:pPr>
        <w:spacing w:before="0" w:after="0" w:line="240" w:lineRule="auto"/>
        <w:jc w:val="left"/>
        <w:rPr>
          <w:rFonts w:asciiTheme="minorHAnsi" w:eastAsiaTheme="minorHAnsi" w:hAnsiTheme="minorHAnsi" w:cstheme="minorBidi"/>
          <w:b/>
          <w:lang w:val="en-ZA"/>
        </w:rPr>
      </w:pPr>
      <w:r w:rsidRPr="00D531EC">
        <w:rPr>
          <w:rFonts w:asciiTheme="minorHAnsi" w:eastAsiaTheme="minorHAnsi" w:hAnsiTheme="minorHAnsi" w:cstheme="minorBidi"/>
          <w:b/>
          <w:lang w:val="en-ZA"/>
        </w:rPr>
        <w:t>Section C: Impact on brand equity</w:t>
      </w:r>
    </w:p>
    <w:p w:rsidR="00272493" w:rsidRPr="00D531EC" w:rsidRDefault="00272493" w:rsidP="00272493">
      <w:pPr>
        <w:spacing w:before="0" w:after="0" w:line="240" w:lineRule="auto"/>
        <w:jc w:val="left"/>
        <w:rPr>
          <w:rFonts w:asciiTheme="minorHAnsi" w:eastAsiaTheme="minorHAnsi" w:hAnsiTheme="minorHAnsi" w:cstheme="minorBidi"/>
          <w:b/>
          <w:lang w:val="en-ZA"/>
        </w:rPr>
      </w:pPr>
    </w:p>
    <w:p w:rsidR="00272493" w:rsidRPr="002D2EC9" w:rsidRDefault="00272493" w:rsidP="00272493">
      <w:pPr>
        <w:widowControl w:val="0"/>
        <w:autoSpaceDE w:val="0"/>
        <w:autoSpaceDN w:val="0"/>
        <w:adjustRightInd w:val="0"/>
        <w:spacing w:before="0" w:after="0"/>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Please indicate the extent to which you agree/disagree with the statement:</w:t>
      </w:r>
    </w:p>
    <w:p w:rsidR="00272493" w:rsidRPr="002D2EC9" w:rsidRDefault="00272493" w:rsidP="00272493">
      <w:pPr>
        <w:spacing w:before="0" w:after="0" w:line="240" w:lineRule="auto"/>
        <w:jc w:val="left"/>
        <w:rPr>
          <w:rFonts w:asciiTheme="minorHAnsi" w:eastAsiaTheme="minorHAnsi" w:hAnsiTheme="minorHAnsi" w:cstheme="minorBidi"/>
          <w:lang w:val="en-ZA"/>
        </w:rPr>
      </w:pPr>
    </w:p>
    <w:tbl>
      <w:tblPr>
        <w:tblStyle w:val="TableGrid1"/>
        <w:tblW w:w="0" w:type="auto"/>
        <w:tblLook w:val="04A0" w:firstRow="1" w:lastRow="0" w:firstColumn="1" w:lastColumn="0" w:noHBand="0" w:noVBand="1"/>
      </w:tblPr>
      <w:tblGrid>
        <w:gridCol w:w="487"/>
        <w:gridCol w:w="5123"/>
        <w:gridCol w:w="474"/>
        <w:gridCol w:w="487"/>
        <w:gridCol w:w="491"/>
        <w:gridCol w:w="481"/>
        <w:gridCol w:w="553"/>
      </w:tblGrid>
      <w:tr w:rsidR="00272493" w:rsidRPr="00B363EC" w:rsidTr="00272493">
        <w:tc>
          <w:tcPr>
            <w:tcW w:w="5610" w:type="dxa"/>
            <w:gridSpan w:val="2"/>
            <w:vMerge w:val="restart"/>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Statement:</w:t>
            </w:r>
          </w:p>
        </w:tc>
        <w:tc>
          <w:tcPr>
            <w:tcW w:w="2486" w:type="dxa"/>
            <w:gridSpan w:val="5"/>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noProof/>
                <w:lang w:val="en-ZA" w:eastAsia="en-ZA"/>
              </w:rPr>
              <w:drawing>
                <wp:inline distT="0" distB="0" distL="0" distR="0" wp14:anchorId="687A3380" wp14:editId="3316A957">
                  <wp:extent cx="1114425" cy="607868"/>
                  <wp:effectExtent l="0" t="0" r="0" b="1905"/>
                  <wp:docPr id="6" name="il_fi" descr="http://www.techsmart.co.za/data/articles/Vodacom%20lowers%20prepaid%20rates/Vodacom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echsmart.co.za/data/articles/Vodacom%20lowers%20prepaid%20rates/Vodacom_logo.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 t="13131" r="7042" b="19339"/>
                          <a:stretch/>
                        </pic:blipFill>
                        <pic:spPr bwMode="auto">
                          <a:xfrm>
                            <a:off x="0" y="0"/>
                            <a:ext cx="1117475" cy="60953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72493" w:rsidRPr="00B363EC" w:rsidTr="00272493">
        <w:tc>
          <w:tcPr>
            <w:tcW w:w="5610" w:type="dxa"/>
            <w:gridSpan w:val="2"/>
            <w:vMerge/>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47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SD</w:t>
            </w:r>
          </w:p>
        </w:tc>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D</w:t>
            </w:r>
          </w:p>
        </w:tc>
        <w:tc>
          <w:tcPr>
            <w:tcW w:w="491"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N</w:t>
            </w:r>
          </w:p>
        </w:tc>
        <w:tc>
          <w:tcPr>
            <w:tcW w:w="481"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A</w:t>
            </w:r>
          </w:p>
        </w:tc>
        <w:tc>
          <w:tcPr>
            <w:tcW w:w="55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SA</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w:t>
            </w:r>
            <w:r>
              <w:rPr>
                <w:rFonts w:asciiTheme="minorHAnsi" w:hAnsiTheme="minorHAnsi"/>
                <w:lang w:val="en-ZA"/>
              </w:rPr>
              <w:t>3</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am attracted to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14</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have a lot of affection for this brand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15</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love</w:t>
            </w:r>
            <w:r>
              <w:rPr>
                <w:rFonts w:asciiTheme="minorHAnsi" w:hAnsiTheme="minorHAnsi"/>
                <w:lang w:val="en-ZA"/>
              </w:rPr>
              <w:t>d</w:t>
            </w:r>
            <w:r w:rsidRPr="002D2EC9">
              <w:rPr>
                <w:rFonts w:asciiTheme="minorHAnsi" w:hAnsiTheme="minorHAnsi"/>
                <w:lang w:val="en-ZA"/>
              </w:rPr>
              <w:t xml:space="preserve"> to recommend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16</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can recognize this brand quickly among competing ones</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w:t>
            </w:r>
            <w:r w:rsidRPr="002D2EC9">
              <w:rPr>
                <w:rFonts w:asciiTheme="minorHAnsi" w:hAnsiTheme="minorHAnsi"/>
                <w:lang w:val="en-ZA"/>
              </w:rPr>
              <w:t>7</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am familiar with this brand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t>1</w:t>
            </w:r>
            <w:r w:rsidRPr="002D2EC9">
              <w:rPr>
                <w:rFonts w:asciiTheme="minorHAnsi" w:hAnsiTheme="minorHAnsi"/>
                <w:lang w:val="en-ZA"/>
              </w:rPr>
              <w:t>8</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Some characteristics of this brand came/ come to mind quickly</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Pr>
                <w:rFonts w:asciiTheme="minorHAnsi" w:hAnsiTheme="minorHAnsi"/>
                <w:lang w:val="en-ZA"/>
              </w:rPr>
              <w:lastRenderedPageBreak/>
              <w:t>1</w:t>
            </w:r>
            <w:r w:rsidRPr="002D2EC9">
              <w:rPr>
                <w:rFonts w:asciiTheme="minorHAnsi" w:hAnsiTheme="minorHAnsi"/>
                <w:lang w:val="en-ZA"/>
              </w:rPr>
              <w:t>9</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know what this brand stood/ stands for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10</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Some characteristics of this brand came/ come to mind quickly when I saw/ see it</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11</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When I think of Telecommunications Companies, this brand came/ comes to mind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12</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could/ can quickly recall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13</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This brand was/ is unique compared when compared with competitors</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14</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consider myself to be loyal to this brand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15</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This brand was/ would be my first choice</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16</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would not/will not buy other brands if this brand was /is available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17</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The quality of this brand was/ is extremely high</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18</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This brand had/has good and functional products and services</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5610" w:type="dxa"/>
            <w:gridSpan w:val="2"/>
            <w:vMerge w:val="restart"/>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Statement:</w:t>
            </w:r>
          </w:p>
        </w:tc>
        <w:tc>
          <w:tcPr>
            <w:tcW w:w="2486" w:type="dxa"/>
            <w:gridSpan w:val="5"/>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noProof/>
                <w:lang w:val="en-ZA" w:eastAsia="en-ZA"/>
              </w:rPr>
              <w:drawing>
                <wp:inline distT="0" distB="0" distL="0" distR="0" wp14:anchorId="076B4168" wp14:editId="38B8DB3E">
                  <wp:extent cx="828675" cy="618042"/>
                  <wp:effectExtent l="0" t="0" r="0" b="0"/>
                  <wp:docPr id="15" name="il_fi" descr="http://s2.cdn.memeburn.com/wp-content/uploads/Vodaco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2.cdn.memeburn.com/wp-content/uploads/Vodacom-Logo.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39036" cy="625770"/>
                          </a:xfrm>
                          <a:prstGeom prst="rect">
                            <a:avLst/>
                          </a:prstGeom>
                          <a:noFill/>
                          <a:ln>
                            <a:noFill/>
                          </a:ln>
                        </pic:spPr>
                      </pic:pic>
                    </a:graphicData>
                  </a:graphic>
                </wp:inline>
              </w:drawing>
            </w:r>
          </w:p>
        </w:tc>
      </w:tr>
      <w:tr w:rsidR="00272493" w:rsidRPr="00B363EC" w:rsidTr="00272493">
        <w:tc>
          <w:tcPr>
            <w:tcW w:w="5610" w:type="dxa"/>
            <w:gridSpan w:val="2"/>
            <w:vMerge/>
          </w:tcPr>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47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SD</w:t>
            </w:r>
          </w:p>
        </w:tc>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D</w:t>
            </w:r>
          </w:p>
        </w:tc>
        <w:tc>
          <w:tcPr>
            <w:tcW w:w="491"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N</w:t>
            </w:r>
          </w:p>
        </w:tc>
        <w:tc>
          <w:tcPr>
            <w:tcW w:w="481"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A</w:t>
            </w:r>
          </w:p>
        </w:tc>
        <w:tc>
          <w:tcPr>
            <w:tcW w:w="55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SA</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w:t>
            </w:r>
            <w:r>
              <w:rPr>
                <w:rFonts w:asciiTheme="minorHAnsi" w:hAnsiTheme="minorHAnsi"/>
                <w:lang w:val="en-ZA"/>
              </w:rPr>
              <w:t>9</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was/ am attracted to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2</w:t>
            </w:r>
            <w:r>
              <w:rPr>
                <w:rFonts w:asciiTheme="minorHAnsi" w:hAnsiTheme="minorHAnsi"/>
                <w:lang w:val="en-ZA"/>
              </w:rPr>
              <w:t>0</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was/ am attached to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3</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had/ have a lot of affection for this brand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4</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Thinking about this brand brought/ brings me a lot of joy and pleasure</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5</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would love to recommend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6</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could/ can recognize this brand quickly among competing ones</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7</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was/ am familiar with this brand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8</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Some characteristics of this brand came/ come to mind quickly</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9</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know what this brand stood/ stands for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10</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Some characteristics of this brand came/ come to mind quickly when I saw/ see it</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11</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When I think of Telecommunications Companies, this brand came/ comes to mind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12</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could/ can quickly recall this brand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13</w:t>
            </w:r>
          </w:p>
        </w:tc>
        <w:tc>
          <w:tcPr>
            <w:tcW w:w="5123"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This brand was/ is unique compared when compared with competitors</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14</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I consider myself to be loyal to this brand</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15</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This brand was/ would be my first choice</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16</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I would not/will not buy other brands if this brand was /is available </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lastRenderedPageBreak/>
              <w:t>17</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The quality of this brand was/ is extremely high</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r w:rsidR="00272493" w:rsidRPr="00B363EC" w:rsidTr="00272493">
        <w:tc>
          <w:tcPr>
            <w:tcW w:w="487"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18</w:t>
            </w:r>
          </w:p>
        </w:tc>
        <w:tc>
          <w:tcPr>
            <w:tcW w:w="5123"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This brand had/has good and functional products and services</w:t>
            </w:r>
          </w:p>
        </w:tc>
        <w:tc>
          <w:tcPr>
            <w:tcW w:w="474"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487"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49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481"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553"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bl>
    <w:p w:rsidR="00272493" w:rsidRPr="002D2EC9" w:rsidRDefault="00272493" w:rsidP="00272493">
      <w:pPr>
        <w:spacing w:before="0" w:after="0" w:line="240" w:lineRule="auto"/>
        <w:jc w:val="left"/>
        <w:rPr>
          <w:rFonts w:asciiTheme="minorHAnsi" w:eastAsiaTheme="minorHAnsi" w:hAnsiTheme="minorHAnsi" w:cstheme="minorBidi"/>
          <w:lang w:val="en-ZA"/>
        </w:rPr>
      </w:pPr>
    </w:p>
    <w:p w:rsidR="00272493" w:rsidRPr="002D2EC9" w:rsidRDefault="00272493" w:rsidP="00272493">
      <w:pPr>
        <w:spacing w:before="0" w:after="0" w:line="240" w:lineRule="auto"/>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Section D: General Questions</w:t>
      </w:r>
    </w:p>
    <w:p w:rsidR="00272493" w:rsidRPr="002D2EC9" w:rsidRDefault="00272493" w:rsidP="00272493">
      <w:pPr>
        <w:spacing w:before="0" w:after="0" w:line="240" w:lineRule="auto"/>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 xml:space="preserve"> </w:t>
      </w:r>
    </w:p>
    <w:tbl>
      <w:tblPr>
        <w:tblStyle w:val="TableGrid1"/>
        <w:tblW w:w="0" w:type="auto"/>
        <w:tblLook w:val="04A0" w:firstRow="1" w:lastRow="0" w:firstColumn="1" w:lastColumn="0" w:noHBand="0" w:noVBand="1"/>
      </w:tblPr>
      <w:tblGrid>
        <w:gridCol w:w="3439"/>
        <w:gridCol w:w="1201"/>
        <w:gridCol w:w="1034"/>
        <w:gridCol w:w="940"/>
        <w:gridCol w:w="1034"/>
        <w:gridCol w:w="1306"/>
      </w:tblGrid>
      <w:tr w:rsidR="00272493" w:rsidRPr="00B363EC" w:rsidTr="00272493">
        <w:trPr>
          <w:cantSplit/>
          <w:trHeight w:val="381"/>
        </w:trPr>
        <w:tc>
          <w:tcPr>
            <w:tcW w:w="705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Statement:</w:t>
            </w:r>
          </w:p>
        </w:tc>
        <w:tc>
          <w:tcPr>
            <w:tcW w:w="1276"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Definitely the Old brand</w:t>
            </w:r>
          </w:p>
        </w:tc>
        <w:tc>
          <w:tcPr>
            <w:tcW w:w="1276"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Maybe the Old brand</w:t>
            </w:r>
          </w:p>
        </w:tc>
        <w:tc>
          <w:tcPr>
            <w:tcW w:w="1275"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None</w:t>
            </w:r>
          </w:p>
        </w:tc>
        <w:tc>
          <w:tcPr>
            <w:tcW w:w="1276"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Maybe the New brand</w:t>
            </w:r>
          </w:p>
        </w:tc>
        <w:tc>
          <w:tcPr>
            <w:tcW w:w="155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Definitely the New brand</w:t>
            </w:r>
          </w:p>
        </w:tc>
      </w:tr>
      <w:tr w:rsidR="00272493" w:rsidRPr="00B363EC" w:rsidTr="00272493">
        <w:tc>
          <w:tcPr>
            <w:tcW w:w="7054"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Which of the two Vodacom brands do you perceive to be better? </w:t>
            </w:r>
          </w:p>
        </w:tc>
        <w:tc>
          <w:tcPr>
            <w:tcW w:w="1276"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1276"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1275"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1276"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155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bl>
    <w:p w:rsidR="00272493" w:rsidRPr="002D2EC9" w:rsidRDefault="00272493" w:rsidP="00272493">
      <w:pPr>
        <w:spacing w:before="0" w:after="0" w:line="240" w:lineRule="auto"/>
        <w:jc w:val="left"/>
        <w:rPr>
          <w:rFonts w:asciiTheme="minorHAnsi" w:eastAsiaTheme="minorHAnsi" w:hAnsiTheme="minorHAnsi" w:cstheme="minorBidi"/>
          <w:lang w:val="en-ZA"/>
        </w:rPr>
      </w:pPr>
    </w:p>
    <w:p w:rsidR="00272493" w:rsidRPr="002D2EC9" w:rsidRDefault="00272493" w:rsidP="00272493">
      <w:pPr>
        <w:widowControl w:val="0"/>
        <w:autoSpaceDE w:val="0"/>
        <w:autoSpaceDN w:val="0"/>
        <w:adjustRightInd w:val="0"/>
        <w:spacing w:before="0" w:after="0"/>
        <w:jc w:val="left"/>
        <w:rPr>
          <w:rFonts w:asciiTheme="minorHAnsi" w:eastAsiaTheme="minorHAnsi" w:hAnsiTheme="minorHAnsi" w:cstheme="minorBidi"/>
          <w:lang w:val="en-ZA"/>
        </w:rPr>
      </w:pPr>
      <w:r w:rsidRPr="002D2EC9">
        <w:rPr>
          <w:rFonts w:asciiTheme="minorHAnsi" w:eastAsiaTheme="minorHAnsi" w:hAnsiTheme="minorHAnsi" w:cstheme="minorBidi"/>
          <w:lang w:val="en-ZA"/>
        </w:rPr>
        <w:t>Please indicate the extent to which you agree/disagree with the statement:</w:t>
      </w:r>
    </w:p>
    <w:p w:rsidR="00272493" w:rsidRPr="002D2EC9" w:rsidRDefault="00272493" w:rsidP="00272493">
      <w:pPr>
        <w:spacing w:before="0" w:after="0" w:line="240" w:lineRule="auto"/>
        <w:jc w:val="left"/>
        <w:rPr>
          <w:rFonts w:asciiTheme="minorHAnsi" w:eastAsiaTheme="minorHAnsi" w:hAnsiTheme="minorHAnsi" w:cstheme="minorBidi"/>
          <w:lang w:val="en-ZA"/>
        </w:rPr>
      </w:pPr>
    </w:p>
    <w:tbl>
      <w:tblPr>
        <w:tblStyle w:val="TableGrid1"/>
        <w:tblW w:w="0" w:type="auto"/>
        <w:tblLook w:val="04A0" w:firstRow="1" w:lastRow="0" w:firstColumn="1" w:lastColumn="0" w:noHBand="0" w:noVBand="1"/>
      </w:tblPr>
      <w:tblGrid>
        <w:gridCol w:w="3420"/>
        <w:gridCol w:w="1141"/>
        <w:gridCol w:w="1141"/>
        <w:gridCol w:w="1069"/>
        <w:gridCol w:w="967"/>
        <w:gridCol w:w="1216"/>
      </w:tblGrid>
      <w:tr w:rsidR="00272493" w:rsidRPr="00B363EC" w:rsidTr="00272493">
        <w:trPr>
          <w:cantSplit/>
          <w:trHeight w:val="614"/>
        </w:trPr>
        <w:tc>
          <w:tcPr>
            <w:tcW w:w="7054"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Statement:</w:t>
            </w:r>
          </w:p>
          <w:p w:rsidR="00272493" w:rsidRPr="002D2EC9" w:rsidRDefault="00272493" w:rsidP="00272493">
            <w:pPr>
              <w:spacing w:before="100" w:beforeAutospacing="1" w:after="100" w:afterAutospacing="1" w:line="240" w:lineRule="auto"/>
              <w:jc w:val="left"/>
              <w:rPr>
                <w:rFonts w:asciiTheme="minorHAnsi" w:hAnsiTheme="minorHAnsi"/>
                <w:lang w:val="en-ZA"/>
              </w:rPr>
            </w:pPr>
          </w:p>
        </w:tc>
        <w:tc>
          <w:tcPr>
            <w:tcW w:w="1276"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Strongly Disagree</w:t>
            </w:r>
          </w:p>
        </w:tc>
        <w:tc>
          <w:tcPr>
            <w:tcW w:w="1276"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Disagree</w:t>
            </w:r>
          </w:p>
        </w:tc>
        <w:tc>
          <w:tcPr>
            <w:tcW w:w="1275"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Neutral</w:t>
            </w:r>
          </w:p>
        </w:tc>
        <w:tc>
          <w:tcPr>
            <w:tcW w:w="1276"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Agree</w:t>
            </w:r>
          </w:p>
        </w:tc>
        <w:tc>
          <w:tcPr>
            <w:tcW w:w="1559" w:type="dxa"/>
          </w:tcPr>
          <w:p w:rsidR="00272493" w:rsidRPr="002D2EC9" w:rsidRDefault="00272493" w:rsidP="00272493">
            <w:pPr>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Strongly Agree</w:t>
            </w:r>
          </w:p>
        </w:tc>
      </w:tr>
      <w:tr w:rsidR="00272493" w:rsidRPr="00B363EC" w:rsidTr="00272493">
        <w:tc>
          <w:tcPr>
            <w:tcW w:w="7054" w:type="dxa"/>
          </w:tcPr>
          <w:p w:rsidR="00272493" w:rsidRPr="002D2EC9" w:rsidRDefault="00272493" w:rsidP="00272493">
            <w:pPr>
              <w:autoSpaceDE w:val="0"/>
              <w:autoSpaceDN w:val="0"/>
              <w:adjustRightInd w:val="0"/>
              <w:spacing w:before="100" w:beforeAutospacing="1" w:after="100" w:afterAutospacing="1" w:line="240" w:lineRule="auto"/>
              <w:jc w:val="left"/>
              <w:rPr>
                <w:rFonts w:asciiTheme="minorHAnsi" w:hAnsiTheme="minorHAnsi"/>
                <w:lang w:val="en-ZA"/>
              </w:rPr>
            </w:pPr>
            <w:r w:rsidRPr="002D2EC9">
              <w:rPr>
                <w:rFonts w:asciiTheme="minorHAnsi" w:hAnsiTheme="minorHAnsi"/>
                <w:lang w:val="en-ZA"/>
              </w:rPr>
              <w:t xml:space="preserve">After the rebranding, I have a positive attitude towards Vodacom </w:t>
            </w:r>
          </w:p>
        </w:tc>
        <w:tc>
          <w:tcPr>
            <w:tcW w:w="1276"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1</w:t>
            </w:r>
          </w:p>
        </w:tc>
        <w:tc>
          <w:tcPr>
            <w:tcW w:w="1276"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2</w:t>
            </w:r>
          </w:p>
        </w:tc>
        <w:tc>
          <w:tcPr>
            <w:tcW w:w="1275"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3</w:t>
            </w:r>
          </w:p>
        </w:tc>
        <w:tc>
          <w:tcPr>
            <w:tcW w:w="1276"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4</w:t>
            </w:r>
          </w:p>
        </w:tc>
        <w:tc>
          <w:tcPr>
            <w:tcW w:w="1559" w:type="dxa"/>
          </w:tcPr>
          <w:p w:rsidR="00272493" w:rsidRPr="002D2EC9" w:rsidRDefault="00272493" w:rsidP="00272493">
            <w:pPr>
              <w:spacing w:before="100" w:beforeAutospacing="1" w:after="100" w:afterAutospacing="1" w:line="240" w:lineRule="auto"/>
              <w:jc w:val="center"/>
              <w:rPr>
                <w:rFonts w:asciiTheme="minorHAnsi" w:hAnsiTheme="minorHAnsi"/>
                <w:lang w:val="en-ZA"/>
              </w:rPr>
            </w:pPr>
            <w:r w:rsidRPr="002D2EC9">
              <w:rPr>
                <w:rFonts w:asciiTheme="minorHAnsi" w:hAnsiTheme="minorHAnsi"/>
                <w:lang w:val="en-ZA"/>
              </w:rPr>
              <w:t>5</w:t>
            </w:r>
          </w:p>
        </w:tc>
      </w:tr>
    </w:tbl>
    <w:p w:rsidR="00272493" w:rsidRPr="002D2EC9" w:rsidRDefault="00272493" w:rsidP="00272493">
      <w:pPr>
        <w:spacing w:before="0" w:after="0" w:line="240" w:lineRule="auto"/>
        <w:jc w:val="left"/>
        <w:rPr>
          <w:rFonts w:asciiTheme="minorHAnsi" w:eastAsiaTheme="minorHAnsi" w:hAnsiTheme="minorHAnsi" w:cstheme="minorBidi"/>
          <w:lang w:val="en-ZA"/>
        </w:rPr>
      </w:pPr>
    </w:p>
    <w:p w:rsidR="00272493" w:rsidRDefault="00272493" w:rsidP="00272493">
      <w:pPr>
        <w:rPr>
          <w:rFonts w:asciiTheme="minorHAnsi" w:eastAsiaTheme="minorHAnsi" w:hAnsiTheme="minorHAnsi" w:cstheme="minorBidi"/>
          <w:lang w:val="en-ZA"/>
        </w:rPr>
      </w:pPr>
    </w:p>
    <w:p w:rsidR="00272493" w:rsidRDefault="00272493" w:rsidP="00272493">
      <w:pPr>
        <w:rPr>
          <w:rFonts w:asciiTheme="minorHAnsi" w:eastAsiaTheme="minorHAnsi" w:hAnsiTheme="minorHAnsi" w:cstheme="minorBidi"/>
          <w:lang w:val="en-ZA"/>
        </w:rPr>
      </w:pPr>
    </w:p>
    <w:p w:rsidR="00272493" w:rsidRDefault="00272493" w:rsidP="00272493">
      <w:pPr>
        <w:rPr>
          <w:rFonts w:asciiTheme="minorHAnsi" w:eastAsiaTheme="minorHAnsi" w:hAnsiTheme="minorHAnsi" w:cstheme="minorBidi"/>
          <w:lang w:val="en-ZA"/>
        </w:rPr>
      </w:pPr>
    </w:p>
    <w:p w:rsidR="003A7AC3" w:rsidRPr="00EA329E" w:rsidRDefault="003A7AC3" w:rsidP="001B42DA">
      <w:pPr>
        <w:spacing w:before="0" w:after="0" w:line="240" w:lineRule="auto"/>
        <w:jc w:val="left"/>
      </w:pPr>
    </w:p>
    <w:sectPr w:rsidR="003A7AC3" w:rsidRPr="00EA329E" w:rsidSect="0097440C">
      <w:endnotePr>
        <w:numFmt w:val="decimal"/>
      </w:endnotePr>
      <w:pgSz w:w="11907" w:h="16840" w:code="9"/>
      <w:pgMar w:top="1729" w:right="1298" w:bottom="1582" w:left="1871"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236" w:rsidRDefault="00E85236">
      <w:r>
        <w:separator/>
      </w:r>
    </w:p>
  </w:endnote>
  <w:endnote w:type="continuationSeparator" w:id="0">
    <w:p w:rsidR="00E85236" w:rsidRDefault="00E8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5462935"/>
      <w:docPartObj>
        <w:docPartGallery w:val="Page Numbers (Bottom of Page)"/>
        <w:docPartUnique/>
      </w:docPartObj>
    </w:sdtPr>
    <w:sdtEndPr>
      <w:rPr>
        <w:noProof/>
      </w:rPr>
    </w:sdtEndPr>
    <w:sdtContent>
      <w:p w:rsidR="00F24FEE" w:rsidRDefault="00F24FEE">
        <w:pPr>
          <w:pStyle w:val="Footer"/>
          <w:jc w:val="center"/>
        </w:pPr>
        <w:r>
          <w:fldChar w:fldCharType="begin"/>
        </w:r>
        <w:r>
          <w:instrText xml:space="preserve"> PAGE   \* MERGEFORMAT </w:instrText>
        </w:r>
        <w:r>
          <w:fldChar w:fldCharType="separate"/>
        </w:r>
        <w:r w:rsidR="00BA1FEB">
          <w:rPr>
            <w:noProof/>
          </w:rPr>
          <w:t>ii</w:t>
        </w:r>
        <w:r>
          <w:rPr>
            <w:noProof/>
          </w:rPr>
          <w:fldChar w:fldCharType="end"/>
        </w:r>
      </w:p>
    </w:sdtContent>
  </w:sdt>
  <w:p w:rsidR="00F24FEE" w:rsidRDefault="00F24F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058581"/>
      <w:docPartObj>
        <w:docPartGallery w:val="Page Numbers (Bottom of Page)"/>
        <w:docPartUnique/>
      </w:docPartObj>
    </w:sdtPr>
    <w:sdtEndPr>
      <w:rPr>
        <w:noProof/>
      </w:rPr>
    </w:sdtEndPr>
    <w:sdtContent>
      <w:p w:rsidR="00F24FEE" w:rsidRDefault="00F24FEE">
        <w:pPr>
          <w:pStyle w:val="Footer"/>
          <w:jc w:val="center"/>
        </w:pPr>
        <w:r>
          <w:fldChar w:fldCharType="begin"/>
        </w:r>
        <w:r>
          <w:instrText xml:space="preserve"> PAGE   \* MERGEFORMAT </w:instrText>
        </w:r>
        <w:r>
          <w:fldChar w:fldCharType="separate"/>
        </w:r>
        <w:r w:rsidR="00BA1FEB">
          <w:rPr>
            <w:noProof/>
          </w:rPr>
          <w:t>i</w:t>
        </w:r>
        <w:r>
          <w:rPr>
            <w:noProof/>
          </w:rPr>
          <w:fldChar w:fldCharType="end"/>
        </w:r>
      </w:p>
    </w:sdtContent>
  </w:sdt>
  <w:p w:rsidR="00F24FEE" w:rsidRDefault="00F24F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236" w:rsidRDefault="00E85236">
      <w:r>
        <w:separator/>
      </w:r>
    </w:p>
  </w:footnote>
  <w:footnote w:type="continuationSeparator" w:id="0">
    <w:p w:rsidR="00E85236" w:rsidRDefault="00E852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8DED66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8D4EB3"/>
    <w:multiLevelType w:val="multilevel"/>
    <w:tmpl w:val="8AA6AAEA"/>
    <w:lvl w:ilvl="0">
      <w:start w:val="1"/>
      <w:numFmt w:val="decimal"/>
      <w:pStyle w:val="Heading1"/>
      <w:lvlText w:val="%1"/>
      <w:lvlJc w:val="left"/>
      <w:pPr>
        <w:tabs>
          <w:tab w:val="num" w:pos="360"/>
        </w:tabs>
        <w:ind w:left="0" w:firstLine="0"/>
      </w:pPr>
      <w:rPr>
        <w:rFonts w:hint="default"/>
      </w:rPr>
    </w:lvl>
    <w:lvl w:ilvl="1">
      <w:start w:val="1"/>
      <w:numFmt w:val="decimal"/>
      <w:pStyle w:val="Heading2"/>
      <w:lvlText w:val="%1.%2"/>
      <w:lvlJc w:val="left"/>
      <w:pPr>
        <w:tabs>
          <w:tab w:val="num" w:pos="720"/>
        </w:tabs>
        <w:ind w:left="0" w:firstLine="0"/>
      </w:pPr>
      <w:rPr>
        <w:rFonts w:hint="default"/>
      </w:rPr>
    </w:lvl>
    <w:lvl w:ilvl="2">
      <w:start w:val="1"/>
      <w:numFmt w:val="decimal"/>
      <w:pStyle w:val="Heading3"/>
      <w:lvlText w:val="%1.%2.%3"/>
      <w:lvlJc w:val="left"/>
      <w:pPr>
        <w:tabs>
          <w:tab w:val="num" w:pos="1463"/>
        </w:tabs>
        <w:ind w:left="1463" w:hanging="754"/>
      </w:pPr>
      <w:rPr>
        <w:rFonts w:ascii="Arial" w:hAnsi="Arial" w:hint="default"/>
        <w:b/>
        <w:i w:val="0"/>
        <w:sz w:val="24"/>
        <w:u w:val="none"/>
      </w:rPr>
    </w:lvl>
    <w:lvl w:ilvl="3">
      <w:start w:val="1"/>
      <w:numFmt w:val="none"/>
      <w:pStyle w:val="Heading4"/>
      <w:lvlText w:val="%1"/>
      <w:lvlJc w:val="left"/>
      <w:pPr>
        <w:tabs>
          <w:tab w:val="num" w:pos="2268"/>
        </w:tabs>
        <w:ind w:left="2268" w:hanging="794"/>
      </w:pPr>
      <w:rPr>
        <w:rFonts w:ascii="Times New Roman" w:hAnsi="Times New Roman" w:hint="default"/>
        <w:b w:val="0"/>
        <w:i w:val="0"/>
        <w:sz w:val="20"/>
      </w:rPr>
    </w:lvl>
    <w:lvl w:ilvl="4">
      <w:start w:val="1"/>
      <w:numFmt w:val="lowerRoman"/>
      <w:pStyle w:val="Heading5"/>
      <w:lvlText w:val="%5."/>
      <w:lvlJc w:val="left"/>
      <w:pPr>
        <w:tabs>
          <w:tab w:val="num" w:pos="3045"/>
        </w:tabs>
        <w:ind w:left="0" w:firstLine="2325"/>
      </w:pPr>
      <w:rPr>
        <w:rFonts w:ascii="Times New Roman" w:hAnsi="Times New Roman" w:hint="default"/>
        <w:b w:val="0"/>
        <w:i w:val="0"/>
        <w:sz w:val="20"/>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2">
    <w:nsid w:val="09330C9D"/>
    <w:multiLevelType w:val="hybridMultilevel"/>
    <w:tmpl w:val="62A4BFD8"/>
    <w:lvl w:ilvl="0" w:tplc="422C24BC">
      <w:start w:val="1"/>
      <w:numFmt w:val="bullet"/>
      <w:pStyle w:val="indent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016"/>
        </w:tabs>
        <w:ind w:left="2016" w:hanging="360"/>
      </w:pPr>
      <w:rPr>
        <w:rFonts w:ascii="Courier New" w:hAnsi="Courier New" w:hint="default"/>
      </w:rPr>
    </w:lvl>
    <w:lvl w:ilvl="2" w:tplc="04090005">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3">
    <w:nsid w:val="0C9866BD"/>
    <w:multiLevelType w:val="multilevel"/>
    <w:tmpl w:val="1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04C78F9"/>
    <w:multiLevelType w:val="hybridMultilevel"/>
    <w:tmpl w:val="5C00F6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15324389"/>
    <w:multiLevelType w:val="hybridMultilevel"/>
    <w:tmpl w:val="FA981F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1CC56AD2"/>
    <w:multiLevelType w:val="hybridMultilevel"/>
    <w:tmpl w:val="28022D20"/>
    <w:lvl w:ilvl="0" w:tplc="1C090001">
      <w:start w:val="1"/>
      <w:numFmt w:val="bullet"/>
      <w:lvlText w:val=""/>
      <w:lvlJc w:val="left"/>
      <w:pPr>
        <w:ind w:left="2194" w:hanging="360"/>
      </w:pPr>
      <w:rPr>
        <w:rFonts w:ascii="Symbol" w:hAnsi="Symbol" w:hint="default"/>
      </w:rPr>
    </w:lvl>
    <w:lvl w:ilvl="1" w:tplc="1C090003" w:tentative="1">
      <w:start w:val="1"/>
      <w:numFmt w:val="bullet"/>
      <w:lvlText w:val="o"/>
      <w:lvlJc w:val="left"/>
      <w:pPr>
        <w:ind w:left="2914" w:hanging="360"/>
      </w:pPr>
      <w:rPr>
        <w:rFonts w:ascii="Courier New" w:hAnsi="Courier New" w:cs="Courier New" w:hint="default"/>
      </w:rPr>
    </w:lvl>
    <w:lvl w:ilvl="2" w:tplc="1C090005" w:tentative="1">
      <w:start w:val="1"/>
      <w:numFmt w:val="bullet"/>
      <w:lvlText w:val=""/>
      <w:lvlJc w:val="left"/>
      <w:pPr>
        <w:ind w:left="3634" w:hanging="360"/>
      </w:pPr>
      <w:rPr>
        <w:rFonts w:ascii="Wingdings" w:hAnsi="Wingdings" w:hint="default"/>
      </w:rPr>
    </w:lvl>
    <w:lvl w:ilvl="3" w:tplc="1C090001" w:tentative="1">
      <w:start w:val="1"/>
      <w:numFmt w:val="bullet"/>
      <w:lvlText w:val=""/>
      <w:lvlJc w:val="left"/>
      <w:pPr>
        <w:ind w:left="4354" w:hanging="360"/>
      </w:pPr>
      <w:rPr>
        <w:rFonts w:ascii="Symbol" w:hAnsi="Symbol" w:hint="default"/>
      </w:rPr>
    </w:lvl>
    <w:lvl w:ilvl="4" w:tplc="1C090003" w:tentative="1">
      <w:start w:val="1"/>
      <w:numFmt w:val="bullet"/>
      <w:lvlText w:val="o"/>
      <w:lvlJc w:val="left"/>
      <w:pPr>
        <w:ind w:left="5074" w:hanging="360"/>
      </w:pPr>
      <w:rPr>
        <w:rFonts w:ascii="Courier New" w:hAnsi="Courier New" w:cs="Courier New" w:hint="default"/>
      </w:rPr>
    </w:lvl>
    <w:lvl w:ilvl="5" w:tplc="1C090005" w:tentative="1">
      <w:start w:val="1"/>
      <w:numFmt w:val="bullet"/>
      <w:lvlText w:val=""/>
      <w:lvlJc w:val="left"/>
      <w:pPr>
        <w:ind w:left="5794" w:hanging="360"/>
      </w:pPr>
      <w:rPr>
        <w:rFonts w:ascii="Wingdings" w:hAnsi="Wingdings" w:hint="default"/>
      </w:rPr>
    </w:lvl>
    <w:lvl w:ilvl="6" w:tplc="1C090001" w:tentative="1">
      <w:start w:val="1"/>
      <w:numFmt w:val="bullet"/>
      <w:lvlText w:val=""/>
      <w:lvlJc w:val="left"/>
      <w:pPr>
        <w:ind w:left="6514" w:hanging="360"/>
      </w:pPr>
      <w:rPr>
        <w:rFonts w:ascii="Symbol" w:hAnsi="Symbol" w:hint="default"/>
      </w:rPr>
    </w:lvl>
    <w:lvl w:ilvl="7" w:tplc="1C090003" w:tentative="1">
      <w:start w:val="1"/>
      <w:numFmt w:val="bullet"/>
      <w:lvlText w:val="o"/>
      <w:lvlJc w:val="left"/>
      <w:pPr>
        <w:ind w:left="7234" w:hanging="360"/>
      </w:pPr>
      <w:rPr>
        <w:rFonts w:ascii="Courier New" w:hAnsi="Courier New" w:cs="Courier New" w:hint="default"/>
      </w:rPr>
    </w:lvl>
    <w:lvl w:ilvl="8" w:tplc="1C090005" w:tentative="1">
      <w:start w:val="1"/>
      <w:numFmt w:val="bullet"/>
      <w:lvlText w:val=""/>
      <w:lvlJc w:val="left"/>
      <w:pPr>
        <w:ind w:left="7954" w:hanging="360"/>
      </w:pPr>
      <w:rPr>
        <w:rFonts w:ascii="Wingdings" w:hAnsi="Wingdings" w:hint="default"/>
      </w:rPr>
    </w:lvl>
  </w:abstractNum>
  <w:abstractNum w:abstractNumId="7">
    <w:nsid w:val="1D602BCE"/>
    <w:multiLevelType w:val="hybridMultilevel"/>
    <w:tmpl w:val="5F8CD1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1FB17E48"/>
    <w:multiLevelType w:val="hybridMultilevel"/>
    <w:tmpl w:val="D38086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26E426DE"/>
    <w:multiLevelType w:val="multilevel"/>
    <w:tmpl w:val="A110511A"/>
    <w:lvl w:ilvl="0">
      <w:start w:val="4"/>
      <w:numFmt w:val="decimal"/>
      <w:lvlText w:val="%1"/>
      <w:lvlJc w:val="left"/>
      <w:pPr>
        <w:ind w:left="720" w:hanging="720"/>
      </w:pPr>
      <w:rPr>
        <w:rFonts w:hint="default"/>
      </w:rPr>
    </w:lvl>
    <w:lvl w:ilvl="1">
      <w:start w:val="5"/>
      <w:numFmt w:val="decimal"/>
      <w:lvlText w:val="%1.%2"/>
      <w:lvlJc w:val="left"/>
      <w:pPr>
        <w:ind w:left="1287" w:hanging="72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nsid w:val="27466251"/>
    <w:multiLevelType w:val="hybridMultilevel"/>
    <w:tmpl w:val="E94CA88A"/>
    <w:lvl w:ilvl="0" w:tplc="166A2076">
      <w:start w:val="1"/>
      <w:numFmt w:val="bullet"/>
      <w:pStyle w:val="Style1"/>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360"/>
        </w:tabs>
        <w:ind w:left="-360" w:hanging="360"/>
      </w:pPr>
    </w:lvl>
    <w:lvl w:ilvl="2" w:tplc="561A7828">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1">
    <w:nsid w:val="284925E1"/>
    <w:multiLevelType w:val="hybridMultilevel"/>
    <w:tmpl w:val="B01A554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2">
    <w:nsid w:val="2FBF5DBD"/>
    <w:multiLevelType w:val="multilevel"/>
    <w:tmpl w:val="DD0EF9DA"/>
    <w:lvl w:ilvl="0">
      <w:start w:val="4"/>
      <w:numFmt w:val="decimal"/>
      <w:lvlText w:val="%1"/>
      <w:lvlJc w:val="left"/>
      <w:pPr>
        <w:ind w:left="720" w:hanging="720"/>
      </w:pPr>
      <w:rPr>
        <w:rFonts w:hint="default"/>
      </w:rPr>
    </w:lvl>
    <w:lvl w:ilvl="1">
      <w:start w:val="5"/>
      <w:numFmt w:val="decimal"/>
      <w:lvlText w:val="%1.%2"/>
      <w:lvlJc w:val="left"/>
      <w:pPr>
        <w:ind w:left="1476" w:hanging="720"/>
      </w:pPr>
      <w:rPr>
        <w:rFonts w:hint="default"/>
      </w:rPr>
    </w:lvl>
    <w:lvl w:ilvl="2">
      <w:start w:val="4"/>
      <w:numFmt w:val="decimal"/>
      <w:lvlText w:val="%1.%2.%3"/>
      <w:lvlJc w:val="left"/>
      <w:pPr>
        <w:ind w:left="2232" w:hanging="720"/>
      </w:pPr>
      <w:rPr>
        <w:rFonts w:hint="default"/>
      </w:rPr>
    </w:lvl>
    <w:lvl w:ilvl="3">
      <w:start w:val="1"/>
      <w:numFmt w:val="decimal"/>
      <w:lvlText w:val="%1.%2.%3.%4"/>
      <w:lvlJc w:val="left"/>
      <w:pPr>
        <w:ind w:left="3348" w:hanging="108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5220" w:hanging="144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7092" w:hanging="1800"/>
      </w:pPr>
      <w:rPr>
        <w:rFonts w:hint="default"/>
      </w:rPr>
    </w:lvl>
    <w:lvl w:ilvl="8">
      <w:start w:val="1"/>
      <w:numFmt w:val="decimal"/>
      <w:lvlText w:val="%1.%2.%3.%4.%5.%6.%7.%8.%9"/>
      <w:lvlJc w:val="left"/>
      <w:pPr>
        <w:ind w:left="7848" w:hanging="1800"/>
      </w:pPr>
      <w:rPr>
        <w:rFonts w:hint="default"/>
      </w:rPr>
    </w:lvl>
  </w:abstractNum>
  <w:abstractNum w:abstractNumId="13">
    <w:nsid w:val="2FCE292C"/>
    <w:multiLevelType w:val="hybridMultilevel"/>
    <w:tmpl w:val="8D80FC12"/>
    <w:lvl w:ilvl="0" w:tplc="F1FE2E1A">
      <w:start w:val="1"/>
      <w:numFmt w:val="decimal"/>
      <w:pStyle w:val="number"/>
      <w:lvlText w:val="%1)"/>
      <w:lvlJc w:val="left"/>
      <w:pPr>
        <w:tabs>
          <w:tab w:val="num" w:pos="360"/>
        </w:tabs>
        <w:ind w:left="360" w:hanging="360"/>
      </w:pPr>
      <w:rPr>
        <w:rFonts w:hint="default"/>
      </w:rPr>
    </w:lvl>
    <w:lvl w:ilvl="1" w:tplc="85884E18">
      <w:start w:val="1"/>
      <w:numFmt w:val="lowerLetter"/>
      <w:lvlText w:val="%2)"/>
      <w:lvlJc w:val="left"/>
      <w:pPr>
        <w:tabs>
          <w:tab w:val="num" w:pos="576"/>
        </w:tabs>
        <w:ind w:left="576" w:hanging="360"/>
      </w:pPr>
      <w:rPr>
        <w:rFonts w:hint="default"/>
      </w:rPr>
    </w:lvl>
    <w:lvl w:ilvl="2" w:tplc="0409001B" w:tentative="1">
      <w:start w:val="1"/>
      <w:numFmt w:val="lowerRoman"/>
      <w:lvlText w:val="%3."/>
      <w:lvlJc w:val="right"/>
      <w:pPr>
        <w:tabs>
          <w:tab w:val="num" w:pos="1296"/>
        </w:tabs>
        <w:ind w:left="1296" w:hanging="180"/>
      </w:pPr>
    </w:lvl>
    <w:lvl w:ilvl="3" w:tplc="0409000F" w:tentative="1">
      <w:start w:val="1"/>
      <w:numFmt w:val="decimal"/>
      <w:lvlText w:val="%4."/>
      <w:lvlJc w:val="left"/>
      <w:pPr>
        <w:tabs>
          <w:tab w:val="num" w:pos="2016"/>
        </w:tabs>
        <w:ind w:left="2016" w:hanging="360"/>
      </w:pPr>
    </w:lvl>
    <w:lvl w:ilvl="4" w:tplc="04090019" w:tentative="1">
      <w:start w:val="1"/>
      <w:numFmt w:val="lowerLetter"/>
      <w:lvlText w:val="%5."/>
      <w:lvlJc w:val="left"/>
      <w:pPr>
        <w:tabs>
          <w:tab w:val="num" w:pos="2736"/>
        </w:tabs>
        <w:ind w:left="2736" w:hanging="360"/>
      </w:pPr>
    </w:lvl>
    <w:lvl w:ilvl="5" w:tplc="0409001B" w:tentative="1">
      <w:start w:val="1"/>
      <w:numFmt w:val="lowerRoman"/>
      <w:lvlText w:val="%6."/>
      <w:lvlJc w:val="right"/>
      <w:pPr>
        <w:tabs>
          <w:tab w:val="num" w:pos="3456"/>
        </w:tabs>
        <w:ind w:left="3456" w:hanging="180"/>
      </w:pPr>
    </w:lvl>
    <w:lvl w:ilvl="6" w:tplc="0409000F" w:tentative="1">
      <w:start w:val="1"/>
      <w:numFmt w:val="decimal"/>
      <w:lvlText w:val="%7."/>
      <w:lvlJc w:val="left"/>
      <w:pPr>
        <w:tabs>
          <w:tab w:val="num" w:pos="4176"/>
        </w:tabs>
        <w:ind w:left="4176" w:hanging="360"/>
      </w:pPr>
    </w:lvl>
    <w:lvl w:ilvl="7" w:tplc="04090019" w:tentative="1">
      <w:start w:val="1"/>
      <w:numFmt w:val="lowerLetter"/>
      <w:lvlText w:val="%8."/>
      <w:lvlJc w:val="left"/>
      <w:pPr>
        <w:tabs>
          <w:tab w:val="num" w:pos="4896"/>
        </w:tabs>
        <w:ind w:left="4896" w:hanging="360"/>
      </w:pPr>
    </w:lvl>
    <w:lvl w:ilvl="8" w:tplc="0409001B" w:tentative="1">
      <w:start w:val="1"/>
      <w:numFmt w:val="lowerRoman"/>
      <w:lvlText w:val="%9."/>
      <w:lvlJc w:val="right"/>
      <w:pPr>
        <w:tabs>
          <w:tab w:val="num" w:pos="5616"/>
        </w:tabs>
        <w:ind w:left="5616" w:hanging="180"/>
      </w:pPr>
    </w:lvl>
  </w:abstractNum>
  <w:abstractNum w:abstractNumId="14">
    <w:nsid w:val="32383A44"/>
    <w:multiLevelType w:val="hybridMultilevel"/>
    <w:tmpl w:val="12407A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34C825A2"/>
    <w:multiLevelType w:val="multilevel"/>
    <w:tmpl w:val="E51CFBFC"/>
    <w:lvl w:ilvl="0">
      <w:start w:val="4"/>
      <w:numFmt w:val="decimal"/>
      <w:lvlText w:val="%1"/>
      <w:lvlJc w:val="left"/>
      <w:pPr>
        <w:ind w:left="720" w:hanging="720"/>
      </w:pPr>
      <w:rPr>
        <w:rFonts w:hint="default"/>
      </w:rPr>
    </w:lvl>
    <w:lvl w:ilvl="1">
      <w:start w:val="5"/>
      <w:numFmt w:val="decimal"/>
      <w:lvlText w:val="%1.%2"/>
      <w:lvlJc w:val="left"/>
      <w:pPr>
        <w:ind w:left="1476" w:hanging="720"/>
      </w:pPr>
      <w:rPr>
        <w:rFonts w:hint="default"/>
      </w:rPr>
    </w:lvl>
    <w:lvl w:ilvl="2">
      <w:start w:val="4"/>
      <w:numFmt w:val="decimal"/>
      <w:lvlText w:val="%1.%2.%3"/>
      <w:lvlJc w:val="left"/>
      <w:pPr>
        <w:ind w:left="2232" w:hanging="720"/>
      </w:pPr>
      <w:rPr>
        <w:rFonts w:hint="default"/>
      </w:rPr>
    </w:lvl>
    <w:lvl w:ilvl="3">
      <w:start w:val="3"/>
      <w:numFmt w:val="decimal"/>
      <w:lvlText w:val="%1.%2.%3.%4"/>
      <w:lvlJc w:val="left"/>
      <w:pPr>
        <w:ind w:left="3348" w:hanging="108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5220" w:hanging="144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7092" w:hanging="1800"/>
      </w:pPr>
      <w:rPr>
        <w:rFonts w:hint="default"/>
      </w:rPr>
    </w:lvl>
    <w:lvl w:ilvl="8">
      <w:start w:val="1"/>
      <w:numFmt w:val="decimal"/>
      <w:lvlText w:val="%1.%2.%3.%4.%5.%6.%7.%8.%9"/>
      <w:lvlJc w:val="left"/>
      <w:pPr>
        <w:ind w:left="7848" w:hanging="1800"/>
      </w:pPr>
      <w:rPr>
        <w:rFonts w:hint="default"/>
      </w:rPr>
    </w:lvl>
  </w:abstractNum>
  <w:abstractNum w:abstractNumId="16">
    <w:nsid w:val="3BCD6E52"/>
    <w:multiLevelType w:val="singleLevel"/>
    <w:tmpl w:val="93907D12"/>
    <w:lvl w:ilvl="0">
      <w:start w:val="1"/>
      <w:numFmt w:val="lowerRoman"/>
      <w:pStyle w:val="Sub3"/>
      <w:lvlText w:val="(%1)"/>
      <w:lvlJc w:val="right"/>
      <w:pPr>
        <w:tabs>
          <w:tab w:val="num" w:pos="567"/>
        </w:tabs>
        <w:ind w:left="567" w:hanging="397"/>
      </w:pPr>
      <w:rPr>
        <w:u w:val="none"/>
      </w:rPr>
    </w:lvl>
  </w:abstractNum>
  <w:abstractNum w:abstractNumId="17">
    <w:nsid w:val="423A6247"/>
    <w:multiLevelType w:val="hybridMultilevel"/>
    <w:tmpl w:val="235280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458C3CEA"/>
    <w:multiLevelType w:val="hybridMultilevel"/>
    <w:tmpl w:val="B1A82F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48D42B6B"/>
    <w:multiLevelType w:val="multilevel"/>
    <w:tmpl w:val="E1DA07C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9D64886"/>
    <w:multiLevelType w:val="hybridMultilevel"/>
    <w:tmpl w:val="0090DC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4A1542B0"/>
    <w:multiLevelType w:val="hybridMultilevel"/>
    <w:tmpl w:val="4F3C490A"/>
    <w:lvl w:ilvl="0" w:tplc="1C09000F">
      <w:start w:val="1"/>
      <w:numFmt w:val="decimal"/>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2">
    <w:nsid w:val="50F86E9B"/>
    <w:multiLevelType w:val="hybridMultilevel"/>
    <w:tmpl w:val="67720CD0"/>
    <w:lvl w:ilvl="0" w:tplc="1C090001">
      <w:start w:val="1"/>
      <w:numFmt w:val="bullet"/>
      <w:lvlText w:val=""/>
      <w:lvlJc w:val="left"/>
      <w:pPr>
        <w:ind w:left="2194" w:hanging="360"/>
      </w:pPr>
      <w:rPr>
        <w:rFonts w:ascii="Symbol" w:hAnsi="Symbol" w:hint="default"/>
      </w:rPr>
    </w:lvl>
    <w:lvl w:ilvl="1" w:tplc="1C090003" w:tentative="1">
      <w:start w:val="1"/>
      <w:numFmt w:val="bullet"/>
      <w:lvlText w:val="o"/>
      <w:lvlJc w:val="left"/>
      <w:pPr>
        <w:ind w:left="2914" w:hanging="360"/>
      </w:pPr>
      <w:rPr>
        <w:rFonts w:ascii="Courier New" w:hAnsi="Courier New" w:cs="Courier New" w:hint="default"/>
      </w:rPr>
    </w:lvl>
    <w:lvl w:ilvl="2" w:tplc="1C090005" w:tentative="1">
      <w:start w:val="1"/>
      <w:numFmt w:val="bullet"/>
      <w:lvlText w:val=""/>
      <w:lvlJc w:val="left"/>
      <w:pPr>
        <w:ind w:left="3634" w:hanging="360"/>
      </w:pPr>
      <w:rPr>
        <w:rFonts w:ascii="Wingdings" w:hAnsi="Wingdings" w:hint="default"/>
      </w:rPr>
    </w:lvl>
    <w:lvl w:ilvl="3" w:tplc="1C090001" w:tentative="1">
      <w:start w:val="1"/>
      <w:numFmt w:val="bullet"/>
      <w:lvlText w:val=""/>
      <w:lvlJc w:val="left"/>
      <w:pPr>
        <w:ind w:left="4354" w:hanging="360"/>
      </w:pPr>
      <w:rPr>
        <w:rFonts w:ascii="Symbol" w:hAnsi="Symbol" w:hint="default"/>
      </w:rPr>
    </w:lvl>
    <w:lvl w:ilvl="4" w:tplc="1C090003" w:tentative="1">
      <w:start w:val="1"/>
      <w:numFmt w:val="bullet"/>
      <w:lvlText w:val="o"/>
      <w:lvlJc w:val="left"/>
      <w:pPr>
        <w:ind w:left="5074" w:hanging="360"/>
      </w:pPr>
      <w:rPr>
        <w:rFonts w:ascii="Courier New" w:hAnsi="Courier New" w:cs="Courier New" w:hint="default"/>
      </w:rPr>
    </w:lvl>
    <w:lvl w:ilvl="5" w:tplc="1C090005" w:tentative="1">
      <w:start w:val="1"/>
      <w:numFmt w:val="bullet"/>
      <w:lvlText w:val=""/>
      <w:lvlJc w:val="left"/>
      <w:pPr>
        <w:ind w:left="5794" w:hanging="360"/>
      </w:pPr>
      <w:rPr>
        <w:rFonts w:ascii="Wingdings" w:hAnsi="Wingdings" w:hint="default"/>
      </w:rPr>
    </w:lvl>
    <w:lvl w:ilvl="6" w:tplc="1C090001" w:tentative="1">
      <w:start w:val="1"/>
      <w:numFmt w:val="bullet"/>
      <w:lvlText w:val=""/>
      <w:lvlJc w:val="left"/>
      <w:pPr>
        <w:ind w:left="6514" w:hanging="360"/>
      </w:pPr>
      <w:rPr>
        <w:rFonts w:ascii="Symbol" w:hAnsi="Symbol" w:hint="default"/>
      </w:rPr>
    </w:lvl>
    <w:lvl w:ilvl="7" w:tplc="1C090003" w:tentative="1">
      <w:start w:val="1"/>
      <w:numFmt w:val="bullet"/>
      <w:lvlText w:val="o"/>
      <w:lvlJc w:val="left"/>
      <w:pPr>
        <w:ind w:left="7234" w:hanging="360"/>
      </w:pPr>
      <w:rPr>
        <w:rFonts w:ascii="Courier New" w:hAnsi="Courier New" w:cs="Courier New" w:hint="default"/>
      </w:rPr>
    </w:lvl>
    <w:lvl w:ilvl="8" w:tplc="1C090005" w:tentative="1">
      <w:start w:val="1"/>
      <w:numFmt w:val="bullet"/>
      <w:lvlText w:val=""/>
      <w:lvlJc w:val="left"/>
      <w:pPr>
        <w:ind w:left="7954" w:hanging="360"/>
      </w:pPr>
      <w:rPr>
        <w:rFonts w:ascii="Wingdings" w:hAnsi="Wingdings" w:hint="default"/>
      </w:rPr>
    </w:lvl>
  </w:abstractNum>
  <w:abstractNum w:abstractNumId="23">
    <w:nsid w:val="51CD5F8E"/>
    <w:multiLevelType w:val="hybridMultilevel"/>
    <w:tmpl w:val="0624EE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nsid w:val="5A1D4447"/>
    <w:multiLevelType w:val="hybridMultilevel"/>
    <w:tmpl w:val="E9225326"/>
    <w:lvl w:ilvl="0" w:tplc="62D295C6">
      <w:start w:val="1"/>
      <w:numFmt w:val="decimal"/>
      <w:pStyle w:val="indentbulletattachment"/>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5">
    <w:nsid w:val="5D597929"/>
    <w:multiLevelType w:val="multilevel"/>
    <w:tmpl w:val="E2FC5F62"/>
    <w:lvl w:ilvl="0">
      <w:start w:val="1"/>
      <w:numFmt w:val="bullet"/>
      <w:pStyle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440"/>
        </w:tabs>
        <w:ind w:left="720" w:firstLine="0"/>
      </w:pPr>
    </w:lvl>
    <w:lvl w:ilvl="2">
      <w:start w:val="1"/>
      <w:numFmt w:val="decimal"/>
      <w:lvlText w:val="%1.%2.%3"/>
      <w:lvlJc w:val="left"/>
      <w:pPr>
        <w:tabs>
          <w:tab w:val="num" w:pos="2194"/>
        </w:tabs>
        <w:ind w:left="2194" w:hanging="754"/>
      </w:pPr>
      <w:rPr>
        <w:rFonts w:ascii="Times New Roman" w:hAnsi="Times New Roman" w:hint="default"/>
        <w:b w:val="0"/>
        <w:i w:val="0"/>
        <w:sz w:val="20"/>
        <w:u w:val="none"/>
      </w:rPr>
    </w:lvl>
    <w:lvl w:ilvl="3">
      <w:start w:val="1"/>
      <w:numFmt w:val="decimal"/>
      <w:lvlText w:val="%1.%2.%3.%4"/>
      <w:lvlJc w:val="left"/>
      <w:pPr>
        <w:tabs>
          <w:tab w:val="num" w:pos="2988"/>
        </w:tabs>
        <w:ind w:left="2988" w:hanging="794"/>
      </w:pPr>
      <w:rPr>
        <w:rFonts w:ascii="Times New Roman" w:hAnsi="Times New Roman" w:hint="default"/>
        <w:b w:val="0"/>
        <w:i w:val="0"/>
        <w:sz w:val="20"/>
      </w:rPr>
    </w:lvl>
    <w:lvl w:ilvl="4">
      <w:start w:val="1"/>
      <w:numFmt w:val="decimal"/>
      <w:lvlText w:val="%1.%2.%3.%4.%5"/>
      <w:lvlJc w:val="left"/>
      <w:pPr>
        <w:tabs>
          <w:tab w:val="num" w:pos="3765"/>
        </w:tabs>
        <w:ind w:left="720" w:firstLine="2325"/>
      </w:pPr>
      <w:rPr>
        <w:rFonts w:ascii="Times New Roman" w:hAnsi="Times New Roman" w:hint="default"/>
        <w:b w:val="0"/>
        <w:i w:val="0"/>
        <w:sz w:val="20"/>
      </w:rPr>
    </w:lvl>
    <w:lvl w:ilvl="5">
      <w:start w:val="1"/>
      <w:numFmt w:val="decimal"/>
      <w:lvlText w:val="%1.%2.%3.%4.%5.%6"/>
      <w:lvlJc w:val="left"/>
      <w:pPr>
        <w:tabs>
          <w:tab w:val="num" w:pos="720"/>
        </w:tabs>
        <w:ind w:left="720" w:firstLine="0"/>
      </w:pPr>
    </w:lvl>
    <w:lvl w:ilvl="6">
      <w:start w:val="1"/>
      <w:numFmt w:val="decimal"/>
      <w:lvlText w:val="%1.%2.%3.%4.%5.%6.%7"/>
      <w:lvlJc w:val="left"/>
      <w:pPr>
        <w:tabs>
          <w:tab w:val="num" w:pos="720"/>
        </w:tabs>
        <w:ind w:left="720" w:firstLine="0"/>
      </w:pPr>
    </w:lvl>
    <w:lvl w:ilvl="7">
      <w:start w:val="1"/>
      <w:numFmt w:val="decimal"/>
      <w:lvlText w:val="%1.%2.%3.%4.%5.%6.%7.%8"/>
      <w:lvlJc w:val="left"/>
      <w:pPr>
        <w:tabs>
          <w:tab w:val="num" w:pos="720"/>
        </w:tabs>
        <w:ind w:left="720" w:firstLine="0"/>
      </w:pPr>
    </w:lvl>
    <w:lvl w:ilvl="8">
      <w:start w:val="1"/>
      <w:numFmt w:val="decimal"/>
      <w:lvlText w:val="%1.%2.%3.%4.%5.%6.%7.%8.%9"/>
      <w:lvlJc w:val="left"/>
      <w:pPr>
        <w:tabs>
          <w:tab w:val="num" w:pos="720"/>
        </w:tabs>
        <w:ind w:left="720" w:firstLine="0"/>
      </w:pPr>
    </w:lvl>
  </w:abstractNum>
  <w:abstractNum w:abstractNumId="26">
    <w:nsid w:val="6297160E"/>
    <w:multiLevelType w:val="singleLevel"/>
    <w:tmpl w:val="82EC1892"/>
    <w:lvl w:ilvl="0">
      <w:start w:val="1"/>
      <w:numFmt w:val="lowerLetter"/>
      <w:pStyle w:val="Sub1"/>
      <w:lvlText w:val="(%1)"/>
      <w:lvlJc w:val="left"/>
      <w:pPr>
        <w:tabs>
          <w:tab w:val="num" w:pos="567"/>
        </w:tabs>
        <w:ind w:left="567" w:hanging="567"/>
      </w:pPr>
      <w:rPr>
        <w:u w:val="none"/>
      </w:rPr>
    </w:lvl>
  </w:abstractNum>
  <w:abstractNum w:abstractNumId="27">
    <w:nsid w:val="666D3C65"/>
    <w:multiLevelType w:val="hybridMultilevel"/>
    <w:tmpl w:val="748CA338"/>
    <w:lvl w:ilvl="0" w:tplc="08BA467C">
      <w:start w:val="1"/>
      <w:numFmt w:val="lowerLetter"/>
      <w:pStyle w:val="numberalpha"/>
      <w:lvlText w:val="%1)"/>
      <w:lvlJc w:val="left"/>
      <w:pPr>
        <w:tabs>
          <w:tab w:val="num" w:pos="360"/>
        </w:tabs>
        <w:ind w:left="360" w:hanging="360"/>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28">
    <w:nsid w:val="6B0F7077"/>
    <w:multiLevelType w:val="hybridMultilevel"/>
    <w:tmpl w:val="DFB2462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nsid w:val="6E3962AE"/>
    <w:multiLevelType w:val="hybridMultilevel"/>
    <w:tmpl w:val="F44249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nsid w:val="71FC0EB1"/>
    <w:multiLevelType w:val="multilevel"/>
    <w:tmpl w:val="8E90C47C"/>
    <w:lvl w:ilvl="0">
      <w:start w:val="4"/>
      <w:numFmt w:val="decimal"/>
      <w:lvlText w:val="%1"/>
      <w:lvlJc w:val="left"/>
      <w:pPr>
        <w:ind w:left="720" w:hanging="720"/>
      </w:pPr>
      <w:rPr>
        <w:rFonts w:hint="default"/>
      </w:rPr>
    </w:lvl>
    <w:lvl w:ilvl="1">
      <w:start w:val="5"/>
      <w:numFmt w:val="decimal"/>
      <w:lvlText w:val="%1.%2"/>
      <w:lvlJc w:val="left"/>
      <w:pPr>
        <w:ind w:left="1476" w:hanging="720"/>
      </w:pPr>
      <w:rPr>
        <w:rFonts w:hint="default"/>
      </w:rPr>
    </w:lvl>
    <w:lvl w:ilvl="2">
      <w:start w:val="4"/>
      <w:numFmt w:val="decimal"/>
      <w:lvlText w:val="%1.%2.%3"/>
      <w:lvlJc w:val="left"/>
      <w:pPr>
        <w:ind w:left="2232" w:hanging="720"/>
      </w:pPr>
      <w:rPr>
        <w:rFonts w:hint="default"/>
      </w:rPr>
    </w:lvl>
    <w:lvl w:ilvl="3">
      <w:start w:val="5"/>
      <w:numFmt w:val="decimal"/>
      <w:lvlText w:val="%1.%2.%3.%4"/>
      <w:lvlJc w:val="left"/>
      <w:pPr>
        <w:ind w:left="3348" w:hanging="108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5220" w:hanging="144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7092" w:hanging="1800"/>
      </w:pPr>
      <w:rPr>
        <w:rFonts w:hint="default"/>
      </w:rPr>
    </w:lvl>
    <w:lvl w:ilvl="8">
      <w:start w:val="1"/>
      <w:numFmt w:val="decimal"/>
      <w:lvlText w:val="%1.%2.%3.%4.%5.%6.%7.%8.%9"/>
      <w:lvlJc w:val="left"/>
      <w:pPr>
        <w:ind w:left="7848" w:hanging="1800"/>
      </w:pPr>
      <w:rPr>
        <w:rFonts w:hint="default"/>
      </w:rPr>
    </w:lvl>
  </w:abstractNum>
  <w:abstractNum w:abstractNumId="31">
    <w:nsid w:val="7262698E"/>
    <w:multiLevelType w:val="singleLevel"/>
    <w:tmpl w:val="0B84373E"/>
    <w:lvl w:ilvl="0">
      <w:start w:val="27"/>
      <w:numFmt w:val="lowerLetter"/>
      <w:pStyle w:val="Sub2"/>
      <w:lvlText w:val="(%1)"/>
      <w:lvlJc w:val="left"/>
      <w:pPr>
        <w:tabs>
          <w:tab w:val="num" w:pos="567"/>
        </w:tabs>
        <w:ind w:left="567" w:hanging="567"/>
      </w:pPr>
      <w:rPr>
        <w:u w:val="none"/>
      </w:rPr>
    </w:lvl>
  </w:abstractNum>
  <w:abstractNum w:abstractNumId="32">
    <w:nsid w:val="77AF4D8B"/>
    <w:multiLevelType w:val="hybridMultilevel"/>
    <w:tmpl w:val="DDE098B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nsid w:val="7F2B746D"/>
    <w:multiLevelType w:val="hybridMultilevel"/>
    <w:tmpl w:val="6D1E78C2"/>
    <w:lvl w:ilvl="0" w:tplc="2DB60F2A">
      <w:start w:val="1"/>
      <w:numFmt w:val="bullet"/>
      <w:pStyle w:val="bullet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F552242"/>
    <w:multiLevelType w:val="hybridMultilevel"/>
    <w:tmpl w:val="C888AB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3"/>
  </w:num>
  <w:num w:numId="4">
    <w:abstractNumId w:val="25"/>
  </w:num>
  <w:num w:numId="5">
    <w:abstractNumId w:val="0"/>
  </w:num>
  <w:num w:numId="6">
    <w:abstractNumId w:val="24"/>
  </w:num>
  <w:num w:numId="7">
    <w:abstractNumId w:val="26"/>
  </w:num>
  <w:num w:numId="8">
    <w:abstractNumId w:val="31"/>
  </w:num>
  <w:num w:numId="9">
    <w:abstractNumId w:val="16"/>
  </w:num>
  <w:num w:numId="10">
    <w:abstractNumId w:val="13"/>
  </w:num>
  <w:num w:numId="11">
    <w:abstractNumId w:val="27"/>
  </w:num>
  <w:num w:numId="12">
    <w:abstractNumId w:val="7"/>
  </w:num>
  <w:num w:numId="13">
    <w:abstractNumId w:val="5"/>
  </w:num>
  <w:num w:numId="14">
    <w:abstractNumId w:val="3"/>
  </w:num>
  <w:num w:numId="15">
    <w:abstractNumId w:val="32"/>
  </w:num>
  <w:num w:numId="16">
    <w:abstractNumId w:val="22"/>
  </w:num>
  <w:num w:numId="17">
    <w:abstractNumId w:val="28"/>
  </w:num>
  <w:num w:numId="18">
    <w:abstractNumId w:val="20"/>
  </w:num>
  <w:num w:numId="19">
    <w:abstractNumId w:val="1"/>
  </w:num>
  <w:num w:numId="20">
    <w:abstractNumId w:val="17"/>
  </w:num>
  <w:num w:numId="21">
    <w:abstractNumId w:val="34"/>
  </w:num>
  <w:num w:numId="22">
    <w:abstractNumId w:val="29"/>
  </w:num>
  <w:num w:numId="23">
    <w:abstractNumId w:val="1"/>
    <w:lvlOverride w:ilvl="0">
      <w:lvl w:ilvl="0">
        <w:start w:val="1"/>
        <w:numFmt w:val="decimal"/>
        <w:pStyle w:val="Heading1"/>
        <w:lvlText w:val="%1"/>
        <w:lvlJc w:val="left"/>
        <w:pPr>
          <w:tabs>
            <w:tab w:val="num" w:pos="360"/>
          </w:tabs>
          <w:ind w:left="0" w:firstLine="0"/>
        </w:pPr>
        <w:rPr>
          <w:rFonts w:hint="default"/>
        </w:rPr>
      </w:lvl>
    </w:lvlOverride>
    <w:lvlOverride w:ilvl="1">
      <w:lvl w:ilvl="1">
        <w:start w:val="1"/>
        <w:numFmt w:val="decimal"/>
        <w:pStyle w:val="Heading2"/>
        <w:lvlText w:val="%1.%2"/>
        <w:lvlJc w:val="left"/>
        <w:pPr>
          <w:tabs>
            <w:tab w:val="num" w:pos="720"/>
          </w:tabs>
          <w:ind w:left="0" w:firstLine="0"/>
        </w:pPr>
        <w:rPr>
          <w:rFonts w:hint="default"/>
        </w:rPr>
      </w:lvl>
    </w:lvlOverride>
    <w:lvlOverride w:ilvl="2">
      <w:lvl w:ilvl="2">
        <w:start w:val="1"/>
        <w:numFmt w:val="decimal"/>
        <w:pStyle w:val="Heading3"/>
        <w:lvlText w:val="%1.%2.%3"/>
        <w:lvlJc w:val="left"/>
        <w:pPr>
          <w:tabs>
            <w:tab w:val="num" w:pos="1463"/>
          </w:tabs>
          <w:ind w:left="1463" w:hanging="754"/>
        </w:pPr>
        <w:rPr>
          <w:rFonts w:ascii="Arial" w:hAnsi="Arial" w:hint="default"/>
          <w:b/>
          <w:i w:val="0"/>
          <w:sz w:val="24"/>
          <w:u w:val="none"/>
        </w:rPr>
      </w:lvl>
    </w:lvlOverride>
    <w:lvlOverride w:ilvl="3">
      <w:lvl w:ilvl="3">
        <w:start w:val="1"/>
        <w:numFmt w:val="none"/>
        <w:pStyle w:val="Heading4"/>
        <w:lvlText w:val="4.5.3.1"/>
        <w:lvlJc w:val="left"/>
        <w:pPr>
          <w:tabs>
            <w:tab w:val="num" w:pos="2268"/>
          </w:tabs>
          <w:ind w:left="2268" w:hanging="794"/>
        </w:pPr>
        <w:rPr>
          <w:rFonts w:ascii="Times New Roman" w:hAnsi="Times New Roman" w:hint="default"/>
          <w:b w:val="0"/>
          <w:i w:val="0"/>
          <w:sz w:val="20"/>
        </w:rPr>
      </w:lvl>
    </w:lvlOverride>
    <w:lvlOverride w:ilvl="4">
      <w:lvl w:ilvl="4">
        <w:start w:val="1"/>
        <w:numFmt w:val="lowerRoman"/>
        <w:pStyle w:val="Heading5"/>
        <w:lvlText w:val="%5."/>
        <w:lvlJc w:val="left"/>
        <w:pPr>
          <w:tabs>
            <w:tab w:val="num" w:pos="3045"/>
          </w:tabs>
          <w:ind w:left="0" w:firstLine="2325"/>
        </w:pPr>
        <w:rPr>
          <w:rFonts w:ascii="Times New Roman" w:hAnsi="Times New Roman" w:hint="default"/>
          <w:b w:val="0"/>
          <w:i w:val="0"/>
          <w:sz w:val="20"/>
        </w:rPr>
      </w:lvl>
    </w:lvlOverride>
    <w:lvlOverride w:ilvl="5">
      <w:lvl w:ilvl="5">
        <w:start w:val="1"/>
        <w:numFmt w:val="decimal"/>
        <w:pStyle w:val="Heading6"/>
        <w:lvlText w:val="%1.%2.%3.%4.%5.%6"/>
        <w:lvlJc w:val="left"/>
        <w:pPr>
          <w:tabs>
            <w:tab w:val="num" w:pos="0"/>
          </w:tabs>
          <w:ind w:left="0" w:firstLine="0"/>
        </w:pPr>
        <w:rPr>
          <w:rFonts w:hint="default"/>
        </w:rPr>
      </w:lvl>
    </w:lvlOverride>
    <w:lvlOverride w:ilvl="6">
      <w:lvl w:ilvl="6">
        <w:start w:val="1"/>
        <w:numFmt w:val="decimal"/>
        <w:pStyle w:val="Heading7"/>
        <w:lvlText w:val="%1.%2.%3.%4.%5.%6.%7"/>
        <w:lvlJc w:val="left"/>
        <w:pPr>
          <w:tabs>
            <w:tab w:val="num" w:pos="0"/>
          </w:tabs>
          <w:ind w:left="0" w:firstLine="0"/>
        </w:pPr>
        <w:rPr>
          <w:rFonts w:hint="default"/>
        </w:rPr>
      </w:lvl>
    </w:lvlOverride>
    <w:lvlOverride w:ilvl="7">
      <w:lvl w:ilvl="7">
        <w:start w:val="1"/>
        <w:numFmt w:val="decimal"/>
        <w:pStyle w:val="Heading8"/>
        <w:lvlText w:val="%1.%2.%3.%4.%5.%6.%7.%8"/>
        <w:lvlJc w:val="left"/>
        <w:pPr>
          <w:tabs>
            <w:tab w:val="num" w:pos="0"/>
          </w:tabs>
          <w:ind w:left="0" w:firstLine="0"/>
        </w:pPr>
        <w:rPr>
          <w:rFonts w:hint="default"/>
        </w:rPr>
      </w:lvl>
    </w:lvlOverride>
    <w:lvlOverride w:ilvl="8">
      <w:lvl w:ilvl="8">
        <w:start w:val="1"/>
        <w:numFmt w:val="decimal"/>
        <w:pStyle w:val="Heading9"/>
        <w:lvlText w:val="%1.%2.%3.%4.%5.%6.%7.%8.%9"/>
        <w:lvlJc w:val="left"/>
        <w:pPr>
          <w:tabs>
            <w:tab w:val="num" w:pos="0"/>
          </w:tabs>
          <w:ind w:left="0" w:firstLine="0"/>
        </w:pPr>
        <w:rPr>
          <w:rFonts w:hint="default"/>
        </w:rPr>
      </w:lvl>
    </w:lvlOverride>
  </w:num>
  <w:num w:numId="24">
    <w:abstractNumId w:val="8"/>
  </w:num>
  <w:num w:numId="25">
    <w:abstractNumId w:val="23"/>
  </w:num>
  <w:num w:numId="26">
    <w:abstractNumId w:val="11"/>
  </w:num>
  <w:num w:numId="27">
    <w:abstractNumId w:val="12"/>
  </w:num>
  <w:num w:numId="28">
    <w:abstractNumId w:val="9"/>
  </w:num>
  <w:num w:numId="29">
    <w:abstractNumId w:val="15"/>
  </w:num>
  <w:num w:numId="30">
    <w:abstractNumId w:val="30"/>
  </w:num>
  <w:num w:numId="31">
    <w:abstractNumId w:val="14"/>
  </w:num>
  <w:num w:numId="32">
    <w:abstractNumId w:val="4"/>
  </w:num>
  <w:num w:numId="33">
    <w:abstractNumId w:val="21"/>
  </w:num>
  <w:num w:numId="34">
    <w:abstractNumId w:val="1"/>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1"/>
  </w:num>
  <w:num w:numId="38">
    <w:abstractNumId w:val="18"/>
  </w:num>
  <w:num w:numId="39">
    <w:abstractNumId w:val="1"/>
  </w:num>
  <w:num w:numId="40">
    <w:abstractNumId w:val="19"/>
  </w:num>
  <w:num w:numId="41">
    <w:abstractNumId w:val="1"/>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Arial&lt;/FontName&gt;&lt;FontSize&gt;16&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50wxdpzd9vd5r7e9t5b595djrfpttrxw9avp&quot;&gt;Sample_Library_X5&lt;record-ids&gt;&lt;item&gt;35&lt;/item&gt;&lt;/record-ids&gt;&lt;/item&gt;&lt;/Libraries&gt;"/>
  </w:docVars>
  <w:rsids>
    <w:rsidRoot w:val="00596ADA"/>
    <w:rsid w:val="00002EE9"/>
    <w:rsid w:val="00004682"/>
    <w:rsid w:val="0002073C"/>
    <w:rsid w:val="00020B60"/>
    <w:rsid w:val="00022C9A"/>
    <w:rsid w:val="00025F06"/>
    <w:rsid w:val="00030AB2"/>
    <w:rsid w:val="00032FAB"/>
    <w:rsid w:val="000335C0"/>
    <w:rsid w:val="00036581"/>
    <w:rsid w:val="00042E8A"/>
    <w:rsid w:val="0004627C"/>
    <w:rsid w:val="00046AE9"/>
    <w:rsid w:val="00055990"/>
    <w:rsid w:val="00057A9B"/>
    <w:rsid w:val="0006174D"/>
    <w:rsid w:val="00062258"/>
    <w:rsid w:val="0006397C"/>
    <w:rsid w:val="000641AE"/>
    <w:rsid w:val="00064CBC"/>
    <w:rsid w:val="00065B58"/>
    <w:rsid w:val="00071780"/>
    <w:rsid w:val="00072499"/>
    <w:rsid w:val="00087641"/>
    <w:rsid w:val="00090792"/>
    <w:rsid w:val="00093E20"/>
    <w:rsid w:val="000968DC"/>
    <w:rsid w:val="000A1EC0"/>
    <w:rsid w:val="000A1F28"/>
    <w:rsid w:val="000A3395"/>
    <w:rsid w:val="000A49E9"/>
    <w:rsid w:val="000A65CE"/>
    <w:rsid w:val="000B43E3"/>
    <w:rsid w:val="000B5296"/>
    <w:rsid w:val="000C4A66"/>
    <w:rsid w:val="000C4F1F"/>
    <w:rsid w:val="000C6C74"/>
    <w:rsid w:val="000D00CC"/>
    <w:rsid w:val="000D4E0F"/>
    <w:rsid w:val="000D51D8"/>
    <w:rsid w:val="000D7ABE"/>
    <w:rsid w:val="000E4E2F"/>
    <w:rsid w:val="000E62ED"/>
    <w:rsid w:val="000F5FC0"/>
    <w:rsid w:val="000F6D68"/>
    <w:rsid w:val="00100631"/>
    <w:rsid w:val="00101F50"/>
    <w:rsid w:val="001024A5"/>
    <w:rsid w:val="001045FD"/>
    <w:rsid w:val="00123E2D"/>
    <w:rsid w:val="00124526"/>
    <w:rsid w:val="0013087C"/>
    <w:rsid w:val="0013592A"/>
    <w:rsid w:val="001377FF"/>
    <w:rsid w:val="00140ED5"/>
    <w:rsid w:val="001428FD"/>
    <w:rsid w:val="00143190"/>
    <w:rsid w:val="0014404B"/>
    <w:rsid w:val="0014515F"/>
    <w:rsid w:val="001522C9"/>
    <w:rsid w:val="00164444"/>
    <w:rsid w:val="00164BB8"/>
    <w:rsid w:val="001672F3"/>
    <w:rsid w:val="0017084A"/>
    <w:rsid w:val="0017267E"/>
    <w:rsid w:val="00176730"/>
    <w:rsid w:val="001772D2"/>
    <w:rsid w:val="00177DD9"/>
    <w:rsid w:val="00180D03"/>
    <w:rsid w:val="00184A58"/>
    <w:rsid w:val="001865ED"/>
    <w:rsid w:val="00190C37"/>
    <w:rsid w:val="001942A8"/>
    <w:rsid w:val="00194B9A"/>
    <w:rsid w:val="00195EDC"/>
    <w:rsid w:val="001A22C0"/>
    <w:rsid w:val="001A34DF"/>
    <w:rsid w:val="001A3651"/>
    <w:rsid w:val="001A38DF"/>
    <w:rsid w:val="001A4650"/>
    <w:rsid w:val="001B0629"/>
    <w:rsid w:val="001B19E8"/>
    <w:rsid w:val="001B42DA"/>
    <w:rsid w:val="001B4DC8"/>
    <w:rsid w:val="001C154A"/>
    <w:rsid w:val="001C24AE"/>
    <w:rsid w:val="001D1FA9"/>
    <w:rsid w:val="001D2BEA"/>
    <w:rsid w:val="001D6B61"/>
    <w:rsid w:val="001D79B3"/>
    <w:rsid w:val="001D7F23"/>
    <w:rsid w:val="001E258F"/>
    <w:rsid w:val="001E2A52"/>
    <w:rsid w:val="001E3423"/>
    <w:rsid w:val="001E3733"/>
    <w:rsid w:val="001F3089"/>
    <w:rsid w:val="001F33C2"/>
    <w:rsid w:val="001F453B"/>
    <w:rsid w:val="00202B66"/>
    <w:rsid w:val="00216E4E"/>
    <w:rsid w:val="00223F76"/>
    <w:rsid w:val="002379A8"/>
    <w:rsid w:val="00245236"/>
    <w:rsid w:val="002477AA"/>
    <w:rsid w:val="00253E31"/>
    <w:rsid w:val="00257CCB"/>
    <w:rsid w:val="00260AB0"/>
    <w:rsid w:val="00262AFA"/>
    <w:rsid w:val="00263621"/>
    <w:rsid w:val="002675ED"/>
    <w:rsid w:val="00267979"/>
    <w:rsid w:val="00270DE8"/>
    <w:rsid w:val="002716F9"/>
    <w:rsid w:val="00272493"/>
    <w:rsid w:val="002726D4"/>
    <w:rsid w:val="002743BD"/>
    <w:rsid w:val="00274B03"/>
    <w:rsid w:val="00274DDE"/>
    <w:rsid w:val="002753CB"/>
    <w:rsid w:val="002759E2"/>
    <w:rsid w:val="00276B45"/>
    <w:rsid w:val="002808B0"/>
    <w:rsid w:val="00283F76"/>
    <w:rsid w:val="002847DD"/>
    <w:rsid w:val="00286427"/>
    <w:rsid w:val="00287EEC"/>
    <w:rsid w:val="0029155A"/>
    <w:rsid w:val="00291995"/>
    <w:rsid w:val="002920ED"/>
    <w:rsid w:val="00292872"/>
    <w:rsid w:val="00296618"/>
    <w:rsid w:val="002A48A0"/>
    <w:rsid w:val="002A5102"/>
    <w:rsid w:val="002B00FB"/>
    <w:rsid w:val="002B1F32"/>
    <w:rsid w:val="002B2FA7"/>
    <w:rsid w:val="002B379D"/>
    <w:rsid w:val="002C1A41"/>
    <w:rsid w:val="002C3249"/>
    <w:rsid w:val="002C32DE"/>
    <w:rsid w:val="002D2EC9"/>
    <w:rsid w:val="002D35CC"/>
    <w:rsid w:val="002E28E6"/>
    <w:rsid w:val="002E479A"/>
    <w:rsid w:val="002E56C5"/>
    <w:rsid w:val="002E7628"/>
    <w:rsid w:val="002F139B"/>
    <w:rsid w:val="002F2435"/>
    <w:rsid w:val="002F34FD"/>
    <w:rsid w:val="002F36F1"/>
    <w:rsid w:val="002F5C18"/>
    <w:rsid w:val="003004EA"/>
    <w:rsid w:val="00304474"/>
    <w:rsid w:val="00306323"/>
    <w:rsid w:val="00306E91"/>
    <w:rsid w:val="003071B2"/>
    <w:rsid w:val="003073D5"/>
    <w:rsid w:val="00312297"/>
    <w:rsid w:val="003124ED"/>
    <w:rsid w:val="00312EFB"/>
    <w:rsid w:val="00314027"/>
    <w:rsid w:val="00316E35"/>
    <w:rsid w:val="00324161"/>
    <w:rsid w:val="00331FA4"/>
    <w:rsid w:val="003325DF"/>
    <w:rsid w:val="00332975"/>
    <w:rsid w:val="00332C87"/>
    <w:rsid w:val="00332E3A"/>
    <w:rsid w:val="00332E4C"/>
    <w:rsid w:val="00334AC2"/>
    <w:rsid w:val="00336BBE"/>
    <w:rsid w:val="003378A4"/>
    <w:rsid w:val="00340195"/>
    <w:rsid w:val="00340D42"/>
    <w:rsid w:val="00344641"/>
    <w:rsid w:val="00346E88"/>
    <w:rsid w:val="00350A74"/>
    <w:rsid w:val="003528CA"/>
    <w:rsid w:val="003529D7"/>
    <w:rsid w:val="0035631F"/>
    <w:rsid w:val="0036680E"/>
    <w:rsid w:val="00380F76"/>
    <w:rsid w:val="0038367A"/>
    <w:rsid w:val="00386145"/>
    <w:rsid w:val="0039124E"/>
    <w:rsid w:val="00392678"/>
    <w:rsid w:val="0039460E"/>
    <w:rsid w:val="00394622"/>
    <w:rsid w:val="00396B1F"/>
    <w:rsid w:val="003A1BCE"/>
    <w:rsid w:val="003A2A04"/>
    <w:rsid w:val="003A4101"/>
    <w:rsid w:val="003A4556"/>
    <w:rsid w:val="003A6EE0"/>
    <w:rsid w:val="003A7AC3"/>
    <w:rsid w:val="003B2424"/>
    <w:rsid w:val="003B7047"/>
    <w:rsid w:val="003B777F"/>
    <w:rsid w:val="003C363B"/>
    <w:rsid w:val="003C6BA8"/>
    <w:rsid w:val="003C6D21"/>
    <w:rsid w:val="003D2F3A"/>
    <w:rsid w:val="003D3F68"/>
    <w:rsid w:val="003D5069"/>
    <w:rsid w:val="003D5EA9"/>
    <w:rsid w:val="003D7ABF"/>
    <w:rsid w:val="003E1A58"/>
    <w:rsid w:val="003E208D"/>
    <w:rsid w:val="003E4B1E"/>
    <w:rsid w:val="003E5266"/>
    <w:rsid w:val="003E7096"/>
    <w:rsid w:val="003F4A8F"/>
    <w:rsid w:val="004017FD"/>
    <w:rsid w:val="0041110D"/>
    <w:rsid w:val="0041299D"/>
    <w:rsid w:val="004143FE"/>
    <w:rsid w:val="00414B58"/>
    <w:rsid w:val="00416B96"/>
    <w:rsid w:val="004200F2"/>
    <w:rsid w:val="00420224"/>
    <w:rsid w:val="004203BC"/>
    <w:rsid w:val="00422DDF"/>
    <w:rsid w:val="00423865"/>
    <w:rsid w:val="0042515B"/>
    <w:rsid w:val="00437605"/>
    <w:rsid w:val="0045079B"/>
    <w:rsid w:val="00453CBA"/>
    <w:rsid w:val="00461A25"/>
    <w:rsid w:val="00464389"/>
    <w:rsid w:val="00466DA0"/>
    <w:rsid w:val="0046777F"/>
    <w:rsid w:val="00480FD0"/>
    <w:rsid w:val="00482ED4"/>
    <w:rsid w:val="00490402"/>
    <w:rsid w:val="004911AF"/>
    <w:rsid w:val="00496A9D"/>
    <w:rsid w:val="004A1C92"/>
    <w:rsid w:val="004B012B"/>
    <w:rsid w:val="004B020D"/>
    <w:rsid w:val="004B1560"/>
    <w:rsid w:val="004B2772"/>
    <w:rsid w:val="004B4FDB"/>
    <w:rsid w:val="004B68CF"/>
    <w:rsid w:val="004C2DC2"/>
    <w:rsid w:val="004C4B70"/>
    <w:rsid w:val="004C6BAB"/>
    <w:rsid w:val="004D25E3"/>
    <w:rsid w:val="004D58FB"/>
    <w:rsid w:val="004D7408"/>
    <w:rsid w:val="004E0374"/>
    <w:rsid w:val="004E039B"/>
    <w:rsid w:val="004E3EFB"/>
    <w:rsid w:val="004F1A52"/>
    <w:rsid w:val="004F3841"/>
    <w:rsid w:val="004F5B22"/>
    <w:rsid w:val="005028ED"/>
    <w:rsid w:val="00504E17"/>
    <w:rsid w:val="00512416"/>
    <w:rsid w:val="0051642D"/>
    <w:rsid w:val="005165C8"/>
    <w:rsid w:val="00521D59"/>
    <w:rsid w:val="005235A2"/>
    <w:rsid w:val="00526947"/>
    <w:rsid w:val="00527A99"/>
    <w:rsid w:val="00530ED5"/>
    <w:rsid w:val="0053125D"/>
    <w:rsid w:val="005344C8"/>
    <w:rsid w:val="00537959"/>
    <w:rsid w:val="005465CA"/>
    <w:rsid w:val="00553636"/>
    <w:rsid w:val="005543D2"/>
    <w:rsid w:val="00556635"/>
    <w:rsid w:val="005659D0"/>
    <w:rsid w:val="0057451D"/>
    <w:rsid w:val="00574793"/>
    <w:rsid w:val="005759F2"/>
    <w:rsid w:val="00576264"/>
    <w:rsid w:val="00577C55"/>
    <w:rsid w:val="00581F5A"/>
    <w:rsid w:val="00582101"/>
    <w:rsid w:val="00584B43"/>
    <w:rsid w:val="00590BAC"/>
    <w:rsid w:val="00596ADA"/>
    <w:rsid w:val="005A16A0"/>
    <w:rsid w:val="005A34E2"/>
    <w:rsid w:val="005A64A3"/>
    <w:rsid w:val="005A75F4"/>
    <w:rsid w:val="005B193E"/>
    <w:rsid w:val="005B1D27"/>
    <w:rsid w:val="005B4DE4"/>
    <w:rsid w:val="005B639C"/>
    <w:rsid w:val="005C2C93"/>
    <w:rsid w:val="005C3A11"/>
    <w:rsid w:val="005D1077"/>
    <w:rsid w:val="005D159D"/>
    <w:rsid w:val="005D209B"/>
    <w:rsid w:val="005D6BFE"/>
    <w:rsid w:val="005E3AA5"/>
    <w:rsid w:val="005F1273"/>
    <w:rsid w:val="005F1930"/>
    <w:rsid w:val="005F1CF4"/>
    <w:rsid w:val="005F28DC"/>
    <w:rsid w:val="005F2BF5"/>
    <w:rsid w:val="005F39FB"/>
    <w:rsid w:val="006007A8"/>
    <w:rsid w:val="0060240F"/>
    <w:rsid w:val="006107F0"/>
    <w:rsid w:val="00612FAE"/>
    <w:rsid w:val="0061441C"/>
    <w:rsid w:val="006233B0"/>
    <w:rsid w:val="0063507B"/>
    <w:rsid w:val="00636BDB"/>
    <w:rsid w:val="00641B6B"/>
    <w:rsid w:val="006473DD"/>
    <w:rsid w:val="006500DE"/>
    <w:rsid w:val="00650C0D"/>
    <w:rsid w:val="0065211F"/>
    <w:rsid w:val="00662C46"/>
    <w:rsid w:val="00663AE5"/>
    <w:rsid w:val="006641CF"/>
    <w:rsid w:val="0066581A"/>
    <w:rsid w:val="006663EC"/>
    <w:rsid w:val="00671019"/>
    <w:rsid w:val="0067220F"/>
    <w:rsid w:val="0067231D"/>
    <w:rsid w:val="00675641"/>
    <w:rsid w:val="00676680"/>
    <w:rsid w:val="00685663"/>
    <w:rsid w:val="0069011F"/>
    <w:rsid w:val="00692914"/>
    <w:rsid w:val="00695B3C"/>
    <w:rsid w:val="00696976"/>
    <w:rsid w:val="006A1B56"/>
    <w:rsid w:val="006A5C0B"/>
    <w:rsid w:val="006B35C4"/>
    <w:rsid w:val="006B439C"/>
    <w:rsid w:val="006B5AD9"/>
    <w:rsid w:val="006C5458"/>
    <w:rsid w:val="006C5836"/>
    <w:rsid w:val="006C5CDD"/>
    <w:rsid w:val="006D0151"/>
    <w:rsid w:val="006D0743"/>
    <w:rsid w:val="006D2E82"/>
    <w:rsid w:val="006D3787"/>
    <w:rsid w:val="006D68EB"/>
    <w:rsid w:val="006D79EC"/>
    <w:rsid w:val="006E0A9F"/>
    <w:rsid w:val="006E0D65"/>
    <w:rsid w:val="006E7D66"/>
    <w:rsid w:val="006F0ADB"/>
    <w:rsid w:val="006F344F"/>
    <w:rsid w:val="006F3878"/>
    <w:rsid w:val="006F54E7"/>
    <w:rsid w:val="006F7C1B"/>
    <w:rsid w:val="00701E94"/>
    <w:rsid w:val="00703ADD"/>
    <w:rsid w:val="00703B3C"/>
    <w:rsid w:val="00710011"/>
    <w:rsid w:val="007126D6"/>
    <w:rsid w:val="00720FC8"/>
    <w:rsid w:val="00721051"/>
    <w:rsid w:val="0072225F"/>
    <w:rsid w:val="007263A9"/>
    <w:rsid w:val="00727DE9"/>
    <w:rsid w:val="00727F38"/>
    <w:rsid w:val="007355E7"/>
    <w:rsid w:val="00735A36"/>
    <w:rsid w:val="00736AF6"/>
    <w:rsid w:val="007375E2"/>
    <w:rsid w:val="00737FA5"/>
    <w:rsid w:val="0074009B"/>
    <w:rsid w:val="00740DE6"/>
    <w:rsid w:val="00744D14"/>
    <w:rsid w:val="00754335"/>
    <w:rsid w:val="007557CA"/>
    <w:rsid w:val="0075600C"/>
    <w:rsid w:val="00756232"/>
    <w:rsid w:val="0076129C"/>
    <w:rsid w:val="00771722"/>
    <w:rsid w:val="0077358B"/>
    <w:rsid w:val="00773C8A"/>
    <w:rsid w:val="007752F9"/>
    <w:rsid w:val="00777A4F"/>
    <w:rsid w:val="00781FCD"/>
    <w:rsid w:val="00783446"/>
    <w:rsid w:val="0078582F"/>
    <w:rsid w:val="00787EA1"/>
    <w:rsid w:val="00793126"/>
    <w:rsid w:val="007A174E"/>
    <w:rsid w:val="007A387F"/>
    <w:rsid w:val="007A56FE"/>
    <w:rsid w:val="007B1D47"/>
    <w:rsid w:val="007B2E82"/>
    <w:rsid w:val="007B494B"/>
    <w:rsid w:val="007B5537"/>
    <w:rsid w:val="007B56E2"/>
    <w:rsid w:val="007C658E"/>
    <w:rsid w:val="007D2AAA"/>
    <w:rsid w:val="007E00A4"/>
    <w:rsid w:val="007E07ED"/>
    <w:rsid w:val="007F5AE3"/>
    <w:rsid w:val="007F6FA1"/>
    <w:rsid w:val="00800753"/>
    <w:rsid w:val="0080364C"/>
    <w:rsid w:val="00805785"/>
    <w:rsid w:val="00822653"/>
    <w:rsid w:val="00822D0E"/>
    <w:rsid w:val="00823AEB"/>
    <w:rsid w:val="00831365"/>
    <w:rsid w:val="0083155B"/>
    <w:rsid w:val="00837F23"/>
    <w:rsid w:val="00841E05"/>
    <w:rsid w:val="00844750"/>
    <w:rsid w:val="00850176"/>
    <w:rsid w:val="00850718"/>
    <w:rsid w:val="0085078B"/>
    <w:rsid w:val="00851320"/>
    <w:rsid w:val="0086043B"/>
    <w:rsid w:val="008661D7"/>
    <w:rsid w:val="0086651C"/>
    <w:rsid w:val="00866713"/>
    <w:rsid w:val="008767DC"/>
    <w:rsid w:val="008807FA"/>
    <w:rsid w:val="00883231"/>
    <w:rsid w:val="00885F05"/>
    <w:rsid w:val="008913C6"/>
    <w:rsid w:val="00891B22"/>
    <w:rsid w:val="00892CAB"/>
    <w:rsid w:val="00894ADE"/>
    <w:rsid w:val="0089519F"/>
    <w:rsid w:val="008952D8"/>
    <w:rsid w:val="00896B58"/>
    <w:rsid w:val="008A2C40"/>
    <w:rsid w:val="008B30CF"/>
    <w:rsid w:val="008B3A13"/>
    <w:rsid w:val="008C073C"/>
    <w:rsid w:val="008C0976"/>
    <w:rsid w:val="008C7B20"/>
    <w:rsid w:val="008D0604"/>
    <w:rsid w:val="008D3863"/>
    <w:rsid w:val="008D4A7A"/>
    <w:rsid w:val="008D72E2"/>
    <w:rsid w:val="008F0752"/>
    <w:rsid w:val="00907591"/>
    <w:rsid w:val="00910285"/>
    <w:rsid w:val="00914A51"/>
    <w:rsid w:val="009220DF"/>
    <w:rsid w:val="00922372"/>
    <w:rsid w:val="009234E4"/>
    <w:rsid w:val="00923A53"/>
    <w:rsid w:val="00924D43"/>
    <w:rsid w:val="009251E3"/>
    <w:rsid w:val="00925560"/>
    <w:rsid w:val="00932E7D"/>
    <w:rsid w:val="00940587"/>
    <w:rsid w:val="009409F2"/>
    <w:rsid w:val="009414F6"/>
    <w:rsid w:val="009429BB"/>
    <w:rsid w:val="00942B9B"/>
    <w:rsid w:val="00945520"/>
    <w:rsid w:val="00950476"/>
    <w:rsid w:val="00953EA1"/>
    <w:rsid w:val="00954CF3"/>
    <w:rsid w:val="00955AAE"/>
    <w:rsid w:val="00957696"/>
    <w:rsid w:val="00960180"/>
    <w:rsid w:val="00960C3F"/>
    <w:rsid w:val="00965B17"/>
    <w:rsid w:val="009713C2"/>
    <w:rsid w:val="0097440C"/>
    <w:rsid w:val="009866A9"/>
    <w:rsid w:val="00987F27"/>
    <w:rsid w:val="00990FDD"/>
    <w:rsid w:val="009954CE"/>
    <w:rsid w:val="00996086"/>
    <w:rsid w:val="00997F9E"/>
    <w:rsid w:val="009A056F"/>
    <w:rsid w:val="009A1248"/>
    <w:rsid w:val="009A29A4"/>
    <w:rsid w:val="009A4431"/>
    <w:rsid w:val="009A5BA3"/>
    <w:rsid w:val="009B3B9A"/>
    <w:rsid w:val="009B3E19"/>
    <w:rsid w:val="009B5966"/>
    <w:rsid w:val="009C0FB6"/>
    <w:rsid w:val="009C15EB"/>
    <w:rsid w:val="009C2924"/>
    <w:rsid w:val="009C3ECC"/>
    <w:rsid w:val="009C40AA"/>
    <w:rsid w:val="009C5A3D"/>
    <w:rsid w:val="009E545E"/>
    <w:rsid w:val="009F0D1E"/>
    <w:rsid w:val="009F14CE"/>
    <w:rsid w:val="009F3F49"/>
    <w:rsid w:val="009F5274"/>
    <w:rsid w:val="009F5451"/>
    <w:rsid w:val="009F5BE6"/>
    <w:rsid w:val="009F751E"/>
    <w:rsid w:val="00A0307C"/>
    <w:rsid w:val="00A06C76"/>
    <w:rsid w:val="00A12CFE"/>
    <w:rsid w:val="00A1371B"/>
    <w:rsid w:val="00A145F3"/>
    <w:rsid w:val="00A146CB"/>
    <w:rsid w:val="00A20EEA"/>
    <w:rsid w:val="00A21D59"/>
    <w:rsid w:val="00A23AD3"/>
    <w:rsid w:val="00A308A0"/>
    <w:rsid w:val="00A31308"/>
    <w:rsid w:val="00A325A7"/>
    <w:rsid w:val="00A3604A"/>
    <w:rsid w:val="00A374C6"/>
    <w:rsid w:val="00A40E40"/>
    <w:rsid w:val="00A42A63"/>
    <w:rsid w:val="00A43A00"/>
    <w:rsid w:val="00A44AC5"/>
    <w:rsid w:val="00A45A1F"/>
    <w:rsid w:val="00A45D97"/>
    <w:rsid w:val="00A5355A"/>
    <w:rsid w:val="00A56F04"/>
    <w:rsid w:val="00A56F76"/>
    <w:rsid w:val="00A575A9"/>
    <w:rsid w:val="00A57D4D"/>
    <w:rsid w:val="00A611A2"/>
    <w:rsid w:val="00A6288C"/>
    <w:rsid w:val="00A628D2"/>
    <w:rsid w:val="00A63285"/>
    <w:rsid w:val="00A662A2"/>
    <w:rsid w:val="00A71A2D"/>
    <w:rsid w:val="00A71BA1"/>
    <w:rsid w:val="00A721D4"/>
    <w:rsid w:val="00A73625"/>
    <w:rsid w:val="00A7406E"/>
    <w:rsid w:val="00A77EC7"/>
    <w:rsid w:val="00A82CCD"/>
    <w:rsid w:val="00A853B2"/>
    <w:rsid w:val="00AA372A"/>
    <w:rsid w:val="00AA537B"/>
    <w:rsid w:val="00AB22B3"/>
    <w:rsid w:val="00AB24DA"/>
    <w:rsid w:val="00AB380C"/>
    <w:rsid w:val="00AB3EE0"/>
    <w:rsid w:val="00AC192B"/>
    <w:rsid w:val="00AC295E"/>
    <w:rsid w:val="00AC4E29"/>
    <w:rsid w:val="00AD0F22"/>
    <w:rsid w:val="00AD142A"/>
    <w:rsid w:val="00AD5841"/>
    <w:rsid w:val="00AD685C"/>
    <w:rsid w:val="00AD6B7E"/>
    <w:rsid w:val="00AE0412"/>
    <w:rsid w:val="00AE08BF"/>
    <w:rsid w:val="00AE314A"/>
    <w:rsid w:val="00AE4FCA"/>
    <w:rsid w:val="00AE54C2"/>
    <w:rsid w:val="00AF0515"/>
    <w:rsid w:val="00AF2509"/>
    <w:rsid w:val="00AF3649"/>
    <w:rsid w:val="00B026DB"/>
    <w:rsid w:val="00B03620"/>
    <w:rsid w:val="00B04495"/>
    <w:rsid w:val="00B05B26"/>
    <w:rsid w:val="00B10B51"/>
    <w:rsid w:val="00B114F7"/>
    <w:rsid w:val="00B11E81"/>
    <w:rsid w:val="00B13A7F"/>
    <w:rsid w:val="00B16265"/>
    <w:rsid w:val="00B23559"/>
    <w:rsid w:val="00B244C0"/>
    <w:rsid w:val="00B363EC"/>
    <w:rsid w:val="00B36F44"/>
    <w:rsid w:val="00B45C5F"/>
    <w:rsid w:val="00B50256"/>
    <w:rsid w:val="00B50C65"/>
    <w:rsid w:val="00B51A9B"/>
    <w:rsid w:val="00B54FCF"/>
    <w:rsid w:val="00B60673"/>
    <w:rsid w:val="00B63BBC"/>
    <w:rsid w:val="00B6629B"/>
    <w:rsid w:val="00B72867"/>
    <w:rsid w:val="00B76845"/>
    <w:rsid w:val="00B805BB"/>
    <w:rsid w:val="00B82B83"/>
    <w:rsid w:val="00B84066"/>
    <w:rsid w:val="00B841D0"/>
    <w:rsid w:val="00B84917"/>
    <w:rsid w:val="00B85DE7"/>
    <w:rsid w:val="00B874D7"/>
    <w:rsid w:val="00B93A7D"/>
    <w:rsid w:val="00B94055"/>
    <w:rsid w:val="00B975FA"/>
    <w:rsid w:val="00BA1FEB"/>
    <w:rsid w:val="00BA21C0"/>
    <w:rsid w:val="00BA27D1"/>
    <w:rsid w:val="00BA28AC"/>
    <w:rsid w:val="00BA48C5"/>
    <w:rsid w:val="00BB25F8"/>
    <w:rsid w:val="00BB3781"/>
    <w:rsid w:val="00BB3A2D"/>
    <w:rsid w:val="00BB794B"/>
    <w:rsid w:val="00BC06A7"/>
    <w:rsid w:val="00BC24D7"/>
    <w:rsid w:val="00BC489A"/>
    <w:rsid w:val="00BC4ABD"/>
    <w:rsid w:val="00BC6169"/>
    <w:rsid w:val="00BD17AE"/>
    <w:rsid w:val="00BD3C66"/>
    <w:rsid w:val="00BD62C1"/>
    <w:rsid w:val="00BE3077"/>
    <w:rsid w:val="00BE6E68"/>
    <w:rsid w:val="00BF090E"/>
    <w:rsid w:val="00BF1F33"/>
    <w:rsid w:val="00BF2CDA"/>
    <w:rsid w:val="00BF44EB"/>
    <w:rsid w:val="00BF67A0"/>
    <w:rsid w:val="00BF7D11"/>
    <w:rsid w:val="00C00929"/>
    <w:rsid w:val="00C00D47"/>
    <w:rsid w:val="00C06973"/>
    <w:rsid w:val="00C11D0C"/>
    <w:rsid w:val="00C122AD"/>
    <w:rsid w:val="00C128C9"/>
    <w:rsid w:val="00C12D2D"/>
    <w:rsid w:val="00C16C91"/>
    <w:rsid w:val="00C219C1"/>
    <w:rsid w:val="00C22246"/>
    <w:rsid w:val="00C22DFA"/>
    <w:rsid w:val="00C23487"/>
    <w:rsid w:val="00C26FD0"/>
    <w:rsid w:val="00C27223"/>
    <w:rsid w:val="00C305A8"/>
    <w:rsid w:val="00C31207"/>
    <w:rsid w:val="00C44844"/>
    <w:rsid w:val="00C461DA"/>
    <w:rsid w:val="00C500D7"/>
    <w:rsid w:val="00C513E6"/>
    <w:rsid w:val="00C519A5"/>
    <w:rsid w:val="00C556D5"/>
    <w:rsid w:val="00C560F3"/>
    <w:rsid w:val="00C56CED"/>
    <w:rsid w:val="00C60932"/>
    <w:rsid w:val="00C612CD"/>
    <w:rsid w:val="00C61384"/>
    <w:rsid w:val="00C65103"/>
    <w:rsid w:val="00C70A0C"/>
    <w:rsid w:val="00C70D24"/>
    <w:rsid w:val="00C7783B"/>
    <w:rsid w:val="00C801CC"/>
    <w:rsid w:val="00C8470F"/>
    <w:rsid w:val="00C8549E"/>
    <w:rsid w:val="00C87D93"/>
    <w:rsid w:val="00C913A3"/>
    <w:rsid w:val="00C9590F"/>
    <w:rsid w:val="00CA1AF0"/>
    <w:rsid w:val="00CA1B5C"/>
    <w:rsid w:val="00CA3BED"/>
    <w:rsid w:val="00CA5510"/>
    <w:rsid w:val="00CA7A98"/>
    <w:rsid w:val="00CA7AF9"/>
    <w:rsid w:val="00CB3478"/>
    <w:rsid w:val="00CB46F1"/>
    <w:rsid w:val="00CB7714"/>
    <w:rsid w:val="00CB778A"/>
    <w:rsid w:val="00CC0420"/>
    <w:rsid w:val="00CE0E7F"/>
    <w:rsid w:val="00CE4E28"/>
    <w:rsid w:val="00CE5CAB"/>
    <w:rsid w:val="00CF274E"/>
    <w:rsid w:val="00CF317B"/>
    <w:rsid w:val="00D0027F"/>
    <w:rsid w:val="00D01A1A"/>
    <w:rsid w:val="00D04708"/>
    <w:rsid w:val="00D17F1A"/>
    <w:rsid w:val="00D17F54"/>
    <w:rsid w:val="00D2069B"/>
    <w:rsid w:val="00D234A8"/>
    <w:rsid w:val="00D318D5"/>
    <w:rsid w:val="00D34C78"/>
    <w:rsid w:val="00D34F8D"/>
    <w:rsid w:val="00D41A59"/>
    <w:rsid w:val="00D42071"/>
    <w:rsid w:val="00D44D21"/>
    <w:rsid w:val="00D45D0C"/>
    <w:rsid w:val="00D47A7D"/>
    <w:rsid w:val="00D531EC"/>
    <w:rsid w:val="00D532D2"/>
    <w:rsid w:val="00D532DC"/>
    <w:rsid w:val="00D54373"/>
    <w:rsid w:val="00D54F10"/>
    <w:rsid w:val="00D568EA"/>
    <w:rsid w:val="00D61AFB"/>
    <w:rsid w:val="00D65E7B"/>
    <w:rsid w:val="00D70F5A"/>
    <w:rsid w:val="00D7221A"/>
    <w:rsid w:val="00D7335B"/>
    <w:rsid w:val="00D756B5"/>
    <w:rsid w:val="00D75B72"/>
    <w:rsid w:val="00D81A80"/>
    <w:rsid w:val="00D84DBB"/>
    <w:rsid w:val="00D8705D"/>
    <w:rsid w:val="00D91177"/>
    <w:rsid w:val="00D91AA3"/>
    <w:rsid w:val="00D94D5B"/>
    <w:rsid w:val="00D97441"/>
    <w:rsid w:val="00DA1C42"/>
    <w:rsid w:val="00DA1CFB"/>
    <w:rsid w:val="00DA39D3"/>
    <w:rsid w:val="00DA3A89"/>
    <w:rsid w:val="00DA5374"/>
    <w:rsid w:val="00DA5E29"/>
    <w:rsid w:val="00DA6430"/>
    <w:rsid w:val="00DB0D6F"/>
    <w:rsid w:val="00DB1282"/>
    <w:rsid w:val="00DB312E"/>
    <w:rsid w:val="00DB6744"/>
    <w:rsid w:val="00DB6F62"/>
    <w:rsid w:val="00DC029D"/>
    <w:rsid w:val="00DC1AB4"/>
    <w:rsid w:val="00DC24E5"/>
    <w:rsid w:val="00DC32F8"/>
    <w:rsid w:val="00DC3D0F"/>
    <w:rsid w:val="00DC3F3B"/>
    <w:rsid w:val="00DC525E"/>
    <w:rsid w:val="00DC7543"/>
    <w:rsid w:val="00DD3845"/>
    <w:rsid w:val="00DD3BAE"/>
    <w:rsid w:val="00DE58E2"/>
    <w:rsid w:val="00DF0BFD"/>
    <w:rsid w:val="00DF1A11"/>
    <w:rsid w:val="00DF33BE"/>
    <w:rsid w:val="00E12175"/>
    <w:rsid w:val="00E15F51"/>
    <w:rsid w:val="00E16A78"/>
    <w:rsid w:val="00E22D93"/>
    <w:rsid w:val="00E2565B"/>
    <w:rsid w:val="00E304ED"/>
    <w:rsid w:val="00E32E67"/>
    <w:rsid w:val="00E35C17"/>
    <w:rsid w:val="00E35CDE"/>
    <w:rsid w:val="00E35F87"/>
    <w:rsid w:val="00E373EE"/>
    <w:rsid w:val="00E442AB"/>
    <w:rsid w:val="00E44AAA"/>
    <w:rsid w:val="00E44C03"/>
    <w:rsid w:val="00E4514E"/>
    <w:rsid w:val="00E508F5"/>
    <w:rsid w:val="00E525AD"/>
    <w:rsid w:val="00E557D6"/>
    <w:rsid w:val="00E65596"/>
    <w:rsid w:val="00E678B1"/>
    <w:rsid w:val="00E70AE5"/>
    <w:rsid w:val="00E71030"/>
    <w:rsid w:val="00E715E0"/>
    <w:rsid w:val="00E81073"/>
    <w:rsid w:val="00E81B4E"/>
    <w:rsid w:val="00E83640"/>
    <w:rsid w:val="00E85236"/>
    <w:rsid w:val="00E87B26"/>
    <w:rsid w:val="00E94A3A"/>
    <w:rsid w:val="00EA13F0"/>
    <w:rsid w:val="00EA2F31"/>
    <w:rsid w:val="00EA329E"/>
    <w:rsid w:val="00EA3D8B"/>
    <w:rsid w:val="00EB51A4"/>
    <w:rsid w:val="00EB6411"/>
    <w:rsid w:val="00EB703A"/>
    <w:rsid w:val="00EB78DE"/>
    <w:rsid w:val="00EC4515"/>
    <w:rsid w:val="00EC6095"/>
    <w:rsid w:val="00EC7F5C"/>
    <w:rsid w:val="00ED3142"/>
    <w:rsid w:val="00ED5111"/>
    <w:rsid w:val="00ED6FB6"/>
    <w:rsid w:val="00ED702E"/>
    <w:rsid w:val="00EE40EE"/>
    <w:rsid w:val="00EE699B"/>
    <w:rsid w:val="00F00AF0"/>
    <w:rsid w:val="00F0157C"/>
    <w:rsid w:val="00F0353C"/>
    <w:rsid w:val="00F04761"/>
    <w:rsid w:val="00F050F0"/>
    <w:rsid w:val="00F06A4D"/>
    <w:rsid w:val="00F104C4"/>
    <w:rsid w:val="00F128CE"/>
    <w:rsid w:val="00F22435"/>
    <w:rsid w:val="00F2355C"/>
    <w:rsid w:val="00F24FEE"/>
    <w:rsid w:val="00F25766"/>
    <w:rsid w:val="00F25EB1"/>
    <w:rsid w:val="00F30D32"/>
    <w:rsid w:val="00F31123"/>
    <w:rsid w:val="00F326F1"/>
    <w:rsid w:val="00F35C85"/>
    <w:rsid w:val="00F37449"/>
    <w:rsid w:val="00F37BC5"/>
    <w:rsid w:val="00F42A18"/>
    <w:rsid w:val="00F43F71"/>
    <w:rsid w:val="00F46792"/>
    <w:rsid w:val="00F57D63"/>
    <w:rsid w:val="00F630E8"/>
    <w:rsid w:val="00F64A0D"/>
    <w:rsid w:val="00F676BA"/>
    <w:rsid w:val="00F71056"/>
    <w:rsid w:val="00F7145D"/>
    <w:rsid w:val="00F745B5"/>
    <w:rsid w:val="00F80DB2"/>
    <w:rsid w:val="00F90F26"/>
    <w:rsid w:val="00F9436A"/>
    <w:rsid w:val="00FA2A5C"/>
    <w:rsid w:val="00FA3042"/>
    <w:rsid w:val="00FA6E36"/>
    <w:rsid w:val="00FB5BAA"/>
    <w:rsid w:val="00FB60F8"/>
    <w:rsid w:val="00FB6D69"/>
    <w:rsid w:val="00FB7A15"/>
    <w:rsid w:val="00FC021C"/>
    <w:rsid w:val="00FC30F5"/>
    <w:rsid w:val="00FC4D3B"/>
    <w:rsid w:val="00FC53A8"/>
    <w:rsid w:val="00FD3AF4"/>
    <w:rsid w:val="00FD4E1A"/>
    <w:rsid w:val="00FD6547"/>
    <w:rsid w:val="00FE2F0A"/>
    <w:rsid w:val="00FE3348"/>
    <w:rsid w:val="00FE3F5D"/>
    <w:rsid w:val="00FF03C3"/>
    <w:rsid w:val="00FF166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uiPriority="35" w:qFormat="1"/>
    <w:lsdException w:name="table of figures" w:uiPriority="99"/>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142"/>
    <w:pPr>
      <w:spacing w:before="240" w:after="240" w:line="360" w:lineRule="auto"/>
      <w:jc w:val="both"/>
    </w:pPr>
    <w:rPr>
      <w:rFonts w:ascii="Arial" w:hAnsi="Arial"/>
      <w:sz w:val="24"/>
      <w:szCs w:val="24"/>
      <w:lang w:val="en-GB" w:eastAsia="en-US"/>
    </w:rPr>
  </w:style>
  <w:style w:type="paragraph" w:styleId="Heading1">
    <w:name w:val="heading 1"/>
    <w:basedOn w:val="Normal"/>
    <w:next w:val="Normal"/>
    <w:qFormat/>
    <w:rsid w:val="00ED3142"/>
    <w:pPr>
      <w:keepNext/>
      <w:numPr>
        <w:numId w:val="41"/>
      </w:numPr>
      <w:spacing w:before="480"/>
      <w:outlineLvl w:val="0"/>
    </w:pPr>
    <w:rPr>
      <w:rFonts w:cs="Arial"/>
      <w:b/>
      <w:bCs/>
      <w:caps/>
      <w:kern w:val="32"/>
      <w:sz w:val="32"/>
      <w:szCs w:val="32"/>
    </w:rPr>
  </w:style>
  <w:style w:type="paragraph" w:styleId="Heading2">
    <w:name w:val="heading 2"/>
    <w:basedOn w:val="Normal"/>
    <w:next w:val="Normal"/>
    <w:qFormat/>
    <w:rsid w:val="00ED3142"/>
    <w:pPr>
      <w:keepNext/>
      <w:numPr>
        <w:ilvl w:val="1"/>
        <w:numId w:val="41"/>
      </w:numPr>
      <w:spacing w:before="480"/>
      <w:jc w:val="left"/>
      <w:outlineLvl w:val="1"/>
    </w:pPr>
    <w:rPr>
      <w:rFonts w:ascii="Arial (W1)" w:hAnsi="Arial (W1)"/>
      <w:b/>
      <w:bCs/>
      <w:sz w:val="28"/>
      <w:szCs w:val="28"/>
    </w:rPr>
  </w:style>
  <w:style w:type="paragraph" w:styleId="Heading3">
    <w:name w:val="heading 3"/>
    <w:basedOn w:val="Normal"/>
    <w:next w:val="Normal"/>
    <w:link w:val="Heading3Char"/>
    <w:qFormat/>
    <w:rsid w:val="00ED3142"/>
    <w:pPr>
      <w:keepNext/>
      <w:numPr>
        <w:ilvl w:val="2"/>
        <w:numId w:val="41"/>
      </w:numPr>
      <w:spacing w:before="480"/>
      <w:outlineLvl w:val="2"/>
    </w:pPr>
    <w:rPr>
      <w:rFonts w:ascii="Arial (W1)" w:hAnsi="Arial (W1)" w:cs="Arial"/>
      <w:b/>
      <w:bCs/>
      <w:i/>
      <w:iCs/>
    </w:rPr>
  </w:style>
  <w:style w:type="paragraph" w:styleId="Heading4">
    <w:name w:val="heading 4"/>
    <w:basedOn w:val="Normal"/>
    <w:next w:val="Normal"/>
    <w:qFormat/>
    <w:rsid w:val="00ED3142"/>
    <w:pPr>
      <w:keepNext/>
      <w:numPr>
        <w:ilvl w:val="3"/>
        <w:numId w:val="41"/>
      </w:numPr>
      <w:tabs>
        <w:tab w:val="left" w:pos="900"/>
      </w:tabs>
      <w:outlineLvl w:val="3"/>
    </w:pPr>
    <w:rPr>
      <w:rFonts w:cs="Arial"/>
      <w:b/>
      <w:bCs/>
      <w:i/>
      <w:iCs/>
    </w:rPr>
  </w:style>
  <w:style w:type="paragraph" w:styleId="Heading5">
    <w:name w:val="heading 5"/>
    <w:basedOn w:val="Normal"/>
    <w:next w:val="Normal"/>
    <w:qFormat/>
    <w:rsid w:val="00ED3142"/>
    <w:pPr>
      <w:keepNext/>
      <w:numPr>
        <w:ilvl w:val="4"/>
        <w:numId w:val="41"/>
      </w:numPr>
      <w:tabs>
        <w:tab w:val="left" w:pos="2340"/>
      </w:tabs>
      <w:jc w:val="left"/>
      <w:outlineLvl w:val="4"/>
    </w:pPr>
    <w:rPr>
      <w:b/>
      <w:bCs/>
    </w:rPr>
  </w:style>
  <w:style w:type="paragraph" w:styleId="Heading6">
    <w:name w:val="heading 6"/>
    <w:basedOn w:val="Normal"/>
    <w:next w:val="Normal"/>
    <w:qFormat/>
    <w:rsid w:val="00ED3142"/>
    <w:pPr>
      <w:keepNext/>
      <w:numPr>
        <w:ilvl w:val="5"/>
        <w:numId w:val="41"/>
      </w:numPr>
      <w:outlineLvl w:val="5"/>
    </w:pPr>
  </w:style>
  <w:style w:type="paragraph" w:styleId="Heading7">
    <w:name w:val="heading 7"/>
    <w:basedOn w:val="Normal"/>
    <w:next w:val="Normal"/>
    <w:qFormat/>
    <w:rsid w:val="00ED3142"/>
    <w:pPr>
      <w:numPr>
        <w:ilvl w:val="6"/>
        <w:numId w:val="41"/>
      </w:numPr>
      <w:outlineLvl w:val="6"/>
    </w:pPr>
    <w:rPr>
      <w:rFonts w:ascii="Times New Roman" w:hAnsi="Times New Roman"/>
    </w:rPr>
  </w:style>
  <w:style w:type="paragraph" w:styleId="Heading8">
    <w:name w:val="heading 8"/>
    <w:basedOn w:val="Normal"/>
    <w:next w:val="Normal"/>
    <w:qFormat/>
    <w:rsid w:val="00ED3142"/>
    <w:pPr>
      <w:numPr>
        <w:ilvl w:val="7"/>
        <w:numId w:val="41"/>
      </w:numPr>
      <w:outlineLvl w:val="7"/>
    </w:pPr>
    <w:rPr>
      <w:rFonts w:ascii="Times New Roman" w:hAnsi="Times New Roman"/>
      <w:i/>
      <w:iCs/>
    </w:rPr>
  </w:style>
  <w:style w:type="paragraph" w:styleId="Heading9">
    <w:name w:val="heading 9"/>
    <w:basedOn w:val="Normal"/>
    <w:next w:val="Normal"/>
    <w:qFormat/>
    <w:rsid w:val="00ED3142"/>
    <w:pPr>
      <w:numPr>
        <w:ilvl w:val="8"/>
        <w:numId w:val="41"/>
      </w:numPr>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left"/>
    </w:pPr>
  </w:style>
  <w:style w:type="paragraph" w:styleId="Header">
    <w:name w:val="header"/>
    <w:basedOn w:val="Normal"/>
    <w:pPr>
      <w:tabs>
        <w:tab w:val="center" w:pos="4320"/>
        <w:tab w:val="right" w:pos="8640"/>
      </w:tabs>
      <w:jc w:val="center"/>
    </w:pPr>
    <w:rPr>
      <w:rFonts w:cs="Arial"/>
      <w:b/>
      <w:bCs/>
      <w:sz w:val="4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before="60" w:after="60" w:line="264" w:lineRule="auto"/>
    </w:pPr>
  </w:style>
  <w:style w:type="paragraph" w:styleId="Title">
    <w:name w:val="Title"/>
    <w:basedOn w:val="Normal"/>
    <w:qFormat/>
    <w:pPr>
      <w:spacing w:before="0" w:after="0" w:line="240" w:lineRule="auto"/>
      <w:jc w:val="center"/>
    </w:pPr>
    <w:rPr>
      <w:rFonts w:ascii="Times New Roman" w:hAnsi="Times New Roman"/>
      <w:b/>
      <w:szCs w:val="20"/>
    </w:rPr>
  </w:style>
  <w:style w:type="paragraph" w:styleId="BodyText3">
    <w:name w:val="Body Text 3"/>
    <w:basedOn w:val="Normal"/>
    <w:rPr>
      <w:color w:val="FF0000"/>
    </w:rPr>
  </w:style>
  <w:style w:type="paragraph" w:styleId="TOC1">
    <w:name w:val="toc 1"/>
    <w:basedOn w:val="Normal"/>
    <w:next w:val="Normal"/>
    <w:autoRedefine/>
    <w:uiPriority w:val="39"/>
    <w:rsid w:val="00CB46F1"/>
    <w:pPr>
      <w:keepNext/>
      <w:tabs>
        <w:tab w:val="right" w:leader="dot" w:pos="8729"/>
      </w:tabs>
      <w:spacing w:before="360" w:line="240" w:lineRule="auto"/>
    </w:pPr>
    <w:rPr>
      <w:b/>
      <w:caps/>
      <w:sz w:val="28"/>
    </w:rPr>
  </w:style>
  <w:style w:type="paragraph" w:styleId="TOC2">
    <w:name w:val="toc 2"/>
    <w:basedOn w:val="Normal"/>
    <w:next w:val="Normal"/>
    <w:autoRedefine/>
    <w:uiPriority w:val="39"/>
    <w:pPr>
      <w:spacing w:before="80" w:after="0" w:line="240" w:lineRule="auto"/>
      <w:ind w:left="720" w:hanging="720"/>
    </w:pPr>
    <w:rPr>
      <w:smallCaps/>
    </w:rPr>
  </w:style>
  <w:style w:type="paragraph" w:styleId="TOC3">
    <w:name w:val="toc 3"/>
    <w:basedOn w:val="Normal"/>
    <w:next w:val="Normal"/>
    <w:autoRedefine/>
    <w:uiPriority w:val="39"/>
    <w:pPr>
      <w:spacing w:before="0" w:after="0" w:line="240" w:lineRule="auto"/>
      <w:ind w:firstLine="720"/>
      <w:jc w:val="left"/>
    </w:pPr>
    <w:rPr>
      <w:rFonts w:cs="Arial"/>
      <w:smallCaps/>
      <w:noProof/>
      <w:sz w:val="20"/>
    </w:r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bullet0">
    <w:name w:val="bullet"/>
    <w:basedOn w:val="Normal"/>
    <w:pPr>
      <w:numPr>
        <w:numId w:val="3"/>
      </w:numPr>
      <w:spacing w:before="0" w:after="60"/>
      <w:jc w:val="left"/>
    </w:pPr>
  </w:style>
  <w:style w:type="paragraph" w:customStyle="1" w:styleId="pre-headerspace">
    <w:name w:val="pre-header space"/>
    <w:basedOn w:val="BodyText"/>
    <w:pPr>
      <w:spacing w:before="0" w:after="0" w:line="240" w:lineRule="auto"/>
    </w:pPr>
  </w:style>
  <w:style w:type="character" w:styleId="Hyperlink">
    <w:name w:val="Hyperlink"/>
    <w:uiPriority w:val="99"/>
    <w:rPr>
      <w:color w:val="0000FF"/>
      <w:u w:val="single"/>
    </w:rPr>
  </w:style>
  <w:style w:type="paragraph" w:styleId="Caption">
    <w:name w:val="caption"/>
    <w:basedOn w:val="Normal"/>
    <w:next w:val="Normal"/>
    <w:uiPriority w:val="35"/>
    <w:qFormat/>
    <w:rPr>
      <w:b/>
      <w:bCs/>
      <w:sz w:val="28"/>
    </w:rPr>
  </w:style>
  <w:style w:type="paragraph" w:customStyle="1" w:styleId="indentbullet">
    <w:name w:val="indent bullet"/>
    <w:basedOn w:val="Normal"/>
    <w:pPr>
      <w:numPr>
        <w:numId w:val="1"/>
      </w:numPr>
      <w:ind w:left="1224" w:right="864"/>
    </w:pPr>
    <w:rPr>
      <w:i/>
      <w:iCs/>
    </w:rPr>
  </w:style>
  <w:style w:type="paragraph" w:customStyle="1" w:styleId="indentnormal">
    <w:name w:val="indent normal"/>
    <w:basedOn w:val="indentbullet"/>
    <w:pPr>
      <w:numPr>
        <w:numId w:val="0"/>
      </w:numPr>
      <w:ind w:left="864"/>
    </w:pPr>
  </w:style>
  <w:style w:type="paragraph" w:customStyle="1" w:styleId="TableNormal1">
    <w:name w:val="Table Normal1"/>
    <w:basedOn w:val="Normal"/>
    <w:pPr>
      <w:spacing w:before="60" w:after="60" w:line="288" w:lineRule="auto"/>
      <w:jc w:val="left"/>
    </w:pPr>
  </w:style>
  <w:style w:type="paragraph" w:styleId="BodyTextIndent2">
    <w:name w:val="Body Text Indent 2"/>
    <w:basedOn w:val="Normal"/>
    <w:pPr>
      <w:spacing w:before="0" w:after="0" w:line="240" w:lineRule="auto"/>
      <w:ind w:left="720"/>
      <w:jc w:val="left"/>
    </w:pPr>
    <w:rPr>
      <w:rFonts w:ascii="Times New Roman" w:hAnsi="Times New Roman"/>
      <w:bCs/>
      <w:szCs w:val="20"/>
    </w:rPr>
  </w:style>
  <w:style w:type="paragraph" w:customStyle="1" w:styleId="Style1">
    <w:name w:val="Style1"/>
    <w:basedOn w:val="Normal"/>
    <w:pPr>
      <w:numPr>
        <w:numId w:val="2"/>
      </w:numPr>
    </w:pPr>
  </w:style>
  <w:style w:type="paragraph" w:customStyle="1" w:styleId="indentnormalattachment">
    <w:name w:val="indent normal attachment"/>
    <w:basedOn w:val="indentnormal"/>
    <w:rPr>
      <w:i w:val="0"/>
    </w:rPr>
  </w:style>
  <w:style w:type="paragraph" w:customStyle="1" w:styleId="indentbulletattachment">
    <w:name w:val="indent bullet attachment"/>
    <w:basedOn w:val="indentnormalattachment"/>
    <w:pPr>
      <w:numPr>
        <w:numId w:val="6"/>
      </w:numPr>
      <w:spacing w:before="120" w:after="120"/>
      <w:jc w:val="left"/>
    </w:pPr>
  </w:style>
  <w:style w:type="paragraph" w:styleId="BlockText">
    <w:name w:val="Block Text"/>
    <w:basedOn w:val="Normal"/>
    <w:pPr>
      <w:spacing w:after="120"/>
      <w:ind w:left="1440" w:right="1440"/>
    </w:pPr>
  </w:style>
  <w:style w:type="paragraph" w:customStyle="1" w:styleId="bullet">
    <w:name w:val="b ullet"/>
    <w:basedOn w:val="Footer"/>
    <w:pPr>
      <w:numPr>
        <w:numId w:val="4"/>
      </w:numPr>
      <w:tabs>
        <w:tab w:val="clear" w:pos="1080"/>
        <w:tab w:val="clear" w:pos="4320"/>
        <w:tab w:val="clear" w:pos="8640"/>
      </w:tabs>
      <w:ind w:left="547"/>
    </w:pPr>
  </w:style>
  <w:style w:type="paragraph" w:styleId="FootnoteText">
    <w:name w:val="footnote text"/>
    <w:basedOn w:val="Normal"/>
    <w:semiHidden/>
    <w:pPr>
      <w:spacing w:before="0" w:after="0" w:line="240" w:lineRule="auto"/>
    </w:pPr>
    <w:rPr>
      <w:sz w:val="16"/>
      <w:szCs w:val="20"/>
    </w:rPr>
  </w:style>
  <w:style w:type="character" w:styleId="FootnoteReference">
    <w:name w:val="footnote reference"/>
    <w:semiHidden/>
    <w:rPr>
      <w:vertAlign w:val="superscript"/>
    </w:rPr>
  </w:style>
  <w:style w:type="paragraph" w:styleId="BodyTextIndent">
    <w:name w:val="Body Text Indent"/>
    <w:basedOn w:val="Normal"/>
    <w:pPr>
      <w:spacing w:before="0" w:after="0" w:line="240" w:lineRule="auto"/>
      <w:ind w:left="1440"/>
      <w:jc w:val="left"/>
    </w:pPr>
    <w:rPr>
      <w:rFonts w:ascii="Times New Roman" w:hAnsi="Times New Roman" w:cs="Arial"/>
      <w:sz w:val="18"/>
    </w:rPr>
  </w:style>
  <w:style w:type="paragraph" w:styleId="BodyTextIndent3">
    <w:name w:val="Body Text Indent 3"/>
    <w:basedOn w:val="Normal"/>
    <w:pPr>
      <w:ind w:left="1440" w:hanging="1080"/>
    </w:pPr>
  </w:style>
  <w:style w:type="paragraph" w:customStyle="1" w:styleId="number">
    <w:name w:val="number"/>
    <w:basedOn w:val="Normal"/>
    <w:pPr>
      <w:numPr>
        <w:numId w:val="10"/>
      </w:numPr>
    </w:pPr>
  </w:style>
  <w:style w:type="paragraph" w:customStyle="1" w:styleId="FrontPage">
    <w:name w:val="Front Page"/>
    <w:basedOn w:val="Normal"/>
    <w:pPr>
      <w:spacing w:before="0" w:after="0" w:line="240" w:lineRule="auto"/>
      <w:jc w:val="center"/>
    </w:pPr>
    <w:rPr>
      <w:b/>
      <w:szCs w:val="20"/>
    </w:rPr>
  </w:style>
  <w:style w:type="paragraph" w:styleId="EndnoteText">
    <w:name w:val="endnote text"/>
    <w:basedOn w:val="Normal"/>
    <w:semiHidden/>
    <w:pPr>
      <w:spacing w:line="264" w:lineRule="auto"/>
    </w:pPr>
    <w:rPr>
      <w:szCs w:val="20"/>
    </w:rPr>
  </w:style>
  <w:style w:type="character" w:styleId="EndnoteReference">
    <w:name w:val="endnote reference"/>
    <w:semiHidden/>
    <w:rPr>
      <w:vertAlign w:val="superscript"/>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Courier New" w:hAnsi="Courier New" w:cs="Courier New"/>
      <w:sz w:val="20"/>
      <w:szCs w:val="20"/>
    </w:rPr>
  </w:style>
  <w:style w:type="paragraph" w:customStyle="1" w:styleId="TableNormal2">
    <w:name w:val="Table Normal2"/>
    <w:basedOn w:val="Normal"/>
    <w:pPr>
      <w:spacing w:before="80" w:after="80" w:line="312" w:lineRule="auto"/>
      <w:jc w:val="left"/>
    </w:pPr>
    <w:rPr>
      <w:rFonts w:ascii="Times New Roman" w:hAnsi="Times New Roman"/>
    </w:rPr>
  </w:style>
  <w:style w:type="paragraph" w:styleId="NormalWeb">
    <w:name w:val="Normal (Web)"/>
    <w:basedOn w:val="Normal"/>
    <w:pPr>
      <w:spacing w:before="100" w:beforeAutospacing="1" w:after="100" w:afterAutospacing="1" w:line="240" w:lineRule="auto"/>
      <w:jc w:val="left"/>
    </w:pPr>
    <w:rPr>
      <w:rFonts w:ascii="Times New Roman" w:hAnsi="Times New Roman"/>
    </w:rPr>
  </w:style>
  <w:style w:type="paragraph" w:customStyle="1" w:styleId="objectinserted">
    <w:name w:val="object inserted"/>
    <w:basedOn w:val="Normal"/>
    <w:pPr>
      <w:keepNext/>
      <w:spacing w:before="120" w:after="0" w:line="240" w:lineRule="auto"/>
      <w:jc w:val="center"/>
    </w:pPr>
    <w:rPr>
      <w:rFonts w:ascii="Times New Roman" w:hAnsi="Times New Roman"/>
    </w:rPr>
  </w:style>
  <w:style w:type="paragraph" w:customStyle="1" w:styleId="BodyText4">
    <w:name w:val="Body Text 4"/>
    <w:basedOn w:val="Normal"/>
    <w:pPr>
      <w:spacing w:before="0" w:line="240" w:lineRule="auto"/>
      <w:ind w:left="2268"/>
    </w:pPr>
    <w:rPr>
      <w:szCs w:val="20"/>
      <w:lang w:val="en-ZA"/>
    </w:rPr>
  </w:style>
  <w:style w:type="paragraph" w:customStyle="1" w:styleId="BodyText5">
    <w:name w:val="Body Text 5"/>
    <w:basedOn w:val="Normal"/>
    <w:pPr>
      <w:spacing w:before="0" w:line="240" w:lineRule="auto"/>
      <w:ind w:left="2835"/>
    </w:pPr>
    <w:rPr>
      <w:szCs w:val="20"/>
      <w:lang w:val="en-ZA"/>
    </w:rPr>
  </w:style>
  <w:style w:type="paragraph" w:customStyle="1" w:styleId="BodyText6">
    <w:name w:val="Body Text 6"/>
    <w:basedOn w:val="Normal"/>
    <w:pPr>
      <w:spacing w:before="0" w:line="240" w:lineRule="auto"/>
      <w:ind w:left="3402"/>
    </w:pPr>
    <w:rPr>
      <w:szCs w:val="20"/>
      <w:lang w:val="en-ZA"/>
    </w:rPr>
  </w:style>
  <w:style w:type="paragraph" w:customStyle="1" w:styleId="BodyText7">
    <w:name w:val="Body Text 7"/>
    <w:basedOn w:val="Normal"/>
    <w:pPr>
      <w:spacing w:before="0" w:line="240" w:lineRule="auto"/>
      <w:ind w:left="3969"/>
    </w:pPr>
    <w:rPr>
      <w:szCs w:val="20"/>
      <w:lang w:val="en-ZA"/>
    </w:rPr>
  </w:style>
  <w:style w:type="paragraph" w:customStyle="1" w:styleId="BodyText8">
    <w:name w:val="Body Text 8"/>
    <w:basedOn w:val="Normal"/>
    <w:pPr>
      <w:spacing w:before="0" w:line="240" w:lineRule="auto"/>
      <w:ind w:left="4536"/>
    </w:pPr>
    <w:rPr>
      <w:szCs w:val="20"/>
      <w:lang w:val="en-ZA"/>
    </w:rPr>
  </w:style>
  <w:style w:type="paragraph" w:customStyle="1" w:styleId="BodyText9">
    <w:name w:val="Body Text 9"/>
    <w:basedOn w:val="Normal"/>
    <w:pPr>
      <w:spacing w:before="0" w:line="240" w:lineRule="auto"/>
      <w:ind w:left="5103"/>
    </w:pPr>
    <w:rPr>
      <w:szCs w:val="20"/>
      <w:lang w:val="en-ZA"/>
    </w:rPr>
  </w:style>
  <w:style w:type="paragraph" w:customStyle="1" w:styleId="FootnoteSeparator">
    <w:name w:val="Footnote Separator"/>
    <w:basedOn w:val="Footer"/>
    <w:pPr>
      <w:pBdr>
        <w:top w:val="single" w:sz="4" w:space="1" w:color="auto"/>
      </w:pBdr>
      <w:spacing w:before="0" w:after="0" w:line="240" w:lineRule="auto"/>
    </w:pPr>
    <w:rPr>
      <w:szCs w:val="20"/>
    </w:rPr>
  </w:style>
  <w:style w:type="paragraph" w:styleId="List">
    <w:name w:val="List"/>
    <w:basedOn w:val="Heading1"/>
    <w:next w:val="BodyText"/>
    <w:pPr>
      <w:keepNext w:val="0"/>
      <w:numPr>
        <w:numId w:val="0"/>
      </w:numPr>
      <w:tabs>
        <w:tab w:val="num" w:pos="567"/>
      </w:tabs>
      <w:spacing w:before="0" w:line="240" w:lineRule="auto"/>
      <w:ind w:left="567" w:hanging="567"/>
    </w:pPr>
    <w:rPr>
      <w:rFonts w:cs="Times New Roman"/>
      <w:bCs w:val="0"/>
      <w:caps w:val="0"/>
      <w:kern w:val="0"/>
      <w:sz w:val="28"/>
      <w:szCs w:val="20"/>
      <w:lang w:val="en-ZA"/>
    </w:rPr>
  </w:style>
  <w:style w:type="paragraph" w:styleId="List2">
    <w:name w:val="List 2"/>
    <w:basedOn w:val="Heading2"/>
    <w:next w:val="BodyText2"/>
    <w:pPr>
      <w:keepNext w:val="0"/>
      <w:numPr>
        <w:ilvl w:val="0"/>
        <w:numId w:val="0"/>
      </w:numPr>
      <w:tabs>
        <w:tab w:val="num" w:pos="1134"/>
      </w:tabs>
      <w:spacing w:before="0" w:line="240" w:lineRule="auto"/>
      <w:ind w:left="1134" w:hanging="1134"/>
      <w:jc w:val="both"/>
    </w:pPr>
    <w:rPr>
      <w:bCs w:val="0"/>
      <w:sz w:val="24"/>
      <w:szCs w:val="20"/>
      <w:lang w:val="en-ZA"/>
    </w:rPr>
  </w:style>
  <w:style w:type="paragraph" w:styleId="List3">
    <w:name w:val="List 3"/>
    <w:basedOn w:val="Heading3"/>
    <w:next w:val="BodyText3"/>
    <w:pPr>
      <w:keepNext w:val="0"/>
      <w:numPr>
        <w:ilvl w:val="0"/>
        <w:numId w:val="0"/>
      </w:numPr>
      <w:tabs>
        <w:tab w:val="num" w:pos="1701"/>
      </w:tabs>
      <w:spacing w:before="0" w:line="240" w:lineRule="auto"/>
      <w:ind w:left="1701" w:hanging="1701"/>
    </w:pPr>
    <w:rPr>
      <w:rFonts w:cs="Times New Roman"/>
      <w:b w:val="0"/>
      <w:bCs w:val="0"/>
      <w:i w:val="0"/>
      <w:iCs w:val="0"/>
      <w:lang w:val="en-ZA"/>
    </w:rPr>
  </w:style>
  <w:style w:type="paragraph" w:styleId="List4">
    <w:name w:val="List 4"/>
    <w:basedOn w:val="Heading4"/>
    <w:next w:val="BodyText4"/>
    <w:pPr>
      <w:keepNext w:val="0"/>
      <w:numPr>
        <w:ilvl w:val="0"/>
        <w:numId w:val="0"/>
      </w:numPr>
      <w:tabs>
        <w:tab w:val="num" w:pos="2268"/>
      </w:tabs>
      <w:spacing w:before="0" w:line="240" w:lineRule="auto"/>
      <w:ind w:left="2268" w:hanging="2268"/>
    </w:pPr>
    <w:rPr>
      <w:rFonts w:cs="Times New Roman"/>
      <w:b w:val="0"/>
      <w:bCs w:val="0"/>
      <w:i w:val="0"/>
      <w:iCs w:val="0"/>
      <w:szCs w:val="20"/>
      <w:lang w:val="en-ZA"/>
    </w:rPr>
  </w:style>
  <w:style w:type="paragraph" w:styleId="List5">
    <w:name w:val="List 5"/>
    <w:basedOn w:val="Heading5"/>
    <w:next w:val="BodyText5"/>
    <w:pPr>
      <w:keepNext w:val="0"/>
      <w:numPr>
        <w:ilvl w:val="0"/>
        <w:numId w:val="0"/>
      </w:numPr>
      <w:tabs>
        <w:tab w:val="clear" w:pos="2340"/>
        <w:tab w:val="num" w:pos="2268"/>
        <w:tab w:val="num" w:pos="2835"/>
      </w:tabs>
      <w:spacing w:before="0" w:line="240" w:lineRule="auto"/>
      <w:ind w:left="2835" w:hanging="2835"/>
      <w:jc w:val="both"/>
    </w:pPr>
    <w:rPr>
      <w:b w:val="0"/>
      <w:bCs w:val="0"/>
      <w:szCs w:val="20"/>
      <w:lang w:val="en-ZA"/>
    </w:rPr>
  </w:style>
  <w:style w:type="paragraph" w:customStyle="1" w:styleId="List6">
    <w:name w:val="List 6"/>
    <w:basedOn w:val="Heading6"/>
    <w:next w:val="BodyText6"/>
    <w:pPr>
      <w:keepNext w:val="0"/>
      <w:numPr>
        <w:ilvl w:val="0"/>
        <w:numId w:val="0"/>
      </w:numPr>
      <w:tabs>
        <w:tab w:val="num" w:pos="3402"/>
      </w:tabs>
      <w:spacing w:before="0" w:line="240" w:lineRule="auto"/>
      <w:ind w:left="3402" w:hanging="3402"/>
    </w:pPr>
    <w:rPr>
      <w:szCs w:val="20"/>
      <w:lang w:val="en-ZA"/>
    </w:rPr>
  </w:style>
  <w:style w:type="paragraph" w:customStyle="1" w:styleId="List7">
    <w:name w:val="List 7"/>
    <w:basedOn w:val="Heading7"/>
    <w:next w:val="BodyText7"/>
    <w:pPr>
      <w:numPr>
        <w:ilvl w:val="0"/>
        <w:numId w:val="0"/>
      </w:numPr>
      <w:tabs>
        <w:tab w:val="num" w:pos="3175"/>
      </w:tabs>
      <w:spacing w:before="0" w:line="240" w:lineRule="auto"/>
      <w:ind w:left="3175" w:hanging="3175"/>
    </w:pPr>
    <w:rPr>
      <w:rFonts w:ascii="Arial" w:hAnsi="Arial"/>
      <w:szCs w:val="20"/>
      <w:lang w:val="en-ZA"/>
    </w:rPr>
  </w:style>
  <w:style w:type="paragraph" w:styleId="NormalIndent">
    <w:name w:val="Normal Indent"/>
    <w:basedOn w:val="Normal"/>
    <w:pPr>
      <w:spacing w:before="0" w:after="0" w:line="240" w:lineRule="auto"/>
      <w:ind w:left="720"/>
    </w:pPr>
    <w:rPr>
      <w:szCs w:val="20"/>
      <w:lang w:val="en-ZA"/>
    </w:rPr>
  </w:style>
  <w:style w:type="paragraph" w:customStyle="1" w:styleId="SubHeading">
    <w:name w:val="Sub Heading"/>
    <w:basedOn w:val="Normal"/>
    <w:next w:val="BodyTextIndent"/>
    <w:pPr>
      <w:keepNext/>
      <w:pBdr>
        <w:bottom w:val="single" w:sz="6" w:space="3" w:color="auto"/>
      </w:pBdr>
      <w:spacing w:line="240" w:lineRule="auto"/>
      <w:jc w:val="right"/>
    </w:pPr>
    <w:rPr>
      <w:b/>
      <w:smallCaps/>
      <w:sz w:val="28"/>
      <w:szCs w:val="20"/>
      <w:lang w:val="en-ZA"/>
    </w:rPr>
  </w:style>
  <w:style w:type="paragraph" w:customStyle="1" w:styleId="Sub1">
    <w:name w:val="Sub1"/>
    <w:basedOn w:val="Normal"/>
    <w:next w:val="Normal"/>
    <w:pPr>
      <w:numPr>
        <w:numId w:val="7"/>
      </w:numPr>
      <w:spacing w:before="0" w:after="0" w:line="240" w:lineRule="auto"/>
    </w:pPr>
    <w:rPr>
      <w:szCs w:val="20"/>
      <w:lang w:val="en-ZA"/>
    </w:rPr>
  </w:style>
  <w:style w:type="paragraph" w:customStyle="1" w:styleId="Sub2">
    <w:name w:val="Sub2"/>
    <w:basedOn w:val="Normal"/>
    <w:next w:val="Normal"/>
    <w:pPr>
      <w:numPr>
        <w:numId w:val="8"/>
      </w:numPr>
      <w:spacing w:before="0" w:after="0" w:line="240" w:lineRule="auto"/>
      <w:ind w:left="1134"/>
    </w:pPr>
    <w:rPr>
      <w:szCs w:val="20"/>
      <w:lang w:val="en-ZA"/>
    </w:rPr>
  </w:style>
  <w:style w:type="paragraph" w:customStyle="1" w:styleId="Sub3">
    <w:name w:val="Sub3"/>
    <w:basedOn w:val="Normal"/>
    <w:next w:val="Normal"/>
    <w:pPr>
      <w:numPr>
        <w:numId w:val="9"/>
      </w:numPr>
      <w:spacing w:before="0" w:after="0" w:line="240" w:lineRule="auto"/>
    </w:pPr>
    <w:rPr>
      <w:szCs w:val="20"/>
      <w:lang w:val="en-ZA"/>
    </w:rPr>
  </w:style>
  <w:style w:type="paragraph" w:customStyle="1" w:styleId="TableofContents">
    <w:name w:val="Table of Contents"/>
    <w:basedOn w:val="Normal"/>
    <w:next w:val="Normal"/>
    <w:pPr>
      <w:keepNext/>
      <w:pBdr>
        <w:top w:val="double" w:sz="4" w:space="3" w:color="auto"/>
        <w:left w:val="double" w:sz="4" w:space="4" w:color="auto"/>
        <w:bottom w:val="double" w:sz="4" w:space="3" w:color="auto"/>
        <w:right w:val="double" w:sz="4" w:space="4" w:color="auto"/>
      </w:pBdr>
      <w:shd w:val="pct10" w:color="auto" w:fill="FFFFFF"/>
      <w:spacing w:before="0" w:after="0" w:line="240" w:lineRule="auto"/>
      <w:jc w:val="center"/>
    </w:pPr>
    <w:rPr>
      <w:b/>
      <w:smallCaps/>
      <w:sz w:val="32"/>
      <w:szCs w:val="20"/>
      <w:lang w:val="en-ZA"/>
    </w:rPr>
  </w:style>
  <w:style w:type="character" w:styleId="Emphasis">
    <w:name w:val="Emphasis"/>
    <w:qFormat/>
    <w:rPr>
      <w:i/>
      <w:iCs/>
    </w:rPr>
  </w:style>
  <w:style w:type="paragraph" w:customStyle="1" w:styleId="StyleHeading3NotItalic">
    <w:name w:val="Style Heading 3 + Not Italic"/>
    <w:basedOn w:val="Heading3"/>
    <w:pPr>
      <w:keepNext w:val="0"/>
      <w:numPr>
        <w:ilvl w:val="0"/>
        <w:numId w:val="0"/>
      </w:numPr>
      <w:tabs>
        <w:tab w:val="num" w:pos="360"/>
      </w:tabs>
      <w:spacing w:before="0" w:line="240" w:lineRule="auto"/>
      <w:ind w:left="360" w:hanging="360"/>
    </w:pPr>
    <w:rPr>
      <w:rFonts w:cs="Times New Roman"/>
      <w:b w:val="0"/>
      <w:bCs w:val="0"/>
      <w:iCs w:val="0"/>
      <w:lang w:val="en-ZA"/>
    </w:rPr>
  </w:style>
  <w:style w:type="character" w:styleId="FollowedHyperlink">
    <w:name w:val="FollowedHyperlink"/>
    <w:rPr>
      <w:color w:val="800080"/>
      <w:u w:val="single"/>
    </w:rPr>
  </w:style>
  <w:style w:type="paragraph" w:customStyle="1" w:styleId="normaltableresearch">
    <w:name w:val="normal table research"/>
    <w:basedOn w:val="TableNormal1"/>
    <w:rPr>
      <w:sz w:val="20"/>
    </w:rPr>
  </w:style>
  <w:style w:type="paragraph" w:customStyle="1" w:styleId="normalreference">
    <w:name w:val="normal reference"/>
    <w:basedOn w:val="Normal"/>
    <w:pPr>
      <w:spacing w:before="480" w:after="480"/>
      <w:jc w:val="left"/>
    </w:pPr>
  </w:style>
  <w:style w:type="paragraph" w:styleId="ListBullet">
    <w:name w:val="List Bullet"/>
    <w:basedOn w:val="Normal"/>
    <w:autoRedefine/>
    <w:pPr>
      <w:numPr>
        <w:numId w:val="5"/>
      </w:numPr>
      <w:spacing w:before="0" w:after="0" w:line="240" w:lineRule="auto"/>
      <w:jc w:val="left"/>
    </w:pPr>
    <w:rPr>
      <w:sz w:val="22"/>
      <w:szCs w:val="20"/>
      <w:lang w:val="en-ZA"/>
    </w:rPr>
  </w:style>
  <w:style w:type="paragraph" w:customStyle="1" w:styleId="figureheading">
    <w:name w:val="figure heading"/>
    <w:basedOn w:val="Footer"/>
    <w:pPr>
      <w:keepNext/>
      <w:tabs>
        <w:tab w:val="clear" w:pos="4320"/>
        <w:tab w:val="clear" w:pos="8640"/>
      </w:tabs>
      <w:spacing w:after="0" w:line="288" w:lineRule="auto"/>
    </w:pPr>
    <w:rPr>
      <w:b/>
      <w:bCs/>
      <w:sz w:val="22"/>
      <w:u w:val="single"/>
    </w:rPr>
  </w:style>
  <w:style w:type="character" w:customStyle="1" w:styleId="emailstyle15">
    <w:name w:val="emailstyle15"/>
    <w:rPr>
      <w:rFonts w:ascii="Arial" w:hAnsi="Arial" w:cs="Arial"/>
      <w:color w:val="000000"/>
      <w:sz w:val="20"/>
    </w:rPr>
  </w:style>
  <w:style w:type="paragraph" w:styleId="TableofFigures">
    <w:name w:val="table of figures"/>
    <w:basedOn w:val="Normal"/>
    <w:next w:val="Normal"/>
    <w:uiPriority w:val="99"/>
    <w:rsid w:val="00DA5374"/>
  </w:style>
  <w:style w:type="paragraph" w:customStyle="1" w:styleId="numberalpha">
    <w:name w:val="number alpha"/>
    <w:basedOn w:val="Normal"/>
    <w:pPr>
      <w:numPr>
        <w:numId w:val="11"/>
      </w:numPr>
    </w:pPr>
  </w:style>
  <w:style w:type="paragraph" w:styleId="BalloonText">
    <w:name w:val="Balloon Text"/>
    <w:basedOn w:val="Normal"/>
    <w:link w:val="BalloonTextChar"/>
    <w:rsid w:val="007E07ED"/>
    <w:pPr>
      <w:spacing w:before="0" w:after="0" w:line="240" w:lineRule="auto"/>
    </w:pPr>
    <w:rPr>
      <w:rFonts w:ascii="Tahoma" w:hAnsi="Tahoma" w:cs="Tahoma"/>
      <w:sz w:val="16"/>
      <w:szCs w:val="16"/>
    </w:rPr>
  </w:style>
  <w:style w:type="character" w:customStyle="1" w:styleId="BalloonTextChar">
    <w:name w:val="Balloon Text Char"/>
    <w:link w:val="BalloonText"/>
    <w:rsid w:val="007E07ED"/>
    <w:rPr>
      <w:rFonts w:ascii="Tahoma" w:hAnsi="Tahoma" w:cs="Tahoma"/>
      <w:sz w:val="16"/>
      <w:szCs w:val="16"/>
      <w:lang w:val="en-GB" w:eastAsia="en-US"/>
    </w:rPr>
  </w:style>
  <w:style w:type="paragraph" w:styleId="ListParagraph">
    <w:name w:val="List Paragraph"/>
    <w:basedOn w:val="Normal"/>
    <w:uiPriority w:val="34"/>
    <w:qFormat/>
    <w:rsid w:val="006A5C0B"/>
    <w:pPr>
      <w:ind w:left="720"/>
      <w:contextualSpacing/>
    </w:pPr>
  </w:style>
  <w:style w:type="character" w:customStyle="1" w:styleId="FooterChar">
    <w:name w:val="Footer Char"/>
    <w:basedOn w:val="DefaultParagraphFont"/>
    <w:link w:val="Footer"/>
    <w:uiPriority w:val="99"/>
    <w:rsid w:val="00340D42"/>
    <w:rPr>
      <w:rFonts w:ascii="Arial" w:hAnsi="Arial"/>
      <w:sz w:val="24"/>
      <w:szCs w:val="24"/>
      <w:lang w:val="en-GB" w:eastAsia="en-US"/>
    </w:rPr>
  </w:style>
  <w:style w:type="paragraph" w:customStyle="1" w:styleId="TableNormal3">
    <w:name w:val="Table Normal3"/>
    <w:basedOn w:val="Normal"/>
    <w:rsid w:val="00E32E67"/>
    <w:pPr>
      <w:spacing w:before="60" w:after="60" w:line="288" w:lineRule="auto"/>
      <w:jc w:val="left"/>
    </w:pPr>
  </w:style>
  <w:style w:type="paragraph" w:customStyle="1" w:styleId="Default">
    <w:name w:val="Default"/>
    <w:rsid w:val="00914A51"/>
    <w:pPr>
      <w:autoSpaceDE w:val="0"/>
      <w:autoSpaceDN w:val="0"/>
      <w:adjustRightInd w:val="0"/>
    </w:pPr>
    <w:rPr>
      <w:color w:val="000000"/>
      <w:sz w:val="24"/>
      <w:szCs w:val="24"/>
    </w:rPr>
  </w:style>
  <w:style w:type="table" w:styleId="TableGrid">
    <w:name w:val="Table Grid"/>
    <w:basedOn w:val="TableNormal"/>
    <w:uiPriority w:val="59"/>
    <w:rsid w:val="00F43F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B50256"/>
    <w:rPr>
      <w:sz w:val="16"/>
      <w:szCs w:val="16"/>
    </w:rPr>
  </w:style>
  <w:style w:type="paragraph" w:styleId="CommentText">
    <w:name w:val="annotation text"/>
    <w:basedOn w:val="Normal"/>
    <w:link w:val="CommentTextChar"/>
    <w:rsid w:val="00B50256"/>
    <w:pPr>
      <w:spacing w:line="240" w:lineRule="auto"/>
    </w:pPr>
    <w:rPr>
      <w:sz w:val="20"/>
      <w:szCs w:val="20"/>
    </w:rPr>
  </w:style>
  <w:style w:type="character" w:customStyle="1" w:styleId="CommentTextChar">
    <w:name w:val="Comment Text Char"/>
    <w:basedOn w:val="DefaultParagraphFont"/>
    <w:link w:val="CommentText"/>
    <w:rsid w:val="00B50256"/>
    <w:rPr>
      <w:rFonts w:ascii="Arial" w:hAnsi="Arial"/>
      <w:lang w:val="en-GB" w:eastAsia="en-US"/>
    </w:rPr>
  </w:style>
  <w:style w:type="paragraph" w:styleId="CommentSubject">
    <w:name w:val="annotation subject"/>
    <w:basedOn w:val="CommentText"/>
    <w:next w:val="CommentText"/>
    <w:link w:val="CommentSubjectChar"/>
    <w:rsid w:val="00B50256"/>
    <w:rPr>
      <w:b/>
      <w:bCs/>
    </w:rPr>
  </w:style>
  <w:style w:type="character" w:customStyle="1" w:styleId="CommentSubjectChar">
    <w:name w:val="Comment Subject Char"/>
    <w:basedOn w:val="CommentTextChar"/>
    <w:link w:val="CommentSubject"/>
    <w:rsid w:val="00B50256"/>
    <w:rPr>
      <w:rFonts w:ascii="Arial" w:hAnsi="Arial"/>
      <w:b/>
      <w:bCs/>
      <w:lang w:val="en-GB" w:eastAsia="en-US"/>
    </w:rPr>
  </w:style>
  <w:style w:type="character" w:customStyle="1" w:styleId="Heading3Char">
    <w:name w:val="Heading 3 Char"/>
    <w:basedOn w:val="DefaultParagraphFont"/>
    <w:link w:val="Heading3"/>
    <w:rsid w:val="006D68EB"/>
    <w:rPr>
      <w:rFonts w:ascii="Arial (W1)" w:hAnsi="Arial (W1)" w:cs="Arial"/>
      <w:b/>
      <w:bCs/>
      <w:i/>
      <w:iCs/>
      <w:sz w:val="24"/>
      <w:szCs w:val="24"/>
      <w:lang w:val="en-GB" w:eastAsia="en-US"/>
    </w:rPr>
  </w:style>
  <w:style w:type="character" w:customStyle="1" w:styleId="nowrap1">
    <w:name w:val="nowrap1"/>
    <w:basedOn w:val="DefaultParagraphFont"/>
    <w:rsid w:val="00925560"/>
  </w:style>
  <w:style w:type="character" w:customStyle="1" w:styleId="ipa">
    <w:name w:val="ipa"/>
    <w:basedOn w:val="DefaultParagraphFont"/>
    <w:rsid w:val="00925560"/>
  </w:style>
  <w:style w:type="character" w:customStyle="1" w:styleId="citation">
    <w:name w:val="citation"/>
    <w:basedOn w:val="DefaultParagraphFont"/>
    <w:rsid w:val="00925560"/>
  </w:style>
  <w:style w:type="table" w:customStyle="1" w:styleId="TableGrid1">
    <w:name w:val="Table Grid1"/>
    <w:basedOn w:val="TableNormal"/>
    <w:next w:val="TableGrid"/>
    <w:uiPriority w:val="59"/>
    <w:rsid w:val="006C545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5363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53636"/>
    <w:rPr>
      <w:rFonts w:asciiTheme="minorHAnsi" w:eastAsiaTheme="minorEastAsia"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A48A0"/>
    <w:rPr>
      <w:rFonts w:ascii="Cambria" w:hAnsi="Cambr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FB60F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C12D2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C12D2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04627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0968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uiPriority="35" w:qFormat="1"/>
    <w:lsdException w:name="table of figures" w:uiPriority="99"/>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142"/>
    <w:pPr>
      <w:spacing w:before="240" w:after="240" w:line="360" w:lineRule="auto"/>
      <w:jc w:val="both"/>
    </w:pPr>
    <w:rPr>
      <w:rFonts w:ascii="Arial" w:hAnsi="Arial"/>
      <w:sz w:val="24"/>
      <w:szCs w:val="24"/>
      <w:lang w:val="en-GB" w:eastAsia="en-US"/>
    </w:rPr>
  </w:style>
  <w:style w:type="paragraph" w:styleId="Heading1">
    <w:name w:val="heading 1"/>
    <w:basedOn w:val="Normal"/>
    <w:next w:val="Normal"/>
    <w:qFormat/>
    <w:rsid w:val="00ED3142"/>
    <w:pPr>
      <w:keepNext/>
      <w:numPr>
        <w:numId w:val="41"/>
      </w:numPr>
      <w:spacing w:before="480"/>
      <w:outlineLvl w:val="0"/>
    </w:pPr>
    <w:rPr>
      <w:rFonts w:cs="Arial"/>
      <w:b/>
      <w:bCs/>
      <w:caps/>
      <w:kern w:val="32"/>
      <w:sz w:val="32"/>
      <w:szCs w:val="32"/>
    </w:rPr>
  </w:style>
  <w:style w:type="paragraph" w:styleId="Heading2">
    <w:name w:val="heading 2"/>
    <w:basedOn w:val="Normal"/>
    <w:next w:val="Normal"/>
    <w:qFormat/>
    <w:rsid w:val="00ED3142"/>
    <w:pPr>
      <w:keepNext/>
      <w:numPr>
        <w:ilvl w:val="1"/>
        <w:numId w:val="41"/>
      </w:numPr>
      <w:spacing w:before="480"/>
      <w:jc w:val="left"/>
      <w:outlineLvl w:val="1"/>
    </w:pPr>
    <w:rPr>
      <w:rFonts w:ascii="Arial (W1)" w:hAnsi="Arial (W1)"/>
      <w:b/>
      <w:bCs/>
      <w:sz w:val="28"/>
      <w:szCs w:val="28"/>
    </w:rPr>
  </w:style>
  <w:style w:type="paragraph" w:styleId="Heading3">
    <w:name w:val="heading 3"/>
    <w:basedOn w:val="Normal"/>
    <w:next w:val="Normal"/>
    <w:link w:val="Heading3Char"/>
    <w:qFormat/>
    <w:rsid w:val="00ED3142"/>
    <w:pPr>
      <w:keepNext/>
      <w:numPr>
        <w:ilvl w:val="2"/>
        <w:numId w:val="41"/>
      </w:numPr>
      <w:spacing w:before="480"/>
      <w:outlineLvl w:val="2"/>
    </w:pPr>
    <w:rPr>
      <w:rFonts w:ascii="Arial (W1)" w:hAnsi="Arial (W1)" w:cs="Arial"/>
      <w:b/>
      <w:bCs/>
      <w:i/>
      <w:iCs/>
    </w:rPr>
  </w:style>
  <w:style w:type="paragraph" w:styleId="Heading4">
    <w:name w:val="heading 4"/>
    <w:basedOn w:val="Normal"/>
    <w:next w:val="Normal"/>
    <w:qFormat/>
    <w:rsid w:val="00ED3142"/>
    <w:pPr>
      <w:keepNext/>
      <w:numPr>
        <w:ilvl w:val="3"/>
        <w:numId w:val="41"/>
      </w:numPr>
      <w:tabs>
        <w:tab w:val="left" w:pos="900"/>
      </w:tabs>
      <w:outlineLvl w:val="3"/>
    </w:pPr>
    <w:rPr>
      <w:rFonts w:cs="Arial"/>
      <w:b/>
      <w:bCs/>
      <w:i/>
      <w:iCs/>
    </w:rPr>
  </w:style>
  <w:style w:type="paragraph" w:styleId="Heading5">
    <w:name w:val="heading 5"/>
    <w:basedOn w:val="Normal"/>
    <w:next w:val="Normal"/>
    <w:qFormat/>
    <w:rsid w:val="00ED3142"/>
    <w:pPr>
      <w:keepNext/>
      <w:numPr>
        <w:ilvl w:val="4"/>
        <w:numId w:val="41"/>
      </w:numPr>
      <w:tabs>
        <w:tab w:val="left" w:pos="2340"/>
      </w:tabs>
      <w:jc w:val="left"/>
      <w:outlineLvl w:val="4"/>
    </w:pPr>
    <w:rPr>
      <w:b/>
      <w:bCs/>
    </w:rPr>
  </w:style>
  <w:style w:type="paragraph" w:styleId="Heading6">
    <w:name w:val="heading 6"/>
    <w:basedOn w:val="Normal"/>
    <w:next w:val="Normal"/>
    <w:qFormat/>
    <w:rsid w:val="00ED3142"/>
    <w:pPr>
      <w:keepNext/>
      <w:numPr>
        <w:ilvl w:val="5"/>
        <w:numId w:val="41"/>
      </w:numPr>
      <w:outlineLvl w:val="5"/>
    </w:pPr>
  </w:style>
  <w:style w:type="paragraph" w:styleId="Heading7">
    <w:name w:val="heading 7"/>
    <w:basedOn w:val="Normal"/>
    <w:next w:val="Normal"/>
    <w:qFormat/>
    <w:rsid w:val="00ED3142"/>
    <w:pPr>
      <w:numPr>
        <w:ilvl w:val="6"/>
        <w:numId w:val="41"/>
      </w:numPr>
      <w:outlineLvl w:val="6"/>
    </w:pPr>
    <w:rPr>
      <w:rFonts w:ascii="Times New Roman" w:hAnsi="Times New Roman"/>
    </w:rPr>
  </w:style>
  <w:style w:type="paragraph" w:styleId="Heading8">
    <w:name w:val="heading 8"/>
    <w:basedOn w:val="Normal"/>
    <w:next w:val="Normal"/>
    <w:qFormat/>
    <w:rsid w:val="00ED3142"/>
    <w:pPr>
      <w:numPr>
        <w:ilvl w:val="7"/>
        <w:numId w:val="41"/>
      </w:numPr>
      <w:outlineLvl w:val="7"/>
    </w:pPr>
    <w:rPr>
      <w:rFonts w:ascii="Times New Roman" w:hAnsi="Times New Roman"/>
      <w:i/>
      <w:iCs/>
    </w:rPr>
  </w:style>
  <w:style w:type="paragraph" w:styleId="Heading9">
    <w:name w:val="heading 9"/>
    <w:basedOn w:val="Normal"/>
    <w:next w:val="Normal"/>
    <w:qFormat/>
    <w:rsid w:val="00ED3142"/>
    <w:pPr>
      <w:numPr>
        <w:ilvl w:val="8"/>
        <w:numId w:val="41"/>
      </w:numPr>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left"/>
    </w:pPr>
  </w:style>
  <w:style w:type="paragraph" w:styleId="Header">
    <w:name w:val="header"/>
    <w:basedOn w:val="Normal"/>
    <w:pPr>
      <w:tabs>
        <w:tab w:val="center" w:pos="4320"/>
        <w:tab w:val="right" w:pos="8640"/>
      </w:tabs>
      <w:jc w:val="center"/>
    </w:pPr>
    <w:rPr>
      <w:rFonts w:cs="Arial"/>
      <w:b/>
      <w:bCs/>
      <w:sz w:val="4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before="60" w:after="60" w:line="264" w:lineRule="auto"/>
    </w:pPr>
  </w:style>
  <w:style w:type="paragraph" w:styleId="Title">
    <w:name w:val="Title"/>
    <w:basedOn w:val="Normal"/>
    <w:qFormat/>
    <w:pPr>
      <w:spacing w:before="0" w:after="0" w:line="240" w:lineRule="auto"/>
      <w:jc w:val="center"/>
    </w:pPr>
    <w:rPr>
      <w:rFonts w:ascii="Times New Roman" w:hAnsi="Times New Roman"/>
      <w:b/>
      <w:szCs w:val="20"/>
    </w:rPr>
  </w:style>
  <w:style w:type="paragraph" w:styleId="BodyText3">
    <w:name w:val="Body Text 3"/>
    <w:basedOn w:val="Normal"/>
    <w:rPr>
      <w:color w:val="FF0000"/>
    </w:rPr>
  </w:style>
  <w:style w:type="paragraph" w:styleId="TOC1">
    <w:name w:val="toc 1"/>
    <w:basedOn w:val="Normal"/>
    <w:next w:val="Normal"/>
    <w:autoRedefine/>
    <w:uiPriority w:val="39"/>
    <w:rsid w:val="00CB46F1"/>
    <w:pPr>
      <w:keepNext/>
      <w:tabs>
        <w:tab w:val="right" w:leader="dot" w:pos="8729"/>
      </w:tabs>
      <w:spacing w:before="360" w:line="240" w:lineRule="auto"/>
    </w:pPr>
    <w:rPr>
      <w:b/>
      <w:caps/>
      <w:sz w:val="28"/>
    </w:rPr>
  </w:style>
  <w:style w:type="paragraph" w:styleId="TOC2">
    <w:name w:val="toc 2"/>
    <w:basedOn w:val="Normal"/>
    <w:next w:val="Normal"/>
    <w:autoRedefine/>
    <w:uiPriority w:val="39"/>
    <w:pPr>
      <w:spacing w:before="80" w:after="0" w:line="240" w:lineRule="auto"/>
      <w:ind w:left="720" w:hanging="720"/>
    </w:pPr>
    <w:rPr>
      <w:smallCaps/>
    </w:rPr>
  </w:style>
  <w:style w:type="paragraph" w:styleId="TOC3">
    <w:name w:val="toc 3"/>
    <w:basedOn w:val="Normal"/>
    <w:next w:val="Normal"/>
    <w:autoRedefine/>
    <w:uiPriority w:val="39"/>
    <w:pPr>
      <w:spacing w:before="0" w:after="0" w:line="240" w:lineRule="auto"/>
      <w:ind w:firstLine="720"/>
      <w:jc w:val="left"/>
    </w:pPr>
    <w:rPr>
      <w:rFonts w:cs="Arial"/>
      <w:smallCaps/>
      <w:noProof/>
      <w:sz w:val="20"/>
    </w:r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bullet0">
    <w:name w:val="bullet"/>
    <w:basedOn w:val="Normal"/>
    <w:pPr>
      <w:numPr>
        <w:numId w:val="3"/>
      </w:numPr>
      <w:spacing w:before="0" w:after="60"/>
      <w:jc w:val="left"/>
    </w:pPr>
  </w:style>
  <w:style w:type="paragraph" w:customStyle="1" w:styleId="pre-headerspace">
    <w:name w:val="pre-header space"/>
    <w:basedOn w:val="BodyText"/>
    <w:pPr>
      <w:spacing w:before="0" w:after="0" w:line="240" w:lineRule="auto"/>
    </w:pPr>
  </w:style>
  <w:style w:type="character" w:styleId="Hyperlink">
    <w:name w:val="Hyperlink"/>
    <w:uiPriority w:val="99"/>
    <w:rPr>
      <w:color w:val="0000FF"/>
      <w:u w:val="single"/>
    </w:rPr>
  </w:style>
  <w:style w:type="paragraph" w:styleId="Caption">
    <w:name w:val="caption"/>
    <w:basedOn w:val="Normal"/>
    <w:next w:val="Normal"/>
    <w:uiPriority w:val="35"/>
    <w:qFormat/>
    <w:rPr>
      <w:b/>
      <w:bCs/>
      <w:sz w:val="28"/>
    </w:rPr>
  </w:style>
  <w:style w:type="paragraph" w:customStyle="1" w:styleId="indentbullet">
    <w:name w:val="indent bullet"/>
    <w:basedOn w:val="Normal"/>
    <w:pPr>
      <w:numPr>
        <w:numId w:val="1"/>
      </w:numPr>
      <w:ind w:left="1224" w:right="864"/>
    </w:pPr>
    <w:rPr>
      <w:i/>
      <w:iCs/>
    </w:rPr>
  </w:style>
  <w:style w:type="paragraph" w:customStyle="1" w:styleId="indentnormal">
    <w:name w:val="indent normal"/>
    <w:basedOn w:val="indentbullet"/>
    <w:pPr>
      <w:numPr>
        <w:numId w:val="0"/>
      </w:numPr>
      <w:ind w:left="864"/>
    </w:pPr>
  </w:style>
  <w:style w:type="paragraph" w:customStyle="1" w:styleId="TableNormal1">
    <w:name w:val="Table Normal1"/>
    <w:basedOn w:val="Normal"/>
    <w:pPr>
      <w:spacing w:before="60" w:after="60" w:line="288" w:lineRule="auto"/>
      <w:jc w:val="left"/>
    </w:pPr>
  </w:style>
  <w:style w:type="paragraph" w:styleId="BodyTextIndent2">
    <w:name w:val="Body Text Indent 2"/>
    <w:basedOn w:val="Normal"/>
    <w:pPr>
      <w:spacing w:before="0" w:after="0" w:line="240" w:lineRule="auto"/>
      <w:ind w:left="720"/>
      <w:jc w:val="left"/>
    </w:pPr>
    <w:rPr>
      <w:rFonts w:ascii="Times New Roman" w:hAnsi="Times New Roman"/>
      <w:bCs/>
      <w:szCs w:val="20"/>
    </w:rPr>
  </w:style>
  <w:style w:type="paragraph" w:customStyle="1" w:styleId="Style1">
    <w:name w:val="Style1"/>
    <w:basedOn w:val="Normal"/>
    <w:pPr>
      <w:numPr>
        <w:numId w:val="2"/>
      </w:numPr>
    </w:pPr>
  </w:style>
  <w:style w:type="paragraph" w:customStyle="1" w:styleId="indentnormalattachment">
    <w:name w:val="indent normal attachment"/>
    <w:basedOn w:val="indentnormal"/>
    <w:rPr>
      <w:i w:val="0"/>
    </w:rPr>
  </w:style>
  <w:style w:type="paragraph" w:customStyle="1" w:styleId="indentbulletattachment">
    <w:name w:val="indent bullet attachment"/>
    <w:basedOn w:val="indentnormalattachment"/>
    <w:pPr>
      <w:numPr>
        <w:numId w:val="6"/>
      </w:numPr>
      <w:spacing w:before="120" w:after="120"/>
      <w:jc w:val="left"/>
    </w:pPr>
  </w:style>
  <w:style w:type="paragraph" w:styleId="BlockText">
    <w:name w:val="Block Text"/>
    <w:basedOn w:val="Normal"/>
    <w:pPr>
      <w:spacing w:after="120"/>
      <w:ind w:left="1440" w:right="1440"/>
    </w:pPr>
  </w:style>
  <w:style w:type="paragraph" w:customStyle="1" w:styleId="bullet">
    <w:name w:val="b ullet"/>
    <w:basedOn w:val="Footer"/>
    <w:pPr>
      <w:numPr>
        <w:numId w:val="4"/>
      </w:numPr>
      <w:tabs>
        <w:tab w:val="clear" w:pos="1080"/>
        <w:tab w:val="clear" w:pos="4320"/>
        <w:tab w:val="clear" w:pos="8640"/>
      </w:tabs>
      <w:ind w:left="547"/>
    </w:pPr>
  </w:style>
  <w:style w:type="paragraph" w:styleId="FootnoteText">
    <w:name w:val="footnote text"/>
    <w:basedOn w:val="Normal"/>
    <w:semiHidden/>
    <w:pPr>
      <w:spacing w:before="0" w:after="0" w:line="240" w:lineRule="auto"/>
    </w:pPr>
    <w:rPr>
      <w:sz w:val="16"/>
      <w:szCs w:val="20"/>
    </w:rPr>
  </w:style>
  <w:style w:type="character" w:styleId="FootnoteReference">
    <w:name w:val="footnote reference"/>
    <w:semiHidden/>
    <w:rPr>
      <w:vertAlign w:val="superscript"/>
    </w:rPr>
  </w:style>
  <w:style w:type="paragraph" w:styleId="BodyTextIndent">
    <w:name w:val="Body Text Indent"/>
    <w:basedOn w:val="Normal"/>
    <w:pPr>
      <w:spacing w:before="0" w:after="0" w:line="240" w:lineRule="auto"/>
      <w:ind w:left="1440"/>
      <w:jc w:val="left"/>
    </w:pPr>
    <w:rPr>
      <w:rFonts w:ascii="Times New Roman" w:hAnsi="Times New Roman" w:cs="Arial"/>
      <w:sz w:val="18"/>
    </w:rPr>
  </w:style>
  <w:style w:type="paragraph" w:styleId="BodyTextIndent3">
    <w:name w:val="Body Text Indent 3"/>
    <w:basedOn w:val="Normal"/>
    <w:pPr>
      <w:ind w:left="1440" w:hanging="1080"/>
    </w:pPr>
  </w:style>
  <w:style w:type="paragraph" w:customStyle="1" w:styleId="number">
    <w:name w:val="number"/>
    <w:basedOn w:val="Normal"/>
    <w:pPr>
      <w:numPr>
        <w:numId w:val="10"/>
      </w:numPr>
    </w:pPr>
  </w:style>
  <w:style w:type="paragraph" w:customStyle="1" w:styleId="FrontPage">
    <w:name w:val="Front Page"/>
    <w:basedOn w:val="Normal"/>
    <w:pPr>
      <w:spacing w:before="0" w:after="0" w:line="240" w:lineRule="auto"/>
      <w:jc w:val="center"/>
    </w:pPr>
    <w:rPr>
      <w:b/>
      <w:szCs w:val="20"/>
    </w:rPr>
  </w:style>
  <w:style w:type="paragraph" w:styleId="EndnoteText">
    <w:name w:val="endnote text"/>
    <w:basedOn w:val="Normal"/>
    <w:semiHidden/>
    <w:pPr>
      <w:spacing w:line="264" w:lineRule="auto"/>
    </w:pPr>
    <w:rPr>
      <w:szCs w:val="20"/>
    </w:rPr>
  </w:style>
  <w:style w:type="character" w:styleId="EndnoteReference">
    <w:name w:val="endnote reference"/>
    <w:semiHidden/>
    <w:rPr>
      <w:vertAlign w:val="superscript"/>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Courier New" w:hAnsi="Courier New" w:cs="Courier New"/>
      <w:sz w:val="20"/>
      <w:szCs w:val="20"/>
    </w:rPr>
  </w:style>
  <w:style w:type="paragraph" w:customStyle="1" w:styleId="TableNormal2">
    <w:name w:val="Table Normal2"/>
    <w:basedOn w:val="Normal"/>
    <w:pPr>
      <w:spacing w:before="80" w:after="80" w:line="312" w:lineRule="auto"/>
      <w:jc w:val="left"/>
    </w:pPr>
    <w:rPr>
      <w:rFonts w:ascii="Times New Roman" w:hAnsi="Times New Roman"/>
    </w:rPr>
  </w:style>
  <w:style w:type="paragraph" w:styleId="NormalWeb">
    <w:name w:val="Normal (Web)"/>
    <w:basedOn w:val="Normal"/>
    <w:pPr>
      <w:spacing w:before="100" w:beforeAutospacing="1" w:after="100" w:afterAutospacing="1" w:line="240" w:lineRule="auto"/>
      <w:jc w:val="left"/>
    </w:pPr>
    <w:rPr>
      <w:rFonts w:ascii="Times New Roman" w:hAnsi="Times New Roman"/>
    </w:rPr>
  </w:style>
  <w:style w:type="paragraph" w:customStyle="1" w:styleId="objectinserted">
    <w:name w:val="object inserted"/>
    <w:basedOn w:val="Normal"/>
    <w:pPr>
      <w:keepNext/>
      <w:spacing w:before="120" w:after="0" w:line="240" w:lineRule="auto"/>
      <w:jc w:val="center"/>
    </w:pPr>
    <w:rPr>
      <w:rFonts w:ascii="Times New Roman" w:hAnsi="Times New Roman"/>
    </w:rPr>
  </w:style>
  <w:style w:type="paragraph" w:customStyle="1" w:styleId="BodyText4">
    <w:name w:val="Body Text 4"/>
    <w:basedOn w:val="Normal"/>
    <w:pPr>
      <w:spacing w:before="0" w:line="240" w:lineRule="auto"/>
      <w:ind w:left="2268"/>
    </w:pPr>
    <w:rPr>
      <w:szCs w:val="20"/>
      <w:lang w:val="en-ZA"/>
    </w:rPr>
  </w:style>
  <w:style w:type="paragraph" w:customStyle="1" w:styleId="BodyText5">
    <w:name w:val="Body Text 5"/>
    <w:basedOn w:val="Normal"/>
    <w:pPr>
      <w:spacing w:before="0" w:line="240" w:lineRule="auto"/>
      <w:ind w:left="2835"/>
    </w:pPr>
    <w:rPr>
      <w:szCs w:val="20"/>
      <w:lang w:val="en-ZA"/>
    </w:rPr>
  </w:style>
  <w:style w:type="paragraph" w:customStyle="1" w:styleId="BodyText6">
    <w:name w:val="Body Text 6"/>
    <w:basedOn w:val="Normal"/>
    <w:pPr>
      <w:spacing w:before="0" w:line="240" w:lineRule="auto"/>
      <w:ind w:left="3402"/>
    </w:pPr>
    <w:rPr>
      <w:szCs w:val="20"/>
      <w:lang w:val="en-ZA"/>
    </w:rPr>
  </w:style>
  <w:style w:type="paragraph" w:customStyle="1" w:styleId="BodyText7">
    <w:name w:val="Body Text 7"/>
    <w:basedOn w:val="Normal"/>
    <w:pPr>
      <w:spacing w:before="0" w:line="240" w:lineRule="auto"/>
      <w:ind w:left="3969"/>
    </w:pPr>
    <w:rPr>
      <w:szCs w:val="20"/>
      <w:lang w:val="en-ZA"/>
    </w:rPr>
  </w:style>
  <w:style w:type="paragraph" w:customStyle="1" w:styleId="BodyText8">
    <w:name w:val="Body Text 8"/>
    <w:basedOn w:val="Normal"/>
    <w:pPr>
      <w:spacing w:before="0" w:line="240" w:lineRule="auto"/>
      <w:ind w:left="4536"/>
    </w:pPr>
    <w:rPr>
      <w:szCs w:val="20"/>
      <w:lang w:val="en-ZA"/>
    </w:rPr>
  </w:style>
  <w:style w:type="paragraph" w:customStyle="1" w:styleId="BodyText9">
    <w:name w:val="Body Text 9"/>
    <w:basedOn w:val="Normal"/>
    <w:pPr>
      <w:spacing w:before="0" w:line="240" w:lineRule="auto"/>
      <w:ind w:left="5103"/>
    </w:pPr>
    <w:rPr>
      <w:szCs w:val="20"/>
      <w:lang w:val="en-ZA"/>
    </w:rPr>
  </w:style>
  <w:style w:type="paragraph" w:customStyle="1" w:styleId="FootnoteSeparator">
    <w:name w:val="Footnote Separator"/>
    <w:basedOn w:val="Footer"/>
    <w:pPr>
      <w:pBdr>
        <w:top w:val="single" w:sz="4" w:space="1" w:color="auto"/>
      </w:pBdr>
      <w:spacing w:before="0" w:after="0" w:line="240" w:lineRule="auto"/>
    </w:pPr>
    <w:rPr>
      <w:szCs w:val="20"/>
    </w:rPr>
  </w:style>
  <w:style w:type="paragraph" w:styleId="List">
    <w:name w:val="List"/>
    <w:basedOn w:val="Heading1"/>
    <w:next w:val="BodyText"/>
    <w:pPr>
      <w:keepNext w:val="0"/>
      <w:numPr>
        <w:numId w:val="0"/>
      </w:numPr>
      <w:tabs>
        <w:tab w:val="num" w:pos="567"/>
      </w:tabs>
      <w:spacing w:before="0" w:line="240" w:lineRule="auto"/>
      <w:ind w:left="567" w:hanging="567"/>
    </w:pPr>
    <w:rPr>
      <w:rFonts w:cs="Times New Roman"/>
      <w:bCs w:val="0"/>
      <w:caps w:val="0"/>
      <w:kern w:val="0"/>
      <w:sz w:val="28"/>
      <w:szCs w:val="20"/>
      <w:lang w:val="en-ZA"/>
    </w:rPr>
  </w:style>
  <w:style w:type="paragraph" w:styleId="List2">
    <w:name w:val="List 2"/>
    <w:basedOn w:val="Heading2"/>
    <w:next w:val="BodyText2"/>
    <w:pPr>
      <w:keepNext w:val="0"/>
      <w:numPr>
        <w:ilvl w:val="0"/>
        <w:numId w:val="0"/>
      </w:numPr>
      <w:tabs>
        <w:tab w:val="num" w:pos="1134"/>
      </w:tabs>
      <w:spacing w:before="0" w:line="240" w:lineRule="auto"/>
      <w:ind w:left="1134" w:hanging="1134"/>
      <w:jc w:val="both"/>
    </w:pPr>
    <w:rPr>
      <w:bCs w:val="0"/>
      <w:sz w:val="24"/>
      <w:szCs w:val="20"/>
      <w:lang w:val="en-ZA"/>
    </w:rPr>
  </w:style>
  <w:style w:type="paragraph" w:styleId="List3">
    <w:name w:val="List 3"/>
    <w:basedOn w:val="Heading3"/>
    <w:next w:val="BodyText3"/>
    <w:pPr>
      <w:keepNext w:val="0"/>
      <w:numPr>
        <w:ilvl w:val="0"/>
        <w:numId w:val="0"/>
      </w:numPr>
      <w:tabs>
        <w:tab w:val="num" w:pos="1701"/>
      </w:tabs>
      <w:spacing w:before="0" w:line="240" w:lineRule="auto"/>
      <w:ind w:left="1701" w:hanging="1701"/>
    </w:pPr>
    <w:rPr>
      <w:rFonts w:cs="Times New Roman"/>
      <w:b w:val="0"/>
      <w:bCs w:val="0"/>
      <w:i w:val="0"/>
      <w:iCs w:val="0"/>
      <w:lang w:val="en-ZA"/>
    </w:rPr>
  </w:style>
  <w:style w:type="paragraph" w:styleId="List4">
    <w:name w:val="List 4"/>
    <w:basedOn w:val="Heading4"/>
    <w:next w:val="BodyText4"/>
    <w:pPr>
      <w:keepNext w:val="0"/>
      <w:numPr>
        <w:ilvl w:val="0"/>
        <w:numId w:val="0"/>
      </w:numPr>
      <w:tabs>
        <w:tab w:val="num" w:pos="2268"/>
      </w:tabs>
      <w:spacing w:before="0" w:line="240" w:lineRule="auto"/>
      <w:ind w:left="2268" w:hanging="2268"/>
    </w:pPr>
    <w:rPr>
      <w:rFonts w:cs="Times New Roman"/>
      <w:b w:val="0"/>
      <w:bCs w:val="0"/>
      <w:i w:val="0"/>
      <w:iCs w:val="0"/>
      <w:szCs w:val="20"/>
      <w:lang w:val="en-ZA"/>
    </w:rPr>
  </w:style>
  <w:style w:type="paragraph" w:styleId="List5">
    <w:name w:val="List 5"/>
    <w:basedOn w:val="Heading5"/>
    <w:next w:val="BodyText5"/>
    <w:pPr>
      <w:keepNext w:val="0"/>
      <w:numPr>
        <w:ilvl w:val="0"/>
        <w:numId w:val="0"/>
      </w:numPr>
      <w:tabs>
        <w:tab w:val="clear" w:pos="2340"/>
        <w:tab w:val="num" w:pos="2268"/>
        <w:tab w:val="num" w:pos="2835"/>
      </w:tabs>
      <w:spacing w:before="0" w:line="240" w:lineRule="auto"/>
      <w:ind w:left="2835" w:hanging="2835"/>
      <w:jc w:val="both"/>
    </w:pPr>
    <w:rPr>
      <w:b w:val="0"/>
      <w:bCs w:val="0"/>
      <w:szCs w:val="20"/>
      <w:lang w:val="en-ZA"/>
    </w:rPr>
  </w:style>
  <w:style w:type="paragraph" w:customStyle="1" w:styleId="List6">
    <w:name w:val="List 6"/>
    <w:basedOn w:val="Heading6"/>
    <w:next w:val="BodyText6"/>
    <w:pPr>
      <w:keepNext w:val="0"/>
      <w:numPr>
        <w:ilvl w:val="0"/>
        <w:numId w:val="0"/>
      </w:numPr>
      <w:tabs>
        <w:tab w:val="num" w:pos="3402"/>
      </w:tabs>
      <w:spacing w:before="0" w:line="240" w:lineRule="auto"/>
      <w:ind w:left="3402" w:hanging="3402"/>
    </w:pPr>
    <w:rPr>
      <w:szCs w:val="20"/>
      <w:lang w:val="en-ZA"/>
    </w:rPr>
  </w:style>
  <w:style w:type="paragraph" w:customStyle="1" w:styleId="List7">
    <w:name w:val="List 7"/>
    <w:basedOn w:val="Heading7"/>
    <w:next w:val="BodyText7"/>
    <w:pPr>
      <w:numPr>
        <w:ilvl w:val="0"/>
        <w:numId w:val="0"/>
      </w:numPr>
      <w:tabs>
        <w:tab w:val="num" w:pos="3175"/>
      </w:tabs>
      <w:spacing w:before="0" w:line="240" w:lineRule="auto"/>
      <w:ind w:left="3175" w:hanging="3175"/>
    </w:pPr>
    <w:rPr>
      <w:rFonts w:ascii="Arial" w:hAnsi="Arial"/>
      <w:szCs w:val="20"/>
      <w:lang w:val="en-ZA"/>
    </w:rPr>
  </w:style>
  <w:style w:type="paragraph" w:styleId="NormalIndent">
    <w:name w:val="Normal Indent"/>
    <w:basedOn w:val="Normal"/>
    <w:pPr>
      <w:spacing w:before="0" w:after="0" w:line="240" w:lineRule="auto"/>
      <w:ind w:left="720"/>
    </w:pPr>
    <w:rPr>
      <w:szCs w:val="20"/>
      <w:lang w:val="en-ZA"/>
    </w:rPr>
  </w:style>
  <w:style w:type="paragraph" w:customStyle="1" w:styleId="SubHeading">
    <w:name w:val="Sub Heading"/>
    <w:basedOn w:val="Normal"/>
    <w:next w:val="BodyTextIndent"/>
    <w:pPr>
      <w:keepNext/>
      <w:pBdr>
        <w:bottom w:val="single" w:sz="6" w:space="3" w:color="auto"/>
      </w:pBdr>
      <w:spacing w:line="240" w:lineRule="auto"/>
      <w:jc w:val="right"/>
    </w:pPr>
    <w:rPr>
      <w:b/>
      <w:smallCaps/>
      <w:sz w:val="28"/>
      <w:szCs w:val="20"/>
      <w:lang w:val="en-ZA"/>
    </w:rPr>
  </w:style>
  <w:style w:type="paragraph" w:customStyle="1" w:styleId="Sub1">
    <w:name w:val="Sub1"/>
    <w:basedOn w:val="Normal"/>
    <w:next w:val="Normal"/>
    <w:pPr>
      <w:numPr>
        <w:numId w:val="7"/>
      </w:numPr>
      <w:spacing w:before="0" w:after="0" w:line="240" w:lineRule="auto"/>
    </w:pPr>
    <w:rPr>
      <w:szCs w:val="20"/>
      <w:lang w:val="en-ZA"/>
    </w:rPr>
  </w:style>
  <w:style w:type="paragraph" w:customStyle="1" w:styleId="Sub2">
    <w:name w:val="Sub2"/>
    <w:basedOn w:val="Normal"/>
    <w:next w:val="Normal"/>
    <w:pPr>
      <w:numPr>
        <w:numId w:val="8"/>
      </w:numPr>
      <w:spacing w:before="0" w:after="0" w:line="240" w:lineRule="auto"/>
      <w:ind w:left="1134"/>
    </w:pPr>
    <w:rPr>
      <w:szCs w:val="20"/>
      <w:lang w:val="en-ZA"/>
    </w:rPr>
  </w:style>
  <w:style w:type="paragraph" w:customStyle="1" w:styleId="Sub3">
    <w:name w:val="Sub3"/>
    <w:basedOn w:val="Normal"/>
    <w:next w:val="Normal"/>
    <w:pPr>
      <w:numPr>
        <w:numId w:val="9"/>
      </w:numPr>
      <w:spacing w:before="0" w:after="0" w:line="240" w:lineRule="auto"/>
    </w:pPr>
    <w:rPr>
      <w:szCs w:val="20"/>
      <w:lang w:val="en-ZA"/>
    </w:rPr>
  </w:style>
  <w:style w:type="paragraph" w:customStyle="1" w:styleId="TableofContents">
    <w:name w:val="Table of Contents"/>
    <w:basedOn w:val="Normal"/>
    <w:next w:val="Normal"/>
    <w:pPr>
      <w:keepNext/>
      <w:pBdr>
        <w:top w:val="double" w:sz="4" w:space="3" w:color="auto"/>
        <w:left w:val="double" w:sz="4" w:space="4" w:color="auto"/>
        <w:bottom w:val="double" w:sz="4" w:space="3" w:color="auto"/>
        <w:right w:val="double" w:sz="4" w:space="4" w:color="auto"/>
      </w:pBdr>
      <w:shd w:val="pct10" w:color="auto" w:fill="FFFFFF"/>
      <w:spacing w:before="0" w:after="0" w:line="240" w:lineRule="auto"/>
      <w:jc w:val="center"/>
    </w:pPr>
    <w:rPr>
      <w:b/>
      <w:smallCaps/>
      <w:sz w:val="32"/>
      <w:szCs w:val="20"/>
      <w:lang w:val="en-ZA"/>
    </w:rPr>
  </w:style>
  <w:style w:type="character" w:styleId="Emphasis">
    <w:name w:val="Emphasis"/>
    <w:qFormat/>
    <w:rPr>
      <w:i/>
      <w:iCs/>
    </w:rPr>
  </w:style>
  <w:style w:type="paragraph" w:customStyle="1" w:styleId="StyleHeading3NotItalic">
    <w:name w:val="Style Heading 3 + Not Italic"/>
    <w:basedOn w:val="Heading3"/>
    <w:pPr>
      <w:keepNext w:val="0"/>
      <w:numPr>
        <w:ilvl w:val="0"/>
        <w:numId w:val="0"/>
      </w:numPr>
      <w:tabs>
        <w:tab w:val="num" w:pos="360"/>
      </w:tabs>
      <w:spacing w:before="0" w:line="240" w:lineRule="auto"/>
      <w:ind w:left="360" w:hanging="360"/>
    </w:pPr>
    <w:rPr>
      <w:rFonts w:cs="Times New Roman"/>
      <w:b w:val="0"/>
      <w:bCs w:val="0"/>
      <w:iCs w:val="0"/>
      <w:lang w:val="en-ZA"/>
    </w:rPr>
  </w:style>
  <w:style w:type="character" w:styleId="FollowedHyperlink">
    <w:name w:val="FollowedHyperlink"/>
    <w:rPr>
      <w:color w:val="800080"/>
      <w:u w:val="single"/>
    </w:rPr>
  </w:style>
  <w:style w:type="paragraph" w:customStyle="1" w:styleId="normaltableresearch">
    <w:name w:val="normal table research"/>
    <w:basedOn w:val="TableNormal1"/>
    <w:rPr>
      <w:sz w:val="20"/>
    </w:rPr>
  </w:style>
  <w:style w:type="paragraph" w:customStyle="1" w:styleId="normalreference">
    <w:name w:val="normal reference"/>
    <w:basedOn w:val="Normal"/>
    <w:pPr>
      <w:spacing w:before="480" w:after="480"/>
      <w:jc w:val="left"/>
    </w:pPr>
  </w:style>
  <w:style w:type="paragraph" w:styleId="ListBullet">
    <w:name w:val="List Bullet"/>
    <w:basedOn w:val="Normal"/>
    <w:autoRedefine/>
    <w:pPr>
      <w:numPr>
        <w:numId w:val="5"/>
      </w:numPr>
      <w:spacing w:before="0" w:after="0" w:line="240" w:lineRule="auto"/>
      <w:jc w:val="left"/>
    </w:pPr>
    <w:rPr>
      <w:sz w:val="22"/>
      <w:szCs w:val="20"/>
      <w:lang w:val="en-ZA"/>
    </w:rPr>
  </w:style>
  <w:style w:type="paragraph" w:customStyle="1" w:styleId="figureheading">
    <w:name w:val="figure heading"/>
    <w:basedOn w:val="Footer"/>
    <w:pPr>
      <w:keepNext/>
      <w:tabs>
        <w:tab w:val="clear" w:pos="4320"/>
        <w:tab w:val="clear" w:pos="8640"/>
      </w:tabs>
      <w:spacing w:after="0" w:line="288" w:lineRule="auto"/>
    </w:pPr>
    <w:rPr>
      <w:b/>
      <w:bCs/>
      <w:sz w:val="22"/>
      <w:u w:val="single"/>
    </w:rPr>
  </w:style>
  <w:style w:type="character" w:customStyle="1" w:styleId="emailstyle15">
    <w:name w:val="emailstyle15"/>
    <w:rPr>
      <w:rFonts w:ascii="Arial" w:hAnsi="Arial" w:cs="Arial"/>
      <w:color w:val="000000"/>
      <w:sz w:val="20"/>
    </w:rPr>
  </w:style>
  <w:style w:type="paragraph" w:styleId="TableofFigures">
    <w:name w:val="table of figures"/>
    <w:basedOn w:val="Normal"/>
    <w:next w:val="Normal"/>
    <w:uiPriority w:val="99"/>
    <w:rsid w:val="00DA5374"/>
  </w:style>
  <w:style w:type="paragraph" w:customStyle="1" w:styleId="numberalpha">
    <w:name w:val="number alpha"/>
    <w:basedOn w:val="Normal"/>
    <w:pPr>
      <w:numPr>
        <w:numId w:val="11"/>
      </w:numPr>
    </w:pPr>
  </w:style>
  <w:style w:type="paragraph" w:styleId="BalloonText">
    <w:name w:val="Balloon Text"/>
    <w:basedOn w:val="Normal"/>
    <w:link w:val="BalloonTextChar"/>
    <w:rsid w:val="007E07ED"/>
    <w:pPr>
      <w:spacing w:before="0" w:after="0" w:line="240" w:lineRule="auto"/>
    </w:pPr>
    <w:rPr>
      <w:rFonts w:ascii="Tahoma" w:hAnsi="Tahoma" w:cs="Tahoma"/>
      <w:sz w:val="16"/>
      <w:szCs w:val="16"/>
    </w:rPr>
  </w:style>
  <w:style w:type="character" w:customStyle="1" w:styleId="BalloonTextChar">
    <w:name w:val="Balloon Text Char"/>
    <w:link w:val="BalloonText"/>
    <w:rsid w:val="007E07ED"/>
    <w:rPr>
      <w:rFonts w:ascii="Tahoma" w:hAnsi="Tahoma" w:cs="Tahoma"/>
      <w:sz w:val="16"/>
      <w:szCs w:val="16"/>
      <w:lang w:val="en-GB" w:eastAsia="en-US"/>
    </w:rPr>
  </w:style>
  <w:style w:type="paragraph" w:styleId="ListParagraph">
    <w:name w:val="List Paragraph"/>
    <w:basedOn w:val="Normal"/>
    <w:uiPriority w:val="34"/>
    <w:qFormat/>
    <w:rsid w:val="006A5C0B"/>
    <w:pPr>
      <w:ind w:left="720"/>
      <w:contextualSpacing/>
    </w:pPr>
  </w:style>
  <w:style w:type="character" w:customStyle="1" w:styleId="FooterChar">
    <w:name w:val="Footer Char"/>
    <w:basedOn w:val="DefaultParagraphFont"/>
    <w:link w:val="Footer"/>
    <w:uiPriority w:val="99"/>
    <w:rsid w:val="00340D42"/>
    <w:rPr>
      <w:rFonts w:ascii="Arial" w:hAnsi="Arial"/>
      <w:sz w:val="24"/>
      <w:szCs w:val="24"/>
      <w:lang w:val="en-GB" w:eastAsia="en-US"/>
    </w:rPr>
  </w:style>
  <w:style w:type="paragraph" w:customStyle="1" w:styleId="TableNormal3">
    <w:name w:val="Table Normal3"/>
    <w:basedOn w:val="Normal"/>
    <w:rsid w:val="00E32E67"/>
    <w:pPr>
      <w:spacing w:before="60" w:after="60" w:line="288" w:lineRule="auto"/>
      <w:jc w:val="left"/>
    </w:pPr>
  </w:style>
  <w:style w:type="paragraph" w:customStyle="1" w:styleId="Default">
    <w:name w:val="Default"/>
    <w:rsid w:val="00914A51"/>
    <w:pPr>
      <w:autoSpaceDE w:val="0"/>
      <w:autoSpaceDN w:val="0"/>
      <w:adjustRightInd w:val="0"/>
    </w:pPr>
    <w:rPr>
      <w:color w:val="000000"/>
      <w:sz w:val="24"/>
      <w:szCs w:val="24"/>
    </w:rPr>
  </w:style>
  <w:style w:type="table" w:styleId="TableGrid">
    <w:name w:val="Table Grid"/>
    <w:basedOn w:val="TableNormal"/>
    <w:uiPriority w:val="59"/>
    <w:rsid w:val="00F43F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B50256"/>
    <w:rPr>
      <w:sz w:val="16"/>
      <w:szCs w:val="16"/>
    </w:rPr>
  </w:style>
  <w:style w:type="paragraph" w:styleId="CommentText">
    <w:name w:val="annotation text"/>
    <w:basedOn w:val="Normal"/>
    <w:link w:val="CommentTextChar"/>
    <w:rsid w:val="00B50256"/>
    <w:pPr>
      <w:spacing w:line="240" w:lineRule="auto"/>
    </w:pPr>
    <w:rPr>
      <w:sz w:val="20"/>
      <w:szCs w:val="20"/>
    </w:rPr>
  </w:style>
  <w:style w:type="character" w:customStyle="1" w:styleId="CommentTextChar">
    <w:name w:val="Comment Text Char"/>
    <w:basedOn w:val="DefaultParagraphFont"/>
    <w:link w:val="CommentText"/>
    <w:rsid w:val="00B50256"/>
    <w:rPr>
      <w:rFonts w:ascii="Arial" w:hAnsi="Arial"/>
      <w:lang w:val="en-GB" w:eastAsia="en-US"/>
    </w:rPr>
  </w:style>
  <w:style w:type="paragraph" w:styleId="CommentSubject">
    <w:name w:val="annotation subject"/>
    <w:basedOn w:val="CommentText"/>
    <w:next w:val="CommentText"/>
    <w:link w:val="CommentSubjectChar"/>
    <w:rsid w:val="00B50256"/>
    <w:rPr>
      <w:b/>
      <w:bCs/>
    </w:rPr>
  </w:style>
  <w:style w:type="character" w:customStyle="1" w:styleId="CommentSubjectChar">
    <w:name w:val="Comment Subject Char"/>
    <w:basedOn w:val="CommentTextChar"/>
    <w:link w:val="CommentSubject"/>
    <w:rsid w:val="00B50256"/>
    <w:rPr>
      <w:rFonts w:ascii="Arial" w:hAnsi="Arial"/>
      <w:b/>
      <w:bCs/>
      <w:lang w:val="en-GB" w:eastAsia="en-US"/>
    </w:rPr>
  </w:style>
  <w:style w:type="character" w:customStyle="1" w:styleId="Heading3Char">
    <w:name w:val="Heading 3 Char"/>
    <w:basedOn w:val="DefaultParagraphFont"/>
    <w:link w:val="Heading3"/>
    <w:rsid w:val="006D68EB"/>
    <w:rPr>
      <w:rFonts w:ascii="Arial (W1)" w:hAnsi="Arial (W1)" w:cs="Arial"/>
      <w:b/>
      <w:bCs/>
      <w:i/>
      <w:iCs/>
      <w:sz w:val="24"/>
      <w:szCs w:val="24"/>
      <w:lang w:val="en-GB" w:eastAsia="en-US"/>
    </w:rPr>
  </w:style>
  <w:style w:type="character" w:customStyle="1" w:styleId="nowrap1">
    <w:name w:val="nowrap1"/>
    <w:basedOn w:val="DefaultParagraphFont"/>
    <w:rsid w:val="00925560"/>
  </w:style>
  <w:style w:type="character" w:customStyle="1" w:styleId="ipa">
    <w:name w:val="ipa"/>
    <w:basedOn w:val="DefaultParagraphFont"/>
    <w:rsid w:val="00925560"/>
  </w:style>
  <w:style w:type="character" w:customStyle="1" w:styleId="citation">
    <w:name w:val="citation"/>
    <w:basedOn w:val="DefaultParagraphFont"/>
    <w:rsid w:val="00925560"/>
  </w:style>
  <w:style w:type="table" w:customStyle="1" w:styleId="TableGrid1">
    <w:name w:val="Table Grid1"/>
    <w:basedOn w:val="TableNormal"/>
    <w:next w:val="TableGrid"/>
    <w:uiPriority w:val="59"/>
    <w:rsid w:val="006C545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5363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53636"/>
    <w:rPr>
      <w:rFonts w:asciiTheme="minorHAnsi" w:eastAsiaTheme="minorEastAsia"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A48A0"/>
    <w:rPr>
      <w:rFonts w:ascii="Cambria" w:hAnsi="Cambr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FB60F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C12D2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C12D2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04627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09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342636">
      <w:marLeft w:val="0"/>
      <w:marRight w:val="0"/>
      <w:marTop w:val="0"/>
      <w:marBottom w:val="0"/>
      <w:divBdr>
        <w:top w:val="none" w:sz="0" w:space="0" w:color="auto"/>
        <w:left w:val="none" w:sz="0" w:space="0" w:color="auto"/>
        <w:bottom w:val="none" w:sz="0" w:space="0" w:color="auto"/>
        <w:right w:val="none" w:sz="0" w:space="0" w:color="auto"/>
      </w:divBdr>
      <w:divsChild>
        <w:div w:id="295379214">
          <w:marLeft w:val="0"/>
          <w:marRight w:val="0"/>
          <w:marTop w:val="0"/>
          <w:marBottom w:val="0"/>
          <w:divBdr>
            <w:top w:val="none" w:sz="0" w:space="0" w:color="auto"/>
            <w:left w:val="none" w:sz="0" w:space="0" w:color="auto"/>
            <w:bottom w:val="none" w:sz="0" w:space="0" w:color="auto"/>
            <w:right w:val="none" w:sz="0" w:space="0" w:color="auto"/>
          </w:divBdr>
          <w:divsChild>
            <w:div w:id="363286177">
              <w:marLeft w:val="0"/>
              <w:marRight w:val="0"/>
              <w:marTop w:val="0"/>
              <w:marBottom w:val="0"/>
              <w:divBdr>
                <w:top w:val="none" w:sz="0" w:space="0" w:color="auto"/>
                <w:left w:val="none" w:sz="0" w:space="0" w:color="auto"/>
                <w:bottom w:val="none" w:sz="0" w:space="0" w:color="auto"/>
                <w:right w:val="none" w:sz="0" w:space="0" w:color="auto"/>
              </w:divBdr>
              <w:divsChild>
                <w:div w:id="1152600113">
                  <w:marLeft w:val="0"/>
                  <w:marRight w:val="0"/>
                  <w:marTop w:val="0"/>
                  <w:marBottom w:val="0"/>
                  <w:divBdr>
                    <w:top w:val="none" w:sz="0" w:space="0" w:color="auto"/>
                    <w:left w:val="none" w:sz="0" w:space="0" w:color="auto"/>
                    <w:bottom w:val="none" w:sz="0" w:space="0" w:color="auto"/>
                    <w:right w:val="none" w:sz="0" w:space="0" w:color="auto"/>
                  </w:divBdr>
                  <w:divsChild>
                    <w:div w:id="1685595744">
                      <w:marLeft w:val="0"/>
                      <w:marRight w:val="0"/>
                      <w:marTop w:val="0"/>
                      <w:marBottom w:val="0"/>
                      <w:divBdr>
                        <w:top w:val="none" w:sz="0" w:space="0" w:color="auto"/>
                        <w:left w:val="none" w:sz="0" w:space="0" w:color="auto"/>
                        <w:bottom w:val="none" w:sz="0" w:space="0" w:color="auto"/>
                        <w:right w:val="none" w:sz="0" w:space="0" w:color="auto"/>
                      </w:divBdr>
                      <w:divsChild>
                        <w:div w:id="984235725">
                          <w:marLeft w:val="0"/>
                          <w:marRight w:val="0"/>
                          <w:marTop w:val="0"/>
                          <w:marBottom w:val="0"/>
                          <w:divBdr>
                            <w:top w:val="none" w:sz="0" w:space="0" w:color="auto"/>
                            <w:left w:val="none" w:sz="0" w:space="0" w:color="auto"/>
                            <w:bottom w:val="none" w:sz="0" w:space="0" w:color="auto"/>
                            <w:right w:val="none" w:sz="0" w:space="0" w:color="auto"/>
                          </w:divBdr>
                          <w:divsChild>
                            <w:div w:id="1445616698">
                              <w:marLeft w:val="0"/>
                              <w:marRight w:val="0"/>
                              <w:marTop w:val="0"/>
                              <w:marBottom w:val="0"/>
                              <w:divBdr>
                                <w:top w:val="none" w:sz="0" w:space="0" w:color="auto"/>
                                <w:left w:val="none" w:sz="0" w:space="0" w:color="auto"/>
                                <w:bottom w:val="none" w:sz="0" w:space="0" w:color="auto"/>
                                <w:right w:val="none" w:sz="0" w:space="0" w:color="auto"/>
                              </w:divBdr>
                              <w:divsChild>
                                <w:div w:id="1991207679">
                                  <w:marLeft w:val="0"/>
                                  <w:marRight w:val="0"/>
                                  <w:marTop w:val="0"/>
                                  <w:marBottom w:val="0"/>
                                  <w:divBdr>
                                    <w:top w:val="none" w:sz="0" w:space="0" w:color="auto"/>
                                    <w:left w:val="none" w:sz="0" w:space="0" w:color="auto"/>
                                    <w:bottom w:val="none" w:sz="0" w:space="0" w:color="auto"/>
                                    <w:right w:val="none" w:sz="0" w:space="0" w:color="auto"/>
                                  </w:divBdr>
                                  <w:divsChild>
                                    <w:div w:id="366608534">
                                      <w:marLeft w:val="0"/>
                                      <w:marRight w:val="0"/>
                                      <w:marTop w:val="0"/>
                                      <w:marBottom w:val="0"/>
                                      <w:divBdr>
                                        <w:top w:val="none" w:sz="0" w:space="0" w:color="auto"/>
                                        <w:left w:val="none" w:sz="0" w:space="0" w:color="auto"/>
                                        <w:bottom w:val="none" w:sz="0" w:space="0" w:color="auto"/>
                                        <w:right w:val="none" w:sz="0" w:space="0" w:color="auto"/>
                                      </w:divBdr>
                                      <w:divsChild>
                                        <w:div w:id="20245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6904003">
      <w:marLeft w:val="0"/>
      <w:marRight w:val="0"/>
      <w:marTop w:val="0"/>
      <w:marBottom w:val="0"/>
      <w:divBdr>
        <w:top w:val="none" w:sz="0" w:space="0" w:color="auto"/>
        <w:left w:val="none" w:sz="0" w:space="0" w:color="auto"/>
        <w:bottom w:val="none" w:sz="0" w:space="0" w:color="auto"/>
        <w:right w:val="none" w:sz="0" w:space="0" w:color="auto"/>
      </w:divBdr>
      <w:divsChild>
        <w:div w:id="393436067">
          <w:marLeft w:val="0"/>
          <w:marRight w:val="0"/>
          <w:marTop w:val="0"/>
          <w:marBottom w:val="0"/>
          <w:divBdr>
            <w:top w:val="none" w:sz="0" w:space="0" w:color="auto"/>
            <w:left w:val="none" w:sz="0" w:space="0" w:color="auto"/>
            <w:bottom w:val="none" w:sz="0" w:space="0" w:color="auto"/>
            <w:right w:val="none" w:sz="0" w:space="0" w:color="auto"/>
          </w:divBdr>
          <w:divsChild>
            <w:div w:id="133184280">
              <w:marLeft w:val="0"/>
              <w:marRight w:val="0"/>
              <w:marTop w:val="0"/>
              <w:marBottom w:val="0"/>
              <w:divBdr>
                <w:top w:val="none" w:sz="0" w:space="0" w:color="auto"/>
                <w:left w:val="none" w:sz="0" w:space="0" w:color="auto"/>
                <w:bottom w:val="none" w:sz="0" w:space="0" w:color="auto"/>
                <w:right w:val="none" w:sz="0" w:space="0" w:color="auto"/>
              </w:divBdr>
              <w:divsChild>
                <w:div w:id="1595698397">
                  <w:marLeft w:val="0"/>
                  <w:marRight w:val="0"/>
                  <w:marTop w:val="0"/>
                  <w:marBottom w:val="0"/>
                  <w:divBdr>
                    <w:top w:val="none" w:sz="0" w:space="0" w:color="auto"/>
                    <w:left w:val="none" w:sz="0" w:space="0" w:color="auto"/>
                    <w:bottom w:val="none" w:sz="0" w:space="0" w:color="auto"/>
                    <w:right w:val="none" w:sz="0" w:space="0" w:color="auto"/>
                  </w:divBdr>
                  <w:divsChild>
                    <w:div w:id="681974304">
                      <w:marLeft w:val="0"/>
                      <w:marRight w:val="0"/>
                      <w:marTop w:val="0"/>
                      <w:marBottom w:val="0"/>
                      <w:divBdr>
                        <w:top w:val="none" w:sz="0" w:space="0" w:color="auto"/>
                        <w:left w:val="none" w:sz="0" w:space="0" w:color="auto"/>
                        <w:bottom w:val="none" w:sz="0" w:space="0" w:color="auto"/>
                        <w:right w:val="none" w:sz="0" w:space="0" w:color="auto"/>
                      </w:divBdr>
                      <w:divsChild>
                        <w:div w:id="1706979697">
                          <w:marLeft w:val="0"/>
                          <w:marRight w:val="0"/>
                          <w:marTop w:val="0"/>
                          <w:marBottom w:val="0"/>
                          <w:divBdr>
                            <w:top w:val="none" w:sz="0" w:space="0" w:color="auto"/>
                            <w:left w:val="none" w:sz="0" w:space="0" w:color="auto"/>
                            <w:bottom w:val="none" w:sz="0" w:space="0" w:color="auto"/>
                            <w:right w:val="none" w:sz="0" w:space="0" w:color="auto"/>
                          </w:divBdr>
                          <w:divsChild>
                            <w:div w:id="811211367">
                              <w:marLeft w:val="0"/>
                              <w:marRight w:val="0"/>
                              <w:marTop w:val="0"/>
                              <w:marBottom w:val="0"/>
                              <w:divBdr>
                                <w:top w:val="none" w:sz="0" w:space="0" w:color="auto"/>
                                <w:left w:val="none" w:sz="0" w:space="0" w:color="auto"/>
                                <w:bottom w:val="none" w:sz="0" w:space="0" w:color="auto"/>
                                <w:right w:val="none" w:sz="0" w:space="0" w:color="auto"/>
                              </w:divBdr>
                              <w:divsChild>
                                <w:div w:id="1964533278">
                                  <w:marLeft w:val="0"/>
                                  <w:marRight w:val="0"/>
                                  <w:marTop w:val="0"/>
                                  <w:marBottom w:val="0"/>
                                  <w:divBdr>
                                    <w:top w:val="none" w:sz="0" w:space="0" w:color="auto"/>
                                    <w:left w:val="none" w:sz="0" w:space="0" w:color="auto"/>
                                    <w:bottom w:val="none" w:sz="0" w:space="0" w:color="auto"/>
                                    <w:right w:val="none" w:sz="0" w:space="0" w:color="auto"/>
                                  </w:divBdr>
                                  <w:divsChild>
                                    <w:div w:id="318271238">
                                      <w:marLeft w:val="0"/>
                                      <w:marRight w:val="0"/>
                                      <w:marTop w:val="0"/>
                                      <w:marBottom w:val="0"/>
                                      <w:divBdr>
                                        <w:top w:val="none" w:sz="0" w:space="0" w:color="auto"/>
                                        <w:left w:val="none" w:sz="0" w:space="0" w:color="auto"/>
                                        <w:bottom w:val="none" w:sz="0" w:space="0" w:color="auto"/>
                                        <w:right w:val="none" w:sz="0" w:space="0" w:color="auto"/>
                                      </w:divBdr>
                                      <w:divsChild>
                                        <w:div w:id="179104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2620525">
      <w:bodyDiv w:val="1"/>
      <w:marLeft w:val="0"/>
      <w:marRight w:val="0"/>
      <w:marTop w:val="0"/>
      <w:marBottom w:val="0"/>
      <w:divBdr>
        <w:top w:val="none" w:sz="0" w:space="0" w:color="auto"/>
        <w:left w:val="none" w:sz="0" w:space="0" w:color="auto"/>
        <w:bottom w:val="none" w:sz="0" w:space="0" w:color="auto"/>
        <w:right w:val="none" w:sz="0" w:space="0" w:color="auto"/>
      </w:divBdr>
      <w:divsChild>
        <w:div w:id="515658351">
          <w:marLeft w:val="0"/>
          <w:marRight w:val="0"/>
          <w:marTop w:val="0"/>
          <w:marBottom w:val="0"/>
          <w:divBdr>
            <w:top w:val="none" w:sz="0" w:space="0" w:color="auto"/>
            <w:left w:val="none" w:sz="0" w:space="0" w:color="auto"/>
            <w:bottom w:val="none" w:sz="0" w:space="0" w:color="auto"/>
            <w:right w:val="none" w:sz="0" w:space="0" w:color="auto"/>
          </w:divBdr>
          <w:divsChild>
            <w:div w:id="890725594">
              <w:marLeft w:val="0"/>
              <w:marRight w:val="0"/>
              <w:marTop w:val="0"/>
              <w:marBottom w:val="0"/>
              <w:divBdr>
                <w:top w:val="none" w:sz="0" w:space="0" w:color="auto"/>
                <w:left w:val="none" w:sz="0" w:space="0" w:color="auto"/>
                <w:bottom w:val="none" w:sz="0" w:space="0" w:color="auto"/>
                <w:right w:val="none" w:sz="0" w:space="0" w:color="auto"/>
              </w:divBdr>
              <w:divsChild>
                <w:div w:id="804085014">
                  <w:marLeft w:val="0"/>
                  <w:marRight w:val="0"/>
                  <w:marTop w:val="0"/>
                  <w:marBottom w:val="0"/>
                  <w:divBdr>
                    <w:top w:val="none" w:sz="0" w:space="0" w:color="auto"/>
                    <w:left w:val="none" w:sz="0" w:space="0" w:color="auto"/>
                    <w:bottom w:val="none" w:sz="0" w:space="0" w:color="auto"/>
                    <w:right w:val="none" w:sz="0" w:space="0" w:color="auto"/>
                  </w:divBdr>
                  <w:divsChild>
                    <w:div w:id="1644626508">
                      <w:marLeft w:val="0"/>
                      <w:marRight w:val="0"/>
                      <w:marTop w:val="0"/>
                      <w:marBottom w:val="0"/>
                      <w:divBdr>
                        <w:top w:val="none" w:sz="0" w:space="0" w:color="auto"/>
                        <w:left w:val="none" w:sz="0" w:space="0" w:color="auto"/>
                        <w:bottom w:val="none" w:sz="0" w:space="0" w:color="auto"/>
                        <w:right w:val="none" w:sz="0" w:space="0" w:color="auto"/>
                      </w:divBdr>
                      <w:divsChild>
                        <w:div w:id="1194229484">
                          <w:marLeft w:val="0"/>
                          <w:marRight w:val="0"/>
                          <w:marTop w:val="0"/>
                          <w:marBottom w:val="0"/>
                          <w:divBdr>
                            <w:top w:val="none" w:sz="0" w:space="0" w:color="auto"/>
                            <w:left w:val="none" w:sz="0" w:space="0" w:color="auto"/>
                            <w:bottom w:val="none" w:sz="0" w:space="0" w:color="auto"/>
                            <w:right w:val="none" w:sz="0" w:space="0" w:color="auto"/>
                          </w:divBdr>
                          <w:divsChild>
                            <w:div w:id="1017267493">
                              <w:marLeft w:val="0"/>
                              <w:marRight w:val="0"/>
                              <w:marTop w:val="0"/>
                              <w:marBottom w:val="0"/>
                              <w:divBdr>
                                <w:top w:val="none" w:sz="0" w:space="0" w:color="auto"/>
                                <w:left w:val="none" w:sz="0" w:space="0" w:color="auto"/>
                                <w:bottom w:val="none" w:sz="0" w:space="0" w:color="auto"/>
                                <w:right w:val="none" w:sz="0" w:space="0" w:color="auto"/>
                              </w:divBdr>
                              <w:divsChild>
                                <w:div w:id="1443644582">
                                  <w:marLeft w:val="0"/>
                                  <w:marRight w:val="0"/>
                                  <w:marTop w:val="0"/>
                                  <w:marBottom w:val="0"/>
                                  <w:divBdr>
                                    <w:top w:val="none" w:sz="0" w:space="0" w:color="auto"/>
                                    <w:left w:val="none" w:sz="0" w:space="0" w:color="auto"/>
                                    <w:bottom w:val="none" w:sz="0" w:space="0" w:color="auto"/>
                                    <w:right w:val="none" w:sz="0" w:space="0" w:color="auto"/>
                                  </w:divBdr>
                                  <w:divsChild>
                                    <w:div w:id="2015256888">
                                      <w:marLeft w:val="0"/>
                                      <w:marRight w:val="0"/>
                                      <w:marTop w:val="0"/>
                                      <w:marBottom w:val="0"/>
                                      <w:divBdr>
                                        <w:top w:val="none" w:sz="0" w:space="0" w:color="auto"/>
                                        <w:left w:val="none" w:sz="0" w:space="0" w:color="auto"/>
                                        <w:bottom w:val="none" w:sz="0" w:space="0" w:color="auto"/>
                                        <w:right w:val="none" w:sz="0" w:space="0" w:color="auto"/>
                                      </w:divBdr>
                                      <w:divsChild>
                                        <w:div w:id="1656030515">
                                          <w:marLeft w:val="0"/>
                                          <w:marRight w:val="0"/>
                                          <w:marTop w:val="0"/>
                                          <w:marBottom w:val="0"/>
                                          <w:divBdr>
                                            <w:top w:val="none" w:sz="0" w:space="0" w:color="auto"/>
                                            <w:left w:val="none" w:sz="0" w:space="0" w:color="auto"/>
                                            <w:bottom w:val="none" w:sz="0" w:space="0" w:color="auto"/>
                                            <w:right w:val="none" w:sz="0" w:space="0" w:color="auto"/>
                                          </w:divBdr>
                                          <w:divsChild>
                                            <w:div w:id="9459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0350302">
      <w:bodyDiv w:val="1"/>
      <w:marLeft w:val="0"/>
      <w:marRight w:val="0"/>
      <w:marTop w:val="0"/>
      <w:marBottom w:val="0"/>
      <w:divBdr>
        <w:top w:val="none" w:sz="0" w:space="0" w:color="auto"/>
        <w:left w:val="none" w:sz="0" w:space="0" w:color="auto"/>
        <w:bottom w:val="none" w:sz="0" w:space="0" w:color="auto"/>
        <w:right w:val="none" w:sz="0" w:space="0" w:color="auto"/>
      </w:divBdr>
    </w:div>
    <w:div w:id="761489436">
      <w:bodyDiv w:val="1"/>
      <w:marLeft w:val="0"/>
      <w:marRight w:val="0"/>
      <w:marTop w:val="0"/>
      <w:marBottom w:val="0"/>
      <w:divBdr>
        <w:top w:val="none" w:sz="0" w:space="0" w:color="auto"/>
        <w:left w:val="none" w:sz="0" w:space="0" w:color="auto"/>
        <w:bottom w:val="none" w:sz="0" w:space="0" w:color="auto"/>
        <w:right w:val="none" w:sz="0" w:space="0" w:color="auto"/>
      </w:divBdr>
    </w:div>
    <w:div w:id="926425444">
      <w:bodyDiv w:val="1"/>
      <w:marLeft w:val="0"/>
      <w:marRight w:val="0"/>
      <w:marTop w:val="0"/>
      <w:marBottom w:val="0"/>
      <w:divBdr>
        <w:top w:val="none" w:sz="0" w:space="0" w:color="auto"/>
        <w:left w:val="none" w:sz="0" w:space="0" w:color="auto"/>
        <w:bottom w:val="none" w:sz="0" w:space="0" w:color="auto"/>
        <w:right w:val="none" w:sz="0" w:space="0" w:color="auto"/>
      </w:divBdr>
    </w:div>
    <w:div w:id="955327060">
      <w:bodyDiv w:val="1"/>
      <w:marLeft w:val="0"/>
      <w:marRight w:val="0"/>
      <w:marTop w:val="0"/>
      <w:marBottom w:val="0"/>
      <w:divBdr>
        <w:top w:val="none" w:sz="0" w:space="0" w:color="auto"/>
        <w:left w:val="none" w:sz="0" w:space="0" w:color="auto"/>
        <w:bottom w:val="none" w:sz="0" w:space="0" w:color="auto"/>
        <w:right w:val="none" w:sz="0" w:space="0" w:color="auto"/>
      </w:divBdr>
    </w:div>
    <w:div w:id="1206454838">
      <w:bodyDiv w:val="1"/>
      <w:marLeft w:val="0"/>
      <w:marRight w:val="0"/>
      <w:marTop w:val="0"/>
      <w:marBottom w:val="0"/>
      <w:divBdr>
        <w:top w:val="none" w:sz="0" w:space="0" w:color="auto"/>
        <w:left w:val="none" w:sz="0" w:space="0" w:color="auto"/>
        <w:bottom w:val="none" w:sz="0" w:space="0" w:color="auto"/>
        <w:right w:val="none" w:sz="0" w:space="0" w:color="auto"/>
      </w:divBdr>
    </w:div>
    <w:div w:id="1580751162">
      <w:bodyDiv w:val="1"/>
      <w:marLeft w:val="0"/>
      <w:marRight w:val="0"/>
      <w:marTop w:val="0"/>
      <w:marBottom w:val="0"/>
      <w:divBdr>
        <w:top w:val="none" w:sz="0" w:space="0" w:color="auto"/>
        <w:left w:val="none" w:sz="0" w:space="0" w:color="auto"/>
        <w:bottom w:val="none" w:sz="0" w:space="0" w:color="auto"/>
        <w:right w:val="none" w:sz="0" w:space="0" w:color="auto"/>
      </w:divBdr>
    </w:div>
    <w:div w:id="16478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mailto:rmoloko@gmail.com" TargetMode="External"/><Relationship Id="rId3" Type="http://schemas.microsoft.com/office/2007/relationships/stylesWithEffects" Target="stylesWithEffect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en.wikipedia.org/wiki/Questionnaire" TargetMode="External"/><Relationship Id="rId25"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hyperlink" Target="http://en.wikipedia.org/wiki/Psychometrics" TargetMode="External"/><Relationship Id="rId20" Type="http://schemas.openxmlformats.org/officeDocument/2006/relationships/chart" Target="charts/chart1.xm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0.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2.xml"/><Relationship Id="rId28" Type="http://schemas.openxmlformats.org/officeDocument/2006/relationships/hyperlink" Target="http://en.wikipedia.org/wiki/Bachelor%27s_degree" TargetMode="External"/><Relationship Id="rId10" Type="http://schemas.openxmlformats.org/officeDocument/2006/relationships/image" Target="media/image1.jpeg"/><Relationship Id="rId19" Type="http://schemas.openxmlformats.org/officeDocument/2006/relationships/hyperlink" Target="http://www.surveymonkey.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9.jpeg"/><Relationship Id="rId27" Type="http://schemas.openxmlformats.org/officeDocument/2006/relationships/hyperlink" Target="http://en.wikipedia.org/wiki/Bachelor%27s_degree" TargetMode="External"/><Relationship Id="rId30"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lokoro\Documents\WBS\Dissertation\research_proposal_template-2012%5b1%5d.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layout>
                <c:manualLayout>
                  <c:x val="-9.6970691163604549E-4"/>
                  <c:y val="-0.35822142023913678"/>
                </c:manualLayout>
              </c:layout>
              <c:showLegendKey val="0"/>
              <c:showVal val="1"/>
              <c:showCatName val="0"/>
              <c:showSerName val="0"/>
              <c:showPercent val="1"/>
              <c:showBubbleSize val="0"/>
            </c:dLbl>
            <c:dLbl>
              <c:idx val="1"/>
              <c:layout>
                <c:manualLayout>
                  <c:x val="8.5429571303587054E-2"/>
                  <c:y val="-0.20141294838145232"/>
                </c:manualLayout>
              </c:layout>
              <c:showLegendKey val="0"/>
              <c:showVal val="1"/>
              <c:showCatName val="0"/>
              <c:showSerName val="0"/>
              <c:showPercent val="1"/>
              <c:showBubbleSize val="0"/>
            </c:dLbl>
            <c:showLegendKey val="0"/>
            <c:showVal val="1"/>
            <c:showCatName val="0"/>
            <c:showSerName val="0"/>
            <c:showPercent val="0"/>
            <c:showBubbleSize val="0"/>
            <c:showLeaderLines val="1"/>
          </c:dLbls>
          <c:cat>
            <c:strRef>
              <c:f>Sheet1!$F$8:$F$9</c:f>
              <c:strCache>
                <c:ptCount val="2"/>
                <c:pt idx="0">
                  <c:v>Female</c:v>
                </c:pt>
                <c:pt idx="1">
                  <c:v>Male</c:v>
                </c:pt>
              </c:strCache>
            </c:strRef>
          </c:cat>
          <c:val>
            <c:numRef>
              <c:f>Sheet1!$G$8:$G$9</c:f>
              <c:numCache>
                <c:formatCode>General</c:formatCode>
                <c:ptCount val="2"/>
                <c:pt idx="0">
                  <c:v>78</c:v>
                </c:pt>
                <c:pt idx="1">
                  <c:v>56</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layout>
                <c:manualLayout>
                  <c:x val="-2.5893044619422573E-2"/>
                  <c:y val="-5.6909084281131526E-2"/>
                </c:manualLayout>
              </c:layout>
              <c:showLegendKey val="0"/>
              <c:showVal val="1"/>
              <c:showCatName val="0"/>
              <c:showSerName val="0"/>
              <c:showPercent val="0"/>
              <c:showBubbleSize val="0"/>
            </c:dLbl>
            <c:dLbl>
              <c:idx val="1"/>
              <c:layout>
                <c:manualLayout>
                  <c:x val="3.8974518810148732E-2"/>
                  <c:y val="-4.662073490813648E-2"/>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Sheet1!$B$8:$B$12</c:f>
              <c:strCache>
                <c:ptCount val="5"/>
                <c:pt idx="0">
                  <c:v>Strongly Disagree </c:v>
                </c:pt>
                <c:pt idx="1">
                  <c:v>Disagree </c:v>
                </c:pt>
                <c:pt idx="2">
                  <c:v>Neutral </c:v>
                </c:pt>
                <c:pt idx="3">
                  <c:v>Agree </c:v>
                </c:pt>
                <c:pt idx="4">
                  <c:v>Strongly Agree </c:v>
                </c:pt>
              </c:strCache>
            </c:strRef>
          </c:cat>
          <c:val>
            <c:numRef>
              <c:f>Sheet1!$C$8:$C$12</c:f>
              <c:numCache>
                <c:formatCode>0.00%</c:formatCode>
                <c:ptCount val="5"/>
                <c:pt idx="0">
                  <c:v>1.83E-2</c:v>
                </c:pt>
                <c:pt idx="1">
                  <c:v>5.5E-2</c:v>
                </c:pt>
                <c:pt idx="2">
                  <c:v>0.37609999999999999</c:v>
                </c:pt>
                <c:pt idx="3">
                  <c:v>0.23849999999999999</c:v>
                </c:pt>
                <c:pt idx="4">
                  <c:v>0.31190000000000001</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2"/>
              <c:layout>
                <c:manualLayout>
                  <c:x val="5.4461942257217847E-5"/>
                  <c:y val="4.0851195683872847E-2"/>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Sheet1!$B$29:$B$33</c:f>
              <c:strCache>
                <c:ptCount val="5"/>
                <c:pt idx="0">
                  <c:v>Definitely the Old brand </c:v>
                </c:pt>
                <c:pt idx="1">
                  <c:v>Maybe the Old brand </c:v>
                </c:pt>
                <c:pt idx="2">
                  <c:v>None </c:v>
                </c:pt>
                <c:pt idx="3">
                  <c:v>Maybe the New brand </c:v>
                </c:pt>
                <c:pt idx="4">
                  <c:v>Definitely the New brand </c:v>
                </c:pt>
              </c:strCache>
            </c:strRef>
          </c:cat>
          <c:val>
            <c:numRef>
              <c:f>Sheet1!$C$29:$C$33</c:f>
              <c:numCache>
                <c:formatCode>0.00%</c:formatCode>
                <c:ptCount val="5"/>
                <c:pt idx="0">
                  <c:v>0.22020000000000001</c:v>
                </c:pt>
                <c:pt idx="1">
                  <c:v>0.14680000000000001</c:v>
                </c:pt>
                <c:pt idx="2">
                  <c:v>4.5900000000000003E-2</c:v>
                </c:pt>
                <c:pt idx="3">
                  <c:v>0.1651</c:v>
                </c:pt>
                <c:pt idx="4">
                  <c:v>0.42199999999999999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research_proposal_template-2012[1].dot</Template>
  <TotalTime>0</TotalTime>
  <Pages>102</Pages>
  <Words>19764</Words>
  <Characters>112661</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Template</vt:lpstr>
    </vt:vector>
  </TitlesOfParts>
  <Company>Electric Liberty</Company>
  <LinksUpToDate>false</LinksUpToDate>
  <CharactersWithSpaces>132161</CharactersWithSpaces>
  <SharedDoc>false</SharedDoc>
  <HLinks>
    <vt:vector size="300" baseType="variant">
      <vt:variant>
        <vt:i4>1769524</vt:i4>
      </vt:variant>
      <vt:variant>
        <vt:i4>302</vt:i4>
      </vt:variant>
      <vt:variant>
        <vt:i4>0</vt:i4>
      </vt:variant>
      <vt:variant>
        <vt:i4>5</vt:i4>
      </vt:variant>
      <vt:variant>
        <vt:lpwstr/>
      </vt:variant>
      <vt:variant>
        <vt:lpwstr>_Toc192476075</vt:lpwstr>
      </vt:variant>
      <vt:variant>
        <vt:i4>1376308</vt:i4>
      </vt:variant>
      <vt:variant>
        <vt:i4>293</vt:i4>
      </vt:variant>
      <vt:variant>
        <vt:i4>0</vt:i4>
      </vt:variant>
      <vt:variant>
        <vt:i4>5</vt:i4>
      </vt:variant>
      <vt:variant>
        <vt:lpwstr/>
      </vt:variant>
      <vt:variant>
        <vt:lpwstr>_Toc192476090</vt:lpwstr>
      </vt:variant>
      <vt:variant>
        <vt:i4>1310772</vt:i4>
      </vt:variant>
      <vt:variant>
        <vt:i4>287</vt:i4>
      </vt:variant>
      <vt:variant>
        <vt:i4>0</vt:i4>
      </vt:variant>
      <vt:variant>
        <vt:i4>5</vt:i4>
      </vt:variant>
      <vt:variant>
        <vt:lpwstr/>
      </vt:variant>
      <vt:variant>
        <vt:lpwstr>_Toc192476089</vt:lpwstr>
      </vt:variant>
      <vt:variant>
        <vt:i4>1310772</vt:i4>
      </vt:variant>
      <vt:variant>
        <vt:i4>281</vt:i4>
      </vt:variant>
      <vt:variant>
        <vt:i4>0</vt:i4>
      </vt:variant>
      <vt:variant>
        <vt:i4>5</vt:i4>
      </vt:variant>
      <vt:variant>
        <vt:lpwstr/>
      </vt:variant>
      <vt:variant>
        <vt:lpwstr>_Toc192476088</vt:lpwstr>
      </vt:variant>
      <vt:variant>
        <vt:i4>1835057</vt:i4>
      </vt:variant>
      <vt:variant>
        <vt:i4>272</vt:i4>
      </vt:variant>
      <vt:variant>
        <vt:i4>0</vt:i4>
      </vt:variant>
      <vt:variant>
        <vt:i4>5</vt:i4>
      </vt:variant>
      <vt:variant>
        <vt:lpwstr/>
      </vt:variant>
      <vt:variant>
        <vt:lpwstr>_Toc192476505</vt:lpwstr>
      </vt:variant>
      <vt:variant>
        <vt:i4>1835057</vt:i4>
      </vt:variant>
      <vt:variant>
        <vt:i4>266</vt:i4>
      </vt:variant>
      <vt:variant>
        <vt:i4>0</vt:i4>
      </vt:variant>
      <vt:variant>
        <vt:i4>5</vt:i4>
      </vt:variant>
      <vt:variant>
        <vt:lpwstr/>
      </vt:variant>
      <vt:variant>
        <vt:lpwstr>_Toc192476504</vt:lpwstr>
      </vt:variant>
      <vt:variant>
        <vt:i4>1835057</vt:i4>
      </vt:variant>
      <vt:variant>
        <vt:i4>260</vt:i4>
      </vt:variant>
      <vt:variant>
        <vt:i4>0</vt:i4>
      </vt:variant>
      <vt:variant>
        <vt:i4>5</vt:i4>
      </vt:variant>
      <vt:variant>
        <vt:lpwstr/>
      </vt:variant>
      <vt:variant>
        <vt:lpwstr>_Toc192476503</vt:lpwstr>
      </vt:variant>
      <vt:variant>
        <vt:i4>1835057</vt:i4>
      </vt:variant>
      <vt:variant>
        <vt:i4>254</vt:i4>
      </vt:variant>
      <vt:variant>
        <vt:i4>0</vt:i4>
      </vt:variant>
      <vt:variant>
        <vt:i4>5</vt:i4>
      </vt:variant>
      <vt:variant>
        <vt:lpwstr/>
      </vt:variant>
      <vt:variant>
        <vt:lpwstr>_Toc192476502</vt:lpwstr>
      </vt:variant>
      <vt:variant>
        <vt:i4>1835057</vt:i4>
      </vt:variant>
      <vt:variant>
        <vt:i4>248</vt:i4>
      </vt:variant>
      <vt:variant>
        <vt:i4>0</vt:i4>
      </vt:variant>
      <vt:variant>
        <vt:i4>5</vt:i4>
      </vt:variant>
      <vt:variant>
        <vt:lpwstr/>
      </vt:variant>
      <vt:variant>
        <vt:lpwstr>_Toc192476501</vt:lpwstr>
      </vt:variant>
      <vt:variant>
        <vt:i4>1835057</vt:i4>
      </vt:variant>
      <vt:variant>
        <vt:i4>242</vt:i4>
      </vt:variant>
      <vt:variant>
        <vt:i4>0</vt:i4>
      </vt:variant>
      <vt:variant>
        <vt:i4>5</vt:i4>
      </vt:variant>
      <vt:variant>
        <vt:lpwstr/>
      </vt:variant>
      <vt:variant>
        <vt:lpwstr>_Toc192476500</vt:lpwstr>
      </vt:variant>
      <vt:variant>
        <vt:i4>1376304</vt:i4>
      </vt:variant>
      <vt:variant>
        <vt:i4>236</vt:i4>
      </vt:variant>
      <vt:variant>
        <vt:i4>0</vt:i4>
      </vt:variant>
      <vt:variant>
        <vt:i4>5</vt:i4>
      </vt:variant>
      <vt:variant>
        <vt:lpwstr/>
      </vt:variant>
      <vt:variant>
        <vt:lpwstr>_Toc192476499</vt:lpwstr>
      </vt:variant>
      <vt:variant>
        <vt:i4>1376304</vt:i4>
      </vt:variant>
      <vt:variant>
        <vt:i4>230</vt:i4>
      </vt:variant>
      <vt:variant>
        <vt:i4>0</vt:i4>
      </vt:variant>
      <vt:variant>
        <vt:i4>5</vt:i4>
      </vt:variant>
      <vt:variant>
        <vt:lpwstr/>
      </vt:variant>
      <vt:variant>
        <vt:lpwstr>_Toc192476498</vt:lpwstr>
      </vt:variant>
      <vt:variant>
        <vt:i4>1376304</vt:i4>
      </vt:variant>
      <vt:variant>
        <vt:i4>224</vt:i4>
      </vt:variant>
      <vt:variant>
        <vt:i4>0</vt:i4>
      </vt:variant>
      <vt:variant>
        <vt:i4>5</vt:i4>
      </vt:variant>
      <vt:variant>
        <vt:lpwstr/>
      </vt:variant>
      <vt:variant>
        <vt:lpwstr>_Toc192476497</vt:lpwstr>
      </vt:variant>
      <vt:variant>
        <vt:i4>1376304</vt:i4>
      </vt:variant>
      <vt:variant>
        <vt:i4>218</vt:i4>
      </vt:variant>
      <vt:variant>
        <vt:i4>0</vt:i4>
      </vt:variant>
      <vt:variant>
        <vt:i4>5</vt:i4>
      </vt:variant>
      <vt:variant>
        <vt:lpwstr/>
      </vt:variant>
      <vt:variant>
        <vt:lpwstr>_Toc192476496</vt:lpwstr>
      </vt:variant>
      <vt:variant>
        <vt:i4>1376304</vt:i4>
      </vt:variant>
      <vt:variant>
        <vt:i4>212</vt:i4>
      </vt:variant>
      <vt:variant>
        <vt:i4>0</vt:i4>
      </vt:variant>
      <vt:variant>
        <vt:i4>5</vt:i4>
      </vt:variant>
      <vt:variant>
        <vt:lpwstr/>
      </vt:variant>
      <vt:variant>
        <vt:lpwstr>_Toc192476495</vt:lpwstr>
      </vt:variant>
      <vt:variant>
        <vt:i4>1376304</vt:i4>
      </vt:variant>
      <vt:variant>
        <vt:i4>206</vt:i4>
      </vt:variant>
      <vt:variant>
        <vt:i4>0</vt:i4>
      </vt:variant>
      <vt:variant>
        <vt:i4>5</vt:i4>
      </vt:variant>
      <vt:variant>
        <vt:lpwstr/>
      </vt:variant>
      <vt:variant>
        <vt:lpwstr>_Toc192476494</vt:lpwstr>
      </vt:variant>
      <vt:variant>
        <vt:i4>1376304</vt:i4>
      </vt:variant>
      <vt:variant>
        <vt:i4>200</vt:i4>
      </vt:variant>
      <vt:variant>
        <vt:i4>0</vt:i4>
      </vt:variant>
      <vt:variant>
        <vt:i4>5</vt:i4>
      </vt:variant>
      <vt:variant>
        <vt:lpwstr/>
      </vt:variant>
      <vt:variant>
        <vt:lpwstr>_Toc192476493</vt:lpwstr>
      </vt:variant>
      <vt:variant>
        <vt:i4>1376304</vt:i4>
      </vt:variant>
      <vt:variant>
        <vt:i4>194</vt:i4>
      </vt:variant>
      <vt:variant>
        <vt:i4>0</vt:i4>
      </vt:variant>
      <vt:variant>
        <vt:i4>5</vt:i4>
      </vt:variant>
      <vt:variant>
        <vt:lpwstr/>
      </vt:variant>
      <vt:variant>
        <vt:lpwstr>_Toc192476492</vt:lpwstr>
      </vt:variant>
      <vt:variant>
        <vt:i4>1376304</vt:i4>
      </vt:variant>
      <vt:variant>
        <vt:i4>188</vt:i4>
      </vt:variant>
      <vt:variant>
        <vt:i4>0</vt:i4>
      </vt:variant>
      <vt:variant>
        <vt:i4>5</vt:i4>
      </vt:variant>
      <vt:variant>
        <vt:lpwstr/>
      </vt:variant>
      <vt:variant>
        <vt:lpwstr>_Toc192476491</vt:lpwstr>
      </vt:variant>
      <vt:variant>
        <vt:i4>1376304</vt:i4>
      </vt:variant>
      <vt:variant>
        <vt:i4>182</vt:i4>
      </vt:variant>
      <vt:variant>
        <vt:i4>0</vt:i4>
      </vt:variant>
      <vt:variant>
        <vt:i4>5</vt:i4>
      </vt:variant>
      <vt:variant>
        <vt:lpwstr/>
      </vt:variant>
      <vt:variant>
        <vt:lpwstr>_Toc192476490</vt:lpwstr>
      </vt:variant>
      <vt:variant>
        <vt:i4>1310768</vt:i4>
      </vt:variant>
      <vt:variant>
        <vt:i4>176</vt:i4>
      </vt:variant>
      <vt:variant>
        <vt:i4>0</vt:i4>
      </vt:variant>
      <vt:variant>
        <vt:i4>5</vt:i4>
      </vt:variant>
      <vt:variant>
        <vt:lpwstr/>
      </vt:variant>
      <vt:variant>
        <vt:lpwstr>_Toc192476489</vt:lpwstr>
      </vt:variant>
      <vt:variant>
        <vt:i4>1310768</vt:i4>
      </vt:variant>
      <vt:variant>
        <vt:i4>170</vt:i4>
      </vt:variant>
      <vt:variant>
        <vt:i4>0</vt:i4>
      </vt:variant>
      <vt:variant>
        <vt:i4>5</vt:i4>
      </vt:variant>
      <vt:variant>
        <vt:lpwstr/>
      </vt:variant>
      <vt:variant>
        <vt:lpwstr>_Toc192476488</vt:lpwstr>
      </vt:variant>
      <vt:variant>
        <vt:i4>1310768</vt:i4>
      </vt:variant>
      <vt:variant>
        <vt:i4>164</vt:i4>
      </vt:variant>
      <vt:variant>
        <vt:i4>0</vt:i4>
      </vt:variant>
      <vt:variant>
        <vt:i4>5</vt:i4>
      </vt:variant>
      <vt:variant>
        <vt:lpwstr/>
      </vt:variant>
      <vt:variant>
        <vt:lpwstr>_Toc192476487</vt:lpwstr>
      </vt:variant>
      <vt:variant>
        <vt:i4>1310768</vt:i4>
      </vt:variant>
      <vt:variant>
        <vt:i4>158</vt:i4>
      </vt:variant>
      <vt:variant>
        <vt:i4>0</vt:i4>
      </vt:variant>
      <vt:variant>
        <vt:i4>5</vt:i4>
      </vt:variant>
      <vt:variant>
        <vt:lpwstr/>
      </vt:variant>
      <vt:variant>
        <vt:lpwstr>_Toc192476486</vt:lpwstr>
      </vt:variant>
      <vt:variant>
        <vt:i4>1310768</vt:i4>
      </vt:variant>
      <vt:variant>
        <vt:i4>152</vt:i4>
      </vt:variant>
      <vt:variant>
        <vt:i4>0</vt:i4>
      </vt:variant>
      <vt:variant>
        <vt:i4>5</vt:i4>
      </vt:variant>
      <vt:variant>
        <vt:lpwstr/>
      </vt:variant>
      <vt:variant>
        <vt:lpwstr>_Toc192476485</vt:lpwstr>
      </vt:variant>
      <vt:variant>
        <vt:i4>1310768</vt:i4>
      </vt:variant>
      <vt:variant>
        <vt:i4>146</vt:i4>
      </vt:variant>
      <vt:variant>
        <vt:i4>0</vt:i4>
      </vt:variant>
      <vt:variant>
        <vt:i4>5</vt:i4>
      </vt:variant>
      <vt:variant>
        <vt:lpwstr/>
      </vt:variant>
      <vt:variant>
        <vt:lpwstr>_Toc192476484</vt:lpwstr>
      </vt:variant>
      <vt:variant>
        <vt:i4>1310768</vt:i4>
      </vt:variant>
      <vt:variant>
        <vt:i4>140</vt:i4>
      </vt:variant>
      <vt:variant>
        <vt:i4>0</vt:i4>
      </vt:variant>
      <vt:variant>
        <vt:i4>5</vt:i4>
      </vt:variant>
      <vt:variant>
        <vt:lpwstr/>
      </vt:variant>
      <vt:variant>
        <vt:lpwstr>_Toc192476483</vt:lpwstr>
      </vt:variant>
      <vt:variant>
        <vt:i4>1310768</vt:i4>
      </vt:variant>
      <vt:variant>
        <vt:i4>134</vt:i4>
      </vt:variant>
      <vt:variant>
        <vt:i4>0</vt:i4>
      </vt:variant>
      <vt:variant>
        <vt:i4>5</vt:i4>
      </vt:variant>
      <vt:variant>
        <vt:lpwstr/>
      </vt:variant>
      <vt:variant>
        <vt:lpwstr>_Toc192476482</vt:lpwstr>
      </vt:variant>
      <vt:variant>
        <vt:i4>1310768</vt:i4>
      </vt:variant>
      <vt:variant>
        <vt:i4>128</vt:i4>
      </vt:variant>
      <vt:variant>
        <vt:i4>0</vt:i4>
      </vt:variant>
      <vt:variant>
        <vt:i4>5</vt:i4>
      </vt:variant>
      <vt:variant>
        <vt:lpwstr/>
      </vt:variant>
      <vt:variant>
        <vt:lpwstr>_Toc192476481</vt:lpwstr>
      </vt:variant>
      <vt:variant>
        <vt:i4>1310768</vt:i4>
      </vt:variant>
      <vt:variant>
        <vt:i4>122</vt:i4>
      </vt:variant>
      <vt:variant>
        <vt:i4>0</vt:i4>
      </vt:variant>
      <vt:variant>
        <vt:i4>5</vt:i4>
      </vt:variant>
      <vt:variant>
        <vt:lpwstr/>
      </vt:variant>
      <vt:variant>
        <vt:lpwstr>_Toc192476480</vt:lpwstr>
      </vt:variant>
      <vt:variant>
        <vt:i4>1769520</vt:i4>
      </vt:variant>
      <vt:variant>
        <vt:i4>116</vt:i4>
      </vt:variant>
      <vt:variant>
        <vt:i4>0</vt:i4>
      </vt:variant>
      <vt:variant>
        <vt:i4>5</vt:i4>
      </vt:variant>
      <vt:variant>
        <vt:lpwstr/>
      </vt:variant>
      <vt:variant>
        <vt:lpwstr>_Toc192476479</vt:lpwstr>
      </vt:variant>
      <vt:variant>
        <vt:i4>1769520</vt:i4>
      </vt:variant>
      <vt:variant>
        <vt:i4>110</vt:i4>
      </vt:variant>
      <vt:variant>
        <vt:i4>0</vt:i4>
      </vt:variant>
      <vt:variant>
        <vt:i4>5</vt:i4>
      </vt:variant>
      <vt:variant>
        <vt:lpwstr/>
      </vt:variant>
      <vt:variant>
        <vt:lpwstr>_Toc192476478</vt:lpwstr>
      </vt:variant>
      <vt:variant>
        <vt:i4>1769520</vt:i4>
      </vt:variant>
      <vt:variant>
        <vt:i4>104</vt:i4>
      </vt:variant>
      <vt:variant>
        <vt:i4>0</vt:i4>
      </vt:variant>
      <vt:variant>
        <vt:i4>5</vt:i4>
      </vt:variant>
      <vt:variant>
        <vt:lpwstr/>
      </vt:variant>
      <vt:variant>
        <vt:lpwstr>_Toc192476477</vt:lpwstr>
      </vt:variant>
      <vt:variant>
        <vt:i4>1769520</vt:i4>
      </vt:variant>
      <vt:variant>
        <vt:i4>98</vt:i4>
      </vt:variant>
      <vt:variant>
        <vt:i4>0</vt:i4>
      </vt:variant>
      <vt:variant>
        <vt:i4>5</vt:i4>
      </vt:variant>
      <vt:variant>
        <vt:lpwstr/>
      </vt:variant>
      <vt:variant>
        <vt:lpwstr>_Toc192476476</vt:lpwstr>
      </vt:variant>
      <vt:variant>
        <vt:i4>1769520</vt:i4>
      </vt:variant>
      <vt:variant>
        <vt:i4>92</vt:i4>
      </vt:variant>
      <vt:variant>
        <vt:i4>0</vt:i4>
      </vt:variant>
      <vt:variant>
        <vt:i4>5</vt:i4>
      </vt:variant>
      <vt:variant>
        <vt:lpwstr/>
      </vt:variant>
      <vt:variant>
        <vt:lpwstr>_Toc192476475</vt:lpwstr>
      </vt:variant>
      <vt:variant>
        <vt:i4>1769520</vt:i4>
      </vt:variant>
      <vt:variant>
        <vt:i4>86</vt:i4>
      </vt:variant>
      <vt:variant>
        <vt:i4>0</vt:i4>
      </vt:variant>
      <vt:variant>
        <vt:i4>5</vt:i4>
      </vt:variant>
      <vt:variant>
        <vt:lpwstr/>
      </vt:variant>
      <vt:variant>
        <vt:lpwstr>_Toc192476474</vt:lpwstr>
      </vt:variant>
      <vt:variant>
        <vt:i4>1769520</vt:i4>
      </vt:variant>
      <vt:variant>
        <vt:i4>80</vt:i4>
      </vt:variant>
      <vt:variant>
        <vt:i4>0</vt:i4>
      </vt:variant>
      <vt:variant>
        <vt:i4>5</vt:i4>
      </vt:variant>
      <vt:variant>
        <vt:lpwstr/>
      </vt:variant>
      <vt:variant>
        <vt:lpwstr>_Toc192476473</vt:lpwstr>
      </vt:variant>
      <vt:variant>
        <vt:i4>1769520</vt:i4>
      </vt:variant>
      <vt:variant>
        <vt:i4>74</vt:i4>
      </vt:variant>
      <vt:variant>
        <vt:i4>0</vt:i4>
      </vt:variant>
      <vt:variant>
        <vt:i4>5</vt:i4>
      </vt:variant>
      <vt:variant>
        <vt:lpwstr/>
      </vt:variant>
      <vt:variant>
        <vt:lpwstr>_Toc192476472</vt:lpwstr>
      </vt:variant>
      <vt:variant>
        <vt:i4>1769520</vt:i4>
      </vt:variant>
      <vt:variant>
        <vt:i4>68</vt:i4>
      </vt:variant>
      <vt:variant>
        <vt:i4>0</vt:i4>
      </vt:variant>
      <vt:variant>
        <vt:i4>5</vt:i4>
      </vt:variant>
      <vt:variant>
        <vt:lpwstr/>
      </vt:variant>
      <vt:variant>
        <vt:lpwstr>_Toc192476471</vt:lpwstr>
      </vt:variant>
      <vt:variant>
        <vt:i4>1769520</vt:i4>
      </vt:variant>
      <vt:variant>
        <vt:i4>62</vt:i4>
      </vt:variant>
      <vt:variant>
        <vt:i4>0</vt:i4>
      </vt:variant>
      <vt:variant>
        <vt:i4>5</vt:i4>
      </vt:variant>
      <vt:variant>
        <vt:lpwstr/>
      </vt:variant>
      <vt:variant>
        <vt:lpwstr>_Toc192476470</vt:lpwstr>
      </vt:variant>
      <vt:variant>
        <vt:i4>1703984</vt:i4>
      </vt:variant>
      <vt:variant>
        <vt:i4>56</vt:i4>
      </vt:variant>
      <vt:variant>
        <vt:i4>0</vt:i4>
      </vt:variant>
      <vt:variant>
        <vt:i4>5</vt:i4>
      </vt:variant>
      <vt:variant>
        <vt:lpwstr/>
      </vt:variant>
      <vt:variant>
        <vt:lpwstr>_Toc192476469</vt:lpwstr>
      </vt:variant>
      <vt:variant>
        <vt:i4>1703984</vt:i4>
      </vt:variant>
      <vt:variant>
        <vt:i4>50</vt:i4>
      </vt:variant>
      <vt:variant>
        <vt:i4>0</vt:i4>
      </vt:variant>
      <vt:variant>
        <vt:i4>5</vt:i4>
      </vt:variant>
      <vt:variant>
        <vt:lpwstr/>
      </vt:variant>
      <vt:variant>
        <vt:lpwstr>_Toc192476468</vt:lpwstr>
      </vt:variant>
      <vt:variant>
        <vt:i4>1703984</vt:i4>
      </vt:variant>
      <vt:variant>
        <vt:i4>44</vt:i4>
      </vt:variant>
      <vt:variant>
        <vt:i4>0</vt:i4>
      </vt:variant>
      <vt:variant>
        <vt:i4>5</vt:i4>
      </vt:variant>
      <vt:variant>
        <vt:lpwstr/>
      </vt:variant>
      <vt:variant>
        <vt:lpwstr>_Toc192476467</vt:lpwstr>
      </vt:variant>
      <vt:variant>
        <vt:i4>1703984</vt:i4>
      </vt:variant>
      <vt:variant>
        <vt:i4>38</vt:i4>
      </vt:variant>
      <vt:variant>
        <vt:i4>0</vt:i4>
      </vt:variant>
      <vt:variant>
        <vt:i4>5</vt:i4>
      </vt:variant>
      <vt:variant>
        <vt:lpwstr/>
      </vt:variant>
      <vt:variant>
        <vt:lpwstr>_Toc192476466</vt:lpwstr>
      </vt:variant>
      <vt:variant>
        <vt:i4>1703984</vt:i4>
      </vt:variant>
      <vt:variant>
        <vt:i4>32</vt:i4>
      </vt:variant>
      <vt:variant>
        <vt:i4>0</vt:i4>
      </vt:variant>
      <vt:variant>
        <vt:i4>5</vt:i4>
      </vt:variant>
      <vt:variant>
        <vt:lpwstr/>
      </vt:variant>
      <vt:variant>
        <vt:lpwstr>_Toc192476465</vt:lpwstr>
      </vt:variant>
      <vt:variant>
        <vt:i4>1703984</vt:i4>
      </vt:variant>
      <vt:variant>
        <vt:i4>26</vt:i4>
      </vt:variant>
      <vt:variant>
        <vt:i4>0</vt:i4>
      </vt:variant>
      <vt:variant>
        <vt:i4>5</vt:i4>
      </vt:variant>
      <vt:variant>
        <vt:lpwstr/>
      </vt:variant>
      <vt:variant>
        <vt:lpwstr>_Toc192476464</vt:lpwstr>
      </vt:variant>
      <vt:variant>
        <vt:i4>1703984</vt:i4>
      </vt:variant>
      <vt:variant>
        <vt:i4>20</vt:i4>
      </vt:variant>
      <vt:variant>
        <vt:i4>0</vt:i4>
      </vt:variant>
      <vt:variant>
        <vt:i4>5</vt:i4>
      </vt:variant>
      <vt:variant>
        <vt:lpwstr/>
      </vt:variant>
      <vt:variant>
        <vt:lpwstr>_Toc192476463</vt:lpwstr>
      </vt:variant>
      <vt:variant>
        <vt:i4>1703984</vt:i4>
      </vt:variant>
      <vt:variant>
        <vt:i4>14</vt:i4>
      </vt:variant>
      <vt:variant>
        <vt:i4>0</vt:i4>
      </vt:variant>
      <vt:variant>
        <vt:i4>5</vt:i4>
      </vt:variant>
      <vt:variant>
        <vt:lpwstr/>
      </vt:variant>
      <vt:variant>
        <vt:lpwstr>_Toc192476462</vt:lpwstr>
      </vt:variant>
      <vt:variant>
        <vt:i4>1703984</vt:i4>
      </vt:variant>
      <vt:variant>
        <vt:i4>8</vt:i4>
      </vt:variant>
      <vt:variant>
        <vt:i4>0</vt:i4>
      </vt:variant>
      <vt:variant>
        <vt:i4>5</vt:i4>
      </vt:variant>
      <vt:variant>
        <vt:lpwstr/>
      </vt:variant>
      <vt:variant>
        <vt:lpwstr>_Toc192476461</vt:lpwstr>
      </vt:variant>
      <vt:variant>
        <vt:i4>1703984</vt:i4>
      </vt:variant>
      <vt:variant>
        <vt:i4>2</vt:i4>
      </vt:variant>
      <vt:variant>
        <vt:i4>0</vt:i4>
      </vt:variant>
      <vt:variant>
        <vt:i4>5</vt:i4>
      </vt:variant>
      <vt:variant>
        <vt:lpwstr/>
      </vt:variant>
      <vt:variant>
        <vt:lpwstr>_Toc192476460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creator>Rodney Moloko</dc:creator>
  <cp:lastModifiedBy>Rodney Moloko</cp:lastModifiedBy>
  <cp:revision>2</cp:revision>
  <cp:lastPrinted>2014-01-22T16:56:00Z</cp:lastPrinted>
  <dcterms:created xsi:type="dcterms:W3CDTF">2014-05-14T19:01:00Z</dcterms:created>
  <dcterms:modified xsi:type="dcterms:W3CDTF">2014-05-14T19:01:00Z</dcterms:modified>
</cp:coreProperties>
</file>