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word/diagrams/colors5.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Override PartName="/word/diagrams/drawing5.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word/diagrams/drawing4.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charts/chart4.xml" ContentType="application/vnd.openxmlformats-officedocument.drawingml.chart+xml"/>
  <Override PartName="/word/diagrams/layout5.xml" ContentType="application/vnd.openxmlformats-officedocument.drawingml.diagramLayou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C63" w:rsidRPr="007E1EBC" w:rsidRDefault="009763BA" w:rsidP="00534C63">
      <w:pPr>
        <w:pStyle w:val="whp20100506"/>
        <w:rPr>
          <w:b/>
        </w:rPr>
      </w:pPr>
      <w:r>
        <w:rPr>
          <w:b/>
        </w:rPr>
        <w:t>SECTION A</w:t>
      </w:r>
      <w:r w:rsidR="00534C63" w:rsidRPr="007E1EBC">
        <w:rPr>
          <w:b/>
        </w:rPr>
        <w:t>: INTRODUCTION</w:t>
      </w:r>
    </w:p>
    <w:p w:rsidR="00534C63" w:rsidRPr="007E1EBC" w:rsidRDefault="00534C63" w:rsidP="00534C63">
      <w:pPr>
        <w:pStyle w:val="whp20100506"/>
        <w:rPr>
          <w:b/>
        </w:rPr>
      </w:pPr>
    </w:p>
    <w:p w:rsidR="00534C63" w:rsidRPr="007E1EBC" w:rsidRDefault="009763BA" w:rsidP="00534C63">
      <w:pPr>
        <w:pStyle w:val="whp20100506"/>
        <w:numPr>
          <w:ilvl w:val="0"/>
          <w:numId w:val="2"/>
        </w:numPr>
        <w:ind w:left="360"/>
      </w:pPr>
      <w:bookmarkStart w:id="0" w:name="_Toc240205953"/>
      <w:r>
        <w:rPr>
          <w:b/>
        </w:rPr>
        <w:t>INTRODUCTION</w:t>
      </w:r>
      <w:r w:rsidR="00534C63" w:rsidRPr="007E1EBC">
        <w:tab/>
      </w:r>
    </w:p>
    <w:p w:rsidR="00534C63" w:rsidRPr="007E1EBC" w:rsidRDefault="00534C63" w:rsidP="00534C63">
      <w:pPr>
        <w:pStyle w:val="whp20100506"/>
      </w:pPr>
    </w:p>
    <w:bookmarkEnd w:id="0"/>
    <w:p w:rsidR="00534C63" w:rsidRPr="007E1EBC" w:rsidRDefault="00534C63" w:rsidP="00534C63">
      <w:pPr>
        <w:pStyle w:val="whp20100506"/>
        <w:numPr>
          <w:ilvl w:val="1"/>
          <w:numId w:val="2"/>
        </w:numPr>
        <w:tabs>
          <w:tab w:val="left" w:pos="450"/>
        </w:tabs>
        <w:ind w:left="360"/>
        <w:rPr>
          <w:b/>
        </w:rPr>
      </w:pPr>
      <w:r w:rsidRPr="007E1EBC">
        <w:rPr>
          <w:b/>
        </w:rPr>
        <w:t xml:space="preserve">BACKGROUND </w:t>
      </w:r>
      <w:r w:rsidR="005F5B48">
        <w:rPr>
          <w:b/>
        </w:rPr>
        <w:t>TO</w:t>
      </w:r>
      <w:r w:rsidRPr="007E1EBC">
        <w:rPr>
          <w:b/>
        </w:rPr>
        <w:t xml:space="preserve"> THE STUDY</w:t>
      </w:r>
    </w:p>
    <w:p w:rsidR="00534C63" w:rsidRPr="007E1EBC" w:rsidRDefault="00534C63" w:rsidP="00534C63">
      <w:pPr>
        <w:pStyle w:val="whp20100506"/>
        <w:rPr>
          <w:rFonts w:cs="Arial"/>
          <w:szCs w:val="20"/>
        </w:rPr>
      </w:pPr>
    </w:p>
    <w:p w:rsidR="00534C63" w:rsidRPr="007E1EBC" w:rsidRDefault="00534C63" w:rsidP="00534C63">
      <w:pPr>
        <w:pStyle w:val="whp20100506"/>
      </w:pPr>
      <w:r w:rsidRPr="007E1EBC">
        <w:t>With the advent of the first Real Estate Investment Trusts (REIT) created in the United States of America (USA) in 1960, the small investor was able to access large-scale income producing real estate and receives the benefits of a total flow through vehicle. The benefit was enormous and very quickly investors realized that for the cost of a share, they were able to receive the benefits of prime real estate investment opportunities that would ordinarily be out of reach of the normal person (Schacht &amp; Wimschulte, 2007: 1)</w:t>
      </w:r>
    </w:p>
    <w:p w:rsidR="00534C63" w:rsidRPr="007E1EBC" w:rsidRDefault="00534C63" w:rsidP="00534C63">
      <w:pPr>
        <w:pStyle w:val="whp20100506"/>
      </w:pPr>
    </w:p>
    <w:p w:rsidR="00534C63" w:rsidRPr="007E1EBC" w:rsidRDefault="00534C63" w:rsidP="00534C63">
      <w:pPr>
        <w:pStyle w:val="whp20100506"/>
      </w:pPr>
      <w:r w:rsidRPr="007E1EBC">
        <w:t xml:space="preserve">The FTSE NAREIT Composite Index recorded aggregate market capitalisation of the global REIT sector of 86 funds as $8.75 billion in 1991(Campbell &amp; Sirmans, 2002: 394). The growth of this investment vehicle since then has been extraordinary. According to Ernest &amp; Young’s Global REIT Report 2010, as at 31 December 2009, the REIT industry has grown into a global phenomenon estimated at a total capitalisation value of $568 billion split across approximately 427 REIT funds. This figure is down from a high of $829 billion at its peak in 2007. </w:t>
      </w:r>
    </w:p>
    <w:p w:rsidR="00534C63" w:rsidRPr="007E1EBC" w:rsidRDefault="00534C63" w:rsidP="00534C63">
      <w:pPr>
        <w:pStyle w:val="whp20100506"/>
        <w:ind w:left="720"/>
      </w:pPr>
    </w:p>
    <w:p w:rsidR="00534C63" w:rsidRPr="007E1EBC" w:rsidRDefault="00534C63" w:rsidP="00534C63">
      <w:pPr>
        <w:pStyle w:val="whp20100506"/>
      </w:pPr>
      <w:r w:rsidRPr="007E1EBC">
        <w:t>The Ernest &amp; Young Report (2010) lists the USA as the largest REIT country with an estimated capitalisation value of $271 Billion and142 REIT funds, while Australia, France, United Kingdom and Japan featuring amongst the top ranked REIT countries in the world.</w:t>
      </w:r>
    </w:p>
    <w:p w:rsidR="00534C63" w:rsidRPr="007E1EBC" w:rsidRDefault="00534C63" w:rsidP="00534C63">
      <w:pPr>
        <w:pStyle w:val="whp20100506"/>
        <w:ind w:left="720"/>
      </w:pPr>
    </w:p>
    <w:p w:rsidR="00534C63" w:rsidRPr="007E1EBC" w:rsidRDefault="00534C63" w:rsidP="00534C63">
      <w:pPr>
        <w:pStyle w:val="whp20100506"/>
      </w:pPr>
      <w:r w:rsidRPr="007E1EBC">
        <w:t xml:space="preserve">Against this background, South Africa has since its democratic independence in 1994, adopted numerous legislative changes in order to promote itself as an internationally competitive country with highly recognized structures. </w:t>
      </w:r>
    </w:p>
    <w:p w:rsidR="00534C63" w:rsidRPr="007E1EBC" w:rsidRDefault="00534C63" w:rsidP="00534C63">
      <w:pPr>
        <w:pStyle w:val="whp20100506"/>
        <w:ind w:left="720"/>
      </w:pPr>
    </w:p>
    <w:p w:rsidR="00534C63" w:rsidRPr="007E1EBC" w:rsidRDefault="00534C63" w:rsidP="00534C63">
      <w:pPr>
        <w:pStyle w:val="whp20100506"/>
        <w:rPr>
          <w:i/>
        </w:rPr>
      </w:pPr>
      <w:r w:rsidRPr="007E1EBC">
        <w:t>Prominent South African law firm Deneys Reitz recently stated that “</w:t>
      </w:r>
      <w:r w:rsidRPr="007E1EBC">
        <w:rPr>
          <w:i/>
        </w:rPr>
        <w:t>Our country has highly sophisticated financial, mining, commercial and industrial sectors which compete with the best throughout the world and attract considerable interest from overseas investors”.</w:t>
      </w:r>
    </w:p>
    <w:p w:rsidR="00534C63" w:rsidRPr="007E1EBC" w:rsidRDefault="00534C63" w:rsidP="00534C63">
      <w:pPr>
        <w:pStyle w:val="whp20100506"/>
        <w:ind w:left="720"/>
        <w:rPr>
          <w:i/>
        </w:rPr>
      </w:pPr>
    </w:p>
    <w:p w:rsidR="00534C63" w:rsidRPr="007E1EBC" w:rsidRDefault="00534C63" w:rsidP="00534C63">
      <w:pPr>
        <w:pStyle w:val="whp20100506"/>
      </w:pPr>
      <w:r w:rsidRPr="007E1EBC">
        <w:rPr>
          <w:i/>
        </w:rPr>
        <w:t xml:space="preserve"> </w:t>
      </w:r>
      <w:r w:rsidRPr="007E1EBC">
        <w:t>It adds further: “</w:t>
      </w:r>
      <w:r w:rsidRPr="007E1EBC">
        <w:rPr>
          <w:i/>
        </w:rPr>
        <w:t xml:space="preserve">as our African Legal division proves, South Africa has become the favoured </w:t>
      </w:r>
      <w:r w:rsidRPr="007E1EBC">
        <w:rPr>
          <w:i/>
        </w:rPr>
        <w:lastRenderedPageBreak/>
        <w:t>staging post for investment in Africa and provides opportunities for trading with Africa, second to none. Southern Africa as a whole, rich in minerals and natural resources, is also becoming a strong economic force to the benefit of everyone involved in this region, including oversees investors” (</w:t>
      </w:r>
      <w:r w:rsidRPr="007E1EBC">
        <w:t>Deneys Reitz, 2009: 3).</w:t>
      </w:r>
    </w:p>
    <w:p w:rsidR="00534C63" w:rsidRPr="007E1EBC" w:rsidRDefault="00534C63" w:rsidP="00534C63">
      <w:pPr>
        <w:pStyle w:val="whp20100506"/>
      </w:pPr>
    </w:p>
    <w:p w:rsidR="00534C63" w:rsidRPr="007E1EBC" w:rsidRDefault="00534C63" w:rsidP="00534C63">
      <w:pPr>
        <w:pStyle w:val="whp20100506"/>
      </w:pPr>
      <w:r w:rsidRPr="007E1EBC">
        <w:t xml:space="preserve">As far as the listed property sector is concerned, South Africa has over the past 10 years faired particularly well in relation to its international </w:t>
      </w:r>
      <w:r w:rsidR="00194F2A">
        <w:t>REITS</w:t>
      </w:r>
      <w:r w:rsidRPr="007E1EBC">
        <w:t xml:space="preserve"> contemporaries. In</w:t>
      </w:r>
      <w:r w:rsidR="002212EB">
        <w:t xml:space="preserve"> the Ernest &amp; Young Global </w:t>
      </w:r>
      <w:r w:rsidR="00194F2A">
        <w:t>REITS</w:t>
      </w:r>
      <w:r w:rsidRPr="007E1EBC">
        <w:t xml:space="preserve"> Report 2010, South Africa was ranked as the top performing country with the highest annual rate of return over a three year period for the year ending 31 December 2009. This was also achieved in the 2007 year of review. </w:t>
      </w:r>
    </w:p>
    <w:p w:rsidR="00534C63" w:rsidRPr="007E1EBC" w:rsidRDefault="00534C63" w:rsidP="00534C63">
      <w:pPr>
        <w:pStyle w:val="whp20100506"/>
      </w:pPr>
    </w:p>
    <w:p w:rsidR="00534C63" w:rsidRPr="007E1EBC" w:rsidRDefault="00534C63" w:rsidP="00534C63">
      <w:pPr>
        <w:pStyle w:val="whp20100506"/>
      </w:pPr>
      <w:r w:rsidRPr="007E1EBC">
        <w:t xml:space="preserve">Further accolades include ranking South Africa as the second lowest geared </w:t>
      </w:r>
      <w:r w:rsidR="00194F2A">
        <w:t>REITS</w:t>
      </w:r>
      <w:r w:rsidRPr="007E1EBC">
        <w:t xml:space="preserve"> country in 2010 relative to total assets, and being the lowest geared amongst its peers in the 2008 year under review. South Africa also held the title as the </w:t>
      </w:r>
      <w:r w:rsidR="00194F2A">
        <w:t>REITS</w:t>
      </w:r>
      <w:r w:rsidRPr="007E1EBC">
        <w:t xml:space="preserve"> country with the highest dividend yield in 2008. </w:t>
      </w:r>
    </w:p>
    <w:p w:rsidR="00534C63" w:rsidRPr="007E1EBC" w:rsidRDefault="00534C63" w:rsidP="00534C63">
      <w:pPr>
        <w:pStyle w:val="whp20100506"/>
        <w:ind w:left="709"/>
      </w:pPr>
    </w:p>
    <w:p w:rsidR="00534C63" w:rsidRPr="007E1EBC" w:rsidRDefault="00534C63" w:rsidP="00534C63">
      <w:pPr>
        <w:pStyle w:val="whp20100506"/>
      </w:pPr>
      <w:r w:rsidRPr="007E1EBC">
        <w:t>In recognition of its performance a</w:t>
      </w:r>
      <w:r w:rsidR="002212EB">
        <w:t xml:space="preserve">s a leading </w:t>
      </w:r>
      <w:r w:rsidR="00194F2A">
        <w:t>REITS</w:t>
      </w:r>
      <w:r w:rsidRPr="007E1EBC">
        <w:t xml:space="preserve"> country, MSCA Barra, as a leading provider of  investment decision making tools, added Growthpoint Properties to their Emerging Markets stock index in 2008 (anon, eProp.co.za, 2008: [1]). </w:t>
      </w:r>
    </w:p>
    <w:p w:rsidR="00534C63" w:rsidRPr="007E1EBC" w:rsidRDefault="00534C63" w:rsidP="00534C63">
      <w:pPr>
        <w:pStyle w:val="whp20100506"/>
      </w:pPr>
    </w:p>
    <w:p w:rsidR="00534C63" w:rsidRPr="007E1EBC" w:rsidRDefault="00534C63" w:rsidP="00534C63">
      <w:pPr>
        <w:pStyle w:val="whp20100506"/>
      </w:pPr>
      <w:r w:rsidRPr="007E1EBC">
        <w:t>Belinda Clur, as head of research for Old Mutual Investment Group, reported on the economic boom in South African that had resulted in record property returns which outstripped its international counterparts</w:t>
      </w:r>
      <w:r w:rsidRPr="007E1EBC">
        <w:rPr>
          <w:rStyle w:val="FootnoteReference"/>
        </w:rPr>
        <w:footnoteReference w:id="1"/>
      </w:r>
      <w:r w:rsidRPr="007E1EBC">
        <w:t>. Clur writes that the Investment Property Databank recorded South African property returns in 2007 at 26.7%, which was the second highest in the world, while in 2005 the returns were the highest in the world at 30.1%. Furthermore she indicates that the growth in South Africa was attributable to the movement away from being a resources-based economy, to a consumer-based economy which resulted in the massive expansion in retail development.</w:t>
      </w:r>
    </w:p>
    <w:p w:rsidR="00534C63" w:rsidRPr="007E1EBC" w:rsidRDefault="00534C63" w:rsidP="00534C63">
      <w:pPr>
        <w:pStyle w:val="whp20100506"/>
        <w:ind w:left="709"/>
      </w:pPr>
    </w:p>
    <w:p w:rsidR="00534C63" w:rsidRPr="007E1EBC" w:rsidRDefault="00534C63" w:rsidP="00534C63">
      <w:pPr>
        <w:pStyle w:val="whp20100506"/>
      </w:pPr>
      <w:r w:rsidRPr="007E1EBC">
        <w:t>Dr Du Plessis, Chairman of Plexus Asset Management</w:t>
      </w:r>
      <w:r w:rsidRPr="007E1EBC">
        <w:rPr>
          <w:rStyle w:val="FootnoteReference"/>
        </w:rPr>
        <w:footnoteReference w:id="2"/>
      </w:r>
      <w:r w:rsidRPr="007E1EBC">
        <w:t xml:space="preserve">, recently commented that since the stability of global property markets in February 2009, along with Hong Kong, South Africa </w:t>
      </w:r>
      <w:r w:rsidRPr="007E1EBC">
        <w:lastRenderedPageBreak/>
        <w:t>ha</w:t>
      </w:r>
      <w:r w:rsidR="002212EB">
        <w:t xml:space="preserve">s outshone the rest of the </w:t>
      </w:r>
      <w:r w:rsidR="00194F2A">
        <w:t>REITS</w:t>
      </w:r>
      <w:r w:rsidRPr="007E1EBC">
        <w:t xml:space="preserve"> world delivering total returns of 48%</w:t>
      </w:r>
      <w:r w:rsidRPr="007E1EBC">
        <w:rPr>
          <w:rStyle w:val="FootnoteReference"/>
        </w:rPr>
        <w:footnoteReference w:id="3"/>
      </w:r>
      <w:r w:rsidRPr="007E1EBC">
        <w:t>.</w:t>
      </w:r>
    </w:p>
    <w:p w:rsidR="00534C63" w:rsidRPr="007E1EBC" w:rsidRDefault="00534C63" w:rsidP="00534C63">
      <w:pPr>
        <w:pStyle w:val="whp20100506"/>
        <w:ind w:left="709"/>
      </w:pPr>
    </w:p>
    <w:p w:rsidR="00534C63" w:rsidRPr="007E1EBC" w:rsidRDefault="00534C63" w:rsidP="00534C63">
      <w:pPr>
        <w:pStyle w:val="whp20100506"/>
      </w:pPr>
      <w:r w:rsidRPr="007E1EBC">
        <w:t>However despite the aforementioned impressive track record and performance honours, South Africa only has a market capitalisation of merely $3.4 billion which equates</w:t>
      </w:r>
      <w:r w:rsidR="002212EB">
        <w:t xml:space="preserve"> to 0.6% of the global </w:t>
      </w:r>
      <w:r w:rsidR="00194F2A">
        <w:t>REITS</w:t>
      </w:r>
      <w:r w:rsidRPr="007E1EBC">
        <w:t xml:space="preserve"> market capitalisation (Ernest &amp; Young 2010). In addition, the same report only recognises 5 listed property funds in South Africa as suitably qualified </w:t>
      </w:r>
      <w:r w:rsidR="00194F2A">
        <w:t>REITS</w:t>
      </w:r>
      <w:r w:rsidRPr="007E1EBC">
        <w:t xml:space="preserve"> and in comparative terms only has an average market capitalisation of $680 million per </w:t>
      </w:r>
      <w:r w:rsidR="00194F2A">
        <w:t>REITS</w:t>
      </w:r>
      <w:r w:rsidRPr="007E1EBC">
        <w:t xml:space="preserve"> compared to $1 914 million </w:t>
      </w:r>
      <w:r w:rsidR="00032422" w:rsidRPr="007E1EBC">
        <w:t>averages</w:t>
      </w:r>
      <w:r w:rsidRPr="007E1EBC">
        <w:t xml:space="preserve"> per </w:t>
      </w:r>
      <w:r w:rsidR="00194F2A">
        <w:t>REITS</w:t>
      </w:r>
      <w:r w:rsidRPr="007E1EBC">
        <w:t xml:space="preserve"> in the USA.  </w:t>
      </w:r>
    </w:p>
    <w:p w:rsidR="00534C63" w:rsidRPr="007E1EBC" w:rsidRDefault="00534C63" w:rsidP="00534C63">
      <w:pPr>
        <w:pStyle w:val="whp20100506"/>
      </w:pPr>
    </w:p>
    <w:p w:rsidR="00534C63" w:rsidRDefault="00534C63" w:rsidP="00534C63">
      <w:pPr>
        <w:pStyle w:val="whp20100506"/>
      </w:pPr>
      <w:r w:rsidRPr="007E1EBC">
        <w:t xml:space="preserve">As an illustration of foreign investment in South Africa, the listed PLS sector is estimated at 0.44% (see </w:t>
      </w:r>
      <w:r w:rsidR="0082303A">
        <w:t>Table</w:t>
      </w:r>
      <w:r w:rsidRPr="007E1EBC">
        <w:t xml:space="preserve"> 1 below)  </w:t>
      </w:r>
    </w:p>
    <w:p w:rsidR="00364C0C" w:rsidRDefault="00364C0C" w:rsidP="00364C0C">
      <w:pPr>
        <w:pStyle w:val="Caption"/>
        <w:jc w:val="center"/>
      </w:pPr>
    </w:p>
    <w:p w:rsidR="00364C0C" w:rsidRPr="00364C0C" w:rsidRDefault="00364C0C" w:rsidP="00364C0C">
      <w:pPr>
        <w:pStyle w:val="Caption"/>
        <w:jc w:val="center"/>
        <w:rPr>
          <w:sz w:val="18"/>
          <w:szCs w:val="18"/>
        </w:rPr>
      </w:pPr>
      <w:r>
        <w:t>Table</w:t>
      </w:r>
      <w:r w:rsidRPr="00087CC5">
        <w:t xml:space="preserve"> </w:t>
      </w:r>
      <w:fldSimple w:instr=" SEQ Table \* ARABIC ">
        <w:r w:rsidR="00573D8E">
          <w:rPr>
            <w:noProof/>
          </w:rPr>
          <w:t>1</w:t>
        </w:r>
      </w:fldSimple>
      <w:r w:rsidRPr="00087CC5">
        <w:t xml:space="preserve"> Foreign Investment of PLS Companies in South Africa as at July 20101 (source: Bloomberg)</w:t>
      </w:r>
    </w:p>
    <w:p w:rsidR="00534C63" w:rsidRPr="007E1EBC" w:rsidRDefault="00534C63" w:rsidP="00534C63">
      <w:pPr>
        <w:pStyle w:val="whp20100506"/>
      </w:pPr>
    </w:p>
    <w:tbl>
      <w:tblPr>
        <w:tblW w:w="8903" w:type="dxa"/>
        <w:tblInd w:w="93" w:type="dxa"/>
        <w:tblLook w:val="04A0"/>
      </w:tblPr>
      <w:tblGrid>
        <w:gridCol w:w="447"/>
        <w:gridCol w:w="1697"/>
        <w:gridCol w:w="1202"/>
        <w:gridCol w:w="1474"/>
        <w:gridCol w:w="1089"/>
        <w:gridCol w:w="1316"/>
        <w:gridCol w:w="1678"/>
      </w:tblGrid>
      <w:tr w:rsidR="00534C63" w:rsidRPr="007E1EBC" w:rsidTr="00A8691C">
        <w:trPr>
          <w:trHeight w:val="419"/>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p>
          <w:p w:rsidR="00534C63" w:rsidRPr="007E1EBC" w:rsidRDefault="00534C63" w:rsidP="00684B0F">
            <w:pPr>
              <w:pStyle w:val="whp20100506"/>
              <w:rPr>
                <w:sz w:val="16"/>
                <w:szCs w:val="16"/>
                <w:lang w:eastAsia="en-GB"/>
              </w:rPr>
            </w:pPr>
          </w:p>
        </w:tc>
        <w:tc>
          <w:tcPr>
            <w:tcW w:w="169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34C63" w:rsidRPr="007E1EBC" w:rsidRDefault="00534C63" w:rsidP="00684B0F">
            <w:pPr>
              <w:pStyle w:val="whp20100506"/>
              <w:rPr>
                <w:b/>
                <w:sz w:val="16"/>
                <w:szCs w:val="16"/>
                <w:lang w:eastAsia="en-GB"/>
              </w:rPr>
            </w:pPr>
            <w:r w:rsidRPr="007E1EBC">
              <w:rPr>
                <w:b/>
                <w:sz w:val="16"/>
                <w:szCs w:val="16"/>
                <w:lang w:eastAsia="en-GB"/>
              </w:rPr>
              <w:t>Share Name</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34C63" w:rsidRPr="007E1EBC" w:rsidRDefault="00534C63" w:rsidP="00684B0F">
            <w:pPr>
              <w:pStyle w:val="whp20100506"/>
              <w:rPr>
                <w:b/>
                <w:sz w:val="16"/>
                <w:szCs w:val="16"/>
                <w:lang w:eastAsia="en-GB"/>
              </w:rPr>
            </w:pPr>
            <w:r w:rsidRPr="007E1EBC">
              <w:rPr>
                <w:b/>
                <w:sz w:val="16"/>
                <w:szCs w:val="16"/>
                <w:lang w:eastAsia="en-GB"/>
              </w:rPr>
              <w:t>Foreign Holding</w:t>
            </w:r>
          </w:p>
        </w:tc>
        <w:tc>
          <w:tcPr>
            <w:tcW w:w="1474"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34C63" w:rsidRPr="007E1EBC" w:rsidRDefault="00534C63" w:rsidP="00684B0F">
            <w:pPr>
              <w:pStyle w:val="whp20100506"/>
              <w:rPr>
                <w:b/>
                <w:sz w:val="16"/>
                <w:szCs w:val="16"/>
                <w:lang w:eastAsia="en-GB"/>
              </w:rPr>
            </w:pPr>
            <w:r w:rsidRPr="007E1EBC">
              <w:rPr>
                <w:b/>
                <w:sz w:val="16"/>
                <w:szCs w:val="16"/>
                <w:lang w:eastAsia="en-GB"/>
              </w:rPr>
              <w:t xml:space="preserve"> SISS </w:t>
            </w:r>
          </w:p>
        </w:tc>
        <w:tc>
          <w:tcPr>
            <w:tcW w:w="108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34C63" w:rsidRPr="007E1EBC" w:rsidRDefault="00534C63" w:rsidP="00684B0F">
            <w:pPr>
              <w:pStyle w:val="whp20100506"/>
              <w:rPr>
                <w:b/>
                <w:sz w:val="16"/>
                <w:szCs w:val="16"/>
                <w:lang w:eastAsia="en-GB"/>
              </w:rPr>
            </w:pPr>
            <w:r w:rsidRPr="007E1EBC">
              <w:rPr>
                <w:b/>
                <w:sz w:val="16"/>
                <w:szCs w:val="16"/>
                <w:lang w:eastAsia="en-GB"/>
              </w:rPr>
              <w:t xml:space="preserve"> % of SISS </w:t>
            </w:r>
          </w:p>
        </w:tc>
        <w:tc>
          <w:tcPr>
            <w:tcW w:w="13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34C63" w:rsidRPr="007E1EBC" w:rsidRDefault="00534C63" w:rsidP="00684B0F">
            <w:pPr>
              <w:pStyle w:val="whp20100506"/>
              <w:rPr>
                <w:b/>
                <w:sz w:val="16"/>
                <w:szCs w:val="16"/>
                <w:lang w:eastAsia="en-GB"/>
              </w:rPr>
            </w:pPr>
            <w:r w:rsidRPr="007E1EBC">
              <w:rPr>
                <w:b/>
                <w:sz w:val="16"/>
                <w:szCs w:val="16"/>
                <w:lang w:eastAsia="en-GB"/>
              </w:rPr>
              <w:t>Value of investment</w:t>
            </w:r>
          </w:p>
        </w:tc>
        <w:tc>
          <w:tcPr>
            <w:tcW w:w="1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34C63" w:rsidRPr="007E1EBC" w:rsidRDefault="00534C63" w:rsidP="00684B0F">
            <w:pPr>
              <w:pStyle w:val="whp20100506"/>
              <w:rPr>
                <w:b/>
                <w:sz w:val="16"/>
                <w:szCs w:val="16"/>
                <w:lang w:eastAsia="en-GB"/>
              </w:rPr>
            </w:pPr>
            <w:r w:rsidRPr="007E1EBC">
              <w:rPr>
                <w:b/>
                <w:sz w:val="16"/>
                <w:szCs w:val="16"/>
                <w:lang w:eastAsia="en-GB"/>
              </w:rPr>
              <w:t>Market capitalisation</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1</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ACUCAP</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 </w:t>
            </w: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158 173 748</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0.00%</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0</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5 298 820 558</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2</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CAPITAL</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1 940 542</w:t>
            </w: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717 578 059</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0.27%</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15 621 363</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5 776 503 375</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3</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EMIRA</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1 775 519</w:t>
            </w: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487 827 654</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0.36%</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23 117 257</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6 351 516 055</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4</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FORTRESS A</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201 782 877</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0.00%</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0</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2 193 379 873</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5</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FORTRESS B</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201 782 877</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0.00%</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0</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464 100 617</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6</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FOUNTAINHEAD</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6 983 378</w:t>
            </w: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996 043 081</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0.70%</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45 531 625</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6 494 200 888</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7</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GROWTHPOINT</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1 547 521 924</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0.00%</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0</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25 379 359 554</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8</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HOSPITALITY A</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63 112 101</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0.00%</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0</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833 079 733</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9</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HOSPITALITY B</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63 112 101</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0.00%</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0</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694 233 111</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10</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HYPROP</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572 192</w:t>
            </w: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166 113 169</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0.34%</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29 811 203</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8 654 496 105</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11</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OCTODEC</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89 297 472</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0.00%</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0</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1 406 435 184</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12</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PANGBOURNE</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441 745 837</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0.00%</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0</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8 291 569 360</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13</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PREMIUM</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130 106 442</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0.00%</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0</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2 016 649 851</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14</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REDEFINE</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48 673 709</w:t>
            </w: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2 690 172 102</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1.81%</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369 920 188</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20 445 307 975</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15</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RESILIENT</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257 894 832</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0.00%</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0</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7 427 371 162</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16</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SA CORPORATE</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8 116 318</w:t>
            </w: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2 081 868 612</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0.39%</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24 105 464</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6 183 149 778</w:t>
            </w:r>
          </w:p>
        </w:tc>
      </w:tr>
      <w:tr w:rsidR="00534C63" w:rsidRPr="007E1EBC" w:rsidTr="00684B0F">
        <w:trPr>
          <w:trHeight w:val="203"/>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17</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SYCOM</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482 368</w:t>
            </w: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214 004 768</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0.23%</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10 370 912</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4 601 102 512</w:t>
            </w:r>
          </w:p>
        </w:tc>
      </w:tr>
      <w:tr w:rsidR="00534C63" w:rsidRPr="007E1EBC" w:rsidTr="00684B0F">
        <w:trPr>
          <w:trHeight w:val="216"/>
        </w:trPr>
        <w:tc>
          <w:tcPr>
            <w:tcW w:w="447" w:type="dxa"/>
            <w:tcBorders>
              <w:top w:val="nil"/>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18</w:t>
            </w:r>
          </w:p>
        </w:tc>
        <w:tc>
          <w:tcPr>
            <w:tcW w:w="1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VUKILE</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68 200</w:t>
            </w:r>
          </w:p>
        </w:tc>
        <w:tc>
          <w:tcPr>
            <w:tcW w:w="14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332 020 878</w:t>
            </w:r>
          </w:p>
        </w:tc>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0.02%</w:t>
            </w:r>
          </w:p>
        </w:tc>
        <w:tc>
          <w:tcPr>
            <w:tcW w:w="13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866 140</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4 216 665 151</w:t>
            </w:r>
          </w:p>
        </w:tc>
      </w:tr>
      <w:tr w:rsidR="00534C63" w:rsidRPr="007E1EBC" w:rsidTr="00684B0F">
        <w:trPr>
          <w:trHeight w:val="203"/>
        </w:trPr>
        <w:tc>
          <w:tcPr>
            <w:tcW w:w="447" w:type="dxa"/>
            <w:tcBorders>
              <w:top w:val="nil"/>
              <w:left w:val="nil"/>
              <w:bottom w:val="nil"/>
              <w:right w:val="nil"/>
            </w:tcBorders>
            <w:shd w:val="clear" w:color="auto" w:fill="auto"/>
            <w:noWrap/>
            <w:vAlign w:val="center"/>
            <w:hideMark/>
          </w:tcPr>
          <w:p w:rsidR="00534C63" w:rsidRPr="007E1EBC" w:rsidRDefault="00534C63" w:rsidP="00684B0F">
            <w:pPr>
              <w:pStyle w:val="whp20100506"/>
              <w:rPr>
                <w:sz w:val="16"/>
                <w:szCs w:val="16"/>
                <w:lang w:eastAsia="en-GB"/>
              </w:rPr>
            </w:pPr>
          </w:p>
        </w:tc>
        <w:tc>
          <w:tcPr>
            <w:tcW w:w="2899" w:type="dxa"/>
            <w:gridSpan w:val="2"/>
            <w:tcBorders>
              <w:top w:val="single" w:sz="4" w:space="0" w:color="auto"/>
              <w:left w:val="nil"/>
              <w:bottom w:val="nil"/>
              <w:right w:val="nil"/>
            </w:tcBorders>
            <w:shd w:val="clear" w:color="auto" w:fill="auto"/>
            <w:noWrap/>
            <w:vAlign w:val="center"/>
            <w:hideMark/>
          </w:tcPr>
          <w:p w:rsidR="00534C63" w:rsidRPr="007E1EBC" w:rsidRDefault="00534C63" w:rsidP="00684B0F">
            <w:pPr>
              <w:pStyle w:val="whp20100506"/>
              <w:rPr>
                <w:sz w:val="16"/>
                <w:szCs w:val="16"/>
                <w:lang w:eastAsia="en-GB"/>
              </w:rPr>
            </w:pPr>
          </w:p>
        </w:tc>
        <w:tc>
          <w:tcPr>
            <w:tcW w:w="1474" w:type="dxa"/>
            <w:tcBorders>
              <w:top w:val="single" w:sz="4" w:space="0" w:color="auto"/>
              <w:left w:val="nil"/>
              <w:bottom w:val="nil"/>
              <w:right w:val="nil"/>
            </w:tcBorders>
            <w:shd w:val="clear" w:color="auto" w:fill="auto"/>
            <w:noWrap/>
            <w:vAlign w:val="center"/>
            <w:hideMark/>
          </w:tcPr>
          <w:p w:rsidR="00534C63" w:rsidRPr="007E1EBC" w:rsidRDefault="00534C63" w:rsidP="00684B0F">
            <w:pPr>
              <w:pStyle w:val="whp20100506"/>
              <w:rPr>
                <w:sz w:val="16"/>
                <w:szCs w:val="16"/>
                <w:lang w:eastAsia="en-GB"/>
              </w:rPr>
            </w:pPr>
          </w:p>
        </w:tc>
        <w:tc>
          <w:tcPr>
            <w:tcW w:w="1089" w:type="dxa"/>
            <w:tcBorders>
              <w:top w:val="single" w:sz="4" w:space="0" w:color="auto"/>
              <w:left w:val="nil"/>
              <w:bottom w:val="nil"/>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p>
        </w:tc>
        <w:tc>
          <w:tcPr>
            <w:tcW w:w="1316" w:type="dxa"/>
            <w:tcBorders>
              <w:top w:val="single" w:sz="4" w:space="0" w:color="auto"/>
              <w:left w:val="single" w:sz="4" w:space="0" w:color="auto"/>
              <w:bottom w:val="double" w:sz="4" w:space="0" w:color="auto"/>
              <w:right w:val="single" w:sz="4" w:space="0" w:color="auto"/>
            </w:tcBorders>
            <w:shd w:val="clear" w:color="auto" w:fill="auto"/>
            <w:noWrap/>
            <w:vAlign w:val="center"/>
            <w:hideMark/>
          </w:tcPr>
          <w:p w:rsidR="00534C63" w:rsidRPr="007E1EBC" w:rsidRDefault="00534C63" w:rsidP="00684B0F">
            <w:pPr>
              <w:pStyle w:val="whp20100506"/>
              <w:rPr>
                <w:b/>
                <w:sz w:val="16"/>
                <w:szCs w:val="16"/>
                <w:lang w:eastAsia="en-GB"/>
              </w:rPr>
            </w:pPr>
            <w:r w:rsidRPr="007E1EBC">
              <w:rPr>
                <w:b/>
                <w:sz w:val="16"/>
                <w:szCs w:val="16"/>
                <w:lang w:eastAsia="en-GB"/>
              </w:rPr>
              <w:t>R 519 344 153</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4C63" w:rsidRPr="007E1EBC" w:rsidRDefault="00534C63" w:rsidP="00684B0F">
            <w:pPr>
              <w:pStyle w:val="whp20100506"/>
              <w:rPr>
                <w:sz w:val="16"/>
                <w:szCs w:val="16"/>
                <w:lang w:eastAsia="en-GB"/>
              </w:rPr>
            </w:pPr>
            <w:r w:rsidRPr="007E1EBC">
              <w:rPr>
                <w:sz w:val="16"/>
                <w:szCs w:val="16"/>
                <w:lang w:eastAsia="en-GB"/>
              </w:rPr>
              <w:t>R 116 727 940 841</w:t>
            </w:r>
          </w:p>
        </w:tc>
      </w:tr>
      <w:tr w:rsidR="00534C63" w:rsidRPr="007E1EBC" w:rsidTr="00684B0F">
        <w:trPr>
          <w:trHeight w:val="203"/>
        </w:trPr>
        <w:tc>
          <w:tcPr>
            <w:tcW w:w="447" w:type="dxa"/>
            <w:tcBorders>
              <w:top w:val="nil"/>
              <w:left w:val="nil"/>
              <w:bottom w:val="nil"/>
              <w:right w:val="nil"/>
            </w:tcBorders>
            <w:shd w:val="clear" w:color="auto" w:fill="auto"/>
            <w:noWrap/>
            <w:vAlign w:val="center"/>
            <w:hideMark/>
          </w:tcPr>
          <w:p w:rsidR="00534C63" w:rsidRPr="007E1EBC" w:rsidRDefault="00534C63" w:rsidP="00684B0F">
            <w:pPr>
              <w:pStyle w:val="whp20100506"/>
              <w:rPr>
                <w:sz w:val="16"/>
                <w:szCs w:val="16"/>
                <w:lang w:eastAsia="en-GB"/>
              </w:rPr>
            </w:pPr>
          </w:p>
        </w:tc>
        <w:tc>
          <w:tcPr>
            <w:tcW w:w="1697" w:type="dxa"/>
            <w:tcBorders>
              <w:top w:val="nil"/>
              <w:left w:val="nil"/>
              <w:bottom w:val="nil"/>
              <w:right w:val="nil"/>
            </w:tcBorders>
            <w:shd w:val="clear" w:color="auto" w:fill="auto"/>
            <w:noWrap/>
            <w:vAlign w:val="center"/>
            <w:hideMark/>
          </w:tcPr>
          <w:p w:rsidR="00534C63" w:rsidRPr="007E1EBC" w:rsidRDefault="00534C63" w:rsidP="00684B0F">
            <w:pPr>
              <w:pStyle w:val="whp20100506"/>
              <w:rPr>
                <w:sz w:val="16"/>
                <w:szCs w:val="16"/>
                <w:lang w:eastAsia="en-GB"/>
              </w:rPr>
            </w:pPr>
          </w:p>
        </w:tc>
        <w:tc>
          <w:tcPr>
            <w:tcW w:w="1202" w:type="dxa"/>
            <w:tcBorders>
              <w:top w:val="nil"/>
              <w:left w:val="nil"/>
              <w:bottom w:val="nil"/>
              <w:right w:val="nil"/>
            </w:tcBorders>
            <w:shd w:val="clear" w:color="auto" w:fill="auto"/>
            <w:noWrap/>
            <w:vAlign w:val="center"/>
            <w:hideMark/>
          </w:tcPr>
          <w:p w:rsidR="00534C63" w:rsidRPr="007E1EBC" w:rsidRDefault="00534C63" w:rsidP="00684B0F">
            <w:pPr>
              <w:pStyle w:val="whp20100506"/>
              <w:rPr>
                <w:sz w:val="16"/>
                <w:szCs w:val="16"/>
                <w:lang w:eastAsia="en-GB"/>
              </w:rPr>
            </w:pPr>
          </w:p>
        </w:tc>
        <w:tc>
          <w:tcPr>
            <w:tcW w:w="1474" w:type="dxa"/>
            <w:tcBorders>
              <w:top w:val="nil"/>
              <w:left w:val="nil"/>
              <w:bottom w:val="nil"/>
              <w:right w:val="nil"/>
            </w:tcBorders>
            <w:shd w:val="clear" w:color="auto" w:fill="auto"/>
            <w:noWrap/>
            <w:vAlign w:val="center"/>
            <w:hideMark/>
          </w:tcPr>
          <w:p w:rsidR="00534C63" w:rsidRPr="007E1EBC" w:rsidRDefault="00534C63" w:rsidP="00684B0F">
            <w:pPr>
              <w:pStyle w:val="whp20100506"/>
              <w:rPr>
                <w:sz w:val="16"/>
                <w:szCs w:val="16"/>
                <w:lang w:eastAsia="en-GB"/>
              </w:rPr>
            </w:pPr>
          </w:p>
        </w:tc>
        <w:tc>
          <w:tcPr>
            <w:tcW w:w="1089" w:type="dxa"/>
            <w:tcBorders>
              <w:top w:val="nil"/>
              <w:left w:val="nil"/>
              <w:bottom w:val="nil"/>
              <w:right w:val="double" w:sz="4" w:space="0" w:color="auto"/>
            </w:tcBorders>
            <w:shd w:val="clear" w:color="auto" w:fill="auto"/>
            <w:noWrap/>
            <w:vAlign w:val="center"/>
            <w:hideMark/>
          </w:tcPr>
          <w:p w:rsidR="00534C63" w:rsidRPr="007E1EBC" w:rsidRDefault="00534C63" w:rsidP="00684B0F">
            <w:pPr>
              <w:pStyle w:val="whp20100506"/>
              <w:rPr>
                <w:sz w:val="16"/>
                <w:szCs w:val="16"/>
                <w:lang w:eastAsia="en-GB"/>
              </w:rPr>
            </w:pPr>
          </w:p>
        </w:tc>
        <w:tc>
          <w:tcPr>
            <w:tcW w:w="1316"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rsidR="00534C63" w:rsidRPr="007E1EBC" w:rsidRDefault="00534C63" w:rsidP="00684B0F">
            <w:pPr>
              <w:pStyle w:val="whp20100506"/>
              <w:rPr>
                <w:b/>
                <w:sz w:val="16"/>
                <w:szCs w:val="16"/>
                <w:lang w:eastAsia="en-GB"/>
              </w:rPr>
            </w:pPr>
            <w:r w:rsidRPr="007E1EBC">
              <w:rPr>
                <w:b/>
                <w:sz w:val="16"/>
                <w:szCs w:val="16"/>
                <w:lang w:eastAsia="en-GB"/>
              </w:rPr>
              <w:t>0.44%</w:t>
            </w:r>
          </w:p>
        </w:tc>
        <w:tc>
          <w:tcPr>
            <w:tcW w:w="1678" w:type="dxa"/>
            <w:tcBorders>
              <w:top w:val="nil"/>
              <w:left w:val="double" w:sz="4" w:space="0" w:color="auto"/>
              <w:bottom w:val="nil"/>
              <w:right w:val="nil"/>
            </w:tcBorders>
            <w:shd w:val="clear" w:color="auto" w:fill="auto"/>
            <w:noWrap/>
            <w:vAlign w:val="center"/>
            <w:hideMark/>
          </w:tcPr>
          <w:p w:rsidR="00534C63" w:rsidRPr="007E1EBC" w:rsidRDefault="00534C63" w:rsidP="00684B0F">
            <w:pPr>
              <w:pStyle w:val="whp20100506"/>
              <w:rPr>
                <w:sz w:val="16"/>
                <w:szCs w:val="16"/>
                <w:lang w:eastAsia="en-GB"/>
              </w:rPr>
            </w:pPr>
          </w:p>
        </w:tc>
      </w:tr>
    </w:tbl>
    <w:p w:rsidR="00534C63" w:rsidRPr="007E1EBC" w:rsidRDefault="00534C63" w:rsidP="00534C63">
      <w:pPr>
        <w:pStyle w:val="Caption"/>
        <w:jc w:val="center"/>
        <w:rPr>
          <w:b w:val="0"/>
        </w:rPr>
      </w:pPr>
      <w:bookmarkStart w:id="1" w:name="_Toc268160207"/>
    </w:p>
    <w:bookmarkEnd w:id="1"/>
    <w:p w:rsidR="00534C63" w:rsidRPr="007E1EBC" w:rsidRDefault="00534C63" w:rsidP="00534C63">
      <w:pPr>
        <w:pStyle w:val="whp20100506"/>
      </w:pPr>
      <w:r w:rsidRPr="007E1EBC">
        <w:t xml:space="preserve">Therefore despite South Africa’s sound fundamentals as a Southern Africa economic powerhouse with sound legislative and investment regulation, along with an impressive </w:t>
      </w:r>
      <w:r w:rsidRPr="007E1EBC">
        <w:lastRenderedPageBreak/>
        <w:t xml:space="preserve">property performance track record, there is very little flow of international funds directed at South Africa and its listed property investment sector. </w:t>
      </w:r>
    </w:p>
    <w:p w:rsidR="00534C63" w:rsidRPr="007E1EBC" w:rsidRDefault="00534C63" w:rsidP="00534C63">
      <w:pPr>
        <w:pStyle w:val="whp20100506"/>
      </w:pPr>
    </w:p>
    <w:p w:rsidR="00534C63" w:rsidRPr="007E1EBC" w:rsidRDefault="00534C63" w:rsidP="00534C63">
      <w:pPr>
        <w:pStyle w:val="whp20100506"/>
        <w:numPr>
          <w:ilvl w:val="2"/>
          <w:numId w:val="2"/>
        </w:numPr>
        <w:ind w:left="630" w:hanging="709"/>
        <w:rPr>
          <w:b/>
        </w:rPr>
      </w:pPr>
      <w:r w:rsidRPr="007E1EBC">
        <w:rPr>
          <w:b/>
        </w:rPr>
        <w:t>The Need for Change: Attracting International Investment</w:t>
      </w:r>
    </w:p>
    <w:p w:rsidR="00534C63" w:rsidRPr="007E1EBC" w:rsidRDefault="00534C63" w:rsidP="00534C63">
      <w:pPr>
        <w:pStyle w:val="whp20100506"/>
        <w:ind w:left="630"/>
      </w:pPr>
    </w:p>
    <w:p w:rsidR="00534C63" w:rsidRPr="007E1EBC" w:rsidRDefault="00534C63" w:rsidP="00534C63">
      <w:pPr>
        <w:pStyle w:val="whp20100506"/>
      </w:pPr>
      <w:r w:rsidRPr="007E1EBC">
        <w:t>The South African listed sector is currently represented to the local and international investment community by Property Loan Stocks (PLS) and Collective Investment Schemes in Property (CISPs). Both of these entities strive to achieve the same purpose as a REIT being a total flow through investment vehicle.</w:t>
      </w:r>
    </w:p>
    <w:p w:rsidR="00534C63" w:rsidRPr="007E1EBC" w:rsidRDefault="00534C63" w:rsidP="00534C63">
      <w:pPr>
        <w:pStyle w:val="whp20100506"/>
        <w:ind w:left="720"/>
      </w:pPr>
    </w:p>
    <w:p w:rsidR="00534C63" w:rsidRPr="007E1EBC" w:rsidRDefault="00534C63" w:rsidP="00534C63">
      <w:pPr>
        <w:pStyle w:val="whp20100506"/>
      </w:pPr>
      <w:r w:rsidRPr="007E1EBC">
        <w:t xml:space="preserve">However, due to the vast differences in terms of their legal persona </w:t>
      </w:r>
      <w:r w:rsidR="00F7478F">
        <w:t xml:space="preserve">both </w:t>
      </w:r>
      <w:r w:rsidRPr="007E1EBC">
        <w:t xml:space="preserve">as a company (PLS) and trust (CISP), the treatment of the two vehicles has created a fragmented and irregular investment landscape </w:t>
      </w:r>
      <w:r w:rsidR="00F7478F">
        <w:t xml:space="preserve">primarily </w:t>
      </w:r>
      <w:r w:rsidRPr="007E1EBC">
        <w:t xml:space="preserve">with inconsistent tax and legal treatment (National Treasury, 2007:1), which </w:t>
      </w:r>
      <w:r w:rsidR="00F7478F">
        <w:t xml:space="preserve">is </w:t>
      </w:r>
      <w:r w:rsidRPr="007E1EBC">
        <w:t xml:space="preserve">analysed in </w:t>
      </w:r>
      <w:r w:rsidR="00F7478F">
        <w:t>detail</w:t>
      </w:r>
      <w:r w:rsidRPr="007E1EBC">
        <w:t xml:space="preserve"> in this dissertation. </w:t>
      </w:r>
    </w:p>
    <w:p w:rsidR="00534C63" w:rsidRPr="007E1EBC" w:rsidRDefault="00534C63" w:rsidP="00534C63">
      <w:pPr>
        <w:pStyle w:val="whp20100506"/>
      </w:pPr>
    </w:p>
    <w:p w:rsidR="00534C63" w:rsidRPr="007E1EBC" w:rsidRDefault="00534C63" w:rsidP="00534C63">
      <w:pPr>
        <w:pStyle w:val="whp20100506"/>
      </w:pPr>
      <w:r w:rsidRPr="007E1EBC">
        <w:t>In a 2007 interview, Mr Andrew Brooking as head of Java Capital said “</w:t>
      </w:r>
      <w:r w:rsidRPr="007E1EBC">
        <w:rPr>
          <w:i/>
        </w:rPr>
        <w:t>The South African investment property sector has delivered attractive returns over the last years, but does not offering international investors the uniformity and simplicity which would facilitate international investment. In addition, the potential for tax controversy is in itself enough to put off international investors</w:t>
      </w:r>
      <w:r w:rsidRPr="007E1EBC">
        <w:t>”</w:t>
      </w:r>
      <w:r w:rsidRPr="007E1EBC">
        <w:rPr>
          <w:rStyle w:val="FootnoteReference"/>
        </w:rPr>
        <w:footnoteReference w:id="4"/>
      </w:r>
      <w:r w:rsidRPr="007E1EBC">
        <w:t xml:space="preserve">. </w:t>
      </w:r>
    </w:p>
    <w:p w:rsidR="00534C63" w:rsidRPr="007E1EBC" w:rsidRDefault="00534C63" w:rsidP="00534C63">
      <w:pPr>
        <w:pStyle w:val="whp20100506"/>
        <w:ind w:left="720"/>
      </w:pPr>
    </w:p>
    <w:p w:rsidR="00534C63" w:rsidRPr="007E1EBC" w:rsidRDefault="00534C63" w:rsidP="00534C63">
      <w:pPr>
        <w:pStyle w:val="whp20100506"/>
      </w:pPr>
      <w:r w:rsidRPr="007E1EBC">
        <w:t>In the same article, Mr Brian Azizollahoff as head of Redefine Income Fund confirmed that “</w:t>
      </w:r>
      <w:r w:rsidRPr="007E1EBC">
        <w:rPr>
          <w:i/>
        </w:rPr>
        <w:t xml:space="preserve">both the property unit trusts and property loan stocks have elements of </w:t>
      </w:r>
      <w:r w:rsidR="00194F2A">
        <w:rPr>
          <w:i/>
        </w:rPr>
        <w:t>REITS</w:t>
      </w:r>
      <w:r w:rsidRPr="007E1EBC">
        <w:rPr>
          <w:i/>
        </w:rPr>
        <w:t xml:space="preserve"> but neither of them </w:t>
      </w:r>
      <w:r w:rsidR="00032422" w:rsidRPr="007E1EBC">
        <w:rPr>
          <w:i/>
        </w:rPr>
        <w:t>is</w:t>
      </w:r>
      <w:r w:rsidRPr="007E1EBC">
        <w:rPr>
          <w:i/>
        </w:rPr>
        <w:t xml:space="preserve"> in fact </w:t>
      </w:r>
      <w:r w:rsidR="00194F2A">
        <w:rPr>
          <w:i/>
        </w:rPr>
        <w:t>REITS</w:t>
      </w:r>
      <w:r w:rsidRPr="007E1EBC">
        <w:rPr>
          <w:i/>
        </w:rPr>
        <w:t>. As a sector, we need to work extremely hard to simply look like them and to convert to a true REIT-based sector</w:t>
      </w:r>
      <w:r w:rsidRPr="007E1EBC">
        <w:t>”</w:t>
      </w:r>
      <w:r w:rsidRPr="007E1EBC">
        <w:rPr>
          <w:rStyle w:val="FootnoteReference"/>
        </w:rPr>
        <w:footnoteReference w:id="5"/>
      </w:r>
      <w:r w:rsidRPr="007E1EBC">
        <w:t>.</w:t>
      </w:r>
    </w:p>
    <w:p w:rsidR="00534C63" w:rsidRPr="007E1EBC" w:rsidRDefault="00534C63" w:rsidP="00534C63">
      <w:pPr>
        <w:pStyle w:val="whp20100506"/>
      </w:pPr>
    </w:p>
    <w:p w:rsidR="00534C63" w:rsidRPr="007E1EBC" w:rsidRDefault="00534C63" w:rsidP="00534C63">
      <w:pPr>
        <w:pStyle w:val="whp20100506"/>
      </w:pPr>
      <w:r w:rsidRPr="007E1EBC">
        <w:t>In an article release by the Property Loan Stock Association, Mr Norbet Sasse as the Chairman and head of Growthpoint, the largest PLS company in SA, said that the conversion process to REIT “</w:t>
      </w:r>
      <w:r w:rsidRPr="007E1EBC">
        <w:rPr>
          <w:i/>
        </w:rPr>
        <w:t xml:space="preserve">would serve to address the disadvantages and weaknesses in the investment property vehicles currently in use in South Africa and to give the public face of listed property vehicles the uniformity and simplicity that could serve to attract international capital......A South Africa REIT should be designed so as to optimise flexibility and maximise </w:t>
      </w:r>
      <w:r w:rsidRPr="007E1EBC">
        <w:rPr>
          <w:i/>
        </w:rPr>
        <w:lastRenderedPageBreak/>
        <w:t>the access of investors to revenue streams and opportunities related to immovable properties</w:t>
      </w:r>
      <w:r w:rsidRPr="007E1EBC">
        <w:t>”</w:t>
      </w:r>
      <w:r w:rsidRPr="007E1EBC">
        <w:rPr>
          <w:rStyle w:val="FootnoteReference"/>
        </w:rPr>
        <w:footnoteReference w:id="6"/>
      </w:r>
      <w:r w:rsidRPr="007E1EBC">
        <w:t>.</w:t>
      </w:r>
    </w:p>
    <w:p w:rsidR="00534C63" w:rsidRPr="007E1EBC" w:rsidRDefault="00534C63" w:rsidP="00534C63">
      <w:pPr>
        <w:pStyle w:val="whp20100506"/>
      </w:pPr>
    </w:p>
    <w:p w:rsidR="00534C63" w:rsidRPr="007E1EBC" w:rsidRDefault="00534C63" w:rsidP="00534C63">
      <w:pPr>
        <w:pStyle w:val="whp20100506"/>
      </w:pPr>
      <w:r w:rsidRPr="007E1EBC">
        <w:t xml:space="preserve">It is clear that the industry leaders </w:t>
      </w:r>
      <w:r w:rsidR="00F7478F">
        <w:t xml:space="preserve">in </w:t>
      </w:r>
      <w:r w:rsidR="00F7478F" w:rsidRPr="007E1EBC">
        <w:t xml:space="preserve">South Africa </w:t>
      </w:r>
      <w:r w:rsidRPr="007E1EBC">
        <w:t xml:space="preserve">share a common belief that the investment sector is in need of reinvention in order to bring itself to those standards and norms of international </w:t>
      </w:r>
      <w:r w:rsidR="00194F2A">
        <w:t>REITS</w:t>
      </w:r>
      <w:r w:rsidR="00F7478F">
        <w:t xml:space="preserve"> countries</w:t>
      </w:r>
      <w:r w:rsidRPr="007E1EBC">
        <w:t xml:space="preserve"> for purposes of not only becoming a draw card to attract the flow of </w:t>
      </w:r>
      <w:r w:rsidR="00F7478F">
        <w:t>international investment funds int</w:t>
      </w:r>
      <w:r w:rsidRPr="007E1EBC">
        <w:t xml:space="preserve">o South Africa, but also to address </w:t>
      </w:r>
      <w:r w:rsidR="00F7478F">
        <w:t xml:space="preserve">and rectify </w:t>
      </w:r>
      <w:r w:rsidRPr="007E1EBC">
        <w:t xml:space="preserve">the confusion </w:t>
      </w:r>
      <w:r w:rsidR="00F7478F">
        <w:t>created by</w:t>
      </w:r>
      <w:r w:rsidRPr="007E1EBC">
        <w:t xml:space="preserve"> the existing </w:t>
      </w:r>
      <w:r w:rsidR="00F7478F">
        <w:t xml:space="preserve">PLS and CISPs </w:t>
      </w:r>
      <w:r w:rsidRPr="007E1EBC">
        <w:t xml:space="preserve">structures. </w:t>
      </w:r>
    </w:p>
    <w:p w:rsidR="00534C63" w:rsidRPr="007E1EBC" w:rsidRDefault="00534C63" w:rsidP="00534C63">
      <w:pPr>
        <w:pStyle w:val="whp20100506"/>
      </w:pPr>
    </w:p>
    <w:p w:rsidR="00534C63" w:rsidRPr="007E1EBC" w:rsidRDefault="00534C63" w:rsidP="00534C63">
      <w:pPr>
        <w:pStyle w:val="whp20100506"/>
      </w:pPr>
      <w:r w:rsidRPr="007E1EBC">
        <w:t>It is</w:t>
      </w:r>
      <w:r w:rsidR="00F7478F">
        <w:t xml:space="preserve"> therefore</w:t>
      </w:r>
      <w:r w:rsidRPr="007E1EBC">
        <w:t xml:space="preserve"> onl</w:t>
      </w:r>
      <w:r w:rsidR="00F7478F">
        <w:t xml:space="preserve">y through a new legislative dispensation that embraces a culture of </w:t>
      </w:r>
      <w:r w:rsidRPr="007E1EBC">
        <w:t xml:space="preserve">equality and equity </w:t>
      </w:r>
      <w:r w:rsidR="00F7478F">
        <w:t>of investment</w:t>
      </w:r>
      <w:r w:rsidR="00F7478F" w:rsidRPr="007E1EBC">
        <w:t xml:space="preserve"> product</w:t>
      </w:r>
      <w:r w:rsidR="00F7478F">
        <w:t>s</w:t>
      </w:r>
      <w:r w:rsidR="00F7478F" w:rsidRPr="007E1EBC">
        <w:t xml:space="preserve"> </w:t>
      </w:r>
      <w:r w:rsidRPr="007E1EBC">
        <w:t xml:space="preserve">within the sector that </w:t>
      </w:r>
      <w:r w:rsidR="00F7478F">
        <w:t xml:space="preserve">will resolve </w:t>
      </w:r>
      <w:r w:rsidRPr="007E1EBC">
        <w:t>the di</w:t>
      </w:r>
      <w:r w:rsidR="00F7478F">
        <w:t>chotomies that exist between CISPs and PLS.</w:t>
      </w:r>
    </w:p>
    <w:p w:rsidR="00534C63" w:rsidRPr="007E1EBC" w:rsidRDefault="00534C63" w:rsidP="00534C63">
      <w:pPr>
        <w:pStyle w:val="whp20100506"/>
        <w:rPr>
          <w:b/>
        </w:rPr>
      </w:pPr>
    </w:p>
    <w:p w:rsidR="00534C63" w:rsidRPr="007E1EBC" w:rsidRDefault="00534C63" w:rsidP="00534C63">
      <w:pPr>
        <w:pStyle w:val="whp20100506"/>
        <w:numPr>
          <w:ilvl w:val="2"/>
          <w:numId w:val="2"/>
        </w:numPr>
        <w:ind w:left="630" w:hanging="630"/>
        <w:rPr>
          <w:b/>
        </w:rPr>
      </w:pPr>
      <w:r w:rsidRPr="007E1EBC">
        <w:rPr>
          <w:b/>
        </w:rPr>
        <w:t>An Overhaul of the South African Investment Property Sector</w:t>
      </w:r>
    </w:p>
    <w:p w:rsidR="00534C63" w:rsidRPr="007E1EBC" w:rsidRDefault="00534C63" w:rsidP="00534C63">
      <w:pPr>
        <w:pStyle w:val="whp20100506"/>
        <w:rPr>
          <w:sz w:val="22"/>
          <w:szCs w:val="22"/>
        </w:rPr>
      </w:pPr>
    </w:p>
    <w:p w:rsidR="00534C63" w:rsidRPr="007E1EBC" w:rsidRDefault="00534C63" w:rsidP="00534C63">
      <w:pPr>
        <w:pStyle w:val="whp20100506"/>
      </w:pPr>
      <w:r w:rsidRPr="007E1EBC">
        <w:t xml:space="preserve">The South African National Treasury (NT) is mandated by the Constitution of South Africa as being in charge of looking after the financial affairs of the government through setting sound strategies and standards that ensure effective control over the country’s economic spend (Republic of South Africa, 1996). </w:t>
      </w:r>
    </w:p>
    <w:p w:rsidR="00534C63" w:rsidRPr="007E1EBC" w:rsidRDefault="00534C63" w:rsidP="00534C63">
      <w:pPr>
        <w:pStyle w:val="whp20100506"/>
      </w:pPr>
    </w:p>
    <w:p w:rsidR="00534C63" w:rsidRPr="007E1EBC" w:rsidRDefault="00534C63" w:rsidP="00534C63">
      <w:pPr>
        <w:pStyle w:val="whp20100506"/>
      </w:pPr>
      <w:r w:rsidRPr="007E1EBC">
        <w:t>The mandate is also referred to in the Public Finance Management Act is defined as:</w:t>
      </w:r>
    </w:p>
    <w:p w:rsidR="00534C63" w:rsidRPr="007E1EBC" w:rsidRDefault="00534C63" w:rsidP="00534C63">
      <w:pPr>
        <w:pStyle w:val="whp20100506"/>
        <w:rPr>
          <w:rFonts w:ascii="Arial" w:hAnsi="Arial" w:cs="Arial"/>
          <w:sz w:val="20"/>
          <w:szCs w:val="20"/>
        </w:rPr>
      </w:pPr>
    </w:p>
    <w:p w:rsidR="00534C63" w:rsidRPr="007E1EBC" w:rsidRDefault="00534C63" w:rsidP="00534C63">
      <w:pPr>
        <w:pStyle w:val="whp20100506"/>
      </w:pPr>
      <w:r w:rsidRPr="007E1EBC">
        <w:t>“</w:t>
      </w:r>
      <w:r w:rsidRPr="007E1EBC">
        <w:rPr>
          <w:i/>
        </w:rPr>
        <w:t>to promote government’s fiscal policy framework; to coordinate macroeconomic policy and intergovernmental financial relations; to manage the budget preparation process; to facilitate the Division of Revenue Act, which provides for an equitable distribution of nationally raised revenue between national, provincial and local government; and to monitor the implementation of provincial budgets</w:t>
      </w:r>
      <w:r w:rsidRPr="007E1EBC">
        <w:rPr>
          <w:rStyle w:val="FootnoteReference"/>
          <w:i/>
        </w:rPr>
        <w:footnoteReference w:id="7"/>
      </w:r>
      <w:r w:rsidRPr="007E1EBC">
        <w:t>”.</w:t>
      </w:r>
    </w:p>
    <w:p w:rsidR="00534C63" w:rsidRPr="007E1EBC" w:rsidRDefault="00534C63" w:rsidP="00534C63">
      <w:pPr>
        <w:pStyle w:val="whp20100506"/>
      </w:pPr>
    </w:p>
    <w:p w:rsidR="00534C63" w:rsidRPr="007E1EBC" w:rsidRDefault="00534C63" w:rsidP="00534C63">
      <w:pPr>
        <w:pStyle w:val="whp20100506"/>
      </w:pPr>
      <w:r w:rsidRPr="007E1EBC">
        <w:t xml:space="preserve">In December 2007 the National Treasury issued a Discussion Paper highlighting its policy objectives and considerations for implementing </w:t>
      </w:r>
      <w:r w:rsidR="00194F2A">
        <w:t>REITS</w:t>
      </w:r>
      <w:r w:rsidRPr="007E1EBC">
        <w:t xml:space="preserve"> in South Africa.</w:t>
      </w:r>
    </w:p>
    <w:p w:rsidR="00534C63" w:rsidRPr="007E1EBC" w:rsidRDefault="00534C63" w:rsidP="00534C63">
      <w:pPr>
        <w:pStyle w:val="whp20100506"/>
        <w:ind w:left="720"/>
        <w:rPr>
          <w:sz w:val="22"/>
          <w:szCs w:val="22"/>
        </w:rPr>
      </w:pPr>
    </w:p>
    <w:p w:rsidR="006818CB" w:rsidRDefault="006818CB">
      <w:pPr>
        <w:spacing w:after="200" w:line="276" w:lineRule="auto"/>
        <w:rPr>
          <w:rFonts w:ascii="Times New Roman" w:hAnsi="Times New Roman"/>
          <w:b/>
          <w:sz w:val="24"/>
        </w:rPr>
      </w:pPr>
      <w:r>
        <w:rPr>
          <w:rFonts w:ascii="Times New Roman" w:hAnsi="Times New Roman"/>
          <w:b/>
          <w:sz w:val="24"/>
        </w:rPr>
        <w:br w:type="page"/>
      </w:r>
    </w:p>
    <w:p w:rsidR="00534C63" w:rsidRPr="007E1EBC" w:rsidRDefault="00534C63" w:rsidP="00534C63">
      <w:pPr>
        <w:widowControl w:val="0"/>
        <w:numPr>
          <w:ilvl w:val="1"/>
          <w:numId w:val="2"/>
        </w:numPr>
        <w:spacing w:line="360" w:lineRule="auto"/>
        <w:ind w:left="450"/>
        <w:jc w:val="both"/>
        <w:outlineLvl w:val="1"/>
        <w:rPr>
          <w:rFonts w:ascii="Times New Roman" w:hAnsi="Times New Roman"/>
          <w:b/>
          <w:sz w:val="24"/>
        </w:rPr>
      </w:pPr>
      <w:r w:rsidRPr="007E1EBC">
        <w:rPr>
          <w:rFonts w:ascii="Times New Roman" w:hAnsi="Times New Roman"/>
          <w:b/>
          <w:sz w:val="24"/>
        </w:rPr>
        <w:lastRenderedPageBreak/>
        <w:t>RESEARCH QUESTION</w:t>
      </w:r>
    </w:p>
    <w:p w:rsidR="00534C63" w:rsidRPr="007E1EBC" w:rsidRDefault="00534C63" w:rsidP="00534C63">
      <w:pPr>
        <w:pStyle w:val="whp20100506"/>
      </w:pPr>
    </w:p>
    <w:p w:rsidR="00534C63" w:rsidRPr="007E1EBC" w:rsidRDefault="00534C63" w:rsidP="00534C63">
      <w:pPr>
        <w:pStyle w:val="whp20100506"/>
        <w:rPr>
          <w:i/>
        </w:rPr>
      </w:pPr>
      <w:r w:rsidRPr="007E1EBC">
        <w:t xml:space="preserve">The research has asked the following question: </w:t>
      </w:r>
      <w:r w:rsidRPr="007E1EBC">
        <w:rPr>
          <w:i/>
        </w:rPr>
        <w:t xml:space="preserve">Has the National Treasury, in their December 2007 discussion paper, proposed a </w:t>
      </w:r>
      <w:r w:rsidR="00194F2A">
        <w:rPr>
          <w:i/>
        </w:rPr>
        <w:t>REITS</w:t>
      </w:r>
      <w:r w:rsidRPr="007E1EBC">
        <w:rPr>
          <w:i/>
        </w:rPr>
        <w:t xml:space="preserve"> framework that will be successfully adopted by the listed South African property sector whilst being harmonious with international standards? </w:t>
      </w:r>
    </w:p>
    <w:p w:rsidR="00534C63" w:rsidRPr="007E1EBC" w:rsidRDefault="00534C63" w:rsidP="00534C63">
      <w:pPr>
        <w:pStyle w:val="whp20100506"/>
      </w:pPr>
    </w:p>
    <w:p w:rsidR="00534C63" w:rsidRPr="007E1EBC" w:rsidRDefault="00534C63" w:rsidP="00534C63">
      <w:pPr>
        <w:pStyle w:val="whp20100506"/>
      </w:pPr>
      <w:r w:rsidRPr="007E1EBC">
        <w:t xml:space="preserve">The research herein examined the adequacy of the proposals of the National Treasury by analysing the comments received from the private sector in response to the Discussion Paper, along with comparisons to international trends when adopting </w:t>
      </w:r>
      <w:r w:rsidR="00194F2A">
        <w:t>REITS</w:t>
      </w:r>
      <w:r w:rsidRPr="007E1EBC">
        <w:t xml:space="preserve">, and found a solution to the question. </w:t>
      </w:r>
    </w:p>
    <w:p w:rsidR="00534C63" w:rsidRPr="007E1EBC" w:rsidRDefault="00534C63" w:rsidP="00534C63">
      <w:pPr>
        <w:pStyle w:val="whp20100506"/>
        <w:rPr>
          <w:b/>
        </w:rPr>
      </w:pPr>
    </w:p>
    <w:p w:rsidR="00534C63" w:rsidRPr="007E1EBC" w:rsidRDefault="00534C63" w:rsidP="00534C63">
      <w:pPr>
        <w:widowControl w:val="0"/>
        <w:numPr>
          <w:ilvl w:val="1"/>
          <w:numId w:val="2"/>
        </w:numPr>
        <w:tabs>
          <w:tab w:val="left" w:pos="360"/>
        </w:tabs>
        <w:spacing w:line="360" w:lineRule="auto"/>
        <w:ind w:left="270" w:hanging="270"/>
        <w:jc w:val="both"/>
        <w:outlineLvl w:val="1"/>
        <w:rPr>
          <w:rFonts w:ascii="Times New Roman" w:hAnsi="Times New Roman"/>
          <w:b/>
          <w:sz w:val="24"/>
        </w:rPr>
      </w:pPr>
      <w:r w:rsidRPr="007E1EBC">
        <w:rPr>
          <w:rFonts w:ascii="Times New Roman" w:hAnsi="Times New Roman"/>
          <w:b/>
          <w:sz w:val="24"/>
        </w:rPr>
        <w:t>STATEMENT OF PROBLEM</w:t>
      </w:r>
    </w:p>
    <w:p w:rsidR="00534C63" w:rsidRPr="007E1EBC" w:rsidRDefault="00534C63" w:rsidP="00534C63">
      <w:pPr>
        <w:pStyle w:val="whp20100506"/>
      </w:pPr>
    </w:p>
    <w:p w:rsidR="00534C63" w:rsidRPr="007E1EBC" w:rsidRDefault="00534C63" w:rsidP="00534C63">
      <w:pPr>
        <w:pStyle w:val="whp20100506"/>
      </w:pPr>
      <w:r w:rsidRPr="007E1EBC">
        <w:t>The problem statement to be addressed by this research can be stated as:</w:t>
      </w:r>
    </w:p>
    <w:p w:rsidR="00534C63" w:rsidRPr="007E1EBC" w:rsidRDefault="00534C63" w:rsidP="00534C63">
      <w:pPr>
        <w:pStyle w:val="whp20100506"/>
      </w:pPr>
    </w:p>
    <w:p w:rsidR="00534C63" w:rsidRPr="007E1EBC" w:rsidRDefault="00534C63" w:rsidP="00534C63">
      <w:pPr>
        <w:pStyle w:val="whp20100506"/>
      </w:pPr>
      <w:r w:rsidRPr="007E1EBC">
        <w:t>Are the National Treasury’s recommendations to reform the listed South Africa property investment sector congruent with the realities and practical needs of the current listed sector and in accordance with international REIT standards?</w:t>
      </w:r>
    </w:p>
    <w:p w:rsidR="00534C63" w:rsidRPr="007E1EBC" w:rsidRDefault="00534C63" w:rsidP="00534C63">
      <w:pPr>
        <w:pStyle w:val="whp20100506"/>
      </w:pPr>
    </w:p>
    <w:p w:rsidR="00534C63" w:rsidRPr="007E1EBC" w:rsidRDefault="00534C63" w:rsidP="00534C63">
      <w:pPr>
        <w:widowControl w:val="0"/>
        <w:numPr>
          <w:ilvl w:val="1"/>
          <w:numId w:val="2"/>
        </w:numPr>
        <w:spacing w:line="360" w:lineRule="auto"/>
        <w:ind w:left="360"/>
        <w:jc w:val="both"/>
        <w:outlineLvl w:val="1"/>
        <w:rPr>
          <w:rFonts w:ascii="Times New Roman" w:hAnsi="Times New Roman"/>
          <w:b/>
          <w:sz w:val="24"/>
        </w:rPr>
      </w:pPr>
      <w:r w:rsidRPr="007E1EBC">
        <w:rPr>
          <w:rFonts w:ascii="Times New Roman" w:hAnsi="Times New Roman"/>
          <w:b/>
          <w:sz w:val="24"/>
        </w:rPr>
        <w:t>RESEARCH OBJECTIVES</w:t>
      </w:r>
    </w:p>
    <w:p w:rsidR="00534C63" w:rsidRPr="007E1EBC" w:rsidRDefault="00534C63" w:rsidP="00534C63">
      <w:pPr>
        <w:widowControl w:val="0"/>
        <w:spacing w:line="360" w:lineRule="auto"/>
        <w:jc w:val="both"/>
        <w:outlineLvl w:val="1"/>
        <w:rPr>
          <w:rFonts w:ascii="Times New Roman" w:hAnsi="Times New Roman"/>
          <w:b/>
          <w:sz w:val="24"/>
        </w:rPr>
      </w:pPr>
    </w:p>
    <w:p w:rsidR="00534C63" w:rsidRPr="007E1EBC" w:rsidRDefault="00534C63" w:rsidP="00534C63">
      <w:pPr>
        <w:widowControl w:val="0"/>
        <w:spacing w:line="360" w:lineRule="auto"/>
        <w:jc w:val="both"/>
        <w:outlineLvl w:val="1"/>
        <w:rPr>
          <w:rFonts w:ascii="Times New Roman" w:hAnsi="Times New Roman"/>
          <w:sz w:val="24"/>
        </w:rPr>
      </w:pPr>
      <w:r w:rsidRPr="007E1EBC">
        <w:rPr>
          <w:rFonts w:ascii="Times New Roman" w:hAnsi="Times New Roman"/>
          <w:sz w:val="24"/>
        </w:rPr>
        <w:t>The objectives of this paper are essentially broken into primary and secondary objectives. The secondary objectives are answered in the Literature and are concerned with answering the following questions:</w:t>
      </w:r>
    </w:p>
    <w:p w:rsidR="00534C63" w:rsidRPr="007E1EBC" w:rsidRDefault="00534C63" w:rsidP="00534C63">
      <w:pPr>
        <w:pStyle w:val="whp20100506"/>
      </w:pPr>
    </w:p>
    <w:p w:rsidR="00534C63" w:rsidRPr="007E1EBC" w:rsidRDefault="00534C63" w:rsidP="00534C63">
      <w:pPr>
        <w:pStyle w:val="whp20100506"/>
        <w:numPr>
          <w:ilvl w:val="0"/>
          <w:numId w:val="1"/>
        </w:numPr>
        <w:ind w:left="540" w:hanging="450"/>
      </w:pPr>
      <w:r w:rsidRPr="007E1EBC">
        <w:t>What are the essential characteristics and nature of REIT as per international trends and standards?</w:t>
      </w:r>
    </w:p>
    <w:p w:rsidR="00534C63" w:rsidRPr="007E1EBC" w:rsidRDefault="00534C63" w:rsidP="00534C63">
      <w:pPr>
        <w:pStyle w:val="whp20100506"/>
        <w:numPr>
          <w:ilvl w:val="0"/>
          <w:numId w:val="1"/>
        </w:numPr>
        <w:ind w:left="540" w:hanging="450"/>
      </w:pPr>
      <w:r w:rsidRPr="007E1EBC">
        <w:t xml:space="preserve">What are the learning outcomes of other countries that have recently adopted </w:t>
      </w:r>
      <w:r w:rsidR="00194F2A">
        <w:t>REITS</w:t>
      </w:r>
      <w:r w:rsidRPr="007E1EBC">
        <w:t xml:space="preserve"> as their preferred investment vehicle</w:t>
      </w:r>
    </w:p>
    <w:p w:rsidR="00534C63" w:rsidRPr="007E1EBC" w:rsidRDefault="00534C63" w:rsidP="00534C63">
      <w:pPr>
        <w:pStyle w:val="whp20100506"/>
        <w:numPr>
          <w:ilvl w:val="0"/>
          <w:numId w:val="1"/>
        </w:numPr>
        <w:ind w:left="540" w:hanging="450"/>
      </w:pPr>
      <w:r w:rsidRPr="007E1EBC">
        <w:t>What are the essential characteristics and nature of the current listed property sector in South Africa as it stands today?</w:t>
      </w:r>
    </w:p>
    <w:p w:rsidR="00534C63" w:rsidRPr="007E1EBC" w:rsidRDefault="00534C63" w:rsidP="00534C63">
      <w:pPr>
        <w:pStyle w:val="whp20100506"/>
        <w:numPr>
          <w:ilvl w:val="0"/>
          <w:numId w:val="1"/>
        </w:numPr>
        <w:ind w:left="540" w:hanging="450"/>
      </w:pPr>
      <w:r w:rsidRPr="007E1EBC">
        <w:t>Does a need for change exist in the current listed South Africa property sector?</w:t>
      </w:r>
    </w:p>
    <w:p w:rsidR="00534C63" w:rsidRPr="007E1EBC" w:rsidRDefault="00534C63" w:rsidP="00534C63">
      <w:pPr>
        <w:widowControl w:val="0"/>
        <w:spacing w:line="360" w:lineRule="auto"/>
        <w:jc w:val="both"/>
        <w:outlineLvl w:val="1"/>
        <w:rPr>
          <w:rFonts w:ascii="Times New Roman" w:hAnsi="Times New Roman"/>
          <w:sz w:val="24"/>
        </w:rPr>
      </w:pPr>
    </w:p>
    <w:p w:rsidR="00534C63" w:rsidRPr="007E1EBC" w:rsidRDefault="00534C63" w:rsidP="00534C63">
      <w:pPr>
        <w:widowControl w:val="0"/>
        <w:spacing w:line="360" w:lineRule="auto"/>
        <w:jc w:val="both"/>
        <w:outlineLvl w:val="1"/>
        <w:rPr>
          <w:rFonts w:ascii="Times New Roman" w:hAnsi="Times New Roman"/>
          <w:sz w:val="24"/>
        </w:rPr>
      </w:pPr>
      <w:r w:rsidRPr="007E1EBC">
        <w:rPr>
          <w:rFonts w:ascii="Times New Roman" w:hAnsi="Times New Roman"/>
          <w:sz w:val="24"/>
        </w:rPr>
        <w:lastRenderedPageBreak/>
        <w:t>The primary objectives of this Research Report are concerned with establish</w:t>
      </w:r>
      <w:r w:rsidR="00A678E2">
        <w:rPr>
          <w:rFonts w:ascii="Times New Roman" w:hAnsi="Times New Roman"/>
          <w:sz w:val="24"/>
        </w:rPr>
        <w:t>ing</w:t>
      </w:r>
      <w:r w:rsidRPr="007E1EBC">
        <w:rPr>
          <w:rFonts w:ascii="Times New Roman" w:hAnsi="Times New Roman"/>
          <w:sz w:val="24"/>
        </w:rPr>
        <w:t xml:space="preserve"> an answer / s for the following questions:</w:t>
      </w:r>
    </w:p>
    <w:p w:rsidR="00534C63" w:rsidRPr="007E1EBC" w:rsidRDefault="00534C63" w:rsidP="00534C63">
      <w:pPr>
        <w:widowControl w:val="0"/>
        <w:spacing w:line="360" w:lineRule="auto"/>
        <w:jc w:val="both"/>
        <w:outlineLvl w:val="1"/>
        <w:rPr>
          <w:rFonts w:ascii="Times New Roman" w:hAnsi="Times New Roman"/>
          <w:sz w:val="24"/>
        </w:rPr>
      </w:pPr>
      <w:r w:rsidRPr="007E1EBC">
        <w:rPr>
          <w:rFonts w:ascii="Times New Roman" w:hAnsi="Times New Roman"/>
          <w:sz w:val="24"/>
        </w:rPr>
        <w:t xml:space="preserve"> </w:t>
      </w:r>
    </w:p>
    <w:p w:rsidR="00534C63" w:rsidRPr="007E1EBC" w:rsidRDefault="00534C63" w:rsidP="00534C63">
      <w:pPr>
        <w:pStyle w:val="whp20100506"/>
        <w:numPr>
          <w:ilvl w:val="0"/>
          <w:numId w:val="1"/>
        </w:numPr>
        <w:ind w:left="540" w:hanging="450"/>
      </w:pPr>
      <w:r w:rsidRPr="007E1EBC">
        <w:t xml:space="preserve">What are the fundamental pillars of the legal framework for </w:t>
      </w:r>
      <w:r w:rsidR="00194F2A">
        <w:t>REITS</w:t>
      </w:r>
      <w:r w:rsidRPr="007E1EBC">
        <w:t xml:space="preserve"> best suited for South Africa?</w:t>
      </w:r>
    </w:p>
    <w:p w:rsidR="00534C63" w:rsidRPr="007E1EBC" w:rsidRDefault="00534C63" w:rsidP="00534C63">
      <w:pPr>
        <w:pStyle w:val="whp20100506"/>
        <w:numPr>
          <w:ilvl w:val="0"/>
          <w:numId w:val="1"/>
        </w:numPr>
        <w:ind w:left="540" w:hanging="450"/>
      </w:pPr>
      <w:r w:rsidRPr="007E1EBC">
        <w:t>What are the considerations and concerns of the listed property investment sector?</w:t>
      </w:r>
    </w:p>
    <w:p w:rsidR="00534C63" w:rsidRPr="007E1EBC" w:rsidRDefault="00534C63" w:rsidP="00534C63">
      <w:pPr>
        <w:pStyle w:val="whp20100506"/>
        <w:numPr>
          <w:ilvl w:val="0"/>
          <w:numId w:val="1"/>
        </w:numPr>
        <w:ind w:left="540" w:hanging="450"/>
      </w:pPr>
      <w:r w:rsidRPr="007E1EBC">
        <w:t xml:space="preserve">Has the National Treasury accommodated the comments of local industry? </w:t>
      </w:r>
    </w:p>
    <w:p w:rsidR="00534C63" w:rsidRPr="007E1EBC" w:rsidRDefault="00534C63" w:rsidP="00534C63">
      <w:pPr>
        <w:widowControl w:val="0"/>
        <w:spacing w:line="360" w:lineRule="auto"/>
        <w:jc w:val="both"/>
        <w:outlineLvl w:val="1"/>
        <w:rPr>
          <w:rFonts w:ascii="Times New Roman" w:hAnsi="Times New Roman"/>
          <w:b/>
          <w:sz w:val="24"/>
        </w:rPr>
      </w:pPr>
    </w:p>
    <w:p w:rsidR="00534C63" w:rsidRPr="007E1EBC" w:rsidRDefault="00534C63" w:rsidP="00534C63">
      <w:pPr>
        <w:widowControl w:val="0"/>
        <w:numPr>
          <w:ilvl w:val="1"/>
          <w:numId w:val="2"/>
        </w:numPr>
        <w:spacing w:line="360" w:lineRule="auto"/>
        <w:ind w:left="360"/>
        <w:jc w:val="both"/>
        <w:outlineLvl w:val="1"/>
        <w:rPr>
          <w:rFonts w:ascii="Times New Roman" w:hAnsi="Times New Roman"/>
          <w:b/>
          <w:sz w:val="24"/>
        </w:rPr>
      </w:pPr>
      <w:r w:rsidRPr="007E1EBC">
        <w:rPr>
          <w:rFonts w:ascii="Times New Roman" w:hAnsi="Times New Roman"/>
          <w:b/>
          <w:sz w:val="24"/>
        </w:rPr>
        <w:t>SIGNIFICANCE OF STUDY</w:t>
      </w:r>
    </w:p>
    <w:p w:rsidR="00534C63" w:rsidRPr="007E1EBC" w:rsidRDefault="00534C63" w:rsidP="00534C63">
      <w:pPr>
        <w:widowControl w:val="0"/>
        <w:spacing w:line="360" w:lineRule="auto"/>
        <w:jc w:val="both"/>
        <w:outlineLvl w:val="1"/>
        <w:rPr>
          <w:rFonts w:ascii="Times New Roman" w:hAnsi="Times New Roman"/>
          <w:b/>
          <w:sz w:val="24"/>
        </w:rPr>
      </w:pPr>
    </w:p>
    <w:p w:rsidR="00534C63" w:rsidRPr="007E1EBC" w:rsidRDefault="00534C63" w:rsidP="00534C63">
      <w:pPr>
        <w:pStyle w:val="whp20100506"/>
      </w:pPr>
      <w:r w:rsidRPr="007E1EBC">
        <w:t xml:space="preserve">The significance of this study will be to extrapolate and explore not only the basic policy objectives that motivate the National Treasury’s recommendations for adopting </w:t>
      </w:r>
      <w:r w:rsidR="00194F2A">
        <w:t>REITS</w:t>
      </w:r>
      <w:r w:rsidRPr="007E1EBC">
        <w:t xml:space="preserve"> in South Africa, but also the practical requirements and realities of the local investment community and its current environment. </w:t>
      </w:r>
    </w:p>
    <w:p w:rsidR="00534C63" w:rsidRPr="007E1EBC" w:rsidRDefault="00534C63" w:rsidP="00534C63">
      <w:pPr>
        <w:pStyle w:val="whp20100506"/>
        <w:ind w:left="720"/>
      </w:pPr>
    </w:p>
    <w:p w:rsidR="00534C63" w:rsidRPr="007E1EBC" w:rsidRDefault="00534C63" w:rsidP="00534C63">
      <w:pPr>
        <w:pStyle w:val="whp20100506"/>
      </w:pPr>
      <w:r w:rsidRPr="007E1EBC">
        <w:t>The willingness and ability of the local industry to adopt REIT will only be understood once the challenges and obstacles are identified along with international trends and standards, which this thesis endeavours to unfold.</w:t>
      </w:r>
    </w:p>
    <w:p w:rsidR="00534C63" w:rsidRPr="007E1EBC" w:rsidRDefault="00534C63" w:rsidP="00534C63">
      <w:pPr>
        <w:pStyle w:val="whp20100506"/>
        <w:ind w:left="720"/>
      </w:pPr>
    </w:p>
    <w:p w:rsidR="00534C63" w:rsidRPr="007E1EBC" w:rsidRDefault="00534C63" w:rsidP="00534C63">
      <w:pPr>
        <w:pStyle w:val="whp20100506"/>
      </w:pPr>
      <w:r w:rsidRPr="007E1EBC">
        <w:t xml:space="preserve">The study further attempts to understand the progress made in overcoming these barriers by evaluating the comments received by the local industry and the validity of the recommendations made by the National Treasury in order to facilitate a final South Africa legislative </w:t>
      </w:r>
      <w:r w:rsidR="00194F2A">
        <w:t>REITS</w:t>
      </w:r>
      <w:r w:rsidRPr="007E1EBC">
        <w:t xml:space="preserve"> framework. </w:t>
      </w:r>
    </w:p>
    <w:p w:rsidR="00534C63" w:rsidRPr="007E1EBC" w:rsidRDefault="00534C63" w:rsidP="00534C63">
      <w:pPr>
        <w:pStyle w:val="whp20100506"/>
        <w:ind w:left="720"/>
      </w:pPr>
    </w:p>
    <w:p w:rsidR="00534C63" w:rsidRPr="007E1EBC" w:rsidRDefault="00534C63" w:rsidP="00534C63">
      <w:pPr>
        <w:widowControl w:val="0"/>
        <w:numPr>
          <w:ilvl w:val="1"/>
          <w:numId w:val="2"/>
        </w:numPr>
        <w:spacing w:line="360" w:lineRule="auto"/>
        <w:ind w:left="360"/>
        <w:jc w:val="both"/>
        <w:rPr>
          <w:rFonts w:ascii="Times New Roman" w:hAnsi="Times New Roman"/>
          <w:b/>
          <w:sz w:val="24"/>
        </w:rPr>
      </w:pPr>
      <w:r w:rsidRPr="007E1EBC">
        <w:rPr>
          <w:rFonts w:ascii="Times New Roman" w:hAnsi="Times New Roman"/>
          <w:b/>
          <w:sz w:val="24"/>
        </w:rPr>
        <w:t xml:space="preserve">SCOPE AND DELIMITATION OF </w:t>
      </w:r>
      <w:r w:rsidR="005F5B48">
        <w:rPr>
          <w:rFonts w:ascii="Times New Roman" w:hAnsi="Times New Roman"/>
          <w:b/>
          <w:sz w:val="24"/>
        </w:rPr>
        <w:t>STUDY</w:t>
      </w:r>
    </w:p>
    <w:p w:rsidR="00534C63" w:rsidRPr="007E1EBC" w:rsidRDefault="00534C63" w:rsidP="00534C63">
      <w:pPr>
        <w:pStyle w:val="whp20100506"/>
      </w:pPr>
    </w:p>
    <w:p w:rsidR="00534C63" w:rsidRPr="007E1EBC" w:rsidRDefault="00534C63" w:rsidP="00534C63">
      <w:pPr>
        <w:pStyle w:val="whp20100506"/>
      </w:pPr>
      <w:r w:rsidRPr="007E1EBC">
        <w:t>In order to best evaluate the National Treasury’s proposals, it is critical to understand this document in context to the current regimes being Property Loan Stock and Property Unit Trusts which is briefly assessed in this Research Report.</w:t>
      </w:r>
    </w:p>
    <w:p w:rsidR="00534C63" w:rsidRPr="007E1EBC" w:rsidRDefault="00534C63" w:rsidP="00534C63">
      <w:pPr>
        <w:pStyle w:val="whp20100506"/>
      </w:pPr>
    </w:p>
    <w:p w:rsidR="00534C63" w:rsidRPr="007E1EBC" w:rsidRDefault="00534C63" w:rsidP="00534C63">
      <w:pPr>
        <w:pStyle w:val="whp20100506"/>
      </w:pPr>
      <w:r w:rsidRPr="007E1EBC">
        <w:t xml:space="preserve">What is more, the general ambit of the National Treasury’s recommendations extend to international REIT standards therefore this thesis will also include an evaluation of not only the basic fundamentals of </w:t>
      </w:r>
      <w:r w:rsidR="00194F2A">
        <w:t>REITS</w:t>
      </w:r>
      <w:r w:rsidRPr="007E1EBC">
        <w:t xml:space="preserve"> as an investment vehicle but also the general characteristics </w:t>
      </w:r>
      <w:r w:rsidRPr="007E1EBC">
        <w:lastRenderedPageBreak/>
        <w:t xml:space="preserve">of international REIT trends for the creation of a legal and tax framework as it has evolved over recent years.  </w:t>
      </w:r>
    </w:p>
    <w:p w:rsidR="00534C63" w:rsidRPr="007E1EBC" w:rsidRDefault="00534C63" w:rsidP="00534C63">
      <w:pPr>
        <w:pStyle w:val="whp20100506"/>
        <w:ind w:left="720"/>
      </w:pPr>
    </w:p>
    <w:p w:rsidR="00534C63" w:rsidRPr="007E1EBC" w:rsidRDefault="00534C63" w:rsidP="00534C63">
      <w:pPr>
        <w:pStyle w:val="whp20100506"/>
      </w:pPr>
      <w:r w:rsidRPr="007E1EBC">
        <w:t>The dissertation is split into four distinct parts being:</w:t>
      </w:r>
    </w:p>
    <w:p w:rsidR="00534C63" w:rsidRPr="007E1EBC" w:rsidRDefault="00534C63" w:rsidP="00534C63">
      <w:pPr>
        <w:pStyle w:val="whp20100506"/>
        <w:ind w:left="720"/>
      </w:pPr>
    </w:p>
    <w:p w:rsidR="00534C63" w:rsidRPr="007E1EBC" w:rsidRDefault="00534C63" w:rsidP="00534C63">
      <w:pPr>
        <w:pStyle w:val="whp20100506"/>
        <w:numPr>
          <w:ilvl w:val="0"/>
          <w:numId w:val="3"/>
        </w:numPr>
        <w:ind w:left="450" w:hanging="425"/>
      </w:pPr>
      <w:r w:rsidRPr="007E1EBC">
        <w:t xml:space="preserve">The nature and scope of </w:t>
      </w:r>
      <w:r w:rsidR="00194F2A">
        <w:t>REITS</w:t>
      </w:r>
      <w:r w:rsidRPr="007E1EBC">
        <w:t xml:space="preserve">; </w:t>
      </w:r>
    </w:p>
    <w:p w:rsidR="00534C63" w:rsidRPr="007E1EBC" w:rsidRDefault="00534C63" w:rsidP="00534C63">
      <w:pPr>
        <w:pStyle w:val="whp20100506"/>
        <w:ind w:left="450"/>
      </w:pPr>
    </w:p>
    <w:p w:rsidR="00534C63" w:rsidRPr="007E1EBC" w:rsidRDefault="00534C63" w:rsidP="00534C63">
      <w:pPr>
        <w:pStyle w:val="whp20100506"/>
        <w:numPr>
          <w:ilvl w:val="0"/>
          <w:numId w:val="3"/>
        </w:numPr>
        <w:ind w:left="450" w:hanging="425"/>
      </w:pPr>
      <w:r w:rsidRPr="007E1EBC">
        <w:t xml:space="preserve">The evolution of international </w:t>
      </w:r>
      <w:r w:rsidR="00194F2A">
        <w:t>REITS</w:t>
      </w:r>
      <w:r w:rsidRPr="007E1EBC">
        <w:t xml:space="preserve"> framework and the lessons learnt from adopting a </w:t>
      </w:r>
      <w:r w:rsidR="00194F2A">
        <w:t>REITS</w:t>
      </w:r>
      <w:r w:rsidRPr="007E1EBC">
        <w:t xml:space="preserve"> in selected international countries; </w:t>
      </w:r>
    </w:p>
    <w:p w:rsidR="00534C63" w:rsidRPr="007E1EBC" w:rsidRDefault="00534C63" w:rsidP="00534C63">
      <w:pPr>
        <w:pStyle w:val="whp20100506"/>
        <w:ind w:left="450"/>
      </w:pPr>
    </w:p>
    <w:p w:rsidR="00534C63" w:rsidRPr="007E1EBC" w:rsidRDefault="00534C63" w:rsidP="00534C63">
      <w:pPr>
        <w:pStyle w:val="whp20100506"/>
        <w:numPr>
          <w:ilvl w:val="0"/>
          <w:numId w:val="3"/>
        </w:numPr>
        <w:ind w:left="450" w:hanging="425"/>
      </w:pPr>
      <w:r w:rsidRPr="007E1EBC">
        <w:t xml:space="preserve">Understanding the current South African property investment landscape and the anomalies created by Property Unit Trusts (PUTs) and PLS from a legal </w:t>
      </w:r>
      <w:r w:rsidR="00704BD6">
        <w:t xml:space="preserve">framework </w:t>
      </w:r>
      <w:r w:rsidRPr="007E1EBC">
        <w:t>perspective;</w:t>
      </w:r>
    </w:p>
    <w:p w:rsidR="00534C63" w:rsidRPr="007E1EBC" w:rsidRDefault="00534C63" w:rsidP="00534C63">
      <w:pPr>
        <w:pStyle w:val="whp20100506"/>
        <w:ind w:left="450"/>
      </w:pPr>
    </w:p>
    <w:p w:rsidR="00534C63" w:rsidRPr="007E1EBC" w:rsidRDefault="00534C63" w:rsidP="00534C63">
      <w:pPr>
        <w:pStyle w:val="whp20100506"/>
        <w:numPr>
          <w:ilvl w:val="0"/>
          <w:numId w:val="3"/>
        </w:numPr>
        <w:ind w:left="450" w:hanging="425"/>
      </w:pPr>
      <w:r w:rsidRPr="007E1EBC">
        <w:t xml:space="preserve">Evaluation of the recommendations of the National Treasury in relation to comments from local industry and international </w:t>
      </w:r>
      <w:r w:rsidR="00194F2A">
        <w:t>REITS</w:t>
      </w:r>
      <w:r w:rsidRPr="007E1EBC">
        <w:t xml:space="preserve"> trends and standards;</w:t>
      </w:r>
    </w:p>
    <w:p w:rsidR="00534C63" w:rsidRPr="007E1EBC" w:rsidRDefault="00534C63" w:rsidP="00534C63">
      <w:pPr>
        <w:pStyle w:val="whp20100506"/>
        <w:ind w:left="709"/>
      </w:pPr>
    </w:p>
    <w:p w:rsidR="00534C63" w:rsidRPr="007E1EBC" w:rsidRDefault="00534C63" w:rsidP="00534C63">
      <w:pPr>
        <w:pStyle w:val="whp20100506"/>
      </w:pPr>
      <w:r w:rsidRPr="007E1EBC">
        <w:t xml:space="preserve">The research is primarily focused on the recommendations as contained in the National Treasury’s Discussion Paper with input sourced from the National Treasury directly and various participants in steering the promulgation of </w:t>
      </w:r>
      <w:r w:rsidR="00194F2A">
        <w:t>REITS</w:t>
      </w:r>
      <w:r w:rsidRPr="007E1EBC">
        <w:t xml:space="preserve"> legislation. </w:t>
      </w:r>
    </w:p>
    <w:p w:rsidR="00534C63" w:rsidRPr="007E1EBC" w:rsidRDefault="00534C63" w:rsidP="00534C63">
      <w:pPr>
        <w:pStyle w:val="whp20100506"/>
        <w:ind w:left="709"/>
      </w:pPr>
    </w:p>
    <w:p w:rsidR="00534C63" w:rsidRPr="007E1EBC" w:rsidRDefault="00534C63" w:rsidP="00534C63">
      <w:pPr>
        <w:pStyle w:val="whp20100506"/>
      </w:pPr>
      <w:r w:rsidRPr="007E1EBC">
        <w:t xml:space="preserve">Unfortunately however there are limited sources locally in South Africa that are participating in the </w:t>
      </w:r>
      <w:r w:rsidR="00194F2A">
        <w:t>REITS</w:t>
      </w:r>
      <w:r w:rsidRPr="007E1EBC">
        <w:t xml:space="preserve"> adoption process therefore input was restricted to those involved and those who have a vested interest in the development of the framework and were willing to participate in the questionnaire.</w:t>
      </w:r>
    </w:p>
    <w:p w:rsidR="00534C63" w:rsidRPr="007E1EBC" w:rsidRDefault="00534C63" w:rsidP="00534C63">
      <w:pPr>
        <w:pStyle w:val="whp20100506"/>
        <w:ind w:left="709"/>
      </w:pPr>
    </w:p>
    <w:p w:rsidR="00534C63" w:rsidRPr="007E1EBC" w:rsidRDefault="00534C63" w:rsidP="00534C63">
      <w:pPr>
        <w:pStyle w:val="whp20100506"/>
      </w:pPr>
      <w:r w:rsidRPr="007E1EBC">
        <w:t xml:space="preserve">Generally, the scope and ambit of </w:t>
      </w:r>
      <w:r w:rsidR="00194F2A">
        <w:t>REITS</w:t>
      </w:r>
      <w:r w:rsidRPr="007E1EBC">
        <w:t xml:space="preserve"> is extremely dense and wide, with the fundamental pillars of all </w:t>
      </w:r>
      <w:r w:rsidR="00194F2A">
        <w:t>REITS</w:t>
      </w:r>
      <w:r w:rsidRPr="007E1EBC">
        <w:t xml:space="preserve"> legislation being divided into two primary fields being that of a legal framework and a taxation dispensation. These two fields constitute the whole of a REIT’s structure. Whilst all attempts are made to ensure that an exhaustive overview of these two pillars is maintained throughout this Research Report, the study will only focus on those recommendations in principle. The study will therefore not cover the specific application of the legal and taxation treatment for </w:t>
      </w:r>
      <w:r w:rsidR="00194F2A">
        <w:t>REITS</w:t>
      </w:r>
      <w:r w:rsidRPr="007E1EBC">
        <w:t xml:space="preserve"> in practice nor in exhaustive detail. </w:t>
      </w:r>
    </w:p>
    <w:p w:rsidR="00534C63" w:rsidRPr="007E1EBC" w:rsidRDefault="00534C63" w:rsidP="00534C63">
      <w:pPr>
        <w:pStyle w:val="whp20100506"/>
      </w:pPr>
      <w:r w:rsidRPr="007E1EBC">
        <w:lastRenderedPageBreak/>
        <w:t xml:space="preserve">Similarly, whilst reference is made to international </w:t>
      </w:r>
      <w:r w:rsidR="00194F2A">
        <w:t>REITS</w:t>
      </w:r>
      <w:r w:rsidRPr="007E1EBC">
        <w:t xml:space="preserve"> standards and trends, the report will not scrutinise the </w:t>
      </w:r>
      <w:r w:rsidR="00194F2A">
        <w:t>REITS</w:t>
      </w:r>
      <w:r w:rsidRPr="007E1EBC">
        <w:t xml:space="preserve"> structures of all international countries but will rather only make reference to selected international countries. These countries are mostly Germany, United Kingdom, Australia, Hong Kong and USA. </w:t>
      </w:r>
    </w:p>
    <w:p w:rsidR="00534C63" w:rsidRPr="007E1EBC" w:rsidRDefault="00534C63" w:rsidP="00534C63">
      <w:pPr>
        <w:pStyle w:val="whp20100506"/>
      </w:pPr>
    </w:p>
    <w:p w:rsidR="00534C63" w:rsidRPr="007E1EBC" w:rsidRDefault="00534C63" w:rsidP="00534C63">
      <w:pPr>
        <w:pStyle w:val="whp20100506"/>
      </w:pPr>
      <w:r w:rsidRPr="007E1EBC">
        <w:t xml:space="preserve">Finally, at the time of completing this research, the definitive blueprint for adopting REIT in South Africa has yet to be promulgated as there are on-going discussions taking place between the National Treasury and industry as a whole. In parallel to the creation of a </w:t>
      </w:r>
      <w:r w:rsidR="00194F2A">
        <w:t>REITS</w:t>
      </w:r>
      <w:r w:rsidRPr="007E1EBC">
        <w:t xml:space="preserve"> framework, there are changes afoot in terms of amendments to the Income Tax Act, which will not be incorporated into the study. The research of this Research Report will t</w:t>
      </w:r>
      <w:r w:rsidR="00773215">
        <w:t xml:space="preserve">herefore only be based upon </w:t>
      </w:r>
      <w:r w:rsidRPr="007E1EBC">
        <w:t xml:space="preserve">the status of the adoption progress as at </w:t>
      </w:r>
      <w:r w:rsidR="00773215" w:rsidRPr="007E1EBC">
        <w:t>December 2007</w:t>
      </w:r>
      <w:r w:rsidRPr="007E1EBC">
        <w:t xml:space="preserve">. </w:t>
      </w:r>
    </w:p>
    <w:p w:rsidR="00534C63" w:rsidRDefault="00534C63" w:rsidP="00534C63">
      <w:pPr>
        <w:pStyle w:val="whp20100506"/>
      </w:pPr>
    </w:p>
    <w:p w:rsidR="00534C63" w:rsidRPr="007E1EBC" w:rsidRDefault="00534C63" w:rsidP="00534C63">
      <w:pPr>
        <w:widowControl w:val="0"/>
        <w:numPr>
          <w:ilvl w:val="1"/>
          <w:numId w:val="2"/>
        </w:numPr>
        <w:spacing w:line="360" w:lineRule="auto"/>
        <w:ind w:left="360"/>
        <w:jc w:val="both"/>
        <w:outlineLvl w:val="1"/>
        <w:rPr>
          <w:rFonts w:ascii="Times New Roman" w:hAnsi="Times New Roman"/>
          <w:b/>
          <w:sz w:val="24"/>
        </w:rPr>
      </w:pPr>
      <w:r w:rsidRPr="007E1EBC">
        <w:rPr>
          <w:rFonts w:ascii="Times New Roman" w:hAnsi="Times New Roman"/>
          <w:b/>
          <w:sz w:val="24"/>
        </w:rPr>
        <w:t>STRUCTURE OF REPORT</w:t>
      </w:r>
    </w:p>
    <w:p w:rsidR="00534C63" w:rsidRPr="007E1EBC" w:rsidRDefault="00534C63" w:rsidP="00534C63">
      <w:pPr>
        <w:widowControl w:val="0"/>
        <w:spacing w:line="360" w:lineRule="auto"/>
        <w:jc w:val="both"/>
        <w:outlineLvl w:val="1"/>
        <w:rPr>
          <w:rFonts w:ascii="Times New Roman" w:hAnsi="Times New Roman"/>
          <w:b/>
          <w:sz w:val="24"/>
        </w:rPr>
      </w:pPr>
    </w:p>
    <w:p w:rsidR="00534C63" w:rsidRPr="007E1EBC" w:rsidRDefault="00534C63" w:rsidP="00534C63">
      <w:pPr>
        <w:widowControl w:val="0"/>
        <w:spacing w:line="360" w:lineRule="auto"/>
        <w:jc w:val="both"/>
        <w:outlineLvl w:val="1"/>
        <w:rPr>
          <w:rFonts w:ascii="Times New Roman" w:hAnsi="Times New Roman"/>
          <w:sz w:val="24"/>
        </w:rPr>
      </w:pPr>
      <w:r w:rsidRPr="007E1EBC">
        <w:rPr>
          <w:rFonts w:ascii="Times New Roman" w:hAnsi="Times New Roman"/>
          <w:sz w:val="24"/>
        </w:rPr>
        <w:t>As a high level review of this Research Report’s structure, the following abridged overview serves as an outline of the content of the report:</w:t>
      </w:r>
    </w:p>
    <w:p w:rsidR="00534C63" w:rsidRPr="007E1EBC" w:rsidRDefault="00534C63" w:rsidP="00534C63">
      <w:pPr>
        <w:widowControl w:val="0"/>
        <w:spacing w:line="360" w:lineRule="auto"/>
        <w:jc w:val="both"/>
        <w:outlineLvl w:val="1"/>
        <w:rPr>
          <w:rFonts w:ascii="Times New Roman" w:hAnsi="Times New Roman"/>
          <w:b/>
          <w:sz w:val="24"/>
        </w:rPr>
      </w:pPr>
    </w:p>
    <w:p w:rsidR="00534C63" w:rsidRPr="007E1EBC" w:rsidRDefault="00534C63" w:rsidP="00534C63">
      <w:pPr>
        <w:pStyle w:val="whp20100506"/>
      </w:pPr>
      <w:r w:rsidRPr="007E1EBC">
        <w:t xml:space="preserve">The </w:t>
      </w:r>
      <w:r w:rsidRPr="007E1EBC">
        <w:rPr>
          <w:b/>
        </w:rPr>
        <w:t xml:space="preserve">Literature review </w:t>
      </w:r>
      <w:r w:rsidRPr="007E1EBC">
        <w:t xml:space="preserve">in Section B is broken into three distinct parts </w:t>
      </w:r>
      <w:r>
        <w:t xml:space="preserve">intended as the foundation and background leading up to the </w:t>
      </w:r>
      <w:r w:rsidR="00E07118">
        <w:t>Exploratory Study</w:t>
      </w:r>
      <w:r>
        <w:t xml:space="preserve"> </w:t>
      </w:r>
      <w:r w:rsidRPr="007E1EBC">
        <w:t>being:</w:t>
      </w:r>
    </w:p>
    <w:p w:rsidR="00534C63" w:rsidRPr="007E1EBC" w:rsidRDefault="00534C63" w:rsidP="00534C63">
      <w:pPr>
        <w:pStyle w:val="whp20100506"/>
      </w:pPr>
    </w:p>
    <w:p w:rsidR="00534C63" w:rsidRPr="007E1EBC" w:rsidRDefault="00534C63" w:rsidP="00534C63">
      <w:pPr>
        <w:pStyle w:val="whp20100506"/>
        <w:numPr>
          <w:ilvl w:val="0"/>
          <w:numId w:val="18"/>
        </w:numPr>
        <w:ind w:left="360"/>
      </w:pPr>
      <w:r w:rsidRPr="007E1EBC">
        <w:rPr>
          <w:i/>
        </w:rPr>
        <w:t xml:space="preserve">Introduction to </w:t>
      </w:r>
      <w:r w:rsidR="00194F2A">
        <w:rPr>
          <w:i/>
        </w:rPr>
        <w:t>REITS</w:t>
      </w:r>
      <w:r w:rsidRPr="007E1EBC">
        <w:t xml:space="preserve">: A holistic overview intended as an understanding of the basic fundamental principles of </w:t>
      </w:r>
      <w:r w:rsidR="00194F2A">
        <w:t>REITS</w:t>
      </w:r>
      <w:r w:rsidRPr="007E1EBC">
        <w:t xml:space="preserve"> and the possible benefits for the South African market. The purpose of Chapter 2 is to understand the basic characteristics of </w:t>
      </w:r>
      <w:r w:rsidR="00194F2A">
        <w:t>REITS</w:t>
      </w:r>
      <w:r w:rsidRPr="007E1EBC">
        <w:t xml:space="preserve"> and the value therein as an investment. This would then serve as a background for not only comparing the existing property investment vehicles in South Africa, but also to fuel the motivation for </w:t>
      </w:r>
      <w:r w:rsidR="00194F2A">
        <w:t>REITS</w:t>
      </w:r>
      <w:r w:rsidRPr="007E1EBC">
        <w:t xml:space="preserve"> as a suitable alternative based on the findings of Chapter 4;</w:t>
      </w:r>
    </w:p>
    <w:p w:rsidR="00534C63" w:rsidRPr="007E1EBC" w:rsidRDefault="00534C63" w:rsidP="00534C63">
      <w:pPr>
        <w:pStyle w:val="whp20100506"/>
        <w:ind w:left="360"/>
      </w:pPr>
    </w:p>
    <w:p w:rsidR="00534C63" w:rsidRPr="007E1EBC" w:rsidRDefault="00534C63" w:rsidP="00534C63">
      <w:pPr>
        <w:pStyle w:val="whp20100506"/>
        <w:numPr>
          <w:ilvl w:val="0"/>
          <w:numId w:val="18"/>
        </w:numPr>
        <w:ind w:left="360"/>
      </w:pPr>
      <w:r w:rsidRPr="007E1EBC">
        <w:rPr>
          <w:i/>
        </w:rPr>
        <w:t xml:space="preserve">Structure of international </w:t>
      </w:r>
      <w:r w:rsidR="00194F2A">
        <w:rPr>
          <w:i/>
        </w:rPr>
        <w:t>REITS</w:t>
      </w:r>
      <w:r w:rsidRPr="007E1EBC">
        <w:rPr>
          <w:i/>
        </w:rPr>
        <w:t xml:space="preserve"> and lesson learned from countries</w:t>
      </w:r>
      <w:r w:rsidRPr="007E1EBC">
        <w:t xml:space="preserve"> </w:t>
      </w:r>
      <w:r w:rsidRPr="007E1EBC">
        <w:rPr>
          <w:i/>
        </w:rPr>
        <w:t>adopting REIT</w:t>
      </w:r>
      <w:r w:rsidRPr="007E1EBC">
        <w:t xml:space="preserve">: evaluating and assessing how REIT frameworks are designed internationally in particular to the scope and ambit of the rules applicable to the regulatory structures and taxation. The purpose of Chapter 3 is to get an holistic understanding of how the various frameworks of leading international REIT countries have evolved over time, serving as a benchmark for South African </w:t>
      </w:r>
    </w:p>
    <w:p w:rsidR="00534C63" w:rsidRPr="007E1EBC" w:rsidRDefault="00534C63" w:rsidP="00534C63">
      <w:pPr>
        <w:pStyle w:val="whp20100506"/>
        <w:numPr>
          <w:ilvl w:val="0"/>
          <w:numId w:val="18"/>
        </w:numPr>
        <w:ind w:left="360"/>
      </w:pPr>
      <w:r w:rsidRPr="007E1EBC">
        <w:rPr>
          <w:i/>
        </w:rPr>
        <w:t>The current listed property investment sector in South Africa</w:t>
      </w:r>
      <w:r w:rsidRPr="007E1EBC">
        <w:t xml:space="preserve">: A brief overview and </w:t>
      </w:r>
      <w:r w:rsidRPr="007E1EBC">
        <w:lastRenderedPageBreak/>
        <w:t>evaluation of the legislation applicable to the local property investment community in order to determine whether a need for change exists. The purpose of Chapter 4 therefore being to gain an understanding of the fragmented and partially regulated legislative terrain that motivated the release of the National Treasury’s Discussion Paper in 2007. It is important to note that sources are limited for this evaluation and therefore strong reliance is made on the legislation applicable to Property Loan Stocks and Collective Investment Schemes in Property, which is sourced from the various Acts with guidance from industry leaders.</w:t>
      </w:r>
    </w:p>
    <w:p w:rsidR="0036052C" w:rsidRDefault="0036052C" w:rsidP="00534C63">
      <w:pPr>
        <w:pStyle w:val="whp20100506"/>
      </w:pPr>
    </w:p>
    <w:p w:rsidR="00534C63" w:rsidRPr="007E1EBC" w:rsidRDefault="00534C63" w:rsidP="00534C63">
      <w:pPr>
        <w:pStyle w:val="whp20100506"/>
      </w:pPr>
      <w:r w:rsidRPr="007E1EBC">
        <w:t xml:space="preserve">The </w:t>
      </w:r>
      <w:r w:rsidRPr="007E1EBC">
        <w:rPr>
          <w:b/>
        </w:rPr>
        <w:t>Research Methodology</w:t>
      </w:r>
      <w:r w:rsidRPr="007E1EBC">
        <w:t xml:space="preserve"> in Section C discusses the mechanics of formulating the </w:t>
      </w:r>
      <w:r w:rsidR="00E07118">
        <w:t>Exploratory Study</w:t>
      </w:r>
      <w:r w:rsidRPr="007E1EBC">
        <w:t xml:space="preserve"> in particular the methods of acquiring data and the assessment thereof in preparing an outcome.</w:t>
      </w:r>
    </w:p>
    <w:p w:rsidR="00534C63" w:rsidRPr="007E1EBC" w:rsidRDefault="00534C63" w:rsidP="00534C63">
      <w:pPr>
        <w:pStyle w:val="whp20100506"/>
      </w:pPr>
    </w:p>
    <w:p w:rsidR="00534C63" w:rsidRPr="007E1EBC" w:rsidRDefault="00534C63" w:rsidP="00534C63">
      <w:pPr>
        <w:pStyle w:val="whp20100506"/>
      </w:pPr>
      <w:r w:rsidRPr="007E1EBC">
        <w:t xml:space="preserve">In Section D, the </w:t>
      </w:r>
      <w:r w:rsidRPr="007E1EBC">
        <w:rPr>
          <w:b/>
        </w:rPr>
        <w:t>Empirical</w:t>
      </w:r>
      <w:r w:rsidRPr="007E1EBC">
        <w:t xml:space="preserve"> </w:t>
      </w:r>
      <w:r w:rsidR="00E07118">
        <w:rPr>
          <w:b/>
        </w:rPr>
        <w:t>Exploratory Study</w:t>
      </w:r>
      <w:r w:rsidRPr="007E1EBC">
        <w:t xml:space="preserve"> evaluates the recommendations of the National Treasury as contained in the Discussion Paper of 2007 along with the comments sourced from local industry. The </w:t>
      </w:r>
      <w:r w:rsidR="00E07118">
        <w:t>Exploratory Study</w:t>
      </w:r>
      <w:r w:rsidRPr="007E1EBC">
        <w:t xml:space="preserve"> assesses each of the recommendations as rules within the </w:t>
      </w:r>
      <w:r w:rsidR="00194F2A">
        <w:t>REITS</w:t>
      </w:r>
      <w:r w:rsidRPr="007E1EBC">
        <w:t xml:space="preserve"> framework by way of considering the comments from local industry along with international trends where applicable. Each of the framework rules contains an outcome as a conclusion to the National Treasury’s recommendation. The </w:t>
      </w:r>
      <w:r w:rsidR="00E07118">
        <w:t>Exploratory Study</w:t>
      </w:r>
      <w:r w:rsidRPr="007E1EBC">
        <w:t xml:space="preserve"> is therefore essentially broken down into the following two components:</w:t>
      </w:r>
    </w:p>
    <w:p w:rsidR="00534C63" w:rsidRPr="007E1EBC" w:rsidRDefault="00534C63" w:rsidP="00534C63">
      <w:pPr>
        <w:pStyle w:val="whp20100506"/>
      </w:pPr>
    </w:p>
    <w:p w:rsidR="00534C63" w:rsidRPr="007E1EBC" w:rsidRDefault="00534C63" w:rsidP="00534C63">
      <w:pPr>
        <w:pStyle w:val="ListParagraph"/>
        <w:widowControl w:val="0"/>
        <w:numPr>
          <w:ilvl w:val="0"/>
          <w:numId w:val="18"/>
        </w:numPr>
        <w:spacing w:line="360" w:lineRule="auto"/>
        <w:jc w:val="both"/>
        <w:outlineLvl w:val="1"/>
      </w:pPr>
      <w:r w:rsidRPr="007E1EBC">
        <w:t xml:space="preserve">Regulatory Proposals: </w:t>
      </w:r>
      <w:r w:rsidRPr="007E1EBC">
        <w:rPr>
          <w:i w:val="0"/>
        </w:rPr>
        <w:t>this contains the following framework rules as subsections: Organisational Rules, Income and Asset Rules, Gearing, Distribution, Non-Compliance, Broad Based Black Economic Empowerment;</w:t>
      </w:r>
    </w:p>
    <w:p w:rsidR="00534C63" w:rsidRPr="007E1EBC" w:rsidRDefault="00534C63" w:rsidP="00534C63">
      <w:pPr>
        <w:pStyle w:val="ListParagraph"/>
        <w:widowControl w:val="0"/>
        <w:numPr>
          <w:ilvl w:val="0"/>
          <w:numId w:val="18"/>
        </w:numPr>
        <w:spacing w:line="360" w:lineRule="auto"/>
        <w:jc w:val="both"/>
        <w:outlineLvl w:val="1"/>
      </w:pPr>
      <w:r w:rsidRPr="007E1EBC">
        <w:t xml:space="preserve">Taxation Proposals: </w:t>
      </w:r>
      <w:r w:rsidRPr="007E1EBC">
        <w:rPr>
          <w:i w:val="0"/>
        </w:rPr>
        <w:t>this contains the following framework rules as subsections:</w:t>
      </w:r>
      <w:r w:rsidRPr="007E1EBC">
        <w:t xml:space="preserve"> </w:t>
      </w:r>
      <w:r w:rsidRPr="007E1EBC">
        <w:rPr>
          <w:i w:val="0"/>
        </w:rPr>
        <w:t>Income Tax Rules, Capital Gains Tax Rules and Conversion Tax Rules</w:t>
      </w:r>
    </w:p>
    <w:p w:rsidR="00534C63" w:rsidRDefault="00534C63" w:rsidP="00534C63">
      <w:pPr>
        <w:pStyle w:val="whp20100506"/>
      </w:pPr>
    </w:p>
    <w:p w:rsidR="00534C63" w:rsidRPr="007E1EBC" w:rsidRDefault="00534C63" w:rsidP="00534C63">
      <w:pPr>
        <w:pStyle w:val="whp20100506"/>
      </w:pPr>
      <w:r w:rsidRPr="007E1EBC">
        <w:t xml:space="preserve">The </w:t>
      </w:r>
      <w:r w:rsidRPr="007E1EBC">
        <w:rPr>
          <w:b/>
        </w:rPr>
        <w:t>Conclusions</w:t>
      </w:r>
      <w:r w:rsidRPr="007E1EBC">
        <w:t xml:space="preserve"> in Chapter 8 of Section E serves as an overall summary of the National Treasury’s REIT proposals </w:t>
      </w:r>
    </w:p>
    <w:p w:rsidR="00534C63" w:rsidRPr="007E1EBC" w:rsidRDefault="00534C63" w:rsidP="00534C63">
      <w:pPr>
        <w:pStyle w:val="whp20100506"/>
      </w:pPr>
    </w:p>
    <w:p w:rsidR="00534C63" w:rsidRPr="0036052C" w:rsidRDefault="00534C63" w:rsidP="0036052C">
      <w:pPr>
        <w:pStyle w:val="whp20100506"/>
      </w:pPr>
      <w:r w:rsidRPr="007E1EBC">
        <w:t xml:space="preserve">Chapter 9 contains </w:t>
      </w:r>
      <w:r w:rsidRPr="007E1EBC">
        <w:rPr>
          <w:b/>
        </w:rPr>
        <w:t>Recommendations</w:t>
      </w:r>
      <w:r w:rsidRPr="007E1EBC">
        <w:t xml:space="preserve"> for the more contentious areas within the </w:t>
      </w:r>
      <w:r w:rsidR="00194F2A">
        <w:t>REITS</w:t>
      </w:r>
      <w:r w:rsidRPr="007E1EBC">
        <w:t xml:space="preserve"> framework and is intended as a guideline rather than as a final </w:t>
      </w:r>
      <w:r w:rsidR="00032422" w:rsidRPr="007E1EBC">
        <w:t>blueprint</w:t>
      </w:r>
    </w:p>
    <w:p w:rsidR="00534C63" w:rsidRPr="007E1EBC" w:rsidRDefault="00032422" w:rsidP="00534C63">
      <w:pPr>
        <w:widowControl w:val="0"/>
        <w:numPr>
          <w:ilvl w:val="1"/>
          <w:numId w:val="2"/>
        </w:numPr>
        <w:spacing w:line="360" w:lineRule="auto"/>
        <w:ind w:left="360"/>
        <w:jc w:val="both"/>
        <w:outlineLvl w:val="1"/>
        <w:rPr>
          <w:rFonts w:ascii="Times New Roman" w:hAnsi="Times New Roman"/>
          <w:b/>
          <w:sz w:val="24"/>
        </w:rPr>
      </w:pPr>
      <w:r w:rsidRPr="007E1EBC">
        <w:rPr>
          <w:rFonts w:ascii="Times New Roman" w:hAnsi="Times New Roman"/>
          <w:b/>
          <w:sz w:val="24"/>
        </w:rPr>
        <w:lastRenderedPageBreak/>
        <w:t>KEY</w:t>
      </w:r>
      <w:r w:rsidR="00534C63" w:rsidRPr="007E1EBC">
        <w:rPr>
          <w:rFonts w:ascii="Times New Roman" w:hAnsi="Times New Roman"/>
          <w:b/>
          <w:sz w:val="24"/>
        </w:rPr>
        <w:t xml:space="preserve"> TERMS AND DEFINITIONS</w:t>
      </w:r>
      <w:r w:rsidR="00534C63" w:rsidRPr="007E1EBC">
        <w:rPr>
          <w:rStyle w:val="FootnoteReference"/>
          <w:rFonts w:ascii="Times New Roman" w:hAnsi="Times New Roman"/>
          <w:b/>
          <w:sz w:val="24"/>
        </w:rPr>
        <w:footnoteReference w:id="8"/>
      </w:r>
      <w:r w:rsidR="00534C63" w:rsidRPr="007E1EBC">
        <w:rPr>
          <w:rFonts w:ascii="Times New Roman" w:hAnsi="Times New Roman"/>
          <w:b/>
          <w:sz w:val="24"/>
        </w:rPr>
        <w:t xml:space="preserve"> </w:t>
      </w:r>
    </w:p>
    <w:p w:rsidR="00534C63" w:rsidRPr="007E1EBC" w:rsidRDefault="00534C63" w:rsidP="00534C63">
      <w:pPr>
        <w:pStyle w:val="whp20100506"/>
        <w:rPr>
          <w:b/>
        </w:rPr>
      </w:pPr>
    </w:p>
    <w:p w:rsidR="00534C63" w:rsidRPr="007E1EBC" w:rsidRDefault="00534C63" w:rsidP="00534C63">
      <w:pPr>
        <w:pStyle w:val="whp20100506"/>
        <w:ind w:left="2880" w:hanging="2880"/>
      </w:pPr>
      <w:r w:rsidRPr="007E1EBC">
        <w:rPr>
          <w:b/>
        </w:rPr>
        <w:t>Asset</w:t>
      </w:r>
      <w:r w:rsidRPr="007E1EBC">
        <w:t xml:space="preserve">: </w:t>
      </w:r>
      <w:r w:rsidRPr="007E1EBC">
        <w:tab/>
        <w:t>The capital item you invest in, for instance the physical property. Net asset value is the value of the property less borrowings</w:t>
      </w:r>
    </w:p>
    <w:p w:rsidR="00534C63" w:rsidRPr="007E1EBC" w:rsidRDefault="00534C63" w:rsidP="00534C63">
      <w:pPr>
        <w:pStyle w:val="whp20100506"/>
        <w:rPr>
          <w:b/>
        </w:rPr>
      </w:pPr>
    </w:p>
    <w:p w:rsidR="00534C63" w:rsidRPr="007E1EBC" w:rsidRDefault="00534C63" w:rsidP="00534C63">
      <w:pPr>
        <w:pStyle w:val="whp20100506"/>
        <w:ind w:left="2880" w:hanging="2880"/>
      </w:pPr>
      <w:r w:rsidRPr="007E1EBC">
        <w:rPr>
          <w:b/>
        </w:rPr>
        <w:t>Asset management</w:t>
      </w:r>
      <w:r w:rsidRPr="007E1EBC">
        <w:t xml:space="preserve">: </w:t>
      </w:r>
      <w:r w:rsidRPr="007E1EBC">
        <w:tab/>
        <w:t>The management of a property portfolio and listed assets such as equities or options by a property or an individual</w:t>
      </w:r>
    </w:p>
    <w:p w:rsidR="00534C63" w:rsidRPr="007E1EBC" w:rsidRDefault="00534C63" w:rsidP="00534C63">
      <w:pPr>
        <w:pStyle w:val="whp20100506"/>
        <w:rPr>
          <w:b/>
        </w:rPr>
      </w:pPr>
    </w:p>
    <w:p w:rsidR="00534C63" w:rsidRPr="007E1EBC" w:rsidRDefault="00534C63" w:rsidP="00534C63">
      <w:pPr>
        <w:pStyle w:val="whp20100506"/>
        <w:ind w:left="2880" w:hanging="2880"/>
      </w:pPr>
      <w:r w:rsidRPr="007E1EBC">
        <w:rPr>
          <w:b/>
        </w:rPr>
        <w:t>Capital gain</w:t>
      </w:r>
      <w:r w:rsidRPr="007E1EBC">
        <w:t xml:space="preserve">: </w:t>
      </w:r>
      <w:r w:rsidRPr="007E1EBC">
        <w:tab/>
        <w:t>A recent tax on capital gains made on the sale of a property. The first R2m gain on a principle residence is excluded</w:t>
      </w:r>
    </w:p>
    <w:p w:rsidR="00534C63" w:rsidRPr="007E1EBC" w:rsidRDefault="00534C63" w:rsidP="00534C63">
      <w:pPr>
        <w:pStyle w:val="whp20100506"/>
        <w:rPr>
          <w:b/>
        </w:rPr>
      </w:pPr>
    </w:p>
    <w:p w:rsidR="00534C63" w:rsidRPr="007E1EBC" w:rsidRDefault="00534C63" w:rsidP="00534C63">
      <w:pPr>
        <w:pStyle w:val="whp20100506"/>
        <w:ind w:left="2880" w:hanging="2880"/>
      </w:pPr>
      <w:r w:rsidRPr="007E1EBC">
        <w:rPr>
          <w:b/>
        </w:rPr>
        <w:t>Capitalisation rate</w:t>
      </w:r>
      <w:r w:rsidRPr="007E1EBC">
        <w:t xml:space="preserve">: </w:t>
      </w:r>
      <w:r w:rsidRPr="007E1EBC">
        <w:tab/>
        <w:t>a ratio of the relationship between a year’s cash flow and the present value of the cash flow. The rate at which the net income of a building is capitalised into perpetuity in order to derive its market value. Cap rates are the property equivalent of the forward earnings yield of listed shares</w:t>
      </w:r>
    </w:p>
    <w:p w:rsidR="00534C63" w:rsidRPr="007E1EBC" w:rsidRDefault="00534C63" w:rsidP="00534C63">
      <w:pPr>
        <w:pStyle w:val="whp20100506"/>
        <w:rPr>
          <w:b/>
        </w:rPr>
      </w:pPr>
    </w:p>
    <w:p w:rsidR="00534C63" w:rsidRPr="007E1EBC" w:rsidRDefault="00534C63" w:rsidP="00534C63">
      <w:pPr>
        <w:pStyle w:val="whp20100506"/>
        <w:ind w:left="2880" w:hanging="2880"/>
        <w:rPr>
          <w:b/>
        </w:rPr>
      </w:pPr>
      <w:r w:rsidRPr="007E1EBC">
        <w:rPr>
          <w:b/>
        </w:rPr>
        <w:t xml:space="preserve">Collective Investment Scheme </w:t>
      </w:r>
      <w:r w:rsidR="00032422" w:rsidRPr="007E1EBC">
        <w:rPr>
          <w:b/>
        </w:rPr>
        <w:t>in</w:t>
      </w:r>
      <w:r w:rsidRPr="007E1EBC">
        <w:rPr>
          <w:b/>
        </w:rPr>
        <w:t xml:space="preserve"> Property</w:t>
      </w:r>
      <w:r w:rsidRPr="007E1EBC">
        <w:rPr>
          <w:b/>
          <w:sz w:val="16"/>
          <w:szCs w:val="16"/>
        </w:rPr>
        <w:t xml:space="preserve">: </w:t>
      </w:r>
      <w:r w:rsidRPr="007E1EBC">
        <w:t xml:space="preserve">also known as </w:t>
      </w:r>
      <w:r w:rsidRPr="007E1EBC">
        <w:rPr>
          <w:b/>
          <w:sz w:val="16"/>
          <w:szCs w:val="16"/>
        </w:rPr>
        <w:t>(CISP)</w:t>
      </w:r>
      <w:r w:rsidRPr="007E1EBC">
        <w:rPr>
          <w:b/>
        </w:rPr>
        <w:t xml:space="preserve"> </w:t>
      </w:r>
      <w:r w:rsidRPr="007E1EBC">
        <w:t>it is one of two types of investment vehicles that retail investors use to get exposure to commercial property which is in all essence a vesting trust with the investors holding a participatory interest. It is regulated by the FSB and is also known as a property unit trust (PUT)</w:t>
      </w:r>
    </w:p>
    <w:p w:rsidR="00534C63" w:rsidRPr="007E1EBC" w:rsidRDefault="00534C63" w:rsidP="00534C63">
      <w:pPr>
        <w:pStyle w:val="whp20100506"/>
        <w:rPr>
          <w:b/>
        </w:rPr>
      </w:pPr>
    </w:p>
    <w:p w:rsidR="00534C63" w:rsidRPr="007E1EBC" w:rsidRDefault="00534C63" w:rsidP="00534C63">
      <w:pPr>
        <w:pStyle w:val="whp20100506"/>
      </w:pPr>
      <w:r w:rsidRPr="007E1EBC">
        <w:rPr>
          <w:b/>
        </w:rPr>
        <w:t>Companies Act</w:t>
      </w:r>
      <w:r w:rsidRPr="007E1EBC">
        <w:t>:</w:t>
      </w:r>
      <w:r w:rsidRPr="007E1EBC">
        <w:tab/>
      </w:r>
      <w:r w:rsidRPr="007E1EBC">
        <w:tab/>
        <w:t>means the Companies Act, No 61 of 1973, as amended;</w:t>
      </w:r>
    </w:p>
    <w:p w:rsidR="00534C63" w:rsidRPr="007E1EBC" w:rsidRDefault="00534C63" w:rsidP="00534C63">
      <w:pPr>
        <w:pStyle w:val="whp20100506"/>
        <w:rPr>
          <w:b/>
        </w:rPr>
      </w:pPr>
    </w:p>
    <w:p w:rsidR="00534C63" w:rsidRPr="007E1EBC" w:rsidRDefault="00534C63" w:rsidP="00534C63">
      <w:pPr>
        <w:pStyle w:val="whp20100506"/>
        <w:ind w:left="2880" w:hanging="2880"/>
      </w:pPr>
      <w:r w:rsidRPr="007E1EBC">
        <w:rPr>
          <w:b/>
        </w:rPr>
        <w:t>Debenture</w:t>
      </w:r>
      <w:r w:rsidRPr="007E1EBC">
        <w:t xml:space="preserve">: </w:t>
      </w:r>
      <w:r w:rsidRPr="007E1EBC">
        <w:tab/>
        <w:t>an unsecured debt backed by the reputation and honour of the borrower, not by collateral. This is written into a document called an indenture. The debenture portion of a linked unit in a PLS generates interest at a variable rate for the linked unit holder. Interest is then paid out separately out of the profits from the investment</w:t>
      </w:r>
    </w:p>
    <w:p w:rsidR="00534C63" w:rsidRPr="007E1EBC" w:rsidRDefault="00534C63" w:rsidP="00534C63">
      <w:pPr>
        <w:pStyle w:val="whp20100506"/>
        <w:ind w:left="2880" w:hanging="2880"/>
      </w:pPr>
      <w:r w:rsidRPr="007E1EBC">
        <w:rPr>
          <w:b/>
        </w:rPr>
        <w:lastRenderedPageBreak/>
        <w:t>Gearing</w:t>
      </w:r>
      <w:r w:rsidRPr="007E1EBC">
        <w:t>:</w:t>
      </w:r>
      <w:r w:rsidRPr="007E1EBC">
        <w:tab/>
        <w:t xml:space="preserve">also referred to as leverage. A property owner’s debt as a percentage of the value of the property also called loan to value. </w:t>
      </w:r>
    </w:p>
    <w:p w:rsidR="00534C63" w:rsidRPr="007E1EBC" w:rsidRDefault="00534C63" w:rsidP="00534C63">
      <w:pPr>
        <w:pStyle w:val="whp20100506"/>
        <w:ind w:left="3600" w:hanging="2880"/>
      </w:pPr>
    </w:p>
    <w:p w:rsidR="00534C63" w:rsidRPr="007E1EBC" w:rsidRDefault="00534C63" w:rsidP="00534C63">
      <w:pPr>
        <w:pStyle w:val="whp20100506"/>
        <w:ind w:left="2880" w:hanging="2880"/>
      </w:pPr>
      <w:r w:rsidRPr="007E1EBC">
        <w:rPr>
          <w:b/>
        </w:rPr>
        <w:t>Investment property</w:t>
      </w:r>
      <w:r w:rsidRPr="007E1EBC">
        <w:t xml:space="preserve">: </w:t>
      </w:r>
      <w:r w:rsidRPr="007E1EBC">
        <w:tab/>
        <w:t>owned for the purposes of financial gain, either through appreciation in value or through income from the property</w:t>
      </w:r>
    </w:p>
    <w:p w:rsidR="00534C63" w:rsidRPr="007E1EBC" w:rsidRDefault="00534C63" w:rsidP="00534C63">
      <w:pPr>
        <w:pStyle w:val="whp20100506"/>
        <w:rPr>
          <w:b/>
        </w:rPr>
      </w:pPr>
    </w:p>
    <w:p w:rsidR="00534C63" w:rsidRPr="007E1EBC" w:rsidRDefault="00534C63" w:rsidP="00534C63">
      <w:pPr>
        <w:pStyle w:val="whp20100506"/>
      </w:pPr>
      <w:r w:rsidRPr="007E1EBC">
        <w:rPr>
          <w:b/>
        </w:rPr>
        <w:t>J.S.E.</w:t>
      </w:r>
      <w:r w:rsidRPr="007E1EBC">
        <w:tab/>
      </w:r>
      <w:r w:rsidRPr="007E1EBC">
        <w:tab/>
      </w:r>
      <w:r w:rsidRPr="007E1EBC">
        <w:tab/>
      </w:r>
      <w:r w:rsidRPr="007E1EBC">
        <w:tab/>
      </w:r>
      <w:r w:rsidR="00032422" w:rsidRPr="007E1EBC">
        <w:t>Means</w:t>
      </w:r>
      <w:r w:rsidRPr="007E1EBC">
        <w:t xml:space="preserve"> the Johannesburg Stock Exchange</w:t>
      </w:r>
    </w:p>
    <w:p w:rsidR="00534C63" w:rsidRPr="007E1EBC" w:rsidRDefault="00534C63" w:rsidP="00534C63">
      <w:pPr>
        <w:pStyle w:val="whp20100506"/>
        <w:rPr>
          <w:b/>
        </w:rPr>
      </w:pPr>
    </w:p>
    <w:p w:rsidR="00534C63" w:rsidRPr="007E1EBC" w:rsidRDefault="00534C63" w:rsidP="00534C63">
      <w:pPr>
        <w:pStyle w:val="whp20100506"/>
        <w:ind w:left="2880" w:hanging="2880"/>
      </w:pPr>
      <w:r w:rsidRPr="007E1EBC">
        <w:rPr>
          <w:b/>
        </w:rPr>
        <w:t>Management agreement</w:t>
      </w:r>
      <w:r w:rsidRPr="007E1EBC">
        <w:t xml:space="preserve">: </w:t>
      </w:r>
      <w:r w:rsidRPr="007E1EBC">
        <w:tab/>
        <w:t>a contract between an owner of a property and a property management firm to supervise the affairs of the property for periodic fee payments</w:t>
      </w:r>
    </w:p>
    <w:p w:rsidR="00534C63" w:rsidRPr="007E1EBC" w:rsidRDefault="00534C63" w:rsidP="00534C63">
      <w:pPr>
        <w:pStyle w:val="whp20100506"/>
        <w:rPr>
          <w:b/>
        </w:rPr>
      </w:pPr>
    </w:p>
    <w:p w:rsidR="00534C63" w:rsidRPr="007E1EBC" w:rsidRDefault="00534C63" w:rsidP="00534C63">
      <w:pPr>
        <w:pStyle w:val="whp20100506"/>
        <w:ind w:left="2880" w:hanging="2880"/>
      </w:pPr>
      <w:r w:rsidRPr="007E1EBC">
        <w:rPr>
          <w:b/>
        </w:rPr>
        <w:t>Market Capitalisation:</w:t>
      </w:r>
      <w:r w:rsidRPr="007E1EBC">
        <w:rPr>
          <w:b/>
        </w:rPr>
        <w:tab/>
      </w:r>
      <w:r w:rsidRPr="007E1EBC">
        <w:t>this is the market value of a listed company which is readily calculated by multiplying its share price as quoted on the stock exchange by the number of shares in issue to the public</w:t>
      </w:r>
    </w:p>
    <w:p w:rsidR="00534C63" w:rsidRPr="007E1EBC" w:rsidRDefault="00534C63" w:rsidP="00534C63">
      <w:pPr>
        <w:pStyle w:val="whp20100506"/>
        <w:tabs>
          <w:tab w:val="left" w:pos="3600"/>
        </w:tabs>
        <w:rPr>
          <w:b/>
        </w:rPr>
      </w:pPr>
    </w:p>
    <w:p w:rsidR="00534C63" w:rsidRPr="007E1EBC" w:rsidRDefault="00534C63" w:rsidP="00534C63">
      <w:pPr>
        <w:pStyle w:val="whp20100506"/>
        <w:tabs>
          <w:tab w:val="left" w:pos="3600"/>
        </w:tabs>
        <w:ind w:left="2880" w:hanging="2880"/>
        <w:rPr>
          <w:b/>
        </w:rPr>
      </w:pPr>
      <w:r w:rsidRPr="007E1EBC">
        <w:rPr>
          <w:b/>
        </w:rPr>
        <w:t>Property Loan Stock Company (PLS)</w:t>
      </w:r>
      <w:r w:rsidRPr="007E1EBC">
        <w:t>: also known as a variable loan stock. A normal company that links its share to debentures in the company. It is one of 2 types of investment vehicles for retail investors to get exposure to commercial property</w:t>
      </w:r>
    </w:p>
    <w:p w:rsidR="00534C63" w:rsidRPr="007E1EBC" w:rsidRDefault="00534C63" w:rsidP="00534C63">
      <w:pPr>
        <w:pStyle w:val="whp20100506"/>
        <w:tabs>
          <w:tab w:val="left" w:pos="3600"/>
        </w:tabs>
        <w:rPr>
          <w:b/>
        </w:rPr>
      </w:pPr>
    </w:p>
    <w:p w:rsidR="00534C63" w:rsidRPr="007E1EBC" w:rsidRDefault="00534C63" w:rsidP="00534C63">
      <w:pPr>
        <w:pStyle w:val="whp20100506"/>
        <w:tabs>
          <w:tab w:val="left" w:pos="3600"/>
        </w:tabs>
        <w:ind w:left="2880" w:hanging="2880"/>
      </w:pPr>
      <w:r w:rsidRPr="007E1EBC">
        <w:rPr>
          <w:b/>
        </w:rPr>
        <w:t>Property Unit Trust</w:t>
      </w:r>
      <w:r w:rsidRPr="007E1EBC">
        <w:t xml:space="preserve"> </w:t>
      </w:r>
      <w:r w:rsidRPr="007E1EBC">
        <w:rPr>
          <w:b/>
        </w:rPr>
        <w:t>(PUTs</w:t>
      </w:r>
      <w:r w:rsidRPr="007E1EBC">
        <w:t>): a listed vehicle designed for low risk property investment</w:t>
      </w:r>
    </w:p>
    <w:p w:rsidR="00534C63" w:rsidRPr="007E1EBC" w:rsidRDefault="00534C63" w:rsidP="00534C63">
      <w:pPr>
        <w:pStyle w:val="whp20100506"/>
        <w:rPr>
          <w:b/>
        </w:rPr>
      </w:pPr>
    </w:p>
    <w:p w:rsidR="00534C63" w:rsidRPr="007E1EBC" w:rsidRDefault="00534C63" w:rsidP="00534C63">
      <w:pPr>
        <w:pStyle w:val="whp20100506"/>
        <w:ind w:left="2880" w:hanging="2880"/>
      </w:pPr>
      <w:r w:rsidRPr="007E1EBC">
        <w:rPr>
          <w:b/>
        </w:rPr>
        <w:t>Real Estate Investment Trusts (</w:t>
      </w:r>
      <w:r w:rsidR="00194F2A">
        <w:rPr>
          <w:b/>
        </w:rPr>
        <w:t>REITS</w:t>
      </w:r>
      <w:r w:rsidRPr="007E1EBC">
        <w:rPr>
          <w:b/>
        </w:rPr>
        <w:t xml:space="preserve">): </w:t>
      </w:r>
      <w:r w:rsidRPr="007E1EBC">
        <w:t xml:space="preserve">Also known as </w:t>
      </w:r>
      <w:r w:rsidR="00194F2A">
        <w:t>REITS</w:t>
      </w:r>
      <w:r w:rsidRPr="007E1EBC">
        <w:t>. The US version of property unit trusts and property loan stock companies</w:t>
      </w:r>
    </w:p>
    <w:p w:rsidR="00534C63" w:rsidRPr="007E1EBC" w:rsidRDefault="00534C63" w:rsidP="00534C63">
      <w:pPr>
        <w:pStyle w:val="whp20100506"/>
        <w:rPr>
          <w:b/>
        </w:rPr>
      </w:pPr>
    </w:p>
    <w:p w:rsidR="00534C63" w:rsidRPr="007E1EBC" w:rsidRDefault="00534C63" w:rsidP="00534C63">
      <w:pPr>
        <w:pStyle w:val="whp20100506"/>
        <w:ind w:left="2880" w:hanging="2880"/>
      </w:pPr>
      <w:r w:rsidRPr="007E1EBC">
        <w:rPr>
          <w:b/>
        </w:rPr>
        <w:t>Return</w:t>
      </w:r>
      <w:r w:rsidRPr="007E1EBC">
        <w:t>:</w:t>
      </w:r>
      <w:r w:rsidRPr="007E1EBC">
        <w:tab/>
        <w:t>the return on an investment consists of any dividend, interest, rent or other income added to the increase in the value of the asset over a certain period, usually as an annual percentage of the original investment</w:t>
      </w:r>
    </w:p>
    <w:p w:rsidR="00534C63" w:rsidRPr="007E1EBC" w:rsidRDefault="00534C63" w:rsidP="00534C63">
      <w:pPr>
        <w:pStyle w:val="whp20100506"/>
        <w:ind w:left="3600" w:hanging="2880"/>
      </w:pPr>
    </w:p>
    <w:p w:rsidR="00534C63" w:rsidRPr="007E1EBC" w:rsidRDefault="00534C63" w:rsidP="00534C63">
      <w:pPr>
        <w:pStyle w:val="whp20100506"/>
        <w:ind w:left="2880" w:hanging="2880"/>
      </w:pPr>
      <w:r w:rsidRPr="007E1EBC">
        <w:rPr>
          <w:b/>
        </w:rPr>
        <w:t>Vesting Trust</w:t>
      </w:r>
      <w:r w:rsidRPr="007E1EBC">
        <w:t>:</w:t>
      </w:r>
      <w:r w:rsidRPr="007E1EBC">
        <w:tab/>
        <w:t xml:space="preserve">all the income generated and capital gains realised from the sale of the assets by the trust will accrue to the beneficiaries </w:t>
      </w:r>
    </w:p>
    <w:p w:rsidR="00B20E89" w:rsidRDefault="00B20E89" w:rsidP="00B20E89">
      <w:pPr>
        <w:pStyle w:val="whp20100506"/>
        <w:rPr>
          <w:b/>
        </w:rPr>
      </w:pPr>
      <w:r>
        <w:rPr>
          <w:b/>
        </w:rPr>
        <w:lastRenderedPageBreak/>
        <w:t>SECTION B: LITERATURE REVIEW</w:t>
      </w:r>
    </w:p>
    <w:p w:rsidR="00B20E89" w:rsidRDefault="00B20E89" w:rsidP="00B20E89">
      <w:pPr>
        <w:pStyle w:val="whp20100506"/>
        <w:rPr>
          <w:b/>
        </w:rPr>
      </w:pPr>
    </w:p>
    <w:p w:rsidR="00534C63" w:rsidRPr="007E1EBC" w:rsidRDefault="00534C63" w:rsidP="00534C63">
      <w:pPr>
        <w:pStyle w:val="whp20100506"/>
        <w:numPr>
          <w:ilvl w:val="0"/>
          <w:numId w:val="2"/>
        </w:numPr>
        <w:ind w:left="426"/>
        <w:rPr>
          <w:b/>
        </w:rPr>
      </w:pPr>
      <w:r w:rsidRPr="007E1EBC">
        <w:rPr>
          <w:b/>
        </w:rPr>
        <w:t>LITERATURE REVIEW</w:t>
      </w:r>
    </w:p>
    <w:p w:rsidR="00534C63" w:rsidRPr="007E1EBC" w:rsidRDefault="00534C63" w:rsidP="00534C63">
      <w:pPr>
        <w:pStyle w:val="whp20100506"/>
        <w:ind w:left="720"/>
        <w:rPr>
          <w:b/>
        </w:rPr>
      </w:pPr>
    </w:p>
    <w:p w:rsidR="00534C63" w:rsidRPr="007E1EBC" w:rsidRDefault="00534C63" w:rsidP="00534C63">
      <w:pPr>
        <w:pStyle w:val="whp20100506"/>
        <w:numPr>
          <w:ilvl w:val="1"/>
          <w:numId w:val="2"/>
        </w:numPr>
        <w:ind w:left="360"/>
        <w:rPr>
          <w:b/>
        </w:rPr>
      </w:pPr>
      <w:r w:rsidRPr="007E1EBC">
        <w:rPr>
          <w:b/>
        </w:rPr>
        <w:t>AN INTRODUCTION TO REAL ESTATE INVESTMENT TRUSTS (</w:t>
      </w:r>
      <w:r w:rsidR="00194F2A">
        <w:rPr>
          <w:b/>
        </w:rPr>
        <w:t>REITS</w:t>
      </w:r>
      <w:r w:rsidRPr="007E1EBC">
        <w:rPr>
          <w:b/>
        </w:rPr>
        <w:t>)</w:t>
      </w:r>
    </w:p>
    <w:p w:rsidR="00534C63" w:rsidRPr="007E1EBC" w:rsidRDefault="00534C63" w:rsidP="00534C63">
      <w:pPr>
        <w:pStyle w:val="whp20100506"/>
        <w:ind w:left="720"/>
        <w:rPr>
          <w:b/>
        </w:rPr>
      </w:pPr>
    </w:p>
    <w:p w:rsidR="00534C63" w:rsidRPr="007E1EBC" w:rsidRDefault="00534C63" w:rsidP="00534C63">
      <w:pPr>
        <w:pStyle w:val="whp20100506"/>
      </w:pPr>
      <w:r w:rsidRPr="007E1EBC">
        <w:t xml:space="preserve">It is prudent that the features and characteristics of </w:t>
      </w:r>
      <w:r w:rsidR="00194F2A">
        <w:t>REITS</w:t>
      </w:r>
      <w:r w:rsidRPr="007E1EBC">
        <w:t xml:space="preserve"> are first fully understood and appreciated as a backdrop for evaluating not only the anomalies of the current South African listed property sector, but also the  proposed recommendations of the National Treasury. </w:t>
      </w:r>
    </w:p>
    <w:p w:rsidR="00534C63" w:rsidRPr="007E1EBC" w:rsidRDefault="00534C63" w:rsidP="00534C63">
      <w:pPr>
        <w:pStyle w:val="whp20100506"/>
        <w:ind w:left="720"/>
      </w:pPr>
    </w:p>
    <w:p w:rsidR="00534C63" w:rsidRPr="007E1EBC" w:rsidRDefault="00534C63" w:rsidP="00534C63">
      <w:pPr>
        <w:pStyle w:val="whp20100506"/>
      </w:pPr>
      <w:r w:rsidRPr="007E1EBC">
        <w:t xml:space="preserve">Only once a holistic picture of the local and international property sector is painted relative to global standards and trends, can a full evaluation be assessed justifying the motivation for a </w:t>
      </w:r>
      <w:r w:rsidR="00194F2A">
        <w:t>REITS</w:t>
      </w:r>
      <w:r w:rsidRPr="007E1EBC">
        <w:t xml:space="preserve"> framework in South Africa.</w:t>
      </w:r>
    </w:p>
    <w:p w:rsidR="00534C63" w:rsidRPr="007E1EBC" w:rsidRDefault="00534C63" w:rsidP="00534C63">
      <w:pPr>
        <w:pStyle w:val="whp20100506"/>
        <w:ind w:left="720"/>
      </w:pPr>
    </w:p>
    <w:p w:rsidR="00534C63" w:rsidRPr="007E1EBC" w:rsidRDefault="00534C63" w:rsidP="00534C63">
      <w:pPr>
        <w:pStyle w:val="whp20100506"/>
      </w:pPr>
      <w:r w:rsidRPr="007E1EBC">
        <w:t xml:space="preserve">What follows below is a brief overview of the </w:t>
      </w:r>
      <w:r w:rsidR="00194F2A">
        <w:t>REITS</w:t>
      </w:r>
      <w:r w:rsidRPr="007E1EBC">
        <w:t xml:space="preserve"> industry based upon international trends and standards and includes information intended for the lay person not familiar with the </w:t>
      </w:r>
      <w:r w:rsidR="00194F2A">
        <w:t>REITS</w:t>
      </w:r>
      <w:r w:rsidRPr="007E1EBC">
        <w:t xml:space="preserve"> concept.</w:t>
      </w:r>
    </w:p>
    <w:p w:rsidR="00534C63" w:rsidRPr="007E1EBC" w:rsidRDefault="00534C63" w:rsidP="00534C63">
      <w:pPr>
        <w:pStyle w:val="whp20100506"/>
      </w:pPr>
    </w:p>
    <w:p w:rsidR="00534C63" w:rsidRPr="007E1EBC" w:rsidRDefault="00534C63" w:rsidP="00534C63">
      <w:pPr>
        <w:pStyle w:val="whp20100506"/>
        <w:numPr>
          <w:ilvl w:val="2"/>
          <w:numId w:val="2"/>
        </w:numPr>
        <w:rPr>
          <w:b/>
        </w:rPr>
      </w:pPr>
      <w:r w:rsidRPr="007E1EBC">
        <w:rPr>
          <w:b/>
        </w:rPr>
        <w:t xml:space="preserve">THE FUNDAMENTAL CHARACTERISTICS OF </w:t>
      </w:r>
      <w:r w:rsidR="00194F2A">
        <w:rPr>
          <w:b/>
        </w:rPr>
        <w:t>REITS</w:t>
      </w:r>
      <w:r w:rsidRPr="007E1EBC">
        <w:rPr>
          <w:b/>
        </w:rPr>
        <w:t xml:space="preserve"> </w:t>
      </w:r>
    </w:p>
    <w:p w:rsidR="00534C63" w:rsidRPr="007E1EBC" w:rsidRDefault="00534C63" w:rsidP="00534C63">
      <w:pPr>
        <w:pStyle w:val="whp20100506"/>
      </w:pPr>
    </w:p>
    <w:p w:rsidR="00534C63" w:rsidRPr="007E1EBC" w:rsidRDefault="00534C63" w:rsidP="00534C63">
      <w:pPr>
        <w:pStyle w:val="whp20100506"/>
      </w:pPr>
      <w:r w:rsidRPr="007E1EBC">
        <w:t xml:space="preserve">The US REIT Information Desk describes </w:t>
      </w:r>
      <w:r w:rsidR="00194F2A">
        <w:t>REITS</w:t>
      </w:r>
      <w:r w:rsidRPr="007E1EBC">
        <w:t xml:space="preserve"> as a company that must distribute at least 90% o its table income to shareholders annually and therefore is allowed to deduct dividends paid to its shareholders from its corporate taxable income</w:t>
      </w:r>
      <w:r w:rsidRPr="007E1EBC">
        <w:rPr>
          <w:rStyle w:val="FootnoteReference"/>
        </w:rPr>
        <w:footnoteReference w:id="9"/>
      </w:r>
      <w:r w:rsidRPr="007E1EBC">
        <w:t xml:space="preserve">. </w:t>
      </w:r>
    </w:p>
    <w:p w:rsidR="00534C63" w:rsidRPr="007E1EBC" w:rsidRDefault="00534C63" w:rsidP="00534C63">
      <w:pPr>
        <w:pStyle w:val="whp20100506"/>
        <w:ind w:left="720"/>
      </w:pPr>
    </w:p>
    <w:p w:rsidR="00534C63" w:rsidRPr="007E1EBC" w:rsidRDefault="00534C63" w:rsidP="00534C63">
      <w:pPr>
        <w:pStyle w:val="whp20100506"/>
      </w:pPr>
      <w:r w:rsidRPr="007E1EBC">
        <w:t xml:space="preserve">As far as the nature of the underlying investments is concerned, the annual Ernest and Young Global </w:t>
      </w:r>
      <w:r w:rsidR="00194F2A">
        <w:t>REITS</w:t>
      </w:r>
      <w:r w:rsidRPr="007E1EBC">
        <w:t xml:space="preserve"> Report describes a REIT as an entity that invests its funds primarily in real estate and qualifies for special tax status which therefore is a single taxation at the investor level (</w:t>
      </w:r>
      <w:r w:rsidR="00BC3055">
        <w:t>Ernest &amp; Young</w:t>
      </w:r>
      <w:r w:rsidRPr="007E1EBC">
        <w:rPr>
          <w:i/>
        </w:rPr>
        <w:t>, 2010: 1</w:t>
      </w:r>
      <w:r w:rsidRPr="007E1EBC">
        <w:t>).</w:t>
      </w:r>
    </w:p>
    <w:p w:rsidR="00534C63" w:rsidRPr="007E1EBC" w:rsidRDefault="00534C63" w:rsidP="00534C63">
      <w:pPr>
        <w:pStyle w:val="whp20100506"/>
        <w:ind w:left="720"/>
      </w:pPr>
    </w:p>
    <w:p w:rsidR="00534C63" w:rsidRPr="007E1EBC" w:rsidRDefault="00534C63" w:rsidP="00534C63">
      <w:pPr>
        <w:pStyle w:val="whp20100506"/>
        <w:rPr>
          <w:i/>
        </w:rPr>
      </w:pPr>
      <w:r w:rsidRPr="007E1EBC">
        <w:t xml:space="preserve">Barclays Capital describes </w:t>
      </w:r>
      <w:r w:rsidR="00194F2A">
        <w:t>REITS</w:t>
      </w:r>
      <w:r w:rsidRPr="007E1EBC">
        <w:t xml:space="preserve"> as essentially a corporate entity that owns, operates, acquires, develops, and manages real estate assets however are characteristically differentiated from other corporate forms by way of a tax election that eliminates taxes at the </w:t>
      </w:r>
      <w:r w:rsidRPr="007E1EBC">
        <w:lastRenderedPageBreak/>
        <w:t>corporate level</w:t>
      </w:r>
      <w:r w:rsidRPr="007E1EBC">
        <w:rPr>
          <w:i/>
        </w:rPr>
        <w:t xml:space="preserve"> (Barclays, 2009: 8). </w:t>
      </w:r>
      <w:r w:rsidRPr="007E1EBC">
        <w:t xml:space="preserve">It defines the fundamental nature of </w:t>
      </w:r>
      <w:r w:rsidR="00194F2A">
        <w:t>REITS</w:t>
      </w:r>
      <w:r w:rsidRPr="007E1EBC">
        <w:t xml:space="preserve"> as </w:t>
      </w:r>
      <w:r w:rsidRPr="007E1EBC">
        <w:rPr>
          <w:i/>
        </w:rPr>
        <w:t>a pass-through vehicle designed to facilitate the flow of rental income and / or mortgage interest to investors.</w:t>
      </w:r>
    </w:p>
    <w:p w:rsidR="00534C63" w:rsidRPr="007E1EBC" w:rsidRDefault="00534C63" w:rsidP="00534C63">
      <w:pPr>
        <w:pStyle w:val="whp20100506"/>
      </w:pPr>
    </w:p>
    <w:p w:rsidR="00514D3D" w:rsidRDefault="00534C63" w:rsidP="00514D3D">
      <w:pPr>
        <w:pStyle w:val="whp20100506"/>
      </w:pPr>
      <w:r w:rsidRPr="007E1EBC">
        <w:t>As a comparison to South Africa, the Johannesburg Stock Exchange (JSE) regards a listed property entity as an investment vehicle that invests exclusively either direct or indirect in a portfolio of immovable properties and as a result sources the majority of its income from rental income, the management of immovable property, development income and brokerage fees for the sale or purchase of immovable properties (</w:t>
      </w:r>
      <w:r w:rsidRPr="007E1EBC">
        <w:rPr>
          <w:i/>
        </w:rPr>
        <w:t>www.jse.co.za</w:t>
      </w:r>
      <w:r w:rsidRPr="007E1EBC">
        <w:rPr>
          <w:rStyle w:val="FootnoteReference"/>
        </w:rPr>
        <w:footnoteReference w:id="10"/>
      </w:r>
      <w:r w:rsidRPr="007E1EBC">
        <w:t xml:space="preserve">). The JSE states that there is no legislation governing </w:t>
      </w:r>
      <w:r w:rsidR="00194F2A">
        <w:t>REITS</w:t>
      </w:r>
      <w:r w:rsidRPr="007E1EBC">
        <w:t xml:space="preserve"> in South Africa at present however the stock exchange comprises of a dual listing of Property Unit Trusts (CISPs) and Property Loan Stock (PLS) companies. This is examined in detail below.</w:t>
      </w:r>
      <w:r w:rsidR="00E70003">
        <w:t xml:space="preserve"> </w:t>
      </w:r>
      <w:r w:rsidRPr="007E1EBC">
        <w:t xml:space="preserve">REIT is therefore in its simplistic form is a juristic body that owns, operates, acquires, develops, and manages real estate property however it differs from other corporate entities in that all tax obligations are removed at the corporate level and passed onto its investors, who in turn are liable for paying tax on the dividends earned from their investment. </w:t>
      </w:r>
      <w:r w:rsidR="00194F2A">
        <w:t>REITS</w:t>
      </w:r>
      <w:r w:rsidRPr="007E1EBC">
        <w:t xml:space="preserve"> are vehicles that owns investment grade, income-producing properties that include a wide range of categories such as office buildings, business parks, shopping malls, hotels, serviced apartments, all of which produce a very high yield compared to any ot</w:t>
      </w:r>
      <w:r w:rsidR="00DA5B03">
        <w:t>h</w:t>
      </w:r>
      <w:r w:rsidR="0082303A">
        <w:t>er income product (see figure 1</w:t>
      </w:r>
      <w:r w:rsidRPr="007E1EBC">
        <w:t xml:space="preserve">). </w:t>
      </w:r>
    </w:p>
    <w:p w:rsidR="00534C63" w:rsidRDefault="00534C63" w:rsidP="00514D3D">
      <w:pPr>
        <w:pStyle w:val="whp20100506"/>
      </w:pPr>
      <w:r w:rsidRPr="00A41DA8">
        <w:rPr>
          <w:noProof/>
          <w:lang w:eastAsia="en-GB"/>
        </w:rPr>
        <w:drawing>
          <wp:inline distT="0" distB="0" distL="0" distR="0">
            <wp:extent cx="5486400" cy="3000375"/>
            <wp:effectExtent l="0" t="0" r="0" b="0"/>
            <wp:docPr id="3" name="Objec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34C63" w:rsidRDefault="00534C63" w:rsidP="00534C63">
      <w:pPr>
        <w:jc w:val="center"/>
        <w:rPr>
          <w:sz w:val="18"/>
          <w:szCs w:val="18"/>
        </w:rPr>
      </w:pPr>
    </w:p>
    <w:p w:rsidR="00534C63" w:rsidRDefault="00534C63" w:rsidP="00534C63">
      <w:pPr>
        <w:jc w:val="center"/>
        <w:rPr>
          <w:sz w:val="18"/>
          <w:szCs w:val="18"/>
        </w:rPr>
      </w:pPr>
      <w:bookmarkStart w:id="2" w:name="_Toc267930708"/>
    </w:p>
    <w:bookmarkEnd w:id="2"/>
    <w:p w:rsidR="00B20E89" w:rsidRPr="00E70003" w:rsidRDefault="0082303A" w:rsidP="00E70003">
      <w:pPr>
        <w:jc w:val="center"/>
        <w:rPr>
          <w:rFonts w:asciiTheme="minorHAnsi" w:hAnsiTheme="minorHAnsi"/>
          <w:b/>
          <w:szCs w:val="20"/>
        </w:rPr>
      </w:pPr>
      <w:r>
        <w:rPr>
          <w:rFonts w:asciiTheme="minorHAnsi" w:hAnsiTheme="minorHAnsi"/>
          <w:b/>
          <w:szCs w:val="20"/>
        </w:rPr>
        <w:t>Figure 1</w:t>
      </w:r>
      <w:r w:rsidR="00534C63" w:rsidRPr="00087CC5">
        <w:rPr>
          <w:rFonts w:asciiTheme="minorHAnsi" w:hAnsiTheme="minorHAnsi"/>
          <w:b/>
          <w:szCs w:val="20"/>
        </w:rPr>
        <w:t xml:space="preserve"> REIT Property Types - Feb 2009 (source: NAREIT)</w:t>
      </w:r>
    </w:p>
    <w:p w:rsidR="00534C63" w:rsidRPr="008A0EE7" w:rsidRDefault="00534C63" w:rsidP="00534C63">
      <w:pPr>
        <w:pStyle w:val="whp20100506"/>
        <w:numPr>
          <w:ilvl w:val="2"/>
          <w:numId w:val="2"/>
        </w:numPr>
        <w:ind w:left="360" w:hanging="360"/>
        <w:rPr>
          <w:b/>
        </w:rPr>
      </w:pPr>
      <w:r w:rsidRPr="008A0EE7">
        <w:rPr>
          <w:b/>
        </w:rPr>
        <w:lastRenderedPageBreak/>
        <w:t xml:space="preserve">THE GLOBAL BUSINESS OF </w:t>
      </w:r>
      <w:r w:rsidR="00194F2A">
        <w:rPr>
          <w:b/>
        </w:rPr>
        <w:t>REITS</w:t>
      </w:r>
    </w:p>
    <w:p w:rsidR="00534C63" w:rsidRDefault="00534C63" w:rsidP="00534C63">
      <w:pPr>
        <w:pStyle w:val="whp20100506"/>
        <w:ind w:left="720"/>
      </w:pPr>
    </w:p>
    <w:p w:rsidR="00534C63" w:rsidRDefault="00534C63" w:rsidP="00534C63">
      <w:pPr>
        <w:pStyle w:val="whp20100506"/>
      </w:pPr>
      <w:r>
        <w:t xml:space="preserve">The business of REIT has a global reach with an estimated market capitalisation of $568 billion dollars spread over approximately 427 REIT international funds (Ernest </w:t>
      </w:r>
      <w:r w:rsidR="0082303A">
        <w:t>&amp; Young, 2010: 21). See figure 2</w:t>
      </w:r>
      <w:r w:rsidRPr="00DA2DA8">
        <w:t xml:space="preserve"> </w:t>
      </w:r>
      <w:r>
        <w:t>for a breakdown of the number of international REIT funds.</w:t>
      </w:r>
    </w:p>
    <w:p w:rsidR="00534C63" w:rsidRDefault="00534C63" w:rsidP="00534C63">
      <w:pPr>
        <w:pStyle w:val="whp20100506"/>
        <w:keepNext/>
        <w:ind w:left="720"/>
        <w:jc w:val="center"/>
      </w:pPr>
      <w:r>
        <w:rPr>
          <w:noProof/>
          <w:lang w:eastAsia="en-GB"/>
        </w:rPr>
        <w:drawing>
          <wp:inline distT="0" distB="0" distL="0" distR="0">
            <wp:extent cx="6159500" cy="3111500"/>
            <wp:effectExtent l="0" t="0" r="0" b="0"/>
            <wp:docPr id="4" name="Objec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34C63" w:rsidRPr="00087CC5" w:rsidRDefault="00534C63" w:rsidP="00534C63">
      <w:pPr>
        <w:pStyle w:val="Caption"/>
        <w:jc w:val="center"/>
      </w:pPr>
      <w:bookmarkStart w:id="3" w:name="_Toc267930709"/>
      <w:r w:rsidRPr="00087CC5">
        <w:t xml:space="preserve">Figure </w:t>
      </w:r>
      <w:r w:rsidR="0082303A">
        <w:t>2</w:t>
      </w:r>
      <w:r w:rsidRPr="00087CC5">
        <w:t xml:space="preserve"> Number of </w:t>
      </w:r>
      <w:r w:rsidR="00194F2A">
        <w:t>REITS</w:t>
      </w:r>
      <w:r w:rsidRPr="00087CC5">
        <w:t xml:space="preserve"> by Country: December 2009 (Source: Ernest &amp; Young)</w:t>
      </w:r>
      <w:bookmarkEnd w:id="3"/>
    </w:p>
    <w:p w:rsidR="00087CC5" w:rsidRDefault="00087CC5" w:rsidP="00534C63">
      <w:pPr>
        <w:pStyle w:val="whp20100506"/>
      </w:pPr>
    </w:p>
    <w:p w:rsidR="00534C63" w:rsidRDefault="00534C63" w:rsidP="00534C63">
      <w:pPr>
        <w:pStyle w:val="whp20100506"/>
      </w:pPr>
      <w:r>
        <w:t xml:space="preserve">In terms of the geographical spread of </w:t>
      </w:r>
      <w:r w:rsidR="00194F2A">
        <w:t>REITS</w:t>
      </w:r>
      <w:r>
        <w:t xml:space="preserve">, the USA as the founding country of </w:t>
      </w:r>
      <w:r w:rsidR="00194F2A">
        <w:t>REITS</w:t>
      </w:r>
      <w:r>
        <w:t xml:space="preserve"> is the largest and most dominant country, with an estimated 142 REIT funds of a market capitalisation of $271 billion (Ernest </w:t>
      </w:r>
      <w:r w:rsidR="003C1984">
        <w:t>&amp; Young, 2010: 11). See figure 4</w:t>
      </w:r>
      <w:r>
        <w:t xml:space="preserve"> for a breakdown of international REIT market capitalisation.</w:t>
      </w:r>
    </w:p>
    <w:p w:rsidR="00534C63" w:rsidRDefault="00534C63" w:rsidP="00534C63">
      <w:pPr>
        <w:pStyle w:val="whp20100506"/>
        <w:ind w:left="720"/>
      </w:pPr>
    </w:p>
    <w:p w:rsidR="00534C63" w:rsidRPr="006D770B" w:rsidRDefault="00534C63" w:rsidP="00534C63">
      <w:pPr>
        <w:pStyle w:val="whp20100506"/>
      </w:pPr>
      <w:r>
        <w:t xml:space="preserve">Moody’s Investor Services highlights </w:t>
      </w:r>
      <w:r w:rsidRPr="00C84E3B">
        <w:t xml:space="preserve">how </w:t>
      </w:r>
      <w:r w:rsidR="00194F2A">
        <w:t>REITS</w:t>
      </w:r>
      <w:r w:rsidRPr="00C84E3B">
        <w:t xml:space="preserve"> have become increasingly prominent participants in the commercial property business around the world, mostly as a result of the benefits that </w:t>
      </w:r>
      <w:r w:rsidR="00194F2A">
        <w:t>REITS</w:t>
      </w:r>
      <w:r w:rsidRPr="00C84E3B">
        <w:t xml:space="preserve"> have in relation to other more conventional investments (</w:t>
      </w:r>
      <w:hyperlink r:id="rId10" w:history="1">
        <w:r w:rsidRPr="00C84E3B">
          <w:t>www.nareit.com</w:t>
        </w:r>
      </w:hyperlink>
      <w:r w:rsidRPr="00C84E3B">
        <w:t xml:space="preserve">, 2004:1). </w:t>
      </w:r>
      <w:r>
        <w:t xml:space="preserve">Traditionally </w:t>
      </w:r>
      <w:r w:rsidR="00194F2A">
        <w:t>REITS</w:t>
      </w:r>
      <w:r>
        <w:t xml:space="preserve"> were passive investment vehicles that were mostly managed by external companies; however elimination of legislative restrictions after 1991 allowed for active management of </w:t>
      </w:r>
      <w:r w:rsidR="00194F2A">
        <w:t>REITS</w:t>
      </w:r>
      <w:r>
        <w:t xml:space="preserve"> and thus the explosion of the REIT industry into a global phenomenon (Hughes, 2007: 1). </w:t>
      </w:r>
      <w:r w:rsidRPr="00C84E3B">
        <w:t>The benefi</w:t>
      </w:r>
      <w:r>
        <w:t xml:space="preserve">ts of </w:t>
      </w:r>
      <w:r w:rsidR="00194F2A">
        <w:t>REITS</w:t>
      </w:r>
      <w:r>
        <w:t xml:space="preserve"> are discussed below.</w:t>
      </w:r>
    </w:p>
    <w:p w:rsidR="00534C63" w:rsidRDefault="00534C63" w:rsidP="00534C63">
      <w:pPr>
        <w:pStyle w:val="whp20100506"/>
        <w:ind w:left="720"/>
      </w:pPr>
    </w:p>
    <w:p w:rsidR="00534C63" w:rsidRDefault="00534C63" w:rsidP="006818CB">
      <w:pPr>
        <w:pStyle w:val="whp20100506"/>
      </w:pPr>
      <w:r w:rsidRPr="009F1E31">
        <w:t xml:space="preserve">Generally, the </w:t>
      </w:r>
      <w:r w:rsidR="00194F2A">
        <w:t>REITS</w:t>
      </w:r>
      <w:r w:rsidRPr="009F1E31">
        <w:t xml:space="preserve"> industry has seen phenomenal growth performance over the past 15 </w:t>
      </w:r>
      <w:r w:rsidRPr="009F1E31">
        <w:lastRenderedPageBreak/>
        <w:t>years</w:t>
      </w:r>
      <w:r>
        <w:t xml:space="preserve"> </w:t>
      </w:r>
      <w:r w:rsidRPr="009F1E31">
        <w:t>has outperformed major indices</w:t>
      </w:r>
      <w:r>
        <w:t>. W</w:t>
      </w:r>
      <w:r w:rsidRPr="009F1E31">
        <w:t>ith an avera</w:t>
      </w:r>
      <w:r>
        <w:t xml:space="preserve">ge annual total return of 8.2%, </w:t>
      </w:r>
      <w:r w:rsidRPr="009F1E31">
        <w:t xml:space="preserve">as of </w:t>
      </w:r>
      <w:r>
        <w:t xml:space="preserve">31 December 2008, </w:t>
      </w:r>
      <w:r w:rsidR="00194F2A">
        <w:t>REITS</w:t>
      </w:r>
      <w:r>
        <w:t xml:space="preserve"> have outperformed</w:t>
      </w:r>
      <w:r w:rsidRPr="009F1E31">
        <w:t xml:space="preserve"> the S&amp;P 500 (6.5%), Nasdaq (4.8%), and the Dow (8.1%)</w:t>
      </w:r>
      <w:r>
        <w:t>,</w:t>
      </w:r>
      <w:r w:rsidRPr="009F1E31">
        <w:t xml:space="preserve"> which has</w:t>
      </w:r>
      <w:r>
        <w:t xml:space="preserve"> naturally resulted in the inclusion of </w:t>
      </w:r>
      <w:r w:rsidR="00194F2A">
        <w:t>REITS</w:t>
      </w:r>
      <w:r>
        <w:t xml:space="preserve"> on various indices as a total return investment to bolster the yield of various investment portfolio’s</w:t>
      </w:r>
      <w:r>
        <w:rPr>
          <w:i/>
        </w:rPr>
        <w:t xml:space="preserve"> </w:t>
      </w:r>
      <w:r w:rsidR="006818CB">
        <w:t>(Barclays, 2009</w:t>
      </w:r>
      <w:r>
        <w:t xml:space="preserve">). </w:t>
      </w:r>
      <w:r>
        <w:rPr>
          <w:noProof/>
          <w:lang w:eastAsia="en-GB"/>
        </w:rPr>
        <w:drawing>
          <wp:inline distT="0" distB="0" distL="0" distR="0">
            <wp:extent cx="5495925" cy="3848100"/>
            <wp:effectExtent l="0" t="0" r="0" b="0"/>
            <wp:docPr id="5" name="Object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34C63" w:rsidRPr="00087CC5" w:rsidRDefault="00534C63" w:rsidP="00534C63">
      <w:pPr>
        <w:pStyle w:val="Caption"/>
        <w:jc w:val="center"/>
      </w:pPr>
      <w:bookmarkStart w:id="4" w:name="_Toc267930710"/>
      <w:r w:rsidRPr="00087CC5">
        <w:t xml:space="preserve">Figure </w:t>
      </w:r>
      <w:r w:rsidR="0082303A">
        <w:t>3</w:t>
      </w:r>
      <w:r w:rsidRPr="00087CC5">
        <w:t xml:space="preserve"> Market Capitalisation by Country: December 2009 (Source: Ernest &amp; Young)</w:t>
      </w:r>
      <w:bookmarkEnd w:id="4"/>
    </w:p>
    <w:p w:rsidR="00534C63" w:rsidRDefault="00534C63" w:rsidP="00534C63">
      <w:pPr>
        <w:pStyle w:val="whp20100506"/>
      </w:pPr>
      <w:r>
        <w:t xml:space="preserve">The economic slump that has prevailed over the past 3 years has seen a significant loss of value in the global capitalisation values of </w:t>
      </w:r>
      <w:r w:rsidR="00194F2A">
        <w:t>REITS</w:t>
      </w:r>
      <w:r>
        <w:t xml:space="preserve"> from the record highs achieved in 2007. Ernest &amp; Young estimates that the market capitalisation for </w:t>
      </w:r>
      <w:r w:rsidR="00194F2A">
        <w:t>REITS</w:t>
      </w:r>
      <w:r>
        <w:t xml:space="preserve"> as at 31 December 2009 stood at $568 billion down from the record high of $829 billion in 2007 (Ernest &amp; Young, 2010: 11). </w:t>
      </w:r>
    </w:p>
    <w:p w:rsidR="00534C63" w:rsidRDefault="00534C63" w:rsidP="00534C63">
      <w:pPr>
        <w:pStyle w:val="whp20100506"/>
        <w:keepNext/>
      </w:pPr>
      <w:r>
        <w:rPr>
          <w:noProof/>
          <w:lang w:eastAsia="en-GB"/>
        </w:rPr>
        <w:drawing>
          <wp:inline distT="0" distB="0" distL="0" distR="0">
            <wp:extent cx="5648325" cy="1828800"/>
            <wp:effectExtent l="0" t="0" r="0" b="0"/>
            <wp:docPr id="1" name="Objec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34C63" w:rsidRPr="00FD5373" w:rsidRDefault="00534C63" w:rsidP="00534C63">
      <w:pPr>
        <w:pStyle w:val="Caption"/>
        <w:jc w:val="center"/>
      </w:pPr>
      <w:bookmarkStart w:id="5" w:name="_Toc267930711"/>
      <w:r w:rsidRPr="00FD5373">
        <w:rPr>
          <w:b w:val="0"/>
        </w:rPr>
        <w:t xml:space="preserve">Figure </w:t>
      </w:r>
      <w:r w:rsidR="0082303A">
        <w:rPr>
          <w:b w:val="0"/>
        </w:rPr>
        <w:t>4</w:t>
      </w:r>
      <w:r w:rsidRPr="00FD5373">
        <w:rPr>
          <w:b w:val="0"/>
        </w:rPr>
        <w:t xml:space="preserve"> Global REIT Capitalisation, December 2009 (source: Ernest &amp; Young)</w:t>
      </w:r>
      <w:bookmarkEnd w:id="5"/>
    </w:p>
    <w:p w:rsidR="00534C63" w:rsidRPr="00374E74" w:rsidRDefault="00534C63" w:rsidP="00534C63">
      <w:pPr>
        <w:pStyle w:val="whp20100506"/>
        <w:jc w:val="center"/>
        <w:rPr>
          <w:sz w:val="18"/>
          <w:szCs w:val="18"/>
        </w:rPr>
      </w:pPr>
      <w:r>
        <w:lastRenderedPageBreak/>
        <w:t xml:space="preserve"> </w:t>
      </w:r>
    </w:p>
    <w:p w:rsidR="00534C63" w:rsidRDefault="00534C63" w:rsidP="00534C63">
      <w:pPr>
        <w:pStyle w:val="whp20100506"/>
      </w:pPr>
      <w:r>
        <w:t xml:space="preserve">This remarkable loss of value alludes to the fundamental exposure of </w:t>
      </w:r>
      <w:r w:rsidR="00194F2A">
        <w:t>REITS</w:t>
      </w:r>
      <w:r>
        <w:t xml:space="preserve"> to market volatility and the inherent risks for investors, the lessons learnt of which should be a critical component of the National Treasury’s endeavours in creating a flexible legal framework in South Africa. </w:t>
      </w:r>
    </w:p>
    <w:p w:rsidR="00534C63" w:rsidRPr="00511784" w:rsidRDefault="00534C63" w:rsidP="00534C63">
      <w:pPr>
        <w:pStyle w:val="whp20100506"/>
        <w:ind w:left="720"/>
      </w:pPr>
    </w:p>
    <w:p w:rsidR="00534C63" w:rsidRPr="00B70018" w:rsidRDefault="00534C63" w:rsidP="00534C63">
      <w:pPr>
        <w:pStyle w:val="whp20100506"/>
        <w:numPr>
          <w:ilvl w:val="2"/>
          <w:numId w:val="2"/>
        </w:numPr>
        <w:ind w:left="450" w:hanging="450"/>
        <w:rPr>
          <w:b/>
        </w:rPr>
      </w:pPr>
      <w:r w:rsidRPr="00B70018">
        <w:rPr>
          <w:b/>
        </w:rPr>
        <w:t xml:space="preserve">THE BENEFITS OF </w:t>
      </w:r>
      <w:r w:rsidR="00194F2A">
        <w:rPr>
          <w:b/>
        </w:rPr>
        <w:t>REITS</w:t>
      </w:r>
    </w:p>
    <w:p w:rsidR="00534C63" w:rsidRPr="00511784" w:rsidRDefault="00534C63" w:rsidP="00534C63">
      <w:pPr>
        <w:pStyle w:val="whp20100506"/>
        <w:ind w:left="720"/>
      </w:pPr>
    </w:p>
    <w:p w:rsidR="00534C63" w:rsidRDefault="00534C63" w:rsidP="00534C63">
      <w:pPr>
        <w:pStyle w:val="whp20100506"/>
      </w:pPr>
      <w:r>
        <w:t xml:space="preserve">The growth of </w:t>
      </w:r>
      <w:r w:rsidR="00194F2A">
        <w:t>REITS</w:t>
      </w:r>
      <w:r>
        <w:t xml:space="preserve"> globally is sufficient proof of the favour that this investment vehicle has found with both investor and fund managers. Consequently the question that needs to be answered is what benefits </w:t>
      </w:r>
      <w:r w:rsidR="00194F2A">
        <w:t>REITS</w:t>
      </w:r>
      <w:r>
        <w:t xml:space="preserve"> hold not only as an investment vehicle but also as a specific property investment focused on a particular asset class. The point of view therefore is not only on the functionality of the REIT vehicle but moreover the benefits gained from a passive investment in property as an alternative to direct investment. </w:t>
      </w:r>
    </w:p>
    <w:p w:rsidR="00534C63" w:rsidRDefault="00534C63" w:rsidP="00534C63">
      <w:pPr>
        <w:pStyle w:val="whp20100506"/>
        <w:ind w:left="720"/>
      </w:pPr>
    </w:p>
    <w:p w:rsidR="00534C63" w:rsidRPr="00511784" w:rsidRDefault="00534C63" w:rsidP="00534C63">
      <w:pPr>
        <w:pStyle w:val="whp20100506"/>
      </w:pPr>
      <w:r>
        <w:t xml:space="preserve">The benefits of </w:t>
      </w:r>
      <w:r w:rsidR="00194F2A">
        <w:t>REITS</w:t>
      </w:r>
      <w:r>
        <w:t xml:space="preserve"> as an indirect investment in property </w:t>
      </w:r>
      <w:r w:rsidRPr="00511784">
        <w:t xml:space="preserve">can be summarised as being </w:t>
      </w:r>
      <w:r w:rsidRPr="00511784">
        <w:rPr>
          <w:noProof/>
        </w:rPr>
        <w:t>(Ball, Lizieri, &amp; MacGregor, 1998)</w:t>
      </w:r>
      <w:r w:rsidRPr="00511784">
        <w:t>:</w:t>
      </w:r>
    </w:p>
    <w:p w:rsidR="00534C63" w:rsidRPr="00511784" w:rsidRDefault="00534C63" w:rsidP="00534C63">
      <w:pPr>
        <w:pStyle w:val="whp20100506"/>
        <w:ind w:left="720"/>
      </w:pPr>
    </w:p>
    <w:p w:rsidR="00534C63" w:rsidRPr="00B70018" w:rsidRDefault="00534C63" w:rsidP="00534C63">
      <w:pPr>
        <w:pStyle w:val="whp20100506"/>
        <w:numPr>
          <w:ilvl w:val="0"/>
          <w:numId w:val="13"/>
        </w:numPr>
        <w:tabs>
          <w:tab w:val="left" w:pos="360"/>
        </w:tabs>
        <w:ind w:left="360"/>
        <w:rPr>
          <w:i/>
        </w:rPr>
      </w:pPr>
      <w:r w:rsidRPr="00B70018">
        <w:rPr>
          <w:i/>
        </w:rPr>
        <w:t>Size and Heterogeneity of Product</w:t>
      </w:r>
    </w:p>
    <w:p w:rsidR="00534C63" w:rsidRDefault="00534C63" w:rsidP="00534C63">
      <w:pPr>
        <w:pStyle w:val="whp20100506"/>
        <w:tabs>
          <w:tab w:val="left" w:pos="360"/>
        </w:tabs>
        <w:ind w:left="360" w:hanging="360"/>
      </w:pPr>
      <w:r>
        <w:tab/>
        <w:t>When an investor owns a single property, i</w:t>
      </w:r>
      <w:r w:rsidRPr="00511784">
        <w:t xml:space="preserve">t is difficult for the individual investor to diversify his property portfolio in a manner that a large investment REIT fund could via pooled capital funds. </w:t>
      </w:r>
    </w:p>
    <w:p w:rsidR="00534C63" w:rsidRDefault="00534C63" w:rsidP="00534C63">
      <w:pPr>
        <w:pStyle w:val="whp20100506"/>
        <w:tabs>
          <w:tab w:val="left" w:pos="360"/>
        </w:tabs>
        <w:ind w:left="360" w:hanging="360"/>
      </w:pPr>
    </w:p>
    <w:p w:rsidR="00534C63" w:rsidRDefault="00534C63" w:rsidP="00534C63">
      <w:pPr>
        <w:pStyle w:val="whp20100506"/>
        <w:tabs>
          <w:tab w:val="left" w:pos="360"/>
        </w:tabs>
        <w:ind w:left="360" w:hanging="360"/>
      </w:pPr>
      <w:r>
        <w:tab/>
        <w:t xml:space="preserve">Investing in a single </w:t>
      </w:r>
      <w:r w:rsidRPr="00511784">
        <w:t>real estate property only has exposure to that specific category of property class and its associated risk, which is</w:t>
      </w:r>
      <w:r>
        <w:t xml:space="preserve"> further</w:t>
      </w:r>
      <w:r w:rsidRPr="00511784">
        <w:t xml:space="preserve"> compounded by the heterogeneity nature of that particular property. This risk is mitigated by the diversity in property classes accessed in REIT along with access to prime real estate that would ordinarily be unaffordable to the direct i</w:t>
      </w:r>
      <w:r>
        <w:t>nvestor;</w:t>
      </w:r>
    </w:p>
    <w:p w:rsidR="00534C63" w:rsidRDefault="00534C63" w:rsidP="00534C63">
      <w:pPr>
        <w:pStyle w:val="whp20100506"/>
        <w:tabs>
          <w:tab w:val="left" w:pos="360"/>
        </w:tabs>
        <w:ind w:left="360" w:hanging="360"/>
        <w:rPr>
          <w:i/>
        </w:rPr>
      </w:pPr>
    </w:p>
    <w:p w:rsidR="00534C63" w:rsidRPr="00B70018" w:rsidRDefault="00534C63" w:rsidP="00534C63">
      <w:pPr>
        <w:pStyle w:val="whp20100506"/>
        <w:numPr>
          <w:ilvl w:val="0"/>
          <w:numId w:val="13"/>
        </w:numPr>
        <w:tabs>
          <w:tab w:val="left" w:pos="360"/>
        </w:tabs>
        <w:ind w:left="360"/>
        <w:rPr>
          <w:i/>
        </w:rPr>
      </w:pPr>
      <w:r w:rsidRPr="00B70018">
        <w:rPr>
          <w:i/>
        </w:rPr>
        <w:t>Trading Market</w:t>
      </w:r>
    </w:p>
    <w:p w:rsidR="00534C63" w:rsidRDefault="00534C63" w:rsidP="00534C63">
      <w:pPr>
        <w:pStyle w:val="whp20100506"/>
        <w:tabs>
          <w:tab w:val="left" w:pos="360"/>
        </w:tabs>
        <w:ind w:left="360" w:hanging="360"/>
      </w:pPr>
      <w:r>
        <w:tab/>
        <w:t>T</w:t>
      </w:r>
      <w:r w:rsidRPr="00511784">
        <w:t>he market in which the direct investor participates is characterised by small trading volumes, heterogeneity of the product, a lack of transparent public market, along with unknown variables impacting upon the true valuation of the property which forces the investor to rely upon (creating additional costs) 3</w:t>
      </w:r>
      <w:r w:rsidRPr="00511784">
        <w:rPr>
          <w:vertAlign w:val="superscript"/>
        </w:rPr>
        <w:t>rd</w:t>
      </w:r>
      <w:r w:rsidRPr="00511784">
        <w:t xml:space="preserve"> parties and other external agents for </w:t>
      </w:r>
      <w:r w:rsidRPr="00511784">
        <w:lastRenderedPageBreak/>
        <w:t xml:space="preserve">assistance. </w:t>
      </w:r>
    </w:p>
    <w:p w:rsidR="00534C63" w:rsidRDefault="00534C63" w:rsidP="00534C63">
      <w:pPr>
        <w:pStyle w:val="whp20100506"/>
        <w:tabs>
          <w:tab w:val="left" w:pos="360"/>
        </w:tabs>
        <w:ind w:left="360" w:hanging="360"/>
      </w:pPr>
    </w:p>
    <w:p w:rsidR="00534C63" w:rsidRDefault="00534C63" w:rsidP="00534C63">
      <w:pPr>
        <w:pStyle w:val="whp20100506"/>
        <w:tabs>
          <w:tab w:val="left" w:pos="360"/>
        </w:tabs>
        <w:ind w:left="360" w:hanging="360"/>
      </w:pPr>
      <w:r>
        <w:tab/>
        <w:t xml:space="preserve">By contrast, </w:t>
      </w:r>
      <w:r w:rsidRPr="00511784">
        <w:t>REIT offer the indirect investor access to professionally compiled investment analysis, informed decision making, regulated and controlled financial reporting and affordable access of a di</w:t>
      </w:r>
      <w:r>
        <w:t>verse range of property classes.</w:t>
      </w:r>
    </w:p>
    <w:p w:rsidR="00534C63" w:rsidRPr="00511784" w:rsidRDefault="00534C63" w:rsidP="00534C63">
      <w:pPr>
        <w:pStyle w:val="whp20100506"/>
        <w:tabs>
          <w:tab w:val="left" w:pos="360"/>
        </w:tabs>
        <w:ind w:left="360" w:hanging="360"/>
      </w:pPr>
    </w:p>
    <w:p w:rsidR="00534C63" w:rsidRPr="0024785B" w:rsidRDefault="00534C63" w:rsidP="00534C63">
      <w:pPr>
        <w:pStyle w:val="whp20100506"/>
        <w:numPr>
          <w:ilvl w:val="0"/>
          <w:numId w:val="13"/>
        </w:numPr>
        <w:tabs>
          <w:tab w:val="left" w:pos="360"/>
        </w:tabs>
        <w:ind w:left="360"/>
        <w:rPr>
          <w:i/>
        </w:rPr>
      </w:pPr>
      <w:r w:rsidRPr="0024785B">
        <w:rPr>
          <w:i/>
        </w:rPr>
        <w:t>Costs and Expenditure</w:t>
      </w:r>
    </w:p>
    <w:p w:rsidR="00534C63" w:rsidRDefault="00534C63" w:rsidP="00534C63">
      <w:pPr>
        <w:pStyle w:val="whp20100506"/>
        <w:tabs>
          <w:tab w:val="left" w:pos="360"/>
        </w:tabs>
        <w:ind w:left="360" w:hanging="360"/>
      </w:pPr>
      <w:r>
        <w:tab/>
        <w:t>O</w:t>
      </w:r>
      <w:r w:rsidRPr="00511784">
        <w:t xml:space="preserve">perating in the direct market the investor will incur higher transaction costs than a large fund might in relation to the same transactions which then impact negatively upon the returns and profit margins of </w:t>
      </w:r>
      <w:r>
        <w:t>that specific transaction trade.</w:t>
      </w:r>
    </w:p>
    <w:p w:rsidR="00534C63" w:rsidRDefault="00534C63" w:rsidP="00534C63">
      <w:pPr>
        <w:pStyle w:val="whp20100506"/>
        <w:tabs>
          <w:tab w:val="left" w:pos="360"/>
        </w:tabs>
        <w:ind w:left="360" w:hanging="360"/>
      </w:pPr>
    </w:p>
    <w:p w:rsidR="00534C63" w:rsidRPr="0024785B" w:rsidRDefault="00534C63" w:rsidP="00534C63">
      <w:pPr>
        <w:pStyle w:val="whp20100506"/>
        <w:numPr>
          <w:ilvl w:val="0"/>
          <w:numId w:val="13"/>
        </w:numPr>
        <w:tabs>
          <w:tab w:val="left" w:pos="360"/>
        </w:tabs>
        <w:ind w:left="360"/>
        <w:rPr>
          <w:i/>
        </w:rPr>
      </w:pPr>
      <w:r w:rsidRPr="0024785B">
        <w:rPr>
          <w:i/>
        </w:rPr>
        <w:t>Static Market</w:t>
      </w:r>
    </w:p>
    <w:p w:rsidR="00534C63" w:rsidRDefault="00534C63" w:rsidP="00534C63">
      <w:pPr>
        <w:pStyle w:val="whp20100506"/>
        <w:tabs>
          <w:tab w:val="left" w:pos="360"/>
        </w:tabs>
        <w:ind w:left="360" w:hanging="360"/>
      </w:pPr>
      <w:r>
        <w:tab/>
        <w:t>T</w:t>
      </w:r>
      <w:r w:rsidRPr="00511784">
        <w:t>he illiquid market frustrates the turnaround time and opportunity to exit property investments which impacts upon cash flow and other related management strategies for the direct investor. Conversely REIT offer quick access to and exit from various investments via the share trading platf</w:t>
      </w:r>
      <w:r>
        <w:t>orm of a listed stock exchange.</w:t>
      </w:r>
    </w:p>
    <w:p w:rsidR="00534C63" w:rsidRPr="00511784" w:rsidRDefault="00534C63" w:rsidP="00534C63">
      <w:pPr>
        <w:pStyle w:val="whp20100506"/>
        <w:tabs>
          <w:tab w:val="left" w:pos="360"/>
        </w:tabs>
        <w:ind w:left="360" w:hanging="360"/>
      </w:pPr>
    </w:p>
    <w:p w:rsidR="00534C63" w:rsidRPr="0024785B" w:rsidRDefault="00534C63" w:rsidP="00534C63">
      <w:pPr>
        <w:pStyle w:val="whp20100506"/>
        <w:numPr>
          <w:ilvl w:val="0"/>
          <w:numId w:val="13"/>
        </w:numPr>
        <w:tabs>
          <w:tab w:val="left" w:pos="360"/>
        </w:tabs>
        <w:ind w:left="360"/>
        <w:rPr>
          <w:i/>
        </w:rPr>
      </w:pPr>
      <w:r w:rsidRPr="0024785B">
        <w:rPr>
          <w:i/>
        </w:rPr>
        <w:t>Management</w:t>
      </w:r>
    </w:p>
    <w:p w:rsidR="00534C63" w:rsidRDefault="00534C63" w:rsidP="00534C63">
      <w:pPr>
        <w:pStyle w:val="whp20100506"/>
        <w:tabs>
          <w:tab w:val="left" w:pos="360"/>
        </w:tabs>
        <w:ind w:left="360" w:hanging="360"/>
      </w:pPr>
      <w:r>
        <w:tab/>
        <w:t>M</w:t>
      </w:r>
      <w:r w:rsidRPr="00511784">
        <w:t xml:space="preserve">ost direct property investors are forced to oversee the running and management of his portfolio personally which impedes upon cash flow, resources and time. </w:t>
      </w:r>
      <w:r w:rsidR="00194F2A">
        <w:t>REITS</w:t>
      </w:r>
      <w:r w:rsidRPr="00511784">
        <w:t xml:space="preserve"> are run by professionally qualified asset managers who are experienced and well trained in the daily operat</w:t>
      </w:r>
      <w:r>
        <w:t xml:space="preserve">ion of the property investments. Investors are exposed to the objectives and goals of the REIT fund manager, which </w:t>
      </w:r>
      <w:r w:rsidRPr="001C6D4A">
        <w:t xml:space="preserve">often includes high levels of sophisticated investing strategies across many property sectors through the use of various complex funding mechanisms. </w:t>
      </w:r>
    </w:p>
    <w:p w:rsidR="00534C63" w:rsidRDefault="00534C63" w:rsidP="00534C63">
      <w:pPr>
        <w:pStyle w:val="whp20100506"/>
      </w:pPr>
    </w:p>
    <w:p w:rsidR="00534C63" w:rsidRPr="001C6D4A" w:rsidRDefault="00534C63" w:rsidP="00534C63">
      <w:pPr>
        <w:pStyle w:val="whp20100506"/>
      </w:pPr>
      <w:r>
        <w:t>Scherrer (2004</w:t>
      </w:r>
      <w:r w:rsidRPr="001C6D4A">
        <w:t>)</w:t>
      </w:r>
      <w:r>
        <w:t xml:space="preserve"> found that </w:t>
      </w:r>
      <w:r w:rsidR="00194F2A">
        <w:t>REITS</w:t>
      </w:r>
      <w:r w:rsidRPr="001C6D4A">
        <w:t xml:space="preserve"> offer investors and lenders </w:t>
      </w:r>
      <w:r>
        <w:t>the following advantages:</w:t>
      </w:r>
    </w:p>
    <w:p w:rsidR="00534C63" w:rsidRPr="001C6D4A" w:rsidRDefault="00534C63" w:rsidP="00534C63">
      <w:pPr>
        <w:pStyle w:val="whp20100506"/>
      </w:pPr>
    </w:p>
    <w:p w:rsidR="00534C63" w:rsidRDefault="00534C63" w:rsidP="00534C63">
      <w:pPr>
        <w:pStyle w:val="whp20100506"/>
        <w:numPr>
          <w:ilvl w:val="0"/>
          <w:numId w:val="16"/>
        </w:numPr>
        <w:ind w:left="360"/>
      </w:pPr>
      <w:r w:rsidRPr="001C6D4A">
        <w:t xml:space="preserve">All publically traded </w:t>
      </w:r>
      <w:r w:rsidR="00194F2A">
        <w:t>REITS</w:t>
      </w:r>
      <w:r w:rsidRPr="001C6D4A">
        <w:t xml:space="preserve"> have audited financial statements that are accessible to investors and lenders</w:t>
      </w:r>
      <w:r>
        <w:t>;</w:t>
      </w:r>
    </w:p>
    <w:p w:rsidR="00534C63" w:rsidRPr="001C6D4A" w:rsidRDefault="00534C63" w:rsidP="00534C63">
      <w:pPr>
        <w:pStyle w:val="whp20100506"/>
        <w:ind w:left="360"/>
      </w:pPr>
    </w:p>
    <w:p w:rsidR="00534C63" w:rsidRPr="001C6D4A" w:rsidRDefault="00534C63" w:rsidP="00534C63">
      <w:pPr>
        <w:pStyle w:val="whp20100506"/>
        <w:numPr>
          <w:ilvl w:val="0"/>
          <w:numId w:val="16"/>
        </w:numPr>
        <w:ind w:left="360"/>
      </w:pPr>
      <w:r w:rsidRPr="001C6D4A">
        <w:t>All the public information must comply to strict stock exchange and securities exchange reporting requirements and shareholder rights regulations</w:t>
      </w:r>
      <w:r>
        <w:t>;</w:t>
      </w:r>
    </w:p>
    <w:p w:rsidR="00534C63" w:rsidRDefault="00534C63" w:rsidP="00534C63">
      <w:pPr>
        <w:pStyle w:val="whp20100506"/>
        <w:ind w:left="360"/>
      </w:pPr>
    </w:p>
    <w:p w:rsidR="00534C63" w:rsidRPr="001C6D4A" w:rsidRDefault="00534C63" w:rsidP="00534C63">
      <w:pPr>
        <w:pStyle w:val="whp20100506"/>
        <w:numPr>
          <w:ilvl w:val="0"/>
          <w:numId w:val="16"/>
        </w:numPr>
        <w:ind w:left="360"/>
      </w:pPr>
      <w:r w:rsidRPr="001C6D4A">
        <w:t xml:space="preserve">All information that is released by </w:t>
      </w:r>
      <w:r w:rsidR="00194F2A">
        <w:t>REITS</w:t>
      </w:r>
      <w:r w:rsidRPr="001C6D4A">
        <w:t xml:space="preserve"> are scrutinised by credit ratings agencies</w:t>
      </w:r>
      <w:r>
        <w:t>;</w:t>
      </w:r>
    </w:p>
    <w:p w:rsidR="00534C63" w:rsidRDefault="00534C63" w:rsidP="00534C63">
      <w:pPr>
        <w:pStyle w:val="whp20100506"/>
        <w:ind w:left="360"/>
      </w:pPr>
    </w:p>
    <w:p w:rsidR="00534C63" w:rsidRPr="001C6D4A" w:rsidRDefault="00534C63" w:rsidP="00534C63">
      <w:pPr>
        <w:pStyle w:val="whp20100506"/>
        <w:numPr>
          <w:ilvl w:val="0"/>
          <w:numId w:val="16"/>
        </w:numPr>
        <w:ind w:left="360"/>
      </w:pPr>
      <w:r w:rsidRPr="001C6D4A">
        <w:t xml:space="preserve">Publically listed </w:t>
      </w:r>
      <w:r w:rsidR="00194F2A">
        <w:t>REITS</w:t>
      </w:r>
      <w:r w:rsidRPr="001C6D4A">
        <w:t xml:space="preserve"> have access to public capital which affords a REIT to operate with less debt</w:t>
      </w:r>
      <w:r>
        <w:t>;</w:t>
      </w:r>
    </w:p>
    <w:p w:rsidR="00534C63" w:rsidRDefault="00534C63" w:rsidP="00534C63">
      <w:pPr>
        <w:pStyle w:val="whp20100506"/>
        <w:ind w:left="360"/>
      </w:pPr>
    </w:p>
    <w:p w:rsidR="00534C63" w:rsidRPr="001C6D4A" w:rsidRDefault="00534C63" w:rsidP="00534C63">
      <w:pPr>
        <w:pStyle w:val="whp20100506"/>
        <w:numPr>
          <w:ilvl w:val="0"/>
          <w:numId w:val="16"/>
        </w:numPr>
        <w:ind w:left="360"/>
      </w:pPr>
      <w:r w:rsidRPr="001C6D4A">
        <w:t xml:space="preserve">The debt levels of publically traded </w:t>
      </w:r>
      <w:r w:rsidR="00194F2A">
        <w:t>REITS</w:t>
      </w:r>
      <w:r w:rsidRPr="001C6D4A">
        <w:t xml:space="preserve"> are normally capped which protects the inter</w:t>
      </w:r>
      <w:r>
        <w:t>ests and value of the investor;</w:t>
      </w:r>
    </w:p>
    <w:p w:rsidR="00534C63" w:rsidRDefault="00534C63" w:rsidP="00534C63">
      <w:pPr>
        <w:pStyle w:val="whp20100506"/>
        <w:ind w:left="360"/>
      </w:pPr>
    </w:p>
    <w:p w:rsidR="00534C63" w:rsidRPr="001C6D4A" w:rsidRDefault="00534C63" w:rsidP="00534C63">
      <w:pPr>
        <w:pStyle w:val="whp20100506"/>
        <w:numPr>
          <w:ilvl w:val="0"/>
          <w:numId w:val="16"/>
        </w:numPr>
        <w:ind w:left="360"/>
      </w:pPr>
      <w:r w:rsidRPr="001C6D4A">
        <w:t>Smaller investors enjoy the liquidity of REIT shares on an open market</w:t>
      </w:r>
    </w:p>
    <w:p w:rsidR="00534C63" w:rsidRPr="001C6D4A" w:rsidRDefault="00534C63" w:rsidP="00534C63">
      <w:pPr>
        <w:pStyle w:val="whp20100506"/>
      </w:pPr>
    </w:p>
    <w:p w:rsidR="00534C63" w:rsidRDefault="00534C63" w:rsidP="00534C63">
      <w:pPr>
        <w:pStyle w:val="whp20100506"/>
      </w:pPr>
      <w:r>
        <w:t xml:space="preserve">Campbell and Sirmans (2002) evaluated the US REIT market and trends as a benchmark to promote </w:t>
      </w:r>
      <w:r w:rsidR="00194F2A">
        <w:t>REITS</w:t>
      </w:r>
      <w:r>
        <w:t xml:space="preserve"> amongst European policy makers and found that </w:t>
      </w:r>
      <w:r w:rsidR="00194F2A">
        <w:t>REITS</w:t>
      </w:r>
      <w:r>
        <w:t xml:space="preserve"> held the following advantages:</w:t>
      </w:r>
    </w:p>
    <w:p w:rsidR="00534C63" w:rsidRDefault="00534C63" w:rsidP="00534C63">
      <w:pPr>
        <w:pStyle w:val="whp20100506"/>
      </w:pPr>
    </w:p>
    <w:p w:rsidR="00534C63" w:rsidRDefault="00534C63" w:rsidP="00534C63">
      <w:pPr>
        <w:pStyle w:val="whp20100506"/>
        <w:numPr>
          <w:ilvl w:val="0"/>
          <w:numId w:val="23"/>
        </w:numPr>
        <w:tabs>
          <w:tab w:val="left" w:pos="360"/>
        </w:tabs>
        <w:ind w:left="360"/>
      </w:pPr>
      <w:r>
        <w:t>Greater liquidity in local markets which leads to efficient allocation of capital resources;</w:t>
      </w:r>
    </w:p>
    <w:p w:rsidR="00534C63" w:rsidRDefault="00534C63" w:rsidP="00534C63">
      <w:pPr>
        <w:pStyle w:val="whp20100506"/>
        <w:tabs>
          <w:tab w:val="left" w:pos="360"/>
        </w:tabs>
        <w:ind w:left="360"/>
      </w:pPr>
    </w:p>
    <w:p w:rsidR="00534C63" w:rsidRDefault="00534C63" w:rsidP="00534C63">
      <w:pPr>
        <w:pStyle w:val="whp20100506"/>
        <w:numPr>
          <w:ilvl w:val="0"/>
          <w:numId w:val="23"/>
        </w:numPr>
        <w:tabs>
          <w:tab w:val="left" w:pos="360"/>
        </w:tabs>
        <w:ind w:left="360"/>
      </w:pPr>
      <w:r>
        <w:t>Greater price stability in local markets due to the wide range of alternative debt funding sources;</w:t>
      </w:r>
    </w:p>
    <w:p w:rsidR="00534C63" w:rsidRDefault="00534C63" w:rsidP="00534C63">
      <w:pPr>
        <w:pStyle w:val="whp20100506"/>
        <w:tabs>
          <w:tab w:val="left" w:pos="360"/>
        </w:tabs>
        <w:ind w:left="360"/>
      </w:pPr>
    </w:p>
    <w:p w:rsidR="00534C63" w:rsidRDefault="00534C63" w:rsidP="00534C63">
      <w:pPr>
        <w:pStyle w:val="whp20100506"/>
        <w:numPr>
          <w:ilvl w:val="0"/>
          <w:numId w:val="23"/>
        </w:numPr>
        <w:tabs>
          <w:tab w:val="left" w:pos="360"/>
        </w:tabs>
        <w:ind w:left="360"/>
      </w:pPr>
      <w:r>
        <w:t>Pension funds have greater opportunity for portfolio diversification;</w:t>
      </w:r>
    </w:p>
    <w:p w:rsidR="00534C63" w:rsidRDefault="00534C63" w:rsidP="00534C63">
      <w:pPr>
        <w:pStyle w:val="whp20100506"/>
        <w:tabs>
          <w:tab w:val="left" w:pos="360"/>
        </w:tabs>
        <w:ind w:left="360"/>
      </w:pPr>
    </w:p>
    <w:p w:rsidR="00534C63" w:rsidRDefault="00534C63" w:rsidP="00534C63">
      <w:pPr>
        <w:pStyle w:val="whp20100506"/>
        <w:numPr>
          <w:ilvl w:val="0"/>
          <w:numId w:val="23"/>
        </w:numPr>
        <w:tabs>
          <w:tab w:val="left" w:pos="360"/>
        </w:tabs>
        <w:ind w:left="360"/>
      </w:pPr>
      <w:r>
        <w:t>A vehicle for privatising ownership of government property;</w:t>
      </w:r>
    </w:p>
    <w:p w:rsidR="00534C63" w:rsidRDefault="00534C63" w:rsidP="00534C63">
      <w:pPr>
        <w:pStyle w:val="whp20100506"/>
        <w:tabs>
          <w:tab w:val="left" w:pos="360"/>
        </w:tabs>
        <w:ind w:left="360"/>
      </w:pPr>
    </w:p>
    <w:p w:rsidR="00534C63" w:rsidRDefault="00534C63" w:rsidP="00534C63">
      <w:pPr>
        <w:pStyle w:val="whp20100506"/>
        <w:numPr>
          <w:ilvl w:val="0"/>
          <w:numId w:val="23"/>
        </w:numPr>
        <w:tabs>
          <w:tab w:val="left" w:pos="360"/>
        </w:tabs>
        <w:ind w:left="360"/>
      </w:pPr>
      <w:r>
        <w:t>Allowing domestic firms to compete with tax advantaged foreign real estate companies for control of domestic property</w:t>
      </w:r>
    </w:p>
    <w:p w:rsidR="00534C63" w:rsidRDefault="00534C63" w:rsidP="00534C63">
      <w:pPr>
        <w:pStyle w:val="whp20100506"/>
      </w:pPr>
    </w:p>
    <w:p w:rsidR="00534C63" w:rsidRDefault="00534C63" w:rsidP="00534C63">
      <w:pPr>
        <w:pStyle w:val="whp20100506"/>
      </w:pPr>
      <w:r w:rsidRPr="001C6D4A">
        <w:t xml:space="preserve">The aforementioned benefits of </w:t>
      </w:r>
      <w:r w:rsidR="00194F2A">
        <w:t>REITS</w:t>
      </w:r>
      <w:r w:rsidRPr="001C6D4A">
        <w:t xml:space="preserve"> are universally recognised and references to these advantages are made in the National Treasury’s Discussion Paper</w:t>
      </w:r>
      <w:r>
        <w:t>. As a justification in support of a new dispensation in South Africa, the National Treasury (2007) identified the following benefits:</w:t>
      </w:r>
    </w:p>
    <w:p w:rsidR="00B178BD" w:rsidRDefault="00B178BD" w:rsidP="00534C63">
      <w:pPr>
        <w:pStyle w:val="whp20100506"/>
        <w:rPr>
          <w:noProof/>
        </w:rPr>
      </w:pPr>
    </w:p>
    <w:p w:rsidR="00534C63" w:rsidRPr="00D20BCC" w:rsidRDefault="00534C63" w:rsidP="00534C63">
      <w:pPr>
        <w:pStyle w:val="whp20100506"/>
        <w:numPr>
          <w:ilvl w:val="0"/>
          <w:numId w:val="12"/>
        </w:numPr>
        <w:tabs>
          <w:tab w:val="left" w:pos="360"/>
        </w:tabs>
        <w:ind w:left="360"/>
        <w:rPr>
          <w:i/>
        </w:rPr>
      </w:pPr>
      <w:r w:rsidRPr="00D20BCC">
        <w:rPr>
          <w:i/>
        </w:rPr>
        <w:t>Tax Effectiveness</w:t>
      </w:r>
    </w:p>
    <w:p w:rsidR="00534C63" w:rsidRDefault="00534C63" w:rsidP="00534C63">
      <w:pPr>
        <w:pStyle w:val="whp20100506"/>
        <w:tabs>
          <w:tab w:val="left" w:pos="360"/>
        </w:tabs>
        <w:ind w:left="360" w:hanging="360"/>
      </w:pPr>
      <w:r>
        <w:lastRenderedPageBreak/>
        <w:tab/>
      </w:r>
      <w:r w:rsidRPr="00511784">
        <w:t>REIT will be regarded as a channel through which all revenue will flow directly to the shareholder and in so doing avoid the double taxation of normal equity shares (corporate rate and STC). Therefore all income earned through the REIT will be added to the personal income of the shareholder and will be deemed as part of his taxable income and therefore taxed at his marginal income tax rate.</w:t>
      </w:r>
      <w:r>
        <w:t xml:space="preserve"> The further benefit is also that the structure allows for more of the investors capital to be compounded over time.</w:t>
      </w:r>
    </w:p>
    <w:p w:rsidR="00534C63" w:rsidRPr="00511784" w:rsidRDefault="00534C63" w:rsidP="00534C63">
      <w:pPr>
        <w:pStyle w:val="whp20100506"/>
        <w:tabs>
          <w:tab w:val="left" w:pos="360"/>
        </w:tabs>
        <w:ind w:left="360" w:hanging="360"/>
      </w:pPr>
    </w:p>
    <w:p w:rsidR="00534C63" w:rsidRPr="00D20BCC" w:rsidRDefault="00534C63" w:rsidP="00534C63">
      <w:pPr>
        <w:pStyle w:val="whp20100506"/>
        <w:numPr>
          <w:ilvl w:val="0"/>
          <w:numId w:val="12"/>
        </w:numPr>
        <w:tabs>
          <w:tab w:val="left" w:pos="360"/>
        </w:tabs>
        <w:ind w:left="360"/>
        <w:rPr>
          <w:i/>
        </w:rPr>
      </w:pPr>
      <w:r w:rsidRPr="00D20BCC">
        <w:rPr>
          <w:i/>
        </w:rPr>
        <w:t>Accessibility to REIT shares</w:t>
      </w:r>
    </w:p>
    <w:p w:rsidR="00534C63" w:rsidRDefault="00534C63" w:rsidP="00534C63">
      <w:pPr>
        <w:pStyle w:val="whp20100506"/>
        <w:tabs>
          <w:tab w:val="left" w:pos="360"/>
        </w:tabs>
        <w:ind w:left="360" w:hanging="360"/>
      </w:pPr>
      <w:r>
        <w:tab/>
      </w:r>
      <w:r w:rsidRPr="00511784">
        <w:t>REIT offers affordability to investors in terms of providing access to prime property investments merely at the cost of the share price as opposed to a direct investment requiring significant capital outlay</w:t>
      </w:r>
      <w:r>
        <w:t>. Therefore any investor with limited cash could diversify his assets across geographical areas and various property specialisations. This would ordinarily not be available to the direct active property investor unless he encumbered his assets through excessive leverage.</w:t>
      </w:r>
    </w:p>
    <w:p w:rsidR="00534C63" w:rsidRDefault="00534C63" w:rsidP="00534C63">
      <w:pPr>
        <w:pStyle w:val="whp20100506"/>
        <w:tabs>
          <w:tab w:val="left" w:pos="360"/>
        </w:tabs>
        <w:ind w:left="360" w:hanging="360"/>
      </w:pPr>
    </w:p>
    <w:p w:rsidR="00534C63" w:rsidRPr="00D20BCC" w:rsidRDefault="00534C63" w:rsidP="00534C63">
      <w:pPr>
        <w:pStyle w:val="whp20100506"/>
        <w:numPr>
          <w:ilvl w:val="0"/>
          <w:numId w:val="12"/>
        </w:numPr>
        <w:tabs>
          <w:tab w:val="left" w:pos="360"/>
        </w:tabs>
        <w:ind w:left="360"/>
        <w:rPr>
          <w:i/>
        </w:rPr>
      </w:pPr>
      <w:r w:rsidRPr="00D20BCC">
        <w:rPr>
          <w:i/>
        </w:rPr>
        <w:t>Diversification of Asset Classes</w:t>
      </w:r>
    </w:p>
    <w:p w:rsidR="00534C63" w:rsidRPr="00511784" w:rsidRDefault="00534C63" w:rsidP="00534C63">
      <w:pPr>
        <w:pStyle w:val="whp20100506"/>
        <w:tabs>
          <w:tab w:val="left" w:pos="360"/>
        </w:tabs>
        <w:ind w:left="360" w:hanging="360"/>
      </w:pPr>
      <w:r>
        <w:tab/>
        <w:t>A</w:t>
      </w:r>
      <w:r w:rsidRPr="00511784">
        <w:t>ll prudent investment principles preach adherence to the concept of diversification. REIT offers an excellent platform to access multiple property asset classes with varying degrees of risk (i.e. REIT</w:t>
      </w:r>
      <w:r w:rsidR="00194F2A">
        <w:t>S</w:t>
      </w:r>
      <w:r w:rsidRPr="00511784">
        <w:t xml:space="preserve"> constitute </w:t>
      </w:r>
      <w:r w:rsidR="00A678E2" w:rsidRPr="00511784">
        <w:t>residential</w:t>
      </w:r>
      <w:r w:rsidRPr="00511784">
        <w:t>, office, retail, resorts, hotels, storage, industrial, parking) along with exposure to multiple geographical regions which would be welcomed by South Africa investors</w:t>
      </w:r>
      <w:r>
        <w:t xml:space="preserve">. </w:t>
      </w:r>
    </w:p>
    <w:p w:rsidR="00534C63" w:rsidRPr="00511784" w:rsidRDefault="00534C63" w:rsidP="00534C63">
      <w:pPr>
        <w:pStyle w:val="whp20100506"/>
        <w:tabs>
          <w:tab w:val="left" w:pos="360"/>
        </w:tabs>
        <w:ind w:left="360" w:hanging="360"/>
      </w:pPr>
    </w:p>
    <w:p w:rsidR="00534C63" w:rsidRPr="00D20BCC" w:rsidRDefault="00534C63" w:rsidP="00534C63">
      <w:pPr>
        <w:pStyle w:val="whp20100506"/>
        <w:numPr>
          <w:ilvl w:val="0"/>
          <w:numId w:val="12"/>
        </w:numPr>
        <w:tabs>
          <w:tab w:val="left" w:pos="360"/>
        </w:tabs>
        <w:ind w:left="360"/>
        <w:rPr>
          <w:i/>
        </w:rPr>
      </w:pPr>
      <w:r w:rsidRPr="00D20BCC">
        <w:rPr>
          <w:i/>
        </w:rPr>
        <w:t>Liquidity of Investments</w:t>
      </w:r>
    </w:p>
    <w:p w:rsidR="00534C63" w:rsidRPr="00511784" w:rsidRDefault="00534C63" w:rsidP="00534C63">
      <w:pPr>
        <w:pStyle w:val="whp20100506"/>
        <w:tabs>
          <w:tab w:val="left" w:pos="360"/>
        </w:tabs>
        <w:ind w:left="360" w:hanging="360"/>
      </w:pPr>
      <w:r>
        <w:tab/>
      </w:r>
      <w:r w:rsidRPr="00511784">
        <w:t>South Africa investors will be able to trade their REIT</w:t>
      </w:r>
      <w:r w:rsidR="00194F2A">
        <w:t>S</w:t>
      </w:r>
      <w:r w:rsidRPr="00511784">
        <w:t xml:space="preserve"> shares on a regulated and controlled platform being the JSE, which is in contrast to the highly illiquid situation of having directly invested in property. </w:t>
      </w:r>
      <w:r>
        <w:t>Therefore an investor may sell the REIT investment in order to either raise cash or take advantage of other investment opportunities.</w:t>
      </w:r>
    </w:p>
    <w:p w:rsidR="00534C63" w:rsidRPr="00511784" w:rsidRDefault="00534C63" w:rsidP="00534C63">
      <w:pPr>
        <w:pStyle w:val="whp20100506"/>
        <w:tabs>
          <w:tab w:val="left" w:pos="360"/>
        </w:tabs>
        <w:ind w:left="360" w:hanging="360"/>
      </w:pPr>
    </w:p>
    <w:p w:rsidR="00534C63" w:rsidRPr="00D20BCC" w:rsidRDefault="00534C63" w:rsidP="00534C63">
      <w:pPr>
        <w:pStyle w:val="whp20100506"/>
        <w:numPr>
          <w:ilvl w:val="0"/>
          <w:numId w:val="12"/>
        </w:numPr>
        <w:tabs>
          <w:tab w:val="left" w:pos="360"/>
        </w:tabs>
        <w:ind w:left="360"/>
        <w:rPr>
          <w:i/>
        </w:rPr>
      </w:pPr>
      <w:r w:rsidRPr="00D20BCC">
        <w:rPr>
          <w:i/>
        </w:rPr>
        <w:t xml:space="preserve">Regulation and </w:t>
      </w:r>
      <w:r>
        <w:rPr>
          <w:i/>
        </w:rPr>
        <w:t xml:space="preserve">Good </w:t>
      </w:r>
      <w:r w:rsidRPr="00D20BCC">
        <w:rPr>
          <w:i/>
        </w:rPr>
        <w:t>Governance</w:t>
      </w:r>
    </w:p>
    <w:p w:rsidR="00534C63" w:rsidRDefault="00534C63" w:rsidP="00534C63">
      <w:pPr>
        <w:pStyle w:val="whp20100506"/>
        <w:tabs>
          <w:tab w:val="left" w:pos="360"/>
        </w:tabs>
        <w:ind w:left="360" w:hanging="360"/>
      </w:pPr>
      <w:r>
        <w:tab/>
      </w:r>
      <w:r w:rsidRPr="00511784">
        <w:t>REIT will be strictly regulated by the rules of its incorporation along with the tried and tested rules of listing on the JSE which will provide significant protection and peace of mind for the investor</w:t>
      </w:r>
      <w:r>
        <w:t xml:space="preserve">. What is more the investor will also receive the benefit of the expertise of a professional and dedicated management team that will oversee the day to </w:t>
      </w:r>
      <w:r>
        <w:lastRenderedPageBreak/>
        <w:t>day operation of the business side of the REIT which would be beyond the knowledge base of the individual investor.</w:t>
      </w:r>
      <w:r w:rsidRPr="00511784">
        <w:t xml:space="preserve"> </w:t>
      </w:r>
    </w:p>
    <w:p w:rsidR="00534C63" w:rsidRDefault="00534C63" w:rsidP="00534C63">
      <w:pPr>
        <w:pStyle w:val="whp20100506"/>
        <w:tabs>
          <w:tab w:val="left" w:pos="360"/>
        </w:tabs>
        <w:ind w:left="360" w:hanging="360"/>
      </w:pPr>
    </w:p>
    <w:p w:rsidR="00534C63" w:rsidRPr="00D20BCC" w:rsidRDefault="00534C63" w:rsidP="00534C63">
      <w:pPr>
        <w:pStyle w:val="whp20100506"/>
        <w:numPr>
          <w:ilvl w:val="0"/>
          <w:numId w:val="12"/>
        </w:numPr>
        <w:tabs>
          <w:tab w:val="left" w:pos="360"/>
        </w:tabs>
        <w:ind w:left="360"/>
        <w:rPr>
          <w:i/>
        </w:rPr>
      </w:pPr>
      <w:r w:rsidRPr="00D20BCC">
        <w:rPr>
          <w:i/>
        </w:rPr>
        <w:t>Income Provision</w:t>
      </w:r>
    </w:p>
    <w:p w:rsidR="00534C63" w:rsidRDefault="00534C63" w:rsidP="00534C63">
      <w:pPr>
        <w:pStyle w:val="whp20100506"/>
        <w:tabs>
          <w:tab w:val="left" w:pos="360"/>
        </w:tabs>
        <w:ind w:left="360" w:hanging="360"/>
      </w:pPr>
      <w:r>
        <w:tab/>
      </w:r>
      <w:r w:rsidRPr="00511784">
        <w:t>REIT are a conduit through which income flows directly to the investor therefore as a total return investment, REIT enjoy significant support from pension and provident funds</w:t>
      </w:r>
      <w:r>
        <w:t xml:space="preserve">. </w:t>
      </w:r>
      <w:r w:rsidR="00194F2A">
        <w:t>REITS</w:t>
      </w:r>
      <w:r>
        <w:t xml:space="preserve"> are deemed total flow through investments and therefore the high dividends that are paid out to the investor exceeds most other equities, even in downward bear markets.</w:t>
      </w:r>
    </w:p>
    <w:p w:rsidR="00534C63" w:rsidRDefault="00534C63" w:rsidP="00534C63">
      <w:pPr>
        <w:pStyle w:val="whp20100506"/>
      </w:pPr>
    </w:p>
    <w:p w:rsidR="00534C63" w:rsidRPr="00DD1AED" w:rsidRDefault="00534C63" w:rsidP="00534C63">
      <w:pPr>
        <w:pStyle w:val="whp20100506"/>
        <w:numPr>
          <w:ilvl w:val="0"/>
          <w:numId w:val="21"/>
        </w:numPr>
        <w:ind w:left="360"/>
        <w:rPr>
          <w:i/>
        </w:rPr>
      </w:pPr>
      <w:r w:rsidRPr="00DD1AED">
        <w:rPr>
          <w:i/>
        </w:rPr>
        <w:t>Information</w:t>
      </w:r>
    </w:p>
    <w:p w:rsidR="00534C63" w:rsidRDefault="00534C63" w:rsidP="00534C63">
      <w:pPr>
        <w:pStyle w:val="whp20100506"/>
        <w:ind w:left="360"/>
      </w:pPr>
      <w:r>
        <w:t xml:space="preserve">The benefits are further enhanced by the </w:t>
      </w:r>
      <w:r w:rsidRPr="009615D1">
        <w:t>overriding advantage information</w:t>
      </w:r>
      <w:r>
        <w:t xml:space="preserve"> transfer. </w:t>
      </w:r>
      <w:r w:rsidR="00194F2A">
        <w:t>REITS</w:t>
      </w:r>
      <w:r>
        <w:t xml:space="preserve"> allow for</w:t>
      </w:r>
      <w:r w:rsidRPr="00511784">
        <w:t xml:space="preserve"> transparency and the flow of real time pricing across the market</w:t>
      </w:r>
      <w:r>
        <w:t xml:space="preserve"> and therefore also ensures the</w:t>
      </w:r>
      <w:r w:rsidRPr="00511784">
        <w:t xml:space="preserve"> liquidity of </w:t>
      </w:r>
      <w:r>
        <w:t>a</w:t>
      </w:r>
      <w:r w:rsidRPr="00511784">
        <w:t xml:space="preserve"> REIT investment </w:t>
      </w:r>
      <w:r>
        <w:t xml:space="preserve">through </w:t>
      </w:r>
      <w:r w:rsidRPr="00511784">
        <w:t>readily tradable public exchange platforms</w:t>
      </w:r>
      <w:r>
        <w:t xml:space="preserve">. </w:t>
      </w:r>
    </w:p>
    <w:p w:rsidR="00534C63" w:rsidRDefault="00534C63" w:rsidP="00534C63">
      <w:pPr>
        <w:pStyle w:val="whp20100506"/>
        <w:ind w:left="720"/>
      </w:pPr>
    </w:p>
    <w:p w:rsidR="00534C63" w:rsidRPr="00B70018" w:rsidRDefault="00534C63" w:rsidP="00534C63">
      <w:pPr>
        <w:pStyle w:val="whp20100506"/>
        <w:numPr>
          <w:ilvl w:val="2"/>
          <w:numId w:val="2"/>
        </w:numPr>
        <w:ind w:left="270" w:hanging="270"/>
        <w:rPr>
          <w:b/>
        </w:rPr>
      </w:pPr>
      <w:r w:rsidRPr="00B70018">
        <w:rPr>
          <w:b/>
        </w:rPr>
        <w:t xml:space="preserve">COMPARING </w:t>
      </w:r>
      <w:r>
        <w:rPr>
          <w:b/>
        </w:rPr>
        <w:t xml:space="preserve">THE OPERATION OF </w:t>
      </w:r>
      <w:r w:rsidR="00194F2A">
        <w:rPr>
          <w:b/>
        </w:rPr>
        <w:t>REITS</w:t>
      </w:r>
      <w:r>
        <w:rPr>
          <w:b/>
        </w:rPr>
        <w:t xml:space="preserve"> TO </w:t>
      </w:r>
      <w:r w:rsidR="005F5B48">
        <w:rPr>
          <w:b/>
        </w:rPr>
        <w:t>A COMPANY</w:t>
      </w:r>
    </w:p>
    <w:p w:rsidR="00534C63" w:rsidRPr="00511784" w:rsidRDefault="00534C63" w:rsidP="00534C63">
      <w:pPr>
        <w:pStyle w:val="whp20100506"/>
        <w:ind w:left="720"/>
      </w:pPr>
    </w:p>
    <w:p w:rsidR="00534C63" w:rsidRDefault="00534C63" w:rsidP="00534C63">
      <w:pPr>
        <w:pStyle w:val="whp20100506"/>
      </w:pPr>
      <w:r w:rsidRPr="00A026B6">
        <w:t xml:space="preserve">The </w:t>
      </w:r>
      <w:r>
        <w:t>fundamental characteristic</w:t>
      </w:r>
      <w:r w:rsidRPr="00A026B6">
        <w:t xml:space="preserve"> of REIT is one of providing the investor continuous dividend income over the duration of the investment period</w:t>
      </w:r>
      <w:r>
        <w:t>,</w:t>
      </w:r>
      <w:r w:rsidRPr="00A026B6">
        <w:t xml:space="preserve"> along with the potential of long-term capital value through the appreciation of the share price over time</w:t>
      </w:r>
      <w:r>
        <w:t xml:space="preserve"> (</w:t>
      </w:r>
      <w:hyperlink r:id="rId13" w:history="1">
        <w:r w:rsidRPr="004943F9">
          <w:rPr>
            <w:rStyle w:val="Hyperlink"/>
            <w:rFonts w:ascii="Times New Roman" w:hAnsi="Times New Roman"/>
            <w:szCs w:val="24"/>
          </w:rPr>
          <w:t>www.nareit.com</w:t>
        </w:r>
      </w:hyperlink>
      <w:r>
        <w:t>)</w:t>
      </w:r>
      <w:r w:rsidRPr="00A026B6">
        <w:t xml:space="preserve">. </w:t>
      </w:r>
    </w:p>
    <w:p w:rsidR="00534C63" w:rsidRDefault="00534C63" w:rsidP="00534C63">
      <w:pPr>
        <w:pStyle w:val="whp20100506"/>
        <w:ind w:left="720"/>
      </w:pPr>
    </w:p>
    <w:p w:rsidR="00534C63" w:rsidRPr="00A026B6" w:rsidRDefault="00534C63" w:rsidP="00534C63">
      <w:pPr>
        <w:pStyle w:val="whp20100506"/>
      </w:pPr>
      <w:r>
        <w:t xml:space="preserve">As such, for the lay person seeking an alternative investment vehicle from the conventional equity stocks, </w:t>
      </w:r>
      <w:r w:rsidR="00194F2A">
        <w:t>REITS</w:t>
      </w:r>
      <w:r>
        <w:t xml:space="preserve"> operate in much the same manner as any other equity on a stock exchange. NAREIT summarises the operation of </w:t>
      </w:r>
      <w:r w:rsidR="00194F2A">
        <w:t>REITS</w:t>
      </w:r>
      <w:r>
        <w:t xml:space="preserve"> as the following</w:t>
      </w:r>
      <w:r>
        <w:rPr>
          <w:rStyle w:val="FootnoteReference"/>
        </w:rPr>
        <w:footnoteReference w:id="11"/>
      </w:r>
      <w:r>
        <w:t>:</w:t>
      </w:r>
    </w:p>
    <w:p w:rsidR="00534C63" w:rsidRPr="00A026B6" w:rsidRDefault="00534C63" w:rsidP="00534C63">
      <w:pPr>
        <w:pStyle w:val="whp20100506"/>
        <w:ind w:left="360" w:hanging="360"/>
      </w:pPr>
    </w:p>
    <w:p w:rsidR="00534C63" w:rsidRPr="004408B1" w:rsidRDefault="00534C63" w:rsidP="00534C63">
      <w:pPr>
        <w:pStyle w:val="whp20100506"/>
        <w:numPr>
          <w:ilvl w:val="0"/>
          <w:numId w:val="12"/>
        </w:numPr>
        <w:tabs>
          <w:tab w:val="left" w:pos="360"/>
          <w:tab w:val="left" w:pos="1170"/>
        </w:tabs>
        <w:ind w:left="360"/>
        <w:rPr>
          <w:i/>
        </w:rPr>
      </w:pPr>
      <w:r w:rsidRPr="004408B1">
        <w:rPr>
          <w:i/>
        </w:rPr>
        <w:t>Management</w:t>
      </w:r>
    </w:p>
    <w:p w:rsidR="00534C63" w:rsidRDefault="00534C63" w:rsidP="00534C63">
      <w:pPr>
        <w:pStyle w:val="whp20100506"/>
        <w:tabs>
          <w:tab w:val="left" w:pos="1170"/>
        </w:tabs>
        <w:ind w:left="360"/>
      </w:pPr>
      <w:r w:rsidRPr="00A026B6">
        <w:t xml:space="preserve">All REIT adhere to the principles of a company in that they have management structures from top to bottom in the form of various designations such as a Chief Executive Office / Managing Director, Board of Directors, Senior Management and various Operational Staff. All of these positions carry accountability and responsibility and as such are executed in accordance with the company’s strategic vision and goals. </w:t>
      </w:r>
    </w:p>
    <w:p w:rsidR="00534C63" w:rsidRPr="00A026B6" w:rsidRDefault="00534C63" w:rsidP="00534C63">
      <w:pPr>
        <w:pStyle w:val="whp20100506"/>
        <w:tabs>
          <w:tab w:val="left" w:pos="1170"/>
        </w:tabs>
        <w:ind w:left="360"/>
      </w:pPr>
      <w:r w:rsidRPr="00A026B6">
        <w:t xml:space="preserve">Since </w:t>
      </w:r>
      <w:r w:rsidR="00194F2A">
        <w:t>REITS</w:t>
      </w:r>
      <w:r w:rsidRPr="00A026B6">
        <w:t xml:space="preserve"> are deemed passive indirect investment in real estate, the responsibilities of </w:t>
      </w:r>
      <w:r w:rsidRPr="00A026B6">
        <w:lastRenderedPageBreak/>
        <w:t>the employees are essentially one of being asset managers for and on behalf of the shareholders. Therefore these positions also carry numerous fiduciary duties which must be executed as per legislation and in the best interests of the shareholders;</w:t>
      </w:r>
    </w:p>
    <w:p w:rsidR="00534C63" w:rsidRPr="00511784" w:rsidRDefault="00534C63" w:rsidP="00534C63">
      <w:pPr>
        <w:pStyle w:val="whp20100506"/>
        <w:tabs>
          <w:tab w:val="left" w:pos="1170"/>
        </w:tabs>
        <w:ind w:left="360" w:hanging="360"/>
      </w:pPr>
    </w:p>
    <w:p w:rsidR="00534C63" w:rsidRPr="004408B1" w:rsidRDefault="00534C63" w:rsidP="00534C63">
      <w:pPr>
        <w:pStyle w:val="whp20100506"/>
        <w:numPr>
          <w:ilvl w:val="0"/>
          <w:numId w:val="12"/>
        </w:numPr>
        <w:tabs>
          <w:tab w:val="left" w:pos="360"/>
        </w:tabs>
        <w:ind w:left="360"/>
        <w:rPr>
          <w:i/>
        </w:rPr>
      </w:pPr>
      <w:r w:rsidRPr="004408B1">
        <w:rPr>
          <w:i/>
        </w:rPr>
        <w:t>Liquidity</w:t>
      </w:r>
    </w:p>
    <w:p w:rsidR="00534C63" w:rsidRPr="00511784" w:rsidRDefault="00534C63" w:rsidP="00534C63">
      <w:pPr>
        <w:pStyle w:val="whp20100506"/>
        <w:tabs>
          <w:tab w:val="left" w:pos="450"/>
        </w:tabs>
        <w:ind w:left="360"/>
      </w:pPr>
      <w:r w:rsidRPr="00511784">
        <w:t xml:space="preserve">Just like with any listed company, investors are able to trade the shares of the REIT on any public exchange which allows </w:t>
      </w:r>
      <w:r>
        <w:t>for fluid transfer of ownership.</w:t>
      </w:r>
    </w:p>
    <w:p w:rsidR="00534C63" w:rsidRPr="00511784" w:rsidRDefault="00534C63" w:rsidP="00534C63">
      <w:pPr>
        <w:pStyle w:val="whp20100506"/>
        <w:tabs>
          <w:tab w:val="left" w:pos="1170"/>
        </w:tabs>
        <w:ind w:left="360" w:hanging="360"/>
      </w:pPr>
    </w:p>
    <w:p w:rsidR="00534C63" w:rsidRPr="004408B1" w:rsidRDefault="00534C63" w:rsidP="00534C63">
      <w:pPr>
        <w:pStyle w:val="whp20100506"/>
        <w:numPr>
          <w:ilvl w:val="0"/>
          <w:numId w:val="12"/>
        </w:numPr>
        <w:tabs>
          <w:tab w:val="left" w:pos="360"/>
        </w:tabs>
        <w:ind w:left="360"/>
        <w:rPr>
          <w:i/>
        </w:rPr>
      </w:pPr>
      <w:r w:rsidRPr="004408B1">
        <w:rPr>
          <w:i/>
        </w:rPr>
        <w:t>Legal Responsibility</w:t>
      </w:r>
    </w:p>
    <w:p w:rsidR="00534C63" w:rsidRDefault="00534C63" w:rsidP="00534C63">
      <w:pPr>
        <w:pStyle w:val="whp20100506"/>
        <w:tabs>
          <w:tab w:val="left" w:pos="0"/>
          <w:tab w:val="left" w:pos="270"/>
          <w:tab w:val="left" w:pos="1170"/>
        </w:tabs>
        <w:ind w:left="360"/>
      </w:pPr>
      <w:r w:rsidRPr="00511784">
        <w:t xml:space="preserve">The shareholders in the property investment enjoy the protection afforded to them by virtue of the REIT being a juristic person who in itself is the trading vehicle; therefore the shareholders do not have to stand </w:t>
      </w:r>
      <w:r>
        <w:t>personal liability for the REIT.</w:t>
      </w:r>
    </w:p>
    <w:p w:rsidR="006818CB" w:rsidRDefault="006818CB" w:rsidP="00534C63">
      <w:pPr>
        <w:pStyle w:val="whp20100506"/>
        <w:tabs>
          <w:tab w:val="left" w:pos="1170"/>
        </w:tabs>
        <w:ind w:left="360" w:hanging="360"/>
        <w:rPr>
          <w:i/>
        </w:rPr>
      </w:pPr>
    </w:p>
    <w:p w:rsidR="00534C63" w:rsidRPr="004408B1" w:rsidRDefault="00534C63" w:rsidP="00534C63">
      <w:pPr>
        <w:pStyle w:val="whp20100506"/>
        <w:numPr>
          <w:ilvl w:val="0"/>
          <w:numId w:val="12"/>
        </w:numPr>
        <w:tabs>
          <w:tab w:val="left" w:pos="360"/>
        </w:tabs>
        <w:ind w:left="360"/>
        <w:rPr>
          <w:i/>
        </w:rPr>
      </w:pPr>
      <w:r w:rsidRPr="004408B1">
        <w:rPr>
          <w:i/>
        </w:rPr>
        <w:t>Shareholder Value</w:t>
      </w:r>
    </w:p>
    <w:p w:rsidR="00534C63" w:rsidRDefault="00534C63" w:rsidP="00534C63">
      <w:pPr>
        <w:pStyle w:val="whp20100506"/>
        <w:tabs>
          <w:tab w:val="left" w:pos="0"/>
        </w:tabs>
        <w:ind w:left="360"/>
      </w:pPr>
      <w:r w:rsidRPr="00511784">
        <w:t xml:space="preserve">The investor has access to 2 major streams of value in the REIT being continuous dividend payout from the income derived from its trading activities; and from the value </w:t>
      </w:r>
      <w:r>
        <w:t>in the share price appreciation.</w:t>
      </w:r>
    </w:p>
    <w:p w:rsidR="00534C63" w:rsidRPr="00511784" w:rsidRDefault="00534C63" w:rsidP="00534C63">
      <w:pPr>
        <w:pStyle w:val="whp20100506"/>
        <w:tabs>
          <w:tab w:val="left" w:pos="1170"/>
        </w:tabs>
        <w:ind w:left="360" w:hanging="360"/>
      </w:pPr>
    </w:p>
    <w:p w:rsidR="00534C63" w:rsidRPr="004408B1" w:rsidRDefault="00534C63" w:rsidP="00534C63">
      <w:pPr>
        <w:pStyle w:val="whp20100506"/>
        <w:numPr>
          <w:ilvl w:val="0"/>
          <w:numId w:val="12"/>
        </w:numPr>
        <w:tabs>
          <w:tab w:val="left" w:pos="360"/>
          <w:tab w:val="left" w:pos="1260"/>
        </w:tabs>
        <w:ind w:left="360"/>
        <w:rPr>
          <w:i/>
        </w:rPr>
      </w:pPr>
      <w:r w:rsidRPr="004408B1">
        <w:rPr>
          <w:i/>
        </w:rPr>
        <w:t>Financial Reporting</w:t>
      </w:r>
    </w:p>
    <w:p w:rsidR="00534C63" w:rsidRDefault="00534C63" w:rsidP="00534C63">
      <w:pPr>
        <w:pStyle w:val="whp20100506"/>
        <w:tabs>
          <w:tab w:val="left" w:pos="1170"/>
        </w:tabs>
        <w:ind w:left="360" w:hanging="360"/>
      </w:pPr>
      <w:r>
        <w:tab/>
        <w:t xml:space="preserve">As with </w:t>
      </w:r>
      <w:r w:rsidRPr="00511784">
        <w:t>all major publically listed organisations, REIT have similar obligations to disclose their financial reports and information in a particular prescribed format and on a regular periodic basis, which have to be filed with the respective stock exchange where it is listed. As per most other listed companies, this is done in accordance with generally accepted accounting principles (GAAP) or Internationally Financial Reporting Standards (IFRS).</w:t>
      </w:r>
    </w:p>
    <w:p w:rsidR="00534C63" w:rsidRPr="00511784" w:rsidRDefault="00534C63" w:rsidP="00534C63">
      <w:pPr>
        <w:pStyle w:val="whp20100506"/>
        <w:tabs>
          <w:tab w:val="left" w:pos="1170"/>
        </w:tabs>
        <w:ind w:left="360" w:hanging="360"/>
      </w:pPr>
    </w:p>
    <w:p w:rsidR="00534C63" w:rsidRPr="004408B1" w:rsidRDefault="00534C63" w:rsidP="00534C63">
      <w:pPr>
        <w:pStyle w:val="whp20100506"/>
        <w:numPr>
          <w:ilvl w:val="0"/>
          <w:numId w:val="12"/>
        </w:numPr>
        <w:tabs>
          <w:tab w:val="left" w:pos="360"/>
        </w:tabs>
        <w:ind w:left="360"/>
        <w:rPr>
          <w:i/>
        </w:rPr>
      </w:pPr>
      <w:r w:rsidRPr="004408B1">
        <w:rPr>
          <w:i/>
        </w:rPr>
        <w:t>Performance</w:t>
      </w:r>
    </w:p>
    <w:p w:rsidR="00534C63" w:rsidRDefault="00534C63" w:rsidP="00534C63">
      <w:pPr>
        <w:pStyle w:val="whp20100506"/>
        <w:tabs>
          <w:tab w:val="left" w:pos="1170"/>
        </w:tabs>
        <w:ind w:left="360" w:hanging="360"/>
      </w:pPr>
      <w:r>
        <w:tab/>
        <w:t>M</w:t>
      </w:r>
      <w:r w:rsidRPr="00511784">
        <w:t xml:space="preserve">uch like any other equity share, REIT are measured upon key fundamental factors such as occupation levels (vacancy rates), rental per square meter, operational costs </w:t>
      </w:r>
      <w:r>
        <w:t>and so forth,</w:t>
      </w:r>
      <w:r w:rsidRPr="00511784">
        <w:t xml:space="preserve"> all of which effect the performance, cash flow and earnings growth  potential of its share prices </w:t>
      </w:r>
    </w:p>
    <w:p w:rsidR="00B178BD" w:rsidRPr="00511784" w:rsidRDefault="00B178BD" w:rsidP="00534C63">
      <w:pPr>
        <w:pStyle w:val="whp20100506"/>
        <w:tabs>
          <w:tab w:val="left" w:pos="1170"/>
        </w:tabs>
        <w:ind w:left="360" w:hanging="360"/>
      </w:pPr>
    </w:p>
    <w:p w:rsidR="00534C63" w:rsidRPr="00A81600" w:rsidRDefault="00534C63" w:rsidP="00534C63">
      <w:pPr>
        <w:pStyle w:val="whp20100506"/>
        <w:numPr>
          <w:ilvl w:val="0"/>
          <w:numId w:val="12"/>
        </w:numPr>
        <w:tabs>
          <w:tab w:val="left" w:pos="360"/>
        </w:tabs>
        <w:ind w:left="360"/>
        <w:rPr>
          <w:i/>
        </w:rPr>
      </w:pPr>
      <w:r w:rsidRPr="00A81600">
        <w:rPr>
          <w:i/>
        </w:rPr>
        <w:t xml:space="preserve">Banks Lending to </w:t>
      </w:r>
      <w:r w:rsidR="00194F2A">
        <w:rPr>
          <w:i/>
        </w:rPr>
        <w:t>REITS</w:t>
      </w:r>
    </w:p>
    <w:p w:rsidR="00534C63" w:rsidRDefault="00534C63" w:rsidP="00534C63">
      <w:pPr>
        <w:pStyle w:val="whp20100506"/>
        <w:tabs>
          <w:tab w:val="left" w:pos="1170"/>
        </w:tabs>
        <w:ind w:left="360" w:hanging="360"/>
      </w:pPr>
      <w:r>
        <w:lastRenderedPageBreak/>
        <w:tab/>
        <w:t>As with any other corporate seeking financing,</w:t>
      </w:r>
      <w:r w:rsidRPr="00511784">
        <w:t xml:space="preserve"> there are a number of factors which dictate the ability of a REIT to access capital markets which in turn affect its growth ability and potential </w:t>
      </w:r>
      <w:r>
        <w:t>e</w:t>
      </w:r>
      <w:r w:rsidRPr="00511784">
        <w:t xml:space="preserve">xperience of the </w:t>
      </w:r>
      <w:r>
        <w:t>REIT, l</w:t>
      </w:r>
      <w:r w:rsidRPr="00511784">
        <w:t xml:space="preserve">egislation imposed upon the </w:t>
      </w:r>
      <w:r>
        <w:t>REIT, m</w:t>
      </w:r>
      <w:r w:rsidRPr="00511784">
        <w:t xml:space="preserve">arket volatility </w:t>
      </w:r>
      <w:r>
        <w:t>in relation to the l</w:t>
      </w:r>
      <w:r w:rsidRPr="00511784">
        <w:t xml:space="preserve">everage and gearing ratios of a </w:t>
      </w:r>
      <w:r>
        <w:t>REIT, R</w:t>
      </w:r>
      <w:r w:rsidRPr="00511784">
        <w:t>EIT management structures</w:t>
      </w:r>
      <w:r>
        <w:t>, u</w:t>
      </w:r>
      <w:r w:rsidRPr="00511784">
        <w:t xml:space="preserve">nderlying value of a REIT </w:t>
      </w:r>
      <w:r w:rsidRPr="00511784">
        <w:rPr>
          <w:noProof/>
        </w:rPr>
        <w:t>(Scherrer, 2004)</w:t>
      </w:r>
      <w:r>
        <w:rPr>
          <w:noProof/>
        </w:rPr>
        <w:t>.</w:t>
      </w:r>
    </w:p>
    <w:p w:rsidR="00534C63" w:rsidRPr="00E77AA5" w:rsidRDefault="00534C63" w:rsidP="00534C63">
      <w:pPr>
        <w:pStyle w:val="whp20100506"/>
      </w:pPr>
    </w:p>
    <w:p w:rsidR="00534C63" w:rsidRPr="00E77AA5" w:rsidRDefault="00534C63" w:rsidP="00534C63">
      <w:pPr>
        <w:pStyle w:val="whp20100506"/>
      </w:pPr>
      <w:r w:rsidRPr="00E77AA5">
        <w:t>In terms of the existing property vehicles in South Africa, the abovementioned commercial functionality does exist with both CISPs and PLS, wh</w:t>
      </w:r>
      <w:r>
        <w:t>ich</w:t>
      </w:r>
      <w:r w:rsidRPr="00E77AA5">
        <w:t xml:space="preserve"> </w:t>
      </w:r>
      <w:r>
        <w:t>i</w:t>
      </w:r>
      <w:r w:rsidRPr="00E77AA5">
        <w:t>s required by their respective legislative regulations. This is discussed in detail in chapter 4.</w:t>
      </w:r>
    </w:p>
    <w:p w:rsidR="00534C63" w:rsidRPr="00E77AA5" w:rsidRDefault="00534C63" w:rsidP="00534C63">
      <w:pPr>
        <w:pStyle w:val="whp20100506"/>
      </w:pPr>
    </w:p>
    <w:p w:rsidR="00534C63" w:rsidRDefault="00534C63" w:rsidP="00534C63">
      <w:pPr>
        <w:pStyle w:val="whp20100506"/>
      </w:pPr>
      <w:r w:rsidRPr="00E77AA5">
        <w:t xml:space="preserve">This </w:t>
      </w:r>
      <w:r>
        <w:t>Research Report</w:t>
      </w:r>
      <w:r w:rsidRPr="00E77AA5">
        <w:t xml:space="preserve"> will delve deeper into the commercial </w:t>
      </w:r>
      <w:r>
        <w:t>standards</w:t>
      </w:r>
      <w:r w:rsidRPr="00E77AA5">
        <w:t xml:space="preserve"> of both CISPs and PLS companies, and will seek to prove is that despite the presence of sound regulatory controls that mirrors the aforementioned commercial areas of</w:t>
      </w:r>
      <w:r>
        <w:t xml:space="preserve"> REIT</w:t>
      </w:r>
      <w:r w:rsidRPr="00E77AA5">
        <w:t xml:space="preserve">, the fragmented and partially regulatory environment in South Africa creates a discord between PLS and CISPs, which as a result will only be remedied by way of adopting an entirely new property regime called </w:t>
      </w:r>
      <w:r w:rsidR="00194F2A">
        <w:t>REITS</w:t>
      </w:r>
      <w:r w:rsidRPr="00E77AA5">
        <w:t>.</w:t>
      </w:r>
    </w:p>
    <w:p w:rsidR="0036052C" w:rsidRDefault="0036052C" w:rsidP="00534C63">
      <w:pPr>
        <w:pStyle w:val="whp20100506"/>
      </w:pPr>
    </w:p>
    <w:p w:rsidR="007841CC" w:rsidRDefault="007841CC" w:rsidP="00534C63">
      <w:pPr>
        <w:pStyle w:val="whp20100506"/>
      </w:pPr>
    </w:p>
    <w:p w:rsidR="00534C63" w:rsidRPr="00E73105" w:rsidRDefault="00534C63" w:rsidP="00534C63">
      <w:pPr>
        <w:pStyle w:val="whp20100506"/>
        <w:numPr>
          <w:ilvl w:val="2"/>
          <w:numId w:val="2"/>
        </w:numPr>
        <w:rPr>
          <w:b/>
        </w:rPr>
      </w:pPr>
      <w:r w:rsidRPr="00E73105">
        <w:rPr>
          <w:b/>
        </w:rPr>
        <w:t xml:space="preserve">COMPARING THE PERFORMANCE EVALUATION OF </w:t>
      </w:r>
      <w:r w:rsidR="00194F2A">
        <w:rPr>
          <w:b/>
        </w:rPr>
        <w:t>REITS</w:t>
      </w:r>
      <w:r w:rsidRPr="00E73105">
        <w:rPr>
          <w:b/>
        </w:rPr>
        <w:t xml:space="preserve"> TO</w:t>
      </w:r>
      <w:r w:rsidR="005F5B48">
        <w:rPr>
          <w:b/>
        </w:rPr>
        <w:t xml:space="preserve"> A COMPANY</w:t>
      </w:r>
    </w:p>
    <w:p w:rsidR="00534C63" w:rsidRDefault="00534C63" w:rsidP="00534C63">
      <w:pPr>
        <w:pStyle w:val="whp20100506"/>
        <w:ind w:left="720"/>
      </w:pPr>
    </w:p>
    <w:p w:rsidR="00534C63" w:rsidRDefault="00534C63" w:rsidP="00534C63">
      <w:pPr>
        <w:pStyle w:val="whp20100506"/>
      </w:pPr>
      <w:r>
        <w:t xml:space="preserve">Java Capital warns that the National Treasury must consider addressing the formulisation of REIT operating performance measures in accordance with international standards (Java Capital, 2009:4). </w:t>
      </w:r>
    </w:p>
    <w:p w:rsidR="00534C63" w:rsidRDefault="00534C63" w:rsidP="00534C63">
      <w:pPr>
        <w:pStyle w:val="whp20100506"/>
      </w:pPr>
    </w:p>
    <w:p w:rsidR="00534C63" w:rsidRDefault="00534C63" w:rsidP="00534C63">
      <w:pPr>
        <w:pStyle w:val="whp20100506"/>
      </w:pPr>
      <w:r>
        <w:t xml:space="preserve">As with any financial investment, </w:t>
      </w:r>
      <w:r w:rsidR="00194F2A">
        <w:t>REITS</w:t>
      </w:r>
      <w:r>
        <w:t xml:space="preserve"> similarly have a number of ratios which are used on a daily basis to determine its financial performance relative to its peers in the industry and across difference investment classes. As such the use of International Financial Reporting Standards (IFRS) must be done in accordance with reconciling the key terms that used internationally when measuring say profit earnings and distributable earnings (see </w:t>
      </w:r>
      <w:r w:rsidR="00E07118">
        <w:t>Exploratory Study</w:t>
      </w:r>
      <w:r>
        <w:t xml:space="preserve"> in Section D). </w:t>
      </w:r>
    </w:p>
    <w:p w:rsidR="00534C63" w:rsidRDefault="00534C63" w:rsidP="00534C63">
      <w:pPr>
        <w:pStyle w:val="whp20100506"/>
        <w:ind w:left="720"/>
      </w:pPr>
    </w:p>
    <w:p w:rsidR="00534C63" w:rsidRPr="00BA2CCE" w:rsidRDefault="00534C63" w:rsidP="00534C63">
      <w:pPr>
        <w:pStyle w:val="whp20100506"/>
      </w:pPr>
      <w:r>
        <w:t xml:space="preserve">The determination of </w:t>
      </w:r>
      <w:r w:rsidRPr="00E73105">
        <w:rPr>
          <w:i/>
        </w:rPr>
        <w:t>Earning Multiples</w:t>
      </w:r>
      <w:r>
        <w:t xml:space="preserve"> a</w:t>
      </w:r>
      <w:r w:rsidRPr="00511784">
        <w:t xml:space="preserve">re based on two main ratios </w:t>
      </w:r>
      <w:r>
        <w:t xml:space="preserve">being </w:t>
      </w:r>
      <w:r w:rsidRPr="00E73105">
        <w:rPr>
          <w:i/>
        </w:rPr>
        <w:t>Price to Funds from Operations (FFO),</w:t>
      </w:r>
      <w:r w:rsidRPr="00511784">
        <w:t xml:space="preserve"> which is the equivalent of price to earnings per share (EPS)</w:t>
      </w:r>
      <w:r>
        <w:t xml:space="preserve"> used to </w:t>
      </w:r>
      <w:r>
        <w:lastRenderedPageBreak/>
        <w:t xml:space="preserve">analyse companies, and </w:t>
      </w:r>
      <w:r w:rsidRPr="00E73105">
        <w:rPr>
          <w:i/>
        </w:rPr>
        <w:t>Price to Cash available for Distribution (CAD),</w:t>
      </w:r>
      <w:r w:rsidRPr="00511784">
        <w:t xml:space="preserve"> which is the </w:t>
      </w:r>
      <w:r w:rsidRPr="00BA2CCE">
        <w:t xml:space="preserve">equivalent of price to cash flow (EBITDA), used to analyse companies (www.investopedia.com). </w:t>
      </w:r>
    </w:p>
    <w:p w:rsidR="00534C63" w:rsidRPr="00BA2CCE" w:rsidRDefault="00534C63" w:rsidP="00534C63">
      <w:pPr>
        <w:pStyle w:val="whp20100506"/>
      </w:pPr>
    </w:p>
    <w:p w:rsidR="00534C63" w:rsidRPr="004A308C" w:rsidRDefault="00534C63" w:rsidP="00534C63">
      <w:pPr>
        <w:pStyle w:val="whp20100506"/>
        <w:rPr>
          <w:szCs w:val="20"/>
        </w:rPr>
      </w:pPr>
      <w:r w:rsidRPr="00BA2CCE">
        <w:t>FFO is a figure used</w:t>
      </w:r>
      <w:r w:rsidRPr="00BA2CCE">
        <w:rPr>
          <w:szCs w:val="20"/>
        </w:rPr>
        <w:t xml:space="preserve"> by real</w:t>
      </w:r>
      <w:r w:rsidRPr="004A308C">
        <w:rPr>
          <w:szCs w:val="20"/>
        </w:rPr>
        <w:t xml:space="preserve"> estate investment trusts (</w:t>
      </w:r>
      <w:r w:rsidR="00194F2A">
        <w:rPr>
          <w:szCs w:val="20"/>
        </w:rPr>
        <w:t>REITS</w:t>
      </w:r>
      <w:r w:rsidRPr="004A308C">
        <w:rPr>
          <w:szCs w:val="20"/>
        </w:rPr>
        <w:t>) to define the cash flow from their operations. It is calculated by adding depreciation and amortization expenses to earnings, and sometimes quoted on a per share basis</w:t>
      </w:r>
      <w:r>
        <w:rPr>
          <w:szCs w:val="20"/>
        </w:rPr>
        <w:t xml:space="preserve"> (</w:t>
      </w:r>
      <w:r w:rsidRPr="00AE5F71">
        <w:rPr>
          <w:i/>
          <w:szCs w:val="20"/>
        </w:rPr>
        <w:t>www.investopedia.com</w:t>
      </w:r>
      <w:r>
        <w:rPr>
          <w:szCs w:val="20"/>
        </w:rPr>
        <w:t>)</w:t>
      </w:r>
      <w:r w:rsidRPr="004A308C">
        <w:rPr>
          <w:szCs w:val="20"/>
        </w:rPr>
        <w:t xml:space="preserve">. The FFO-per-share ratio should be used in lieu of EPS when evaluating </w:t>
      </w:r>
      <w:r w:rsidR="00194F2A">
        <w:rPr>
          <w:szCs w:val="20"/>
        </w:rPr>
        <w:t>REITS</w:t>
      </w:r>
      <w:r w:rsidRPr="004A308C">
        <w:rPr>
          <w:szCs w:val="20"/>
        </w:rPr>
        <w:t xml:space="preserve"> and other similar investment trusts.</w:t>
      </w:r>
    </w:p>
    <w:p w:rsidR="00534C63" w:rsidRDefault="00534C63" w:rsidP="00534C63">
      <w:pPr>
        <w:pStyle w:val="whp20100506"/>
      </w:pPr>
      <w:r w:rsidRPr="004A308C">
        <w:t xml:space="preserve"> </w:t>
      </w:r>
    </w:p>
    <w:p w:rsidR="00534C63" w:rsidRDefault="00534C63" w:rsidP="00534C63">
      <w:pPr>
        <w:pStyle w:val="whp20100506"/>
      </w:pPr>
      <w:r>
        <w:t xml:space="preserve">FFO is also </w:t>
      </w:r>
      <w:r w:rsidRPr="004A308C">
        <w:t>defined as net income excluding depreciation and amortisation of properties and gains and losses</w:t>
      </w:r>
      <w:r>
        <w:t xml:space="preserve"> on the sale of real estate and debt restructuring and the adjustment for ownership structures such as joint ventures and partnerships (Java Capital, 2009:1). </w:t>
      </w:r>
    </w:p>
    <w:p w:rsidR="00534C63" w:rsidRDefault="00534C63" w:rsidP="00534C63">
      <w:pPr>
        <w:pStyle w:val="whp20100506"/>
        <w:ind w:left="720"/>
      </w:pPr>
    </w:p>
    <w:p w:rsidR="00534C63" w:rsidRPr="00511784" w:rsidRDefault="00534C63" w:rsidP="00534C63">
      <w:pPr>
        <w:pStyle w:val="whp20100506"/>
      </w:pPr>
      <w:r>
        <w:t>In terms of a closer aligned view of FFO, a more acute ratio is that of Funds Available for Distribution (FAD) and is regarded as a more valuable and meaningful measure of performance than FFO. It is defined as including recurring non revenue generating expenses which are capitalised and necessary to maintain property and its revenue streams (Java Capital, 2009: 2)</w:t>
      </w:r>
    </w:p>
    <w:p w:rsidR="00534C63" w:rsidRPr="00511784" w:rsidRDefault="00534C63" w:rsidP="00534C63">
      <w:pPr>
        <w:pStyle w:val="whp20100506"/>
        <w:ind w:left="720"/>
      </w:pPr>
    </w:p>
    <w:p w:rsidR="00534C63" w:rsidRPr="00511784" w:rsidRDefault="00534C63" w:rsidP="00534C63">
      <w:pPr>
        <w:pStyle w:val="whp20100506"/>
      </w:pPr>
      <w:r>
        <w:t xml:space="preserve">The determination of </w:t>
      </w:r>
      <w:r w:rsidRPr="00E73105">
        <w:rPr>
          <w:i/>
        </w:rPr>
        <w:t>Asset Value</w:t>
      </w:r>
      <w:r>
        <w:t>s</w:t>
      </w:r>
      <w:r w:rsidRPr="00511784">
        <w:t xml:space="preserve"> </w:t>
      </w:r>
      <w:r>
        <w:t xml:space="preserve">is done by way of </w:t>
      </w:r>
      <w:r w:rsidRPr="00511784">
        <w:t>the net private break-up value of REIT assets at a particular point in time</w:t>
      </w:r>
      <w:r>
        <w:t xml:space="preserve"> and is</w:t>
      </w:r>
      <w:r w:rsidRPr="00511784">
        <w:t xml:space="preserve"> used as a comparative valuation tool for similar companies</w:t>
      </w:r>
      <w:r>
        <w:t>. This is</w:t>
      </w:r>
      <w:r w:rsidRPr="00511784">
        <w:t xml:space="preserve"> the equivalent of the book valuation basis used for companies. The </w:t>
      </w:r>
      <w:r>
        <w:t>Net Asset Value (</w:t>
      </w:r>
      <w:r w:rsidRPr="00511784">
        <w:t>NAV</w:t>
      </w:r>
      <w:r>
        <w:t>)</w:t>
      </w:r>
      <w:r w:rsidRPr="00511784">
        <w:t xml:space="preserve"> methodology of REIT is been a hot topic of debate and is discussed in </w:t>
      </w:r>
      <w:r>
        <w:t xml:space="preserve">the </w:t>
      </w:r>
      <w:r w:rsidR="00E07118">
        <w:t>Exploratory Study</w:t>
      </w:r>
      <w:r>
        <w:t xml:space="preserve"> (section D).</w:t>
      </w:r>
    </w:p>
    <w:p w:rsidR="00534C63" w:rsidRPr="00511784" w:rsidRDefault="00534C63" w:rsidP="00534C63">
      <w:pPr>
        <w:pStyle w:val="whp20100506"/>
        <w:ind w:left="720"/>
      </w:pPr>
    </w:p>
    <w:p w:rsidR="00534C63" w:rsidRDefault="00534C63" w:rsidP="00534C63">
      <w:pPr>
        <w:pStyle w:val="whp20100506"/>
      </w:pPr>
      <w:r>
        <w:t xml:space="preserve">Due to the total flow through nature of </w:t>
      </w:r>
      <w:r w:rsidR="00194F2A">
        <w:t>REITS</w:t>
      </w:r>
      <w:r>
        <w:t xml:space="preserve">, at least 90% of its revenue must be paid out to investors as dividends. As such </w:t>
      </w:r>
      <w:r w:rsidRPr="00E73105">
        <w:rPr>
          <w:i/>
        </w:rPr>
        <w:t>Dividend Yields</w:t>
      </w:r>
      <w:r w:rsidRPr="00511784">
        <w:t xml:space="preserve"> </w:t>
      </w:r>
      <w:r>
        <w:t xml:space="preserve">for </w:t>
      </w:r>
      <w:r w:rsidR="00194F2A">
        <w:t>REITS</w:t>
      </w:r>
      <w:r w:rsidRPr="00511784">
        <w:t xml:space="preserve"> is</w:t>
      </w:r>
      <w:r>
        <w:t xml:space="preserve"> only</w:t>
      </w:r>
      <w:r w:rsidRPr="00511784">
        <w:t xml:space="preserve"> comparable to other asset classes </w:t>
      </w:r>
      <w:r>
        <w:t>of a similar nature which includes assets such as</w:t>
      </w:r>
      <w:r w:rsidRPr="00511784">
        <w:t xml:space="preserve"> bonds.</w:t>
      </w:r>
      <w:r>
        <w:t xml:space="preserve"> </w:t>
      </w:r>
    </w:p>
    <w:p w:rsidR="00534C63" w:rsidRDefault="00534C63" w:rsidP="00534C63">
      <w:pPr>
        <w:pStyle w:val="whp20100506"/>
        <w:ind w:left="720"/>
      </w:pPr>
    </w:p>
    <w:p w:rsidR="00534C63" w:rsidRPr="00AE3EB6" w:rsidRDefault="00534C63" w:rsidP="00534C63">
      <w:pPr>
        <w:pStyle w:val="whp20100506"/>
      </w:pPr>
      <w:r w:rsidRPr="00AE3EB6">
        <w:t xml:space="preserve">Since </w:t>
      </w:r>
      <w:r w:rsidR="00194F2A">
        <w:t>REITS</w:t>
      </w:r>
      <w:r w:rsidRPr="00AE3EB6">
        <w:t xml:space="preserve"> are primarily in the business of investing in properties, revenue is generated through the presence of lease agreements. As such the fundamental principles of measuring the performance of a </w:t>
      </w:r>
      <w:r>
        <w:t>REIT,</w:t>
      </w:r>
      <w:r w:rsidRPr="00AE3EB6">
        <w:t xml:space="preserve"> and moreover its growth potential, investors also scrutinise the </w:t>
      </w:r>
      <w:r w:rsidRPr="00AE3EB6">
        <w:rPr>
          <w:i/>
        </w:rPr>
        <w:t>Occupancy Rates</w:t>
      </w:r>
      <w:r w:rsidRPr="00AE3EB6">
        <w:t xml:space="preserve"> or </w:t>
      </w:r>
      <w:r>
        <w:t>alternatively</w:t>
      </w:r>
      <w:r w:rsidRPr="00AE3EB6">
        <w:t xml:space="preserve"> the </w:t>
      </w:r>
      <w:r w:rsidRPr="00AE3EB6">
        <w:rPr>
          <w:i/>
        </w:rPr>
        <w:t>Vacancy Rates</w:t>
      </w:r>
      <w:r w:rsidRPr="00AE3EB6">
        <w:t xml:space="preserve"> within a REIT. The </w:t>
      </w:r>
      <w:r w:rsidRPr="00AE3EB6">
        <w:rPr>
          <w:i/>
        </w:rPr>
        <w:t>Vacancy Rate</w:t>
      </w:r>
      <w:r w:rsidRPr="00AE3EB6">
        <w:t xml:space="preserve"> is </w:t>
      </w:r>
      <w:r w:rsidRPr="00AE3EB6">
        <w:lastRenderedPageBreak/>
        <w:t xml:space="preserve">determined as the percentage of all units or space that is unoccupied or not rented and can also be a projected vacancy rate used to estimate the vacancy allowances within a REIT, which is then deducted from potential </w:t>
      </w:r>
      <w:hyperlink r:id="rId14" w:tgtFrame="_top" w:history="1">
        <w:r w:rsidRPr="00AE3EB6">
          <w:rPr>
            <w:rStyle w:val="Hyperlink"/>
            <w:rFonts w:ascii="Times New Roman" w:hAnsi="Times New Roman"/>
          </w:rPr>
          <w:t>Gross Income</w:t>
        </w:r>
      </w:hyperlink>
      <w:r w:rsidRPr="00AE3EB6">
        <w:t xml:space="preserve"> to derive an</w:t>
      </w:r>
      <w:r>
        <w:t xml:space="preserve"> effective Gross I</w:t>
      </w:r>
      <w:r w:rsidRPr="00AE3EB6">
        <w:t>ncome</w:t>
      </w:r>
      <w:r>
        <w:t xml:space="preserve"> (</w:t>
      </w:r>
      <w:r w:rsidRPr="00AE5F71">
        <w:rPr>
          <w:i/>
        </w:rPr>
        <w:t>www.wiki.answers.com</w:t>
      </w:r>
      <w:r>
        <w:t>)</w:t>
      </w:r>
      <w:r w:rsidRPr="00AE3EB6">
        <w:t>.</w:t>
      </w:r>
    </w:p>
    <w:p w:rsidR="00534C63" w:rsidRDefault="00534C63" w:rsidP="00534C63">
      <w:pPr>
        <w:pStyle w:val="whp20100506"/>
      </w:pPr>
    </w:p>
    <w:p w:rsidR="00534C63" w:rsidRDefault="00534C63" w:rsidP="00534C63">
      <w:pPr>
        <w:pStyle w:val="whp20100506"/>
      </w:pPr>
      <w:r w:rsidRPr="00511784">
        <w:t xml:space="preserve">Internationally there are a number of indices which are available to investors to help track and monitor the performance of </w:t>
      </w:r>
      <w:r w:rsidR="00194F2A">
        <w:t>REITS</w:t>
      </w:r>
      <w:r>
        <w:t xml:space="preserve"> from the perspective of seasoned fund managers and the market as a whole</w:t>
      </w:r>
      <w:r w:rsidRPr="00511784">
        <w:t>. The most popular of these global indices include</w:t>
      </w:r>
      <w:r>
        <w:t xml:space="preserve"> </w:t>
      </w:r>
      <w:r w:rsidRPr="00511784">
        <w:t>NAREIT Composite and Equities Indices</w:t>
      </w:r>
      <w:r>
        <w:t xml:space="preserve">, </w:t>
      </w:r>
      <w:r w:rsidRPr="00511784">
        <w:t>Wilshire Real Estate Securities Index</w:t>
      </w:r>
      <w:r>
        <w:t xml:space="preserve">, </w:t>
      </w:r>
      <w:r w:rsidRPr="00511784">
        <w:t>Global Property Research 250 Index</w:t>
      </w:r>
      <w:r>
        <w:t xml:space="preserve">, </w:t>
      </w:r>
      <w:r w:rsidRPr="00511784">
        <w:t>Cohen and Steers Realty Majors Index</w:t>
      </w:r>
      <w:r>
        <w:t xml:space="preserve">, </w:t>
      </w:r>
      <w:r w:rsidRPr="00511784">
        <w:t>S&amp;P REIT Composite Index</w:t>
      </w:r>
      <w:r>
        <w:t xml:space="preserve">, </w:t>
      </w:r>
      <w:r w:rsidRPr="00511784">
        <w:t>MSCI US REIT Index</w:t>
      </w:r>
      <w:r>
        <w:t xml:space="preserve">. </w:t>
      </w:r>
    </w:p>
    <w:p w:rsidR="00534C63" w:rsidRDefault="00534C63" w:rsidP="00534C63">
      <w:pPr>
        <w:pStyle w:val="whp20100506"/>
      </w:pPr>
    </w:p>
    <w:p w:rsidR="00534C63" w:rsidRPr="00511784" w:rsidRDefault="00534C63" w:rsidP="00534C63">
      <w:pPr>
        <w:pStyle w:val="whp20100506"/>
      </w:pPr>
      <w:r>
        <w:t>I</w:t>
      </w:r>
      <w:r w:rsidRPr="00511784">
        <w:t>t is imperative that the National Treasury and local industry players familiarise themselves with the measures and ratios used to calculate the performance of REIT in their financial statements</w:t>
      </w:r>
      <w:r w:rsidRPr="00511784">
        <w:rPr>
          <w:rStyle w:val="FootnoteReference"/>
        </w:rPr>
        <w:footnoteReference w:id="12"/>
      </w:r>
      <w:r>
        <w:t>. This would require the</w:t>
      </w:r>
      <w:r w:rsidRPr="00511784">
        <w:t xml:space="preserve"> National Treasury to consult with financial and accounting professionals to correctly use the necessary international ratio terminology and definitions</w:t>
      </w:r>
      <w:r>
        <w:t xml:space="preserve"> as a guide in establishing the legal and tax frameworks which is discussed below.</w:t>
      </w:r>
    </w:p>
    <w:p w:rsidR="00534C63" w:rsidRPr="003B1651" w:rsidRDefault="00534C63" w:rsidP="00534C63">
      <w:pPr>
        <w:pStyle w:val="whp20100506"/>
        <w:ind w:left="720"/>
        <w:rPr>
          <w:b/>
        </w:rPr>
      </w:pPr>
    </w:p>
    <w:p w:rsidR="00534C63" w:rsidRPr="003B1651" w:rsidRDefault="00534C63" w:rsidP="00534C63">
      <w:pPr>
        <w:pStyle w:val="whp20100506"/>
        <w:numPr>
          <w:ilvl w:val="2"/>
          <w:numId w:val="2"/>
        </w:numPr>
        <w:ind w:left="450" w:hanging="450"/>
        <w:rPr>
          <w:b/>
        </w:rPr>
      </w:pPr>
      <w:r w:rsidRPr="003B1651">
        <w:rPr>
          <w:b/>
        </w:rPr>
        <w:t xml:space="preserve">WHY INCLUDE </w:t>
      </w:r>
      <w:r w:rsidR="00194F2A">
        <w:rPr>
          <w:b/>
        </w:rPr>
        <w:t>REITS</w:t>
      </w:r>
      <w:r w:rsidRPr="003B1651">
        <w:rPr>
          <w:b/>
        </w:rPr>
        <w:t xml:space="preserve"> IN AN INVESTMENT PORTFOLIO </w:t>
      </w:r>
    </w:p>
    <w:p w:rsidR="00534C63" w:rsidRPr="003B1651" w:rsidRDefault="00534C63" w:rsidP="00534C63">
      <w:pPr>
        <w:pStyle w:val="whp20100506"/>
        <w:ind w:left="720"/>
        <w:rPr>
          <w:b/>
        </w:rPr>
      </w:pPr>
    </w:p>
    <w:p w:rsidR="00534C63" w:rsidRDefault="00534C63" w:rsidP="00534C63">
      <w:pPr>
        <w:pStyle w:val="whp20100506"/>
        <w:rPr>
          <w:szCs w:val="16"/>
        </w:rPr>
      </w:pPr>
      <w:r w:rsidRPr="001B21E4">
        <w:rPr>
          <w:szCs w:val="16"/>
        </w:rPr>
        <w:t xml:space="preserve">Ibbotson Associates is a leading US authority on asset allocation with expertise in capital market expectations and portfolio implementation. </w:t>
      </w:r>
      <w:r w:rsidRPr="00511784">
        <w:rPr>
          <w:lang w:eastAsia="en-ZA"/>
        </w:rPr>
        <w:t xml:space="preserve">Ibbotson was commissioned </w:t>
      </w:r>
      <w:r>
        <w:rPr>
          <w:lang w:eastAsia="en-ZA"/>
        </w:rPr>
        <w:t xml:space="preserve">in 2006 </w:t>
      </w:r>
      <w:r w:rsidRPr="00511784">
        <w:rPr>
          <w:lang w:eastAsia="en-ZA"/>
        </w:rPr>
        <w:t xml:space="preserve">by the National Association of Real Estate Investment Trusts (NAREIT) </w:t>
      </w:r>
      <w:r>
        <w:rPr>
          <w:lang w:eastAsia="en-ZA"/>
        </w:rPr>
        <w:t xml:space="preserve">to </w:t>
      </w:r>
      <w:r w:rsidRPr="00511784">
        <w:rPr>
          <w:lang w:eastAsia="en-ZA"/>
        </w:rPr>
        <w:t>conduct a comprehensive analysis of</w:t>
      </w:r>
      <w:r w:rsidRPr="00511784">
        <w:rPr>
          <w:bCs/>
          <w:lang w:eastAsia="en-ZA"/>
        </w:rPr>
        <w:t xml:space="preserve"> the historical performance of REIT equity securities</w:t>
      </w:r>
      <w:r>
        <w:rPr>
          <w:bCs/>
          <w:lang w:eastAsia="en-ZA"/>
        </w:rPr>
        <w:t xml:space="preserve">. The purpose was </w:t>
      </w:r>
      <w:r w:rsidRPr="00511784">
        <w:rPr>
          <w:bCs/>
          <w:lang w:eastAsia="en-ZA"/>
        </w:rPr>
        <w:t>to determine whether real estate stocks provide any significant benefits in diversified portfolios.</w:t>
      </w:r>
    </w:p>
    <w:p w:rsidR="00534C63" w:rsidRDefault="00534C63" w:rsidP="00534C63">
      <w:pPr>
        <w:pStyle w:val="whp20100506"/>
        <w:ind w:left="720"/>
        <w:rPr>
          <w:szCs w:val="16"/>
        </w:rPr>
      </w:pPr>
    </w:p>
    <w:p w:rsidR="00534C63" w:rsidRPr="001B21E4" w:rsidRDefault="00534C63" w:rsidP="00534C63">
      <w:pPr>
        <w:pStyle w:val="whp20100506"/>
        <w:rPr>
          <w:szCs w:val="16"/>
        </w:rPr>
      </w:pPr>
      <w:r w:rsidRPr="001B21E4">
        <w:rPr>
          <w:szCs w:val="16"/>
        </w:rPr>
        <w:t>Ibbotson’s analysis</w:t>
      </w:r>
      <w:r>
        <w:rPr>
          <w:rStyle w:val="FootnoteReference"/>
          <w:szCs w:val="16"/>
        </w:rPr>
        <w:footnoteReference w:id="13"/>
      </w:r>
      <w:r w:rsidRPr="001B21E4">
        <w:rPr>
          <w:szCs w:val="16"/>
        </w:rPr>
        <w:t xml:space="preserve"> was done on the basis of a $10,000 investment in a non-REIT portfolio using 1992 values with dividends reinvested over the course of the period under </w:t>
      </w:r>
      <w:r>
        <w:rPr>
          <w:szCs w:val="16"/>
        </w:rPr>
        <w:t xml:space="preserve">review. It </w:t>
      </w:r>
      <w:r w:rsidRPr="001B21E4">
        <w:rPr>
          <w:szCs w:val="16"/>
        </w:rPr>
        <w:t>found that the fund would have matured to $25,940 by 2001. A portfolio of a similar risk profile</w:t>
      </w:r>
      <w:r>
        <w:rPr>
          <w:szCs w:val="16"/>
        </w:rPr>
        <w:t>, and</w:t>
      </w:r>
      <w:r w:rsidRPr="001B21E4">
        <w:rPr>
          <w:szCs w:val="16"/>
        </w:rPr>
        <w:t xml:space="preserve"> included an allocation of 10</w:t>
      </w:r>
      <w:r>
        <w:rPr>
          <w:szCs w:val="16"/>
        </w:rPr>
        <w:t>%</w:t>
      </w:r>
      <w:r w:rsidRPr="001B21E4">
        <w:rPr>
          <w:szCs w:val="16"/>
        </w:rPr>
        <w:t xml:space="preserve"> to </w:t>
      </w:r>
      <w:r w:rsidR="00194F2A">
        <w:rPr>
          <w:szCs w:val="16"/>
        </w:rPr>
        <w:t>REITS</w:t>
      </w:r>
      <w:r>
        <w:rPr>
          <w:szCs w:val="16"/>
        </w:rPr>
        <w:t>,</w:t>
      </w:r>
      <w:r w:rsidRPr="001B21E4">
        <w:rPr>
          <w:szCs w:val="16"/>
        </w:rPr>
        <w:t xml:space="preserve"> would have increased to $27,890 by the </w:t>
      </w:r>
      <w:r w:rsidRPr="001B21E4">
        <w:rPr>
          <w:szCs w:val="16"/>
        </w:rPr>
        <w:lastRenderedPageBreak/>
        <w:t>end of last year. A third portfolio, adjusted to include a 20% REIT allocation, would have retur</w:t>
      </w:r>
      <w:r>
        <w:rPr>
          <w:szCs w:val="16"/>
        </w:rPr>
        <w:t xml:space="preserve">ned $29,170, a gain of 12.5 %, </w:t>
      </w:r>
      <w:r w:rsidRPr="001B21E4">
        <w:rPr>
          <w:szCs w:val="16"/>
        </w:rPr>
        <w:t xml:space="preserve">or </w:t>
      </w:r>
      <w:r>
        <w:rPr>
          <w:szCs w:val="16"/>
        </w:rPr>
        <w:t xml:space="preserve">more than $3,000, </w:t>
      </w:r>
      <w:r w:rsidRPr="001B21E4">
        <w:rPr>
          <w:szCs w:val="16"/>
        </w:rPr>
        <w:t>over the non-REIT portfolio over the course of the decade measured.</w:t>
      </w:r>
    </w:p>
    <w:p w:rsidR="00534C63" w:rsidRPr="00511784" w:rsidRDefault="00534C63" w:rsidP="00534C63">
      <w:pPr>
        <w:pStyle w:val="whp20100506"/>
        <w:ind w:left="720"/>
      </w:pPr>
    </w:p>
    <w:p w:rsidR="00534C63" w:rsidRPr="00F54D2E" w:rsidRDefault="00534C63" w:rsidP="00534C63">
      <w:pPr>
        <w:pStyle w:val="whp20100506"/>
      </w:pPr>
      <w:r w:rsidRPr="00511784">
        <w:rPr>
          <w:lang w:eastAsia="en-ZA"/>
        </w:rPr>
        <w:t xml:space="preserve">The result of the study showed that REIT improved the efficient frontier of a multi asset portfolio and </w:t>
      </w:r>
      <w:r w:rsidRPr="00F54D2E">
        <w:rPr>
          <w:lang w:eastAsia="en-ZA"/>
        </w:rPr>
        <w:t>identified</w:t>
      </w:r>
      <w:r w:rsidRPr="00F54D2E">
        <w:rPr>
          <w:bCs/>
          <w:lang w:eastAsia="en-ZA"/>
        </w:rPr>
        <w:t xml:space="preserve"> that the income flows and moderate asset value appreciation of REIT protects investors against inflation over long investment time spans. In particular, Ibbotson Associates found</w:t>
      </w:r>
      <w:r w:rsidRPr="00F54D2E">
        <w:rPr>
          <w:bCs/>
          <w:noProof/>
          <w:lang w:eastAsia="en-ZA"/>
        </w:rPr>
        <w:t xml:space="preserve"> </w:t>
      </w:r>
      <w:r w:rsidRPr="00F54D2E">
        <w:rPr>
          <w:noProof/>
          <w:lang w:eastAsia="en-ZA"/>
        </w:rPr>
        <w:t xml:space="preserve">that </w:t>
      </w:r>
      <w:r w:rsidR="00194F2A">
        <w:t>REITS</w:t>
      </w:r>
      <w:r w:rsidRPr="00F54D2E">
        <w:t xml:space="preserve"> offer an attractive risk / reward trade off and that </w:t>
      </w:r>
      <w:r w:rsidR="00194F2A">
        <w:t>REITS</w:t>
      </w:r>
      <w:r w:rsidRPr="00F54D2E">
        <w:t xml:space="preserve"> may boost return and / or reduce risk when it is added to a diversified portfolio.</w:t>
      </w:r>
    </w:p>
    <w:p w:rsidR="00534C63" w:rsidRPr="00F54D2E" w:rsidRDefault="00534C63" w:rsidP="00534C63">
      <w:pPr>
        <w:pStyle w:val="whp20100506"/>
        <w:ind w:left="720"/>
      </w:pPr>
    </w:p>
    <w:p w:rsidR="00534C63" w:rsidRDefault="00534C63" w:rsidP="00534C63">
      <w:pPr>
        <w:pStyle w:val="whp20100506"/>
      </w:pPr>
      <w:r w:rsidRPr="00F54D2E">
        <w:t>There are numerous theories pertaining</w:t>
      </w:r>
      <w:r w:rsidRPr="00511784">
        <w:t xml:space="preserve"> to the addition of REIT to investment asset portfolios however </w:t>
      </w:r>
      <w:r>
        <w:t xml:space="preserve">while it </w:t>
      </w:r>
      <w:r w:rsidRPr="00511784">
        <w:t xml:space="preserve"> is not the subject matter of this</w:t>
      </w:r>
      <w:r>
        <w:t xml:space="preserve"> Research Report it is worth noting the value of </w:t>
      </w:r>
      <w:r w:rsidR="00194F2A">
        <w:t>REITS</w:t>
      </w:r>
      <w:r>
        <w:t xml:space="preserve"> for South Africa</w:t>
      </w:r>
      <w:r w:rsidRPr="00511784">
        <w:t xml:space="preserve">. </w:t>
      </w:r>
    </w:p>
    <w:p w:rsidR="00534C63" w:rsidRDefault="00534C63" w:rsidP="00534C63">
      <w:pPr>
        <w:pStyle w:val="whp20100506"/>
      </w:pPr>
    </w:p>
    <w:p w:rsidR="00534C63" w:rsidRDefault="00194F2A" w:rsidP="00534C63">
      <w:pPr>
        <w:pStyle w:val="whp20100506"/>
      </w:pPr>
      <w:r>
        <w:t>REITS</w:t>
      </w:r>
      <w:r w:rsidR="00534C63">
        <w:t xml:space="preserve"> in its basic make of lease rentals and escalations allow for a fairly simple business model of predicting and understanding future performance. Cheng &amp; Roulac (2007) found that through the design of a multifactor model, it is possible compare the relationship between return predictability and the characteristics of </w:t>
      </w:r>
      <w:r>
        <w:t>REITS</w:t>
      </w:r>
      <w:r w:rsidR="00534C63">
        <w:t xml:space="preserve"> with considerably high consistency and in so doing predict the ‘winners’ and ‘losers’ within a REIT portfolio. The existence of this method of forecasting would certainly enhance the favourability of </w:t>
      </w:r>
      <w:r>
        <w:t>REITS</w:t>
      </w:r>
      <w:r w:rsidR="00534C63">
        <w:t xml:space="preserve"> ahead of equity investments and thus be of tremendous interest to investors and portfolio managers. </w:t>
      </w:r>
    </w:p>
    <w:p w:rsidR="00534C63" w:rsidRDefault="00534C63" w:rsidP="00534C63">
      <w:pPr>
        <w:pStyle w:val="whp20100506"/>
      </w:pPr>
    </w:p>
    <w:p w:rsidR="00534C63" w:rsidRDefault="00534C63" w:rsidP="00534C63">
      <w:pPr>
        <w:pStyle w:val="whp20100506"/>
      </w:pPr>
      <w:r>
        <w:t xml:space="preserve">REIT funds are firm favourites with pension and provident funds due to the consistency of revenue flows within the fund. As proof of the consistency within the sector, Ling and Naranjo (2003) found that equity flows of REIT are significantly positively related to the flow of the prior quarter whilst being negatively linked to flows from two quarters previous. The predictability of </w:t>
      </w:r>
      <w:r w:rsidR="00194F2A">
        <w:t>REITS</w:t>
      </w:r>
      <w:r>
        <w:t xml:space="preserve"> therefore allow for fund managers to adapt and change their portfolio make up when necessary, which is not as easy with traditional equity shares.</w:t>
      </w:r>
    </w:p>
    <w:p w:rsidR="00534C63" w:rsidRDefault="00534C63" w:rsidP="00534C63">
      <w:pPr>
        <w:pStyle w:val="whp20100506"/>
      </w:pPr>
    </w:p>
    <w:p w:rsidR="00534C63" w:rsidRDefault="00534C63" w:rsidP="00534C63">
      <w:pPr>
        <w:pStyle w:val="whp20100506"/>
      </w:pPr>
      <w:r>
        <w:t xml:space="preserve">As far as an investment portfolio seeking diversification between direct and indirect investment in property, Payton, Park &amp; Lotito (2007) show that the combination of </w:t>
      </w:r>
      <w:r w:rsidR="00194F2A">
        <w:t>REITS</w:t>
      </w:r>
      <w:r>
        <w:t xml:space="preserve"> and real estate can enhance the potential returns and lower the risk of an investment portfolio. Their conclusions are based not on the commonalities that exist between </w:t>
      </w:r>
      <w:r w:rsidR="00194F2A">
        <w:t>REITS</w:t>
      </w:r>
      <w:r>
        <w:t xml:space="preserve"> and real </w:t>
      </w:r>
      <w:r>
        <w:lastRenderedPageBreak/>
        <w:t xml:space="preserve">estate but rather their differences being in liquidity and leverage that enhance returns. They describe </w:t>
      </w:r>
      <w:r w:rsidR="00194F2A">
        <w:t>REITS</w:t>
      </w:r>
      <w:r>
        <w:t xml:space="preserve"> as a direct investment in real estate but with a stock market ‘wrapper’ that represents the difference between public and private ownership of property. </w:t>
      </w:r>
    </w:p>
    <w:p w:rsidR="00534C63" w:rsidRPr="00866EF4" w:rsidRDefault="00534C63" w:rsidP="00534C63">
      <w:pPr>
        <w:pStyle w:val="whp20100506"/>
      </w:pPr>
    </w:p>
    <w:p w:rsidR="00534C63" w:rsidRPr="00866EF4" w:rsidRDefault="00534C63" w:rsidP="00534C63">
      <w:pPr>
        <w:pStyle w:val="whp20100506"/>
      </w:pPr>
      <w:r w:rsidRPr="00866EF4">
        <w:t xml:space="preserve">The benefits of </w:t>
      </w:r>
      <w:r w:rsidR="00194F2A">
        <w:t>REITS</w:t>
      </w:r>
      <w:r w:rsidRPr="00866EF4">
        <w:t xml:space="preserve"> for South African investors are </w:t>
      </w:r>
      <w:r>
        <w:t xml:space="preserve">therefore </w:t>
      </w:r>
      <w:r w:rsidRPr="00866EF4">
        <w:t>both immense and incalculable over and above the aforementioned investment fundamentals. In a 2007 interview, Mr Brian Azizollahoff of Redefine Income Fund said the following as a comparison of the international REIT community and the South Africa listed property sector</w:t>
      </w:r>
      <w:r w:rsidRPr="00866EF4">
        <w:rPr>
          <w:rStyle w:val="FootnoteReference"/>
        </w:rPr>
        <w:footnoteReference w:id="14"/>
      </w:r>
      <w:r w:rsidRPr="00866EF4">
        <w:t>:</w:t>
      </w:r>
    </w:p>
    <w:p w:rsidR="00534C63" w:rsidRPr="00866EF4" w:rsidRDefault="00534C63" w:rsidP="00534C63">
      <w:pPr>
        <w:pStyle w:val="whp20100506"/>
      </w:pPr>
    </w:p>
    <w:p w:rsidR="00534C63" w:rsidRDefault="00534C63" w:rsidP="00534C63">
      <w:pPr>
        <w:pStyle w:val="whp20100506"/>
      </w:pPr>
      <w:r w:rsidRPr="00866EF4">
        <w:t>“</w:t>
      </w:r>
      <w:r w:rsidRPr="00866EF4">
        <w:rPr>
          <w:i/>
        </w:rPr>
        <w:t xml:space="preserve">Firstly it may look like a duck and it may quack like a duck but if it is not a duck then it is something else. Secondly if South Africa wants to play with the international REIT community then we have to look like them...for South Africa to take its rightful place in the international arena, our property companies must do to more than just ‘quack’ like </w:t>
      </w:r>
      <w:r w:rsidR="00194F2A">
        <w:rPr>
          <w:i/>
        </w:rPr>
        <w:t>REITS</w:t>
      </w:r>
      <w:r w:rsidRPr="00866EF4">
        <w:rPr>
          <w:i/>
        </w:rPr>
        <w:t xml:space="preserve">. Both property unit trusts and property loan stocks have elements of </w:t>
      </w:r>
      <w:r w:rsidR="00194F2A">
        <w:rPr>
          <w:i/>
        </w:rPr>
        <w:t>REITS</w:t>
      </w:r>
      <w:r w:rsidRPr="00866EF4">
        <w:rPr>
          <w:i/>
        </w:rPr>
        <w:t xml:space="preserve"> but neither of them </w:t>
      </w:r>
      <w:r w:rsidR="00032422" w:rsidRPr="00866EF4">
        <w:rPr>
          <w:i/>
        </w:rPr>
        <w:t>is</w:t>
      </w:r>
      <w:r w:rsidRPr="00866EF4">
        <w:rPr>
          <w:i/>
        </w:rPr>
        <w:t xml:space="preserve"> in fact </w:t>
      </w:r>
      <w:r w:rsidR="00194F2A">
        <w:rPr>
          <w:i/>
        </w:rPr>
        <w:t>REITS</w:t>
      </w:r>
      <w:r w:rsidRPr="00866EF4">
        <w:t>”.</w:t>
      </w:r>
    </w:p>
    <w:p w:rsidR="00E70003" w:rsidRPr="00866EF4" w:rsidRDefault="00E70003" w:rsidP="00534C63">
      <w:pPr>
        <w:pStyle w:val="whp20100506"/>
      </w:pPr>
    </w:p>
    <w:p w:rsidR="00534C63" w:rsidRPr="00AE68C5" w:rsidRDefault="00534C63" w:rsidP="00534C63">
      <w:pPr>
        <w:pStyle w:val="whp20100506"/>
        <w:numPr>
          <w:ilvl w:val="2"/>
          <w:numId w:val="2"/>
        </w:numPr>
        <w:ind w:left="450" w:hanging="450"/>
        <w:rPr>
          <w:b/>
        </w:rPr>
      </w:pPr>
      <w:r w:rsidRPr="00AE68C5">
        <w:rPr>
          <w:b/>
        </w:rPr>
        <w:t xml:space="preserve">THE DISADVANTAGES OF </w:t>
      </w:r>
      <w:r w:rsidR="00194F2A">
        <w:rPr>
          <w:b/>
        </w:rPr>
        <w:t>REITS</w:t>
      </w:r>
      <w:r w:rsidRPr="00AE68C5">
        <w:rPr>
          <w:b/>
        </w:rPr>
        <w:t xml:space="preserve"> </w:t>
      </w:r>
    </w:p>
    <w:p w:rsidR="00534C63" w:rsidRDefault="00534C63" w:rsidP="00534C63">
      <w:pPr>
        <w:pStyle w:val="whp20100506"/>
      </w:pPr>
    </w:p>
    <w:p w:rsidR="00534C63" w:rsidRDefault="00534C63" w:rsidP="00534C63">
      <w:pPr>
        <w:pStyle w:val="whp20100506"/>
      </w:pPr>
      <w:r>
        <w:t>As with most</w:t>
      </w:r>
      <w:r w:rsidRPr="00511784">
        <w:t xml:space="preserve"> other investment form, </w:t>
      </w:r>
      <w:r w:rsidR="00194F2A">
        <w:t>REITS</w:t>
      </w:r>
      <w:r w:rsidRPr="00511784">
        <w:t xml:space="preserve"> have certain inherent risks</w:t>
      </w:r>
      <w:r>
        <w:t xml:space="preserve"> which are vital for the National Treasury to take cognisance of when drafting their final REIT framework</w:t>
      </w:r>
      <w:r w:rsidRPr="00511784">
        <w:t xml:space="preserve">. These risks exist both in the REIT as an investment class but also hangs over the market as whole in which it operates. </w:t>
      </w:r>
    </w:p>
    <w:p w:rsidR="00534C63" w:rsidRDefault="00534C63" w:rsidP="00534C63">
      <w:pPr>
        <w:pStyle w:val="whp20100506"/>
      </w:pPr>
    </w:p>
    <w:p w:rsidR="00534C63" w:rsidRDefault="00534C63" w:rsidP="00534C63">
      <w:pPr>
        <w:pStyle w:val="whp20100506"/>
      </w:pPr>
      <w:r>
        <w:t xml:space="preserve">Campbell and Sirmans (2002) found that the potential </w:t>
      </w:r>
      <w:r w:rsidR="00032422">
        <w:t xml:space="preserve">disadvantages of </w:t>
      </w:r>
      <w:r w:rsidR="00194F2A">
        <w:t>REITS</w:t>
      </w:r>
      <w:r w:rsidR="00032422">
        <w:t xml:space="preserve"> include</w:t>
      </w:r>
      <w:r>
        <w:t xml:space="preserve"> the following:</w:t>
      </w:r>
    </w:p>
    <w:p w:rsidR="00534C63" w:rsidRDefault="00534C63" w:rsidP="00534C63">
      <w:pPr>
        <w:pStyle w:val="whp20100506"/>
      </w:pPr>
    </w:p>
    <w:p w:rsidR="00534C63" w:rsidRDefault="00534C63" w:rsidP="00534C63">
      <w:pPr>
        <w:pStyle w:val="whp20100506"/>
        <w:numPr>
          <w:ilvl w:val="0"/>
          <w:numId w:val="21"/>
        </w:numPr>
        <w:ind w:left="360"/>
      </w:pPr>
      <w:r>
        <w:t>Reduced revenue from corporate taxes which creates a distribution of the tax burden to other firms or individuals;</w:t>
      </w:r>
    </w:p>
    <w:p w:rsidR="00534C63" w:rsidRDefault="00534C63" w:rsidP="00534C63">
      <w:pPr>
        <w:pStyle w:val="whp20100506"/>
        <w:ind w:left="360"/>
      </w:pPr>
    </w:p>
    <w:p w:rsidR="00534C63" w:rsidRDefault="00534C63" w:rsidP="00534C63">
      <w:pPr>
        <w:pStyle w:val="whp20100506"/>
        <w:numPr>
          <w:ilvl w:val="0"/>
          <w:numId w:val="21"/>
        </w:numPr>
        <w:ind w:left="360"/>
      </w:pPr>
      <w:r>
        <w:t>Companies that are taxed will struggle to compete with the tax advantages that a REIT has despite the flexibility of the taxable company;</w:t>
      </w:r>
    </w:p>
    <w:p w:rsidR="00534C63" w:rsidRDefault="00534C63" w:rsidP="00534C63">
      <w:pPr>
        <w:ind w:left="709" w:hanging="709"/>
      </w:pPr>
    </w:p>
    <w:p w:rsidR="00534C63" w:rsidRDefault="00534C63" w:rsidP="00534C63">
      <w:pPr>
        <w:pStyle w:val="whp20100506"/>
        <w:numPr>
          <w:ilvl w:val="0"/>
          <w:numId w:val="21"/>
        </w:numPr>
        <w:ind w:left="360"/>
      </w:pPr>
      <w:r>
        <w:lastRenderedPageBreak/>
        <w:t xml:space="preserve">The institutional limitations placed upon </w:t>
      </w:r>
      <w:r w:rsidR="00194F2A">
        <w:t>REITS</w:t>
      </w:r>
      <w:r>
        <w:t xml:space="preserve"> will reduce the efficiency of its operations</w:t>
      </w:r>
    </w:p>
    <w:p w:rsidR="00534C63" w:rsidRDefault="00534C63" w:rsidP="00534C63">
      <w:pPr>
        <w:pStyle w:val="whp20100506"/>
      </w:pPr>
    </w:p>
    <w:p w:rsidR="00534C63" w:rsidRDefault="00534C63" w:rsidP="00534C63">
      <w:pPr>
        <w:pStyle w:val="whp20100506"/>
      </w:pPr>
      <w:r w:rsidRPr="00511784">
        <w:t xml:space="preserve">A notable but minor disadvantage for the passive REIT investor is the lack of control that </w:t>
      </w:r>
      <w:r>
        <w:t>the smaller investor</w:t>
      </w:r>
      <w:r w:rsidRPr="00511784">
        <w:t xml:space="preserve"> has over the asset management decisions and strategies</w:t>
      </w:r>
      <w:r>
        <w:t xml:space="preserve">. All operational decisions are </w:t>
      </w:r>
      <w:r w:rsidRPr="00511784">
        <w:t>left to the decision making</w:t>
      </w:r>
      <w:r>
        <w:t xml:space="preserve"> abilities</w:t>
      </w:r>
      <w:r w:rsidRPr="00511784">
        <w:t xml:space="preserve"> of the appointed fund manager and his team. However </w:t>
      </w:r>
      <w:r>
        <w:t xml:space="preserve">Mile (2000) found that </w:t>
      </w:r>
      <w:r w:rsidRPr="00511784">
        <w:t xml:space="preserve">depending the risk profile of the REIT, </w:t>
      </w:r>
      <w:r>
        <w:t>all management companies</w:t>
      </w:r>
      <w:r w:rsidRPr="00511784">
        <w:t xml:space="preserve"> act within </w:t>
      </w:r>
      <w:r>
        <w:t xml:space="preserve">their </w:t>
      </w:r>
      <w:r w:rsidRPr="00511784">
        <w:t xml:space="preserve">defined investment mandate and objectives, which </w:t>
      </w:r>
      <w:r>
        <w:t xml:space="preserve">an </w:t>
      </w:r>
      <w:r w:rsidRPr="00511784">
        <w:t>investor</w:t>
      </w:r>
      <w:r>
        <w:t xml:space="preserve"> must acquaint themselves through the prospectus.</w:t>
      </w:r>
    </w:p>
    <w:p w:rsidR="00534C63" w:rsidRDefault="00534C63" w:rsidP="00534C63">
      <w:pPr>
        <w:pStyle w:val="whp20100506"/>
        <w:rPr>
          <w:noProof/>
        </w:rPr>
      </w:pPr>
      <w:r>
        <w:rPr>
          <w:noProof/>
        </w:rPr>
        <w:t xml:space="preserve"> </w:t>
      </w:r>
    </w:p>
    <w:p w:rsidR="00534C63" w:rsidRPr="0030237E" w:rsidRDefault="00534C63" w:rsidP="00534C63">
      <w:pPr>
        <w:pStyle w:val="whp20100506"/>
      </w:pPr>
      <w:r w:rsidRPr="0030237E">
        <w:t xml:space="preserve">The overall disadvantages of REIT were comprehensively exposed with the advent of the recent global economic turbulence where broader market volatility severely impacted upon the performances of REIT. As such the disadvantages and risk exposures that investing in REIT has for shareholders been highlighted and a number of international factors have contributed in the fall of value in </w:t>
      </w:r>
      <w:r w:rsidR="00194F2A">
        <w:t>REITS</w:t>
      </w:r>
      <w:r w:rsidRPr="0030237E">
        <w:t xml:space="preserve"> and include inter alia (</w:t>
      </w:r>
      <w:hyperlink r:id="rId15" w:history="1">
        <w:r w:rsidRPr="0030237E">
          <w:rPr>
            <w:rStyle w:val="Hyperlink"/>
            <w:rFonts w:ascii="Times New Roman" w:hAnsi="Times New Roman"/>
            <w:sz w:val="24"/>
            <w:szCs w:val="24"/>
          </w:rPr>
          <w:t>www.reit.com</w:t>
        </w:r>
      </w:hyperlink>
      <w:r w:rsidRPr="0030237E">
        <w:t xml:space="preserve"> - </w:t>
      </w:r>
      <w:r w:rsidR="00194F2A">
        <w:t>REITS</w:t>
      </w:r>
      <w:r w:rsidRPr="0030237E">
        <w:t xml:space="preserve"> 101: An Introduction, 2009):</w:t>
      </w:r>
    </w:p>
    <w:p w:rsidR="00534C63" w:rsidRPr="00511784" w:rsidRDefault="00534C63" w:rsidP="00534C63">
      <w:pPr>
        <w:pStyle w:val="whp20100506"/>
        <w:ind w:left="720"/>
        <w:rPr>
          <w:noProof/>
        </w:rPr>
      </w:pPr>
    </w:p>
    <w:p w:rsidR="00534C63" w:rsidRDefault="00534C63" w:rsidP="00534C63">
      <w:pPr>
        <w:pStyle w:val="whp20100506"/>
        <w:numPr>
          <w:ilvl w:val="0"/>
          <w:numId w:val="10"/>
        </w:numPr>
        <w:tabs>
          <w:tab w:val="left" w:pos="360"/>
        </w:tabs>
        <w:ind w:left="360"/>
        <w:rPr>
          <w:noProof/>
        </w:rPr>
      </w:pPr>
      <w:r w:rsidRPr="00511784">
        <w:rPr>
          <w:noProof/>
        </w:rPr>
        <w:t>The reliance of REIT on debt capital markets which are based upon the wellbeing of</w:t>
      </w:r>
      <w:r>
        <w:rPr>
          <w:noProof/>
        </w:rPr>
        <w:t xml:space="preserve"> commercial mortgages;</w:t>
      </w:r>
    </w:p>
    <w:p w:rsidR="00534C63" w:rsidRPr="00511784" w:rsidRDefault="00534C63" w:rsidP="00534C63">
      <w:pPr>
        <w:pStyle w:val="whp20100506"/>
        <w:tabs>
          <w:tab w:val="left" w:pos="360"/>
        </w:tabs>
        <w:ind w:left="360"/>
        <w:rPr>
          <w:noProof/>
        </w:rPr>
      </w:pPr>
    </w:p>
    <w:p w:rsidR="00534C63" w:rsidRPr="00511784" w:rsidRDefault="00534C63" w:rsidP="00534C63">
      <w:pPr>
        <w:pStyle w:val="whp20100506"/>
        <w:numPr>
          <w:ilvl w:val="0"/>
          <w:numId w:val="10"/>
        </w:numPr>
        <w:tabs>
          <w:tab w:val="left" w:pos="360"/>
        </w:tabs>
        <w:ind w:left="360"/>
        <w:rPr>
          <w:noProof/>
        </w:rPr>
      </w:pPr>
      <w:r w:rsidRPr="00511784">
        <w:rPr>
          <w:noProof/>
        </w:rPr>
        <w:t xml:space="preserve">Macroeconomic fundamentals shrouded in uncertainty as a result of reliance upon </w:t>
      </w:r>
      <w:r>
        <w:rPr>
          <w:noProof/>
        </w:rPr>
        <w:t>exogenous factors such as</w:t>
      </w:r>
      <w:r w:rsidRPr="00511784">
        <w:rPr>
          <w:noProof/>
        </w:rPr>
        <w:t xml:space="preserve"> </w:t>
      </w:r>
      <w:r>
        <w:rPr>
          <w:noProof/>
        </w:rPr>
        <w:t xml:space="preserve">the </w:t>
      </w:r>
      <w:r w:rsidRPr="00511784">
        <w:rPr>
          <w:noProof/>
        </w:rPr>
        <w:t xml:space="preserve">price of oil, inflation rates, GDP growth levels, internal </w:t>
      </w:r>
      <w:r>
        <w:rPr>
          <w:noProof/>
        </w:rPr>
        <w:t>government</w:t>
      </w:r>
      <w:r w:rsidRPr="00511784">
        <w:rPr>
          <w:noProof/>
        </w:rPr>
        <w:t xml:space="preserve"> policies</w:t>
      </w:r>
      <w:r>
        <w:rPr>
          <w:noProof/>
        </w:rPr>
        <w:t>;</w:t>
      </w:r>
    </w:p>
    <w:p w:rsidR="00534C63" w:rsidRDefault="00534C63" w:rsidP="00534C63">
      <w:pPr>
        <w:pStyle w:val="whp20100506"/>
        <w:tabs>
          <w:tab w:val="left" w:pos="360"/>
        </w:tabs>
        <w:ind w:left="360"/>
        <w:rPr>
          <w:noProof/>
        </w:rPr>
      </w:pPr>
    </w:p>
    <w:p w:rsidR="00534C63" w:rsidRPr="00511784" w:rsidRDefault="00534C63" w:rsidP="00534C63">
      <w:pPr>
        <w:pStyle w:val="whp20100506"/>
        <w:numPr>
          <w:ilvl w:val="0"/>
          <w:numId w:val="10"/>
        </w:numPr>
        <w:tabs>
          <w:tab w:val="left" w:pos="360"/>
        </w:tabs>
        <w:ind w:left="360"/>
        <w:rPr>
          <w:noProof/>
        </w:rPr>
      </w:pPr>
      <w:r w:rsidRPr="00511784">
        <w:rPr>
          <w:noProof/>
        </w:rPr>
        <w:t>The physical condition of the global housing markets</w:t>
      </w:r>
      <w:r>
        <w:rPr>
          <w:noProof/>
        </w:rPr>
        <w:t>;</w:t>
      </w:r>
    </w:p>
    <w:p w:rsidR="00534C63" w:rsidRDefault="00534C63" w:rsidP="00534C63">
      <w:pPr>
        <w:pStyle w:val="whp20100506"/>
        <w:tabs>
          <w:tab w:val="left" w:pos="360"/>
        </w:tabs>
        <w:ind w:left="360"/>
        <w:rPr>
          <w:noProof/>
        </w:rPr>
      </w:pPr>
    </w:p>
    <w:p w:rsidR="00534C63" w:rsidRDefault="00534C63" w:rsidP="00534C63">
      <w:pPr>
        <w:pStyle w:val="whp20100506"/>
        <w:numPr>
          <w:ilvl w:val="0"/>
          <w:numId w:val="10"/>
        </w:numPr>
        <w:tabs>
          <w:tab w:val="left" w:pos="360"/>
        </w:tabs>
        <w:ind w:left="360"/>
        <w:rPr>
          <w:noProof/>
        </w:rPr>
      </w:pPr>
      <w:r w:rsidRPr="00511784">
        <w:rPr>
          <w:noProof/>
        </w:rPr>
        <w:t>The fall of capitalisation rates and the effect thereof on the net asset valuation of REIT funds</w:t>
      </w:r>
      <w:r>
        <w:rPr>
          <w:noProof/>
        </w:rPr>
        <w:t>;</w:t>
      </w:r>
    </w:p>
    <w:p w:rsidR="00534C63" w:rsidRDefault="00534C63" w:rsidP="00534C63">
      <w:pPr>
        <w:pStyle w:val="whp20100506"/>
        <w:tabs>
          <w:tab w:val="left" w:pos="360"/>
        </w:tabs>
        <w:ind w:left="360"/>
        <w:rPr>
          <w:noProof/>
        </w:rPr>
      </w:pPr>
    </w:p>
    <w:p w:rsidR="00534C63" w:rsidRPr="00511784" w:rsidRDefault="00534C63" w:rsidP="00534C63">
      <w:pPr>
        <w:pStyle w:val="whp20100506"/>
        <w:numPr>
          <w:ilvl w:val="0"/>
          <w:numId w:val="10"/>
        </w:numPr>
        <w:tabs>
          <w:tab w:val="left" w:pos="360"/>
        </w:tabs>
        <w:ind w:left="360"/>
        <w:rPr>
          <w:noProof/>
        </w:rPr>
      </w:pPr>
      <w:r w:rsidRPr="00511784">
        <w:rPr>
          <w:noProof/>
        </w:rPr>
        <w:t>Re-adjusting of REIT balance sheets in order to address the scarcity of debt capital</w:t>
      </w:r>
      <w:r>
        <w:rPr>
          <w:noProof/>
        </w:rPr>
        <w:t>;</w:t>
      </w:r>
    </w:p>
    <w:p w:rsidR="00534C63" w:rsidRDefault="00534C63" w:rsidP="00534C63">
      <w:pPr>
        <w:pStyle w:val="whp20100506"/>
        <w:tabs>
          <w:tab w:val="left" w:pos="360"/>
        </w:tabs>
        <w:ind w:left="360"/>
        <w:rPr>
          <w:noProof/>
        </w:rPr>
      </w:pPr>
    </w:p>
    <w:p w:rsidR="00534C63" w:rsidRPr="00511784" w:rsidRDefault="00534C63" w:rsidP="00534C63">
      <w:pPr>
        <w:pStyle w:val="whp20100506"/>
        <w:numPr>
          <w:ilvl w:val="0"/>
          <w:numId w:val="11"/>
        </w:numPr>
        <w:tabs>
          <w:tab w:val="left" w:pos="360"/>
        </w:tabs>
        <w:ind w:left="360"/>
        <w:rPr>
          <w:noProof/>
        </w:rPr>
      </w:pPr>
      <w:r w:rsidRPr="00511784">
        <w:rPr>
          <w:noProof/>
        </w:rPr>
        <w:t>Conventiona</w:t>
      </w:r>
      <w:r>
        <w:rPr>
          <w:noProof/>
        </w:rPr>
        <w:t xml:space="preserve">l REIT are </w:t>
      </w:r>
      <w:r w:rsidRPr="00511784">
        <w:rPr>
          <w:noProof/>
        </w:rPr>
        <w:t>not able to diversify their activities into other businesses in order to cater for the turn in the property cycle</w:t>
      </w:r>
      <w:r>
        <w:rPr>
          <w:noProof/>
        </w:rPr>
        <w:t>;</w:t>
      </w:r>
    </w:p>
    <w:p w:rsidR="00534C63" w:rsidRDefault="00534C63" w:rsidP="00534C63">
      <w:pPr>
        <w:pStyle w:val="whp20100506"/>
        <w:numPr>
          <w:ilvl w:val="0"/>
          <w:numId w:val="11"/>
        </w:numPr>
        <w:tabs>
          <w:tab w:val="left" w:pos="360"/>
        </w:tabs>
        <w:ind w:left="360"/>
        <w:rPr>
          <w:noProof/>
        </w:rPr>
      </w:pPr>
      <w:r w:rsidRPr="00511784">
        <w:rPr>
          <w:noProof/>
        </w:rPr>
        <w:lastRenderedPageBreak/>
        <w:t>An increase in property from other real estate investors increased because of increases in liquidity in the real estate industry. Conventional lenders, conduits and institutional investors narrowed the investment spreads for new acquisitions with a result that investors became concerned about the cost and price of new acquisitions</w:t>
      </w:r>
    </w:p>
    <w:p w:rsidR="00534C63" w:rsidRPr="00511784" w:rsidRDefault="00534C63" w:rsidP="00534C63">
      <w:pPr>
        <w:pStyle w:val="whp20100506"/>
        <w:rPr>
          <w:noProof/>
        </w:rPr>
      </w:pPr>
    </w:p>
    <w:p w:rsidR="00534C63" w:rsidRPr="0030237E" w:rsidRDefault="00534C63" w:rsidP="00534C63">
      <w:pPr>
        <w:pStyle w:val="whp20100506"/>
      </w:pPr>
      <w:r w:rsidRPr="0030237E">
        <w:t xml:space="preserve">Scherrer (2004) explains that access to capital markets, as the lifeblood for REIT, was very difficult in the 2000 stock market correction in the USA due to the number of </w:t>
      </w:r>
      <w:r w:rsidR="00194F2A">
        <w:t>REITS</w:t>
      </w:r>
      <w:r>
        <w:t xml:space="preserve"> that</w:t>
      </w:r>
      <w:r w:rsidRPr="0030237E">
        <w:t xml:space="preserve"> experienced massive increases in their stock prices due to very aggressive acquisition strategies. Of course maintaining these strategies on a sustainable basis is not possible and once the market fell, the share prices fell which made access to capital markets virtually impossible</w:t>
      </w:r>
    </w:p>
    <w:p w:rsidR="00534C63" w:rsidRDefault="00534C63" w:rsidP="00534C63">
      <w:pPr>
        <w:pStyle w:val="whp20100506"/>
      </w:pPr>
    </w:p>
    <w:p w:rsidR="00534C63" w:rsidRPr="0030237E" w:rsidRDefault="00534C63" w:rsidP="00534C63">
      <w:pPr>
        <w:pStyle w:val="whp20100506"/>
      </w:pPr>
      <w:r w:rsidRPr="0030237E">
        <w:t>In light of the current global economic crisis, South Africa and the National Treasury can learn from the past in terms of the consequences of cycles upon REIT in other countries. The cyclical nature of property, as an inherent mechanism of its exposure to the health of the wider economy, is of critical importance in understanding the operation of REI</w:t>
      </w:r>
      <w:r>
        <w:t>T particularly in downswings and catering for such in the legislation.</w:t>
      </w:r>
    </w:p>
    <w:p w:rsidR="00CB0FDD" w:rsidRDefault="00CB0FDD">
      <w:pPr>
        <w:spacing w:after="200" w:line="276" w:lineRule="auto"/>
        <w:rPr>
          <w:rFonts w:ascii="Times New Roman" w:hAnsi="Times New Roman"/>
          <w:b/>
          <w:sz w:val="24"/>
        </w:rPr>
      </w:pPr>
    </w:p>
    <w:p w:rsidR="00534C63" w:rsidRDefault="00534C63" w:rsidP="00534C63">
      <w:pPr>
        <w:pStyle w:val="whp20100506"/>
        <w:numPr>
          <w:ilvl w:val="2"/>
          <w:numId w:val="2"/>
        </w:numPr>
        <w:rPr>
          <w:b/>
        </w:rPr>
      </w:pPr>
      <w:r w:rsidRPr="001B21E4">
        <w:rPr>
          <w:b/>
        </w:rPr>
        <w:t xml:space="preserve">ANOMALIES WITHIN </w:t>
      </w:r>
      <w:r w:rsidR="00194F2A">
        <w:rPr>
          <w:b/>
        </w:rPr>
        <w:t>REITS</w:t>
      </w:r>
    </w:p>
    <w:p w:rsidR="00534C63" w:rsidRDefault="00534C63" w:rsidP="00534C63">
      <w:pPr>
        <w:pStyle w:val="whp20100506"/>
        <w:rPr>
          <w:b/>
        </w:rPr>
      </w:pPr>
    </w:p>
    <w:p w:rsidR="00534C63" w:rsidRDefault="00534C63" w:rsidP="00534C63">
      <w:pPr>
        <w:pStyle w:val="whp20100506"/>
      </w:pPr>
      <w:r w:rsidRPr="0030237E">
        <w:t xml:space="preserve">The Ernest and Young Global REIT Report assessed the nuances and anomalies with international </w:t>
      </w:r>
      <w:r w:rsidR="00194F2A">
        <w:t>REITS</w:t>
      </w:r>
      <w:r w:rsidRPr="0030237E">
        <w:t xml:space="preserve"> and found a number of areas that investors should be vigilant of when investing in </w:t>
      </w:r>
      <w:r w:rsidR="00194F2A">
        <w:t>REITS</w:t>
      </w:r>
      <w:r w:rsidRPr="0030237E">
        <w:t xml:space="preserve"> (Ernest and Young, 2008). </w:t>
      </w:r>
    </w:p>
    <w:p w:rsidR="00534C63" w:rsidRDefault="00534C63" w:rsidP="00534C63">
      <w:pPr>
        <w:pStyle w:val="whp20100506"/>
      </w:pPr>
    </w:p>
    <w:p w:rsidR="00534C63" w:rsidRPr="00B178BD" w:rsidRDefault="00534C63" w:rsidP="00534C63">
      <w:pPr>
        <w:pStyle w:val="whp20100506"/>
      </w:pPr>
      <w:r>
        <w:t xml:space="preserve">These nuances have become more pronounced in the global economic turmoil of recent years, and is thus of importance to the National Treasury when devising their framework, albeit indicating a reliance on accounting experts or guidance. </w:t>
      </w:r>
      <w:r w:rsidRPr="0030237E">
        <w:t xml:space="preserve">A brief overview of these anomalies are </w:t>
      </w:r>
      <w:r w:rsidRPr="00B178BD">
        <w:t xml:space="preserve">summarised as follows: </w:t>
      </w:r>
    </w:p>
    <w:p w:rsidR="00534C63" w:rsidRPr="00B178BD" w:rsidRDefault="00534C63" w:rsidP="00534C63">
      <w:pPr>
        <w:pStyle w:val="whp20100506"/>
      </w:pPr>
    </w:p>
    <w:p w:rsidR="00534C63" w:rsidRPr="00B178BD" w:rsidRDefault="00534C63" w:rsidP="00534C63">
      <w:pPr>
        <w:pStyle w:val="whp20100506"/>
        <w:numPr>
          <w:ilvl w:val="3"/>
          <w:numId w:val="2"/>
        </w:numPr>
        <w:ind w:left="426" w:hanging="426"/>
      </w:pPr>
      <w:r w:rsidRPr="00B178BD">
        <w:t>REIT and International Financial Reporting Standards (</w:t>
      </w:r>
      <w:r w:rsidR="002E4EE0">
        <w:t>I</w:t>
      </w:r>
      <w:r w:rsidRPr="00B178BD">
        <w:t>FRS)</w:t>
      </w:r>
    </w:p>
    <w:p w:rsidR="00534C63" w:rsidRPr="00B178BD" w:rsidRDefault="00534C63" w:rsidP="00534C63">
      <w:pPr>
        <w:pStyle w:val="whp20100506"/>
        <w:ind w:left="426" w:hanging="426"/>
      </w:pPr>
    </w:p>
    <w:p w:rsidR="00534C63" w:rsidRPr="0030237E" w:rsidRDefault="00534C63" w:rsidP="00534C63">
      <w:pPr>
        <w:pStyle w:val="whp20100506"/>
        <w:ind w:left="426" w:hanging="66"/>
      </w:pPr>
      <w:r w:rsidRPr="0030237E">
        <w:t xml:space="preserve">The issue of inconsistent financial reporting creates problems for analysts and investors alike when trying to accurately compare </w:t>
      </w:r>
      <w:r w:rsidR="00194F2A">
        <w:t>REITS</w:t>
      </w:r>
      <w:r w:rsidRPr="0030237E">
        <w:t xml:space="preserve"> across countries </w:t>
      </w:r>
      <w:r>
        <w:t xml:space="preserve">based on the strengths </w:t>
      </w:r>
      <w:r>
        <w:lastRenderedPageBreak/>
        <w:t>of their respective balance sheets</w:t>
      </w:r>
      <w:r w:rsidRPr="0030237E">
        <w:t xml:space="preserve">. This is of particular importance to the National Treasury in light of wanting to create a uniform investment landscape away from the ostensible inconsistencies that exist within the fragmented South </w:t>
      </w:r>
      <w:r>
        <w:t xml:space="preserve">African market (see </w:t>
      </w:r>
      <w:r w:rsidR="00E07118">
        <w:t>Exploratory Study</w:t>
      </w:r>
      <w:r>
        <w:t xml:space="preserve"> below)</w:t>
      </w:r>
    </w:p>
    <w:p w:rsidR="00534C63" w:rsidRDefault="00534C63" w:rsidP="00534C63">
      <w:pPr>
        <w:pStyle w:val="whp20100506"/>
        <w:ind w:left="360"/>
        <w:rPr>
          <w:noProof/>
        </w:rPr>
      </w:pPr>
    </w:p>
    <w:p w:rsidR="00534C63" w:rsidRDefault="00534C63" w:rsidP="00534C63">
      <w:pPr>
        <w:pStyle w:val="whp20100506"/>
        <w:ind w:left="360"/>
      </w:pPr>
      <w:r w:rsidRPr="0030237E">
        <w:t>A glaring inconstancy is the differences in reporting standards</w:t>
      </w:r>
      <w:r>
        <w:t xml:space="preserve"> and the prevalence of two sets of accounting standards being </w:t>
      </w:r>
      <w:r w:rsidRPr="0030237E">
        <w:t>International Financial Reporting Standards (IFRS)</w:t>
      </w:r>
      <w:r>
        <w:t xml:space="preserve"> and Generally Acceptable Accounting Standards (GAAP). The</w:t>
      </w:r>
      <w:r w:rsidRPr="0030237E">
        <w:t xml:space="preserve"> USA as the largest REIT by market capitalisation and by number of funds still uses the standards of US Generally Acceptable Accounting Practice (GAAP)</w:t>
      </w:r>
      <w:r>
        <w:t>, which does not allow for accurate like-for-like comparison to its international peers</w:t>
      </w:r>
      <w:r w:rsidRPr="0030237E">
        <w:t xml:space="preserve">. </w:t>
      </w:r>
    </w:p>
    <w:p w:rsidR="00534C63" w:rsidRPr="00B178BD" w:rsidRDefault="00534C63" w:rsidP="00534C63">
      <w:pPr>
        <w:pStyle w:val="whp20100506"/>
        <w:ind w:left="360"/>
      </w:pPr>
    </w:p>
    <w:p w:rsidR="00534C63" w:rsidRPr="00B178BD" w:rsidRDefault="00534C63" w:rsidP="00534C63">
      <w:pPr>
        <w:pStyle w:val="whp20100506"/>
        <w:ind w:left="360"/>
      </w:pPr>
      <w:r w:rsidRPr="00B178BD">
        <w:t>The tide is however changing with the Securities Exchange Commission (SEC) in the US have recently accepted financial reports in the format of IRFS without the conversion to GAAP and have committed the US to adopting IFRS by 2016 (Ernest and Young, 2007).</w:t>
      </w:r>
    </w:p>
    <w:p w:rsidR="00534C63" w:rsidRPr="00B178BD" w:rsidRDefault="00534C63" w:rsidP="00534C63">
      <w:pPr>
        <w:pStyle w:val="whp20100506"/>
      </w:pPr>
    </w:p>
    <w:p w:rsidR="00534C63" w:rsidRPr="00B178BD" w:rsidRDefault="00194F2A" w:rsidP="00534C63">
      <w:pPr>
        <w:pStyle w:val="whp20100506"/>
        <w:numPr>
          <w:ilvl w:val="3"/>
          <w:numId w:val="2"/>
        </w:numPr>
        <w:ind w:left="426" w:hanging="426"/>
        <w:rPr>
          <w:noProof/>
        </w:rPr>
      </w:pPr>
      <w:r>
        <w:rPr>
          <w:noProof/>
        </w:rPr>
        <w:t>REITS</w:t>
      </w:r>
      <w:r w:rsidR="00534C63" w:rsidRPr="00B178BD">
        <w:rPr>
          <w:noProof/>
        </w:rPr>
        <w:t xml:space="preserve"> and Valuation </w:t>
      </w:r>
    </w:p>
    <w:p w:rsidR="00534C63" w:rsidRPr="00B178BD" w:rsidRDefault="00534C63" w:rsidP="00534C63">
      <w:pPr>
        <w:pStyle w:val="whp20100506"/>
        <w:ind w:left="360"/>
        <w:rPr>
          <w:noProof/>
        </w:rPr>
      </w:pPr>
    </w:p>
    <w:p w:rsidR="00534C63" w:rsidRPr="0030237E" w:rsidRDefault="00534C63" w:rsidP="00534C63">
      <w:pPr>
        <w:pStyle w:val="whp20100506"/>
        <w:ind w:left="360"/>
      </w:pPr>
      <w:r w:rsidRPr="0030237E">
        <w:t xml:space="preserve">There is a vast dichotomy between two schools of thought addressing the asset value of a REIT portfolio being either at cost or at fair market value, both of which are permitted in terms of International Financial Reporting Standards (IFRS).  </w:t>
      </w:r>
    </w:p>
    <w:p w:rsidR="00534C63" w:rsidRPr="0030237E" w:rsidRDefault="00534C63" w:rsidP="00534C63">
      <w:pPr>
        <w:pStyle w:val="whp20100506"/>
      </w:pPr>
    </w:p>
    <w:p w:rsidR="00534C63" w:rsidRPr="00376C6A" w:rsidRDefault="00534C63" w:rsidP="00534C63">
      <w:pPr>
        <w:pStyle w:val="whp20100506"/>
        <w:ind w:left="360"/>
        <w:rPr>
          <w:noProof/>
          <w:color w:val="FF0000"/>
        </w:rPr>
      </w:pPr>
      <w:r w:rsidRPr="0030237E">
        <w:t>The effect of using fair market value as a system for reporting the underlying property investment values is the creation of significantly increased asset values in the</w:t>
      </w:r>
      <w:r>
        <w:t xml:space="preserve"> REIT</w:t>
      </w:r>
      <w:r w:rsidRPr="0030237E">
        <w:t xml:space="preserve"> balance sheets (via the relative capitalisation values)</w:t>
      </w:r>
      <w:r>
        <w:t xml:space="preserve"> than REIT that use cost values</w:t>
      </w:r>
      <w:r w:rsidRPr="0030237E">
        <w:t xml:space="preserve">. </w:t>
      </w:r>
      <w:r>
        <w:t>The use of fair market values</w:t>
      </w:r>
      <w:r w:rsidRPr="0030237E">
        <w:t xml:space="preserve"> naturally leads to increases in profitability which includes ca</w:t>
      </w:r>
      <w:r>
        <w:t xml:space="preserve">pital appreciation while also having lower gearing ratios than cost base </w:t>
      </w:r>
      <w:r w:rsidR="00194F2A">
        <w:t>REITS</w:t>
      </w:r>
      <w:r>
        <w:t xml:space="preserve">. </w:t>
      </w:r>
    </w:p>
    <w:p w:rsidR="00534C63" w:rsidRPr="0030237E" w:rsidRDefault="00534C63" w:rsidP="00534C63">
      <w:pPr>
        <w:pStyle w:val="whp20100506"/>
      </w:pPr>
    </w:p>
    <w:p w:rsidR="00534C63" w:rsidRPr="00B178BD" w:rsidRDefault="00194F2A" w:rsidP="00534C63">
      <w:pPr>
        <w:pStyle w:val="whp20100506"/>
        <w:numPr>
          <w:ilvl w:val="3"/>
          <w:numId w:val="2"/>
        </w:numPr>
        <w:ind w:left="426" w:hanging="426"/>
        <w:rPr>
          <w:noProof/>
        </w:rPr>
      </w:pPr>
      <w:r>
        <w:rPr>
          <w:noProof/>
        </w:rPr>
        <w:t>REITS</w:t>
      </w:r>
      <w:r w:rsidR="00534C63" w:rsidRPr="00B178BD">
        <w:rPr>
          <w:noProof/>
        </w:rPr>
        <w:t xml:space="preserve"> and Deferred Taxation</w:t>
      </w:r>
    </w:p>
    <w:p w:rsidR="00534C63" w:rsidRPr="00376C6A" w:rsidRDefault="00534C63" w:rsidP="00534C63">
      <w:pPr>
        <w:pStyle w:val="whp20100506"/>
        <w:rPr>
          <w:b/>
          <w:noProof/>
        </w:rPr>
      </w:pPr>
    </w:p>
    <w:p w:rsidR="00534C63" w:rsidRDefault="00534C63" w:rsidP="00534C63">
      <w:pPr>
        <w:pStyle w:val="whp20100506"/>
        <w:ind w:left="360"/>
      </w:pPr>
      <w:r w:rsidRPr="0030237E">
        <w:t xml:space="preserve">The 2008 global crisis has seen tremendous losses in capital values in </w:t>
      </w:r>
      <w:r w:rsidR="00194F2A">
        <w:t>REITS</w:t>
      </w:r>
      <w:r w:rsidRPr="0030237E">
        <w:t xml:space="preserve"> across the </w:t>
      </w:r>
      <w:r>
        <w:t>world. The impact of this is most notably felt in the creation and adjustment of deferred tax. The creation of d</w:t>
      </w:r>
      <w:r w:rsidRPr="0030237E">
        <w:t xml:space="preserve">eferred </w:t>
      </w:r>
      <w:r>
        <w:t>t</w:t>
      </w:r>
      <w:r w:rsidRPr="0030237E">
        <w:t xml:space="preserve">ax </w:t>
      </w:r>
      <w:r>
        <w:t>a</w:t>
      </w:r>
      <w:r w:rsidRPr="0030237E">
        <w:t xml:space="preserve">ssets </w:t>
      </w:r>
      <w:r>
        <w:t>or</w:t>
      </w:r>
      <w:r w:rsidRPr="0030237E">
        <w:t xml:space="preserve"> </w:t>
      </w:r>
      <w:r>
        <w:t>d</w:t>
      </w:r>
      <w:r w:rsidRPr="0030237E">
        <w:t xml:space="preserve">eferred </w:t>
      </w:r>
      <w:r>
        <w:t>t</w:t>
      </w:r>
      <w:r w:rsidRPr="0030237E">
        <w:t xml:space="preserve">ax </w:t>
      </w:r>
      <w:r>
        <w:t>l</w:t>
      </w:r>
      <w:r w:rsidRPr="0030237E">
        <w:t>iabilities</w:t>
      </w:r>
      <w:r>
        <w:t xml:space="preserve"> occur where there is a </w:t>
      </w:r>
      <w:r>
        <w:lastRenderedPageBreak/>
        <w:t xml:space="preserve">difference in the tax base amount and the accounting carrying amount in the REIT’s balance sheet. If the carrying amount is greater than the tax base, then a deferred tax liability is created whereas a higher tax base will create a deferred tax asset. </w:t>
      </w:r>
    </w:p>
    <w:p w:rsidR="00534C63" w:rsidRDefault="00534C63" w:rsidP="00534C63">
      <w:pPr>
        <w:pStyle w:val="whp20100506"/>
        <w:ind w:left="360"/>
      </w:pPr>
    </w:p>
    <w:p w:rsidR="00534C63" w:rsidRDefault="00534C63" w:rsidP="00534C63">
      <w:pPr>
        <w:pStyle w:val="whp20100506"/>
        <w:ind w:left="360"/>
      </w:pPr>
      <w:r>
        <w:t xml:space="preserve">The use of fair value therefore exposes the REIT to the volatility of deferred tax adjustments which is not as prevalent with </w:t>
      </w:r>
      <w:r w:rsidR="00194F2A">
        <w:t>REITS</w:t>
      </w:r>
      <w:r>
        <w:t xml:space="preserve"> that use a cost basis for their balance sheets.</w:t>
      </w:r>
      <w:r w:rsidR="0082303A">
        <w:t xml:space="preserve"> See Table 2</w:t>
      </w:r>
      <w:r w:rsidR="003C1984">
        <w:t xml:space="preserve"> below for an overview.</w:t>
      </w:r>
    </w:p>
    <w:p w:rsidR="005C373B" w:rsidRDefault="005C373B" w:rsidP="00534C63">
      <w:pPr>
        <w:spacing w:after="200" w:line="276" w:lineRule="auto"/>
      </w:pPr>
    </w:p>
    <w:p w:rsidR="00364C0C" w:rsidRPr="00087CC5" w:rsidRDefault="00364C0C" w:rsidP="00364C0C">
      <w:pPr>
        <w:pStyle w:val="Caption"/>
        <w:framePr w:w="6796" w:hSpace="180" w:wrap="around" w:vAnchor="text" w:hAnchor="page" w:x="2821" w:y="-299"/>
        <w:jc w:val="center"/>
      </w:pPr>
      <w:bookmarkStart w:id="6" w:name="_Toc267930712"/>
      <w:bookmarkStart w:id="7" w:name="_Ref246669321"/>
      <w:bookmarkStart w:id="8" w:name="_Ref246669312"/>
      <w:bookmarkStart w:id="9" w:name="_Toc250743933"/>
      <w:r w:rsidRPr="00087CC5">
        <w:t xml:space="preserve">Table </w:t>
      </w:r>
      <w:r>
        <w:t>2</w:t>
      </w:r>
      <w:r w:rsidRPr="00087CC5">
        <w:t xml:space="preserve"> Summary of IFRS Adoption – 2008 (Source: Ernest &amp; Young 2008)</w:t>
      </w:r>
      <w:bookmarkEnd w:id="6"/>
    </w:p>
    <w:tbl>
      <w:tblPr>
        <w:tblpPr w:leftFromText="180" w:rightFromText="180" w:vertAnchor="text" w:horzAnchor="margin" w:tblpXSpec="center" w:tblpY="84"/>
        <w:tblW w:w="8537" w:type="dxa"/>
        <w:tblLook w:val="04A0"/>
      </w:tblPr>
      <w:tblGrid>
        <w:gridCol w:w="1797"/>
        <w:gridCol w:w="2643"/>
        <w:gridCol w:w="1652"/>
        <w:gridCol w:w="2445"/>
      </w:tblGrid>
      <w:tr w:rsidR="00E70003" w:rsidRPr="00A57416" w:rsidTr="00E70003">
        <w:trPr>
          <w:trHeight w:val="460"/>
        </w:trPr>
        <w:tc>
          <w:tcPr>
            <w:tcW w:w="1797" w:type="dxa"/>
            <w:vMerge w:val="restart"/>
            <w:tcBorders>
              <w:top w:val="double" w:sz="4" w:space="0" w:color="auto"/>
              <w:left w:val="double" w:sz="4" w:space="0" w:color="auto"/>
              <w:bottom w:val="single" w:sz="8" w:space="0" w:color="000000"/>
              <w:right w:val="single" w:sz="8" w:space="0" w:color="auto"/>
            </w:tcBorders>
            <w:shd w:val="clear" w:color="auto" w:fill="F2F2F2" w:themeFill="background1" w:themeFillShade="F2"/>
            <w:noWrap/>
            <w:vAlign w:val="center"/>
            <w:hideMark/>
          </w:tcPr>
          <w:bookmarkEnd w:id="7"/>
          <w:bookmarkEnd w:id="8"/>
          <w:bookmarkEnd w:id="9"/>
          <w:p w:rsidR="00E70003" w:rsidRPr="00701814" w:rsidRDefault="00E70003" w:rsidP="00E70003">
            <w:pPr>
              <w:pStyle w:val="whp20100506"/>
              <w:jc w:val="center"/>
              <w:rPr>
                <w:b/>
                <w:lang w:eastAsia="en-ZA"/>
              </w:rPr>
            </w:pPr>
            <w:r w:rsidRPr="00701814">
              <w:rPr>
                <w:b/>
                <w:lang w:eastAsia="en-ZA"/>
              </w:rPr>
              <w:t>Region</w:t>
            </w:r>
          </w:p>
        </w:tc>
        <w:tc>
          <w:tcPr>
            <w:tcW w:w="2643" w:type="dxa"/>
            <w:vMerge w:val="restart"/>
            <w:tcBorders>
              <w:top w:val="double" w:sz="4" w:space="0" w:color="auto"/>
              <w:left w:val="nil"/>
              <w:bottom w:val="single" w:sz="8" w:space="0" w:color="000000"/>
              <w:right w:val="single" w:sz="4" w:space="0" w:color="auto"/>
            </w:tcBorders>
            <w:shd w:val="clear" w:color="auto" w:fill="F2F2F2" w:themeFill="background1" w:themeFillShade="F2"/>
            <w:noWrap/>
            <w:vAlign w:val="center"/>
            <w:hideMark/>
          </w:tcPr>
          <w:p w:rsidR="00E70003" w:rsidRPr="00CB0FDD" w:rsidRDefault="00E70003" w:rsidP="00E70003">
            <w:pPr>
              <w:pStyle w:val="whp20100506"/>
              <w:ind w:left="720"/>
              <w:jc w:val="center"/>
              <w:rPr>
                <w:b/>
                <w:bCs/>
                <w:lang w:eastAsia="en-ZA"/>
              </w:rPr>
            </w:pPr>
            <w:r w:rsidRPr="00CB0FDD">
              <w:rPr>
                <w:b/>
                <w:bCs/>
                <w:lang w:eastAsia="en-ZA"/>
              </w:rPr>
              <w:t>Country</w:t>
            </w:r>
          </w:p>
        </w:tc>
        <w:tc>
          <w:tcPr>
            <w:tcW w:w="4097" w:type="dxa"/>
            <w:gridSpan w:val="2"/>
            <w:tcBorders>
              <w:top w:val="double" w:sz="4" w:space="0" w:color="auto"/>
              <w:left w:val="nil"/>
              <w:bottom w:val="single" w:sz="4" w:space="0" w:color="auto"/>
              <w:right w:val="double" w:sz="4" w:space="0" w:color="auto"/>
            </w:tcBorders>
            <w:shd w:val="clear" w:color="auto" w:fill="F2F2F2" w:themeFill="background1" w:themeFillShade="F2"/>
            <w:noWrap/>
            <w:vAlign w:val="center"/>
            <w:hideMark/>
          </w:tcPr>
          <w:p w:rsidR="00E70003" w:rsidRDefault="00E70003" w:rsidP="00E70003">
            <w:pPr>
              <w:pStyle w:val="whp20100506"/>
              <w:ind w:left="720"/>
              <w:rPr>
                <w:b/>
                <w:bCs/>
                <w:lang w:eastAsia="en-ZA"/>
              </w:rPr>
            </w:pPr>
          </w:p>
          <w:p w:rsidR="00E70003" w:rsidRPr="00CB0FDD" w:rsidRDefault="00E70003" w:rsidP="00E70003">
            <w:pPr>
              <w:pStyle w:val="whp20100506"/>
              <w:ind w:left="720"/>
              <w:rPr>
                <w:b/>
                <w:bCs/>
                <w:lang w:eastAsia="en-ZA"/>
              </w:rPr>
            </w:pPr>
            <w:r w:rsidRPr="00CB0FDD">
              <w:rPr>
                <w:b/>
                <w:bCs/>
                <w:lang w:eastAsia="en-ZA"/>
              </w:rPr>
              <w:t>Adoption of IFRS</w:t>
            </w:r>
          </w:p>
        </w:tc>
      </w:tr>
      <w:tr w:rsidR="00E70003" w:rsidRPr="00A57416" w:rsidTr="00E70003">
        <w:trPr>
          <w:trHeight w:val="333"/>
        </w:trPr>
        <w:tc>
          <w:tcPr>
            <w:tcW w:w="1797" w:type="dxa"/>
            <w:vMerge/>
            <w:tcBorders>
              <w:top w:val="single" w:sz="8" w:space="0" w:color="auto"/>
              <w:left w:val="double" w:sz="4" w:space="0" w:color="auto"/>
              <w:bottom w:val="double" w:sz="4" w:space="0" w:color="auto"/>
              <w:right w:val="single" w:sz="8" w:space="0" w:color="auto"/>
            </w:tcBorders>
            <w:shd w:val="clear" w:color="auto" w:fill="F2F2F2" w:themeFill="background1" w:themeFillShade="F2"/>
            <w:vAlign w:val="center"/>
            <w:hideMark/>
          </w:tcPr>
          <w:p w:rsidR="00E70003" w:rsidRPr="00CB0FDD" w:rsidRDefault="00E70003" w:rsidP="00E70003">
            <w:pPr>
              <w:pStyle w:val="whp20100506"/>
              <w:ind w:left="720"/>
              <w:jc w:val="center"/>
              <w:rPr>
                <w:lang w:eastAsia="en-ZA"/>
              </w:rPr>
            </w:pPr>
          </w:p>
        </w:tc>
        <w:tc>
          <w:tcPr>
            <w:tcW w:w="2643" w:type="dxa"/>
            <w:vMerge/>
            <w:tcBorders>
              <w:top w:val="single" w:sz="8" w:space="0" w:color="auto"/>
              <w:left w:val="nil"/>
              <w:bottom w:val="double" w:sz="4" w:space="0" w:color="auto"/>
              <w:right w:val="single" w:sz="4" w:space="0" w:color="auto"/>
            </w:tcBorders>
            <w:shd w:val="clear" w:color="auto" w:fill="F2F2F2" w:themeFill="background1" w:themeFillShade="F2"/>
            <w:vAlign w:val="center"/>
            <w:hideMark/>
          </w:tcPr>
          <w:p w:rsidR="00E70003" w:rsidRPr="00CB0FDD" w:rsidRDefault="00E70003" w:rsidP="00E70003">
            <w:pPr>
              <w:pStyle w:val="whp20100506"/>
              <w:ind w:left="720"/>
              <w:jc w:val="center"/>
              <w:rPr>
                <w:b/>
                <w:bCs/>
                <w:lang w:eastAsia="en-ZA"/>
              </w:rPr>
            </w:pPr>
          </w:p>
        </w:tc>
        <w:tc>
          <w:tcPr>
            <w:tcW w:w="1652" w:type="dxa"/>
            <w:tcBorders>
              <w:top w:val="nil"/>
              <w:left w:val="nil"/>
              <w:bottom w:val="double" w:sz="4" w:space="0" w:color="auto"/>
              <w:right w:val="single" w:sz="4" w:space="0" w:color="auto"/>
            </w:tcBorders>
            <w:shd w:val="clear" w:color="auto" w:fill="F2F2F2" w:themeFill="background1" w:themeFillShade="F2"/>
            <w:noWrap/>
            <w:vAlign w:val="center"/>
            <w:hideMark/>
          </w:tcPr>
          <w:p w:rsidR="00E70003" w:rsidRDefault="00E70003" w:rsidP="00E70003">
            <w:pPr>
              <w:pStyle w:val="whp20100506"/>
              <w:rPr>
                <w:b/>
                <w:bCs/>
                <w:lang w:eastAsia="en-ZA"/>
              </w:rPr>
            </w:pPr>
          </w:p>
          <w:p w:rsidR="00E70003" w:rsidRPr="00CB0FDD" w:rsidRDefault="00E70003" w:rsidP="00E70003">
            <w:pPr>
              <w:pStyle w:val="whp20100506"/>
              <w:jc w:val="center"/>
              <w:rPr>
                <w:b/>
                <w:bCs/>
                <w:lang w:eastAsia="en-ZA"/>
              </w:rPr>
            </w:pPr>
            <w:r w:rsidRPr="00CB0FDD">
              <w:rPr>
                <w:b/>
                <w:bCs/>
                <w:lang w:eastAsia="en-ZA"/>
              </w:rPr>
              <w:t>Yes</w:t>
            </w:r>
          </w:p>
        </w:tc>
        <w:tc>
          <w:tcPr>
            <w:tcW w:w="2445" w:type="dxa"/>
            <w:tcBorders>
              <w:top w:val="nil"/>
              <w:left w:val="nil"/>
              <w:bottom w:val="double" w:sz="4" w:space="0" w:color="auto"/>
              <w:right w:val="double" w:sz="4" w:space="0" w:color="auto"/>
            </w:tcBorders>
            <w:shd w:val="clear" w:color="auto" w:fill="F2F2F2" w:themeFill="background1" w:themeFillShade="F2"/>
            <w:noWrap/>
            <w:vAlign w:val="center"/>
            <w:hideMark/>
          </w:tcPr>
          <w:p w:rsidR="00E70003" w:rsidRDefault="00E70003" w:rsidP="00E70003">
            <w:pPr>
              <w:pStyle w:val="whp20100506"/>
              <w:rPr>
                <w:b/>
                <w:bCs/>
                <w:lang w:eastAsia="en-ZA"/>
              </w:rPr>
            </w:pPr>
          </w:p>
          <w:p w:rsidR="00E70003" w:rsidRPr="00CB0FDD" w:rsidRDefault="00E70003" w:rsidP="00E70003">
            <w:pPr>
              <w:pStyle w:val="whp20100506"/>
              <w:jc w:val="center"/>
              <w:rPr>
                <w:b/>
                <w:bCs/>
                <w:lang w:eastAsia="en-ZA"/>
              </w:rPr>
            </w:pPr>
            <w:r w:rsidRPr="00CB0FDD">
              <w:rPr>
                <w:b/>
                <w:bCs/>
                <w:lang w:eastAsia="en-ZA"/>
              </w:rPr>
              <w:t>No</w:t>
            </w:r>
          </w:p>
        </w:tc>
      </w:tr>
      <w:tr w:rsidR="00E70003" w:rsidRPr="00A57416" w:rsidTr="00E70003">
        <w:trPr>
          <w:trHeight w:val="460"/>
        </w:trPr>
        <w:tc>
          <w:tcPr>
            <w:tcW w:w="1797" w:type="dxa"/>
            <w:vMerge w:val="restart"/>
            <w:tcBorders>
              <w:top w:val="double" w:sz="4" w:space="0" w:color="auto"/>
              <w:left w:val="double" w:sz="4" w:space="0" w:color="auto"/>
              <w:bottom w:val="double" w:sz="4" w:space="0" w:color="auto"/>
              <w:right w:val="doub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North America</w:t>
            </w:r>
          </w:p>
        </w:tc>
        <w:tc>
          <w:tcPr>
            <w:tcW w:w="2643"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USA</w:t>
            </w:r>
          </w:p>
        </w:tc>
        <w:tc>
          <w:tcPr>
            <w:tcW w:w="1652" w:type="dxa"/>
            <w:tcBorders>
              <w:top w:val="double" w:sz="4" w:space="0" w:color="auto"/>
              <w:left w:val="nil"/>
              <w:bottom w:val="single" w:sz="4" w:space="0" w:color="auto"/>
              <w:right w:val="sing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c>
          <w:tcPr>
            <w:tcW w:w="2445" w:type="dxa"/>
            <w:tcBorders>
              <w:top w:val="double" w:sz="4" w:space="0" w:color="auto"/>
              <w:left w:val="nil"/>
              <w:bottom w:val="single" w:sz="4" w:space="0" w:color="auto"/>
              <w:right w:val="doub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No</w:t>
            </w:r>
          </w:p>
        </w:tc>
      </w:tr>
      <w:tr w:rsidR="00E70003" w:rsidRPr="00A57416" w:rsidTr="00E70003">
        <w:trPr>
          <w:trHeight w:val="483"/>
        </w:trPr>
        <w:tc>
          <w:tcPr>
            <w:tcW w:w="1797" w:type="dxa"/>
            <w:vMerge/>
            <w:tcBorders>
              <w:top w:val="single" w:sz="8" w:space="0" w:color="000000"/>
              <w:left w:val="double" w:sz="4" w:space="0" w:color="auto"/>
              <w:bottom w:val="double" w:sz="4" w:space="0" w:color="auto"/>
              <w:right w:val="double" w:sz="4" w:space="0" w:color="auto"/>
            </w:tcBorders>
            <w:vAlign w:val="center"/>
            <w:hideMark/>
          </w:tcPr>
          <w:p w:rsidR="00E70003" w:rsidRPr="00CB0FDD" w:rsidRDefault="00E70003" w:rsidP="00E70003">
            <w:pPr>
              <w:pStyle w:val="whp20100506"/>
              <w:ind w:left="720"/>
              <w:jc w:val="center"/>
              <w:rPr>
                <w:lang w:eastAsia="en-ZA"/>
              </w:rPr>
            </w:pPr>
          </w:p>
        </w:tc>
        <w:tc>
          <w:tcPr>
            <w:tcW w:w="2643" w:type="dxa"/>
            <w:tcBorders>
              <w:top w:val="single" w:sz="4" w:space="0" w:color="auto"/>
              <w:left w:val="double" w:sz="4" w:space="0" w:color="auto"/>
              <w:bottom w:val="doub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Canada</w:t>
            </w:r>
          </w:p>
        </w:tc>
        <w:tc>
          <w:tcPr>
            <w:tcW w:w="1652" w:type="dxa"/>
            <w:tcBorders>
              <w:top w:val="single" w:sz="4" w:space="0" w:color="auto"/>
              <w:left w:val="nil"/>
              <w:bottom w:val="double" w:sz="4" w:space="0" w:color="auto"/>
              <w:right w:val="sing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c>
          <w:tcPr>
            <w:tcW w:w="2445" w:type="dxa"/>
            <w:tcBorders>
              <w:top w:val="single" w:sz="4" w:space="0" w:color="auto"/>
              <w:left w:val="nil"/>
              <w:bottom w:val="double" w:sz="4" w:space="0" w:color="auto"/>
              <w:right w:val="doub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No</w:t>
            </w:r>
          </w:p>
        </w:tc>
      </w:tr>
      <w:tr w:rsidR="00E70003" w:rsidRPr="00A57416" w:rsidTr="00E70003">
        <w:trPr>
          <w:trHeight w:val="460"/>
        </w:trPr>
        <w:tc>
          <w:tcPr>
            <w:tcW w:w="1797" w:type="dxa"/>
            <w:vMerge w:val="restart"/>
            <w:tcBorders>
              <w:top w:val="single" w:sz="8" w:space="0" w:color="000000"/>
              <w:left w:val="double" w:sz="4" w:space="0" w:color="auto"/>
              <w:bottom w:val="double" w:sz="4" w:space="0" w:color="auto"/>
              <w:right w:val="doub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Asia</w:t>
            </w:r>
          </w:p>
        </w:tc>
        <w:tc>
          <w:tcPr>
            <w:tcW w:w="2643"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Malaysia</w:t>
            </w:r>
          </w:p>
        </w:tc>
        <w:tc>
          <w:tcPr>
            <w:tcW w:w="1652" w:type="dxa"/>
            <w:tcBorders>
              <w:top w:val="double" w:sz="4" w:space="0" w:color="auto"/>
              <w:left w:val="nil"/>
              <w:bottom w:val="single" w:sz="4" w:space="0" w:color="auto"/>
              <w:right w:val="sing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c>
          <w:tcPr>
            <w:tcW w:w="2445" w:type="dxa"/>
            <w:tcBorders>
              <w:top w:val="double" w:sz="4" w:space="0" w:color="auto"/>
              <w:left w:val="nil"/>
              <w:bottom w:val="single" w:sz="4" w:space="0" w:color="auto"/>
              <w:right w:val="doub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No</w:t>
            </w:r>
          </w:p>
        </w:tc>
      </w:tr>
      <w:tr w:rsidR="00E70003" w:rsidRPr="00A57416" w:rsidTr="00E70003">
        <w:trPr>
          <w:trHeight w:val="460"/>
        </w:trPr>
        <w:tc>
          <w:tcPr>
            <w:tcW w:w="1797" w:type="dxa"/>
            <w:vMerge/>
            <w:tcBorders>
              <w:top w:val="single" w:sz="8" w:space="0" w:color="000000"/>
              <w:left w:val="double" w:sz="4" w:space="0" w:color="auto"/>
              <w:bottom w:val="double" w:sz="4" w:space="0" w:color="auto"/>
              <w:right w:val="double" w:sz="4" w:space="0" w:color="auto"/>
            </w:tcBorders>
            <w:vAlign w:val="center"/>
            <w:hideMark/>
          </w:tcPr>
          <w:p w:rsidR="00E70003" w:rsidRPr="00CB0FDD" w:rsidRDefault="00E70003" w:rsidP="00E70003">
            <w:pPr>
              <w:pStyle w:val="whp20100506"/>
              <w:ind w:left="720"/>
              <w:jc w:val="center"/>
              <w:rPr>
                <w:lang w:eastAsia="en-ZA"/>
              </w:rPr>
            </w:pPr>
          </w:p>
        </w:tc>
        <w:tc>
          <w:tcPr>
            <w:tcW w:w="2643" w:type="dxa"/>
            <w:tcBorders>
              <w:top w:val="nil"/>
              <w:left w:val="double" w:sz="4" w:space="0" w:color="auto"/>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Japan</w:t>
            </w:r>
          </w:p>
        </w:tc>
        <w:tc>
          <w:tcPr>
            <w:tcW w:w="1652" w:type="dxa"/>
            <w:tcBorders>
              <w:top w:val="nil"/>
              <w:left w:val="nil"/>
              <w:bottom w:val="single" w:sz="4" w:space="0" w:color="auto"/>
              <w:right w:val="sing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c>
          <w:tcPr>
            <w:tcW w:w="2445" w:type="dxa"/>
            <w:tcBorders>
              <w:top w:val="nil"/>
              <w:left w:val="nil"/>
              <w:bottom w:val="single" w:sz="4" w:space="0" w:color="auto"/>
              <w:right w:val="doub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No</w:t>
            </w:r>
          </w:p>
        </w:tc>
      </w:tr>
      <w:tr w:rsidR="00E70003" w:rsidRPr="00A57416" w:rsidTr="00E70003">
        <w:trPr>
          <w:trHeight w:val="460"/>
        </w:trPr>
        <w:tc>
          <w:tcPr>
            <w:tcW w:w="1797" w:type="dxa"/>
            <w:vMerge/>
            <w:tcBorders>
              <w:top w:val="single" w:sz="8" w:space="0" w:color="000000"/>
              <w:left w:val="double" w:sz="4" w:space="0" w:color="auto"/>
              <w:bottom w:val="double" w:sz="4" w:space="0" w:color="auto"/>
              <w:right w:val="double" w:sz="4" w:space="0" w:color="auto"/>
            </w:tcBorders>
            <w:vAlign w:val="center"/>
            <w:hideMark/>
          </w:tcPr>
          <w:p w:rsidR="00E70003" w:rsidRPr="00CB0FDD" w:rsidRDefault="00E70003" w:rsidP="00E70003">
            <w:pPr>
              <w:pStyle w:val="whp20100506"/>
              <w:ind w:left="720"/>
              <w:jc w:val="center"/>
              <w:rPr>
                <w:lang w:eastAsia="en-ZA"/>
              </w:rPr>
            </w:pPr>
          </w:p>
        </w:tc>
        <w:tc>
          <w:tcPr>
            <w:tcW w:w="2643" w:type="dxa"/>
            <w:tcBorders>
              <w:top w:val="nil"/>
              <w:left w:val="double" w:sz="4" w:space="0" w:color="auto"/>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South Korea</w:t>
            </w:r>
          </w:p>
        </w:tc>
        <w:tc>
          <w:tcPr>
            <w:tcW w:w="1652" w:type="dxa"/>
            <w:tcBorders>
              <w:top w:val="nil"/>
              <w:left w:val="nil"/>
              <w:bottom w:val="single" w:sz="4" w:space="0" w:color="auto"/>
              <w:right w:val="sing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c>
          <w:tcPr>
            <w:tcW w:w="2445" w:type="dxa"/>
            <w:tcBorders>
              <w:top w:val="nil"/>
              <w:left w:val="nil"/>
              <w:bottom w:val="single" w:sz="4" w:space="0" w:color="auto"/>
              <w:right w:val="doub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No</w:t>
            </w:r>
          </w:p>
        </w:tc>
      </w:tr>
      <w:tr w:rsidR="00E70003" w:rsidRPr="00A57416" w:rsidTr="00E70003">
        <w:trPr>
          <w:trHeight w:val="460"/>
        </w:trPr>
        <w:tc>
          <w:tcPr>
            <w:tcW w:w="1797" w:type="dxa"/>
            <w:vMerge/>
            <w:tcBorders>
              <w:top w:val="single" w:sz="8" w:space="0" w:color="000000"/>
              <w:left w:val="double" w:sz="4" w:space="0" w:color="auto"/>
              <w:bottom w:val="double" w:sz="4" w:space="0" w:color="auto"/>
              <w:right w:val="double" w:sz="4" w:space="0" w:color="auto"/>
            </w:tcBorders>
            <w:vAlign w:val="center"/>
            <w:hideMark/>
          </w:tcPr>
          <w:p w:rsidR="00E70003" w:rsidRPr="00CB0FDD" w:rsidRDefault="00E70003" w:rsidP="00E70003">
            <w:pPr>
              <w:pStyle w:val="whp20100506"/>
              <w:ind w:left="720"/>
              <w:jc w:val="center"/>
              <w:rPr>
                <w:lang w:eastAsia="en-ZA"/>
              </w:rPr>
            </w:pPr>
          </w:p>
        </w:tc>
        <w:tc>
          <w:tcPr>
            <w:tcW w:w="2643" w:type="dxa"/>
            <w:tcBorders>
              <w:top w:val="nil"/>
              <w:left w:val="double" w:sz="4" w:space="0" w:color="auto"/>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Hong Kong</w:t>
            </w:r>
          </w:p>
        </w:tc>
        <w:tc>
          <w:tcPr>
            <w:tcW w:w="1652" w:type="dxa"/>
            <w:tcBorders>
              <w:top w:val="nil"/>
              <w:left w:val="nil"/>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Yes</w:t>
            </w:r>
          </w:p>
        </w:tc>
        <w:tc>
          <w:tcPr>
            <w:tcW w:w="2445" w:type="dxa"/>
            <w:tcBorders>
              <w:top w:val="nil"/>
              <w:left w:val="nil"/>
              <w:bottom w:val="single" w:sz="4" w:space="0" w:color="auto"/>
              <w:right w:val="doub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r>
      <w:tr w:rsidR="00E70003" w:rsidRPr="00A57416" w:rsidTr="00E70003">
        <w:trPr>
          <w:trHeight w:val="483"/>
        </w:trPr>
        <w:tc>
          <w:tcPr>
            <w:tcW w:w="1797" w:type="dxa"/>
            <w:vMerge/>
            <w:tcBorders>
              <w:top w:val="single" w:sz="8" w:space="0" w:color="000000"/>
              <w:left w:val="double" w:sz="4" w:space="0" w:color="auto"/>
              <w:bottom w:val="double" w:sz="4" w:space="0" w:color="auto"/>
              <w:right w:val="double" w:sz="4" w:space="0" w:color="auto"/>
            </w:tcBorders>
            <w:vAlign w:val="center"/>
            <w:hideMark/>
          </w:tcPr>
          <w:p w:rsidR="00E70003" w:rsidRPr="00CB0FDD" w:rsidRDefault="00E70003" w:rsidP="00E70003">
            <w:pPr>
              <w:pStyle w:val="whp20100506"/>
              <w:ind w:left="720"/>
              <w:jc w:val="center"/>
              <w:rPr>
                <w:lang w:eastAsia="en-ZA"/>
              </w:rPr>
            </w:pPr>
          </w:p>
        </w:tc>
        <w:tc>
          <w:tcPr>
            <w:tcW w:w="2643" w:type="dxa"/>
            <w:tcBorders>
              <w:top w:val="nil"/>
              <w:left w:val="double" w:sz="4" w:space="0" w:color="auto"/>
              <w:bottom w:val="doub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Singapore</w:t>
            </w:r>
          </w:p>
        </w:tc>
        <w:tc>
          <w:tcPr>
            <w:tcW w:w="1652" w:type="dxa"/>
            <w:tcBorders>
              <w:top w:val="nil"/>
              <w:left w:val="nil"/>
              <w:bottom w:val="doub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Yes</w:t>
            </w:r>
          </w:p>
        </w:tc>
        <w:tc>
          <w:tcPr>
            <w:tcW w:w="2445" w:type="dxa"/>
            <w:tcBorders>
              <w:top w:val="nil"/>
              <w:left w:val="nil"/>
              <w:bottom w:val="double" w:sz="4" w:space="0" w:color="auto"/>
              <w:right w:val="doub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r>
      <w:tr w:rsidR="00E70003" w:rsidRPr="00A57416" w:rsidTr="00E70003">
        <w:trPr>
          <w:trHeight w:val="460"/>
        </w:trPr>
        <w:tc>
          <w:tcPr>
            <w:tcW w:w="1797" w:type="dxa"/>
            <w:vMerge w:val="restart"/>
            <w:tcBorders>
              <w:top w:val="single" w:sz="8" w:space="0" w:color="000000"/>
              <w:left w:val="double" w:sz="4" w:space="0" w:color="auto"/>
              <w:bottom w:val="double" w:sz="4" w:space="0" w:color="auto"/>
              <w:right w:val="doub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Pacific</w:t>
            </w:r>
          </w:p>
        </w:tc>
        <w:tc>
          <w:tcPr>
            <w:tcW w:w="2643"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Australia</w:t>
            </w:r>
          </w:p>
        </w:tc>
        <w:tc>
          <w:tcPr>
            <w:tcW w:w="1652" w:type="dxa"/>
            <w:tcBorders>
              <w:top w:val="double" w:sz="4" w:space="0" w:color="auto"/>
              <w:left w:val="nil"/>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Yes</w:t>
            </w:r>
          </w:p>
        </w:tc>
        <w:tc>
          <w:tcPr>
            <w:tcW w:w="2445" w:type="dxa"/>
            <w:tcBorders>
              <w:top w:val="double" w:sz="4" w:space="0" w:color="auto"/>
              <w:left w:val="nil"/>
              <w:bottom w:val="single" w:sz="4" w:space="0" w:color="auto"/>
              <w:right w:val="doub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r>
      <w:tr w:rsidR="00E70003" w:rsidRPr="00A57416" w:rsidTr="00E70003">
        <w:trPr>
          <w:trHeight w:val="483"/>
        </w:trPr>
        <w:tc>
          <w:tcPr>
            <w:tcW w:w="1797" w:type="dxa"/>
            <w:vMerge/>
            <w:tcBorders>
              <w:top w:val="single" w:sz="8" w:space="0" w:color="000000"/>
              <w:left w:val="double" w:sz="4" w:space="0" w:color="auto"/>
              <w:bottom w:val="double" w:sz="4" w:space="0" w:color="auto"/>
              <w:right w:val="double" w:sz="4" w:space="0" w:color="auto"/>
            </w:tcBorders>
            <w:vAlign w:val="center"/>
            <w:hideMark/>
          </w:tcPr>
          <w:p w:rsidR="00E70003" w:rsidRPr="00CB0FDD" w:rsidRDefault="00E70003" w:rsidP="00E70003">
            <w:pPr>
              <w:pStyle w:val="whp20100506"/>
              <w:ind w:left="720"/>
              <w:jc w:val="center"/>
              <w:rPr>
                <w:lang w:eastAsia="en-ZA"/>
              </w:rPr>
            </w:pPr>
          </w:p>
        </w:tc>
        <w:tc>
          <w:tcPr>
            <w:tcW w:w="2643" w:type="dxa"/>
            <w:tcBorders>
              <w:top w:val="single" w:sz="4" w:space="0" w:color="auto"/>
              <w:left w:val="double" w:sz="4" w:space="0" w:color="auto"/>
              <w:bottom w:val="doub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New Zealand</w:t>
            </w:r>
          </w:p>
        </w:tc>
        <w:tc>
          <w:tcPr>
            <w:tcW w:w="1652" w:type="dxa"/>
            <w:tcBorders>
              <w:top w:val="single" w:sz="4" w:space="0" w:color="auto"/>
              <w:left w:val="nil"/>
              <w:bottom w:val="doub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Yes</w:t>
            </w:r>
          </w:p>
        </w:tc>
        <w:tc>
          <w:tcPr>
            <w:tcW w:w="2445" w:type="dxa"/>
            <w:tcBorders>
              <w:top w:val="single" w:sz="4" w:space="0" w:color="auto"/>
              <w:left w:val="nil"/>
              <w:bottom w:val="double" w:sz="4" w:space="0" w:color="auto"/>
              <w:right w:val="doub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r>
      <w:tr w:rsidR="00E70003" w:rsidRPr="00A57416" w:rsidTr="00E70003">
        <w:trPr>
          <w:trHeight w:val="460"/>
        </w:trPr>
        <w:tc>
          <w:tcPr>
            <w:tcW w:w="1797" w:type="dxa"/>
            <w:vMerge w:val="restart"/>
            <w:tcBorders>
              <w:top w:val="single" w:sz="8" w:space="0" w:color="000000"/>
              <w:left w:val="double" w:sz="4" w:space="0" w:color="auto"/>
              <w:bottom w:val="double" w:sz="4" w:space="0" w:color="auto"/>
              <w:right w:val="doub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EMEIA</w:t>
            </w:r>
          </w:p>
        </w:tc>
        <w:tc>
          <w:tcPr>
            <w:tcW w:w="2643" w:type="dxa"/>
            <w:tcBorders>
              <w:top w:val="double" w:sz="4" w:space="0" w:color="auto"/>
              <w:left w:val="double" w:sz="4" w:space="0" w:color="auto"/>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Netherlands</w:t>
            </w:r>
          </w:p>
        </w:tc>
        <w:tc>
          <w:tcPr>
            <w:tcW w:w="1652" w:type="dxa"/>
            <w:tcBorders>
              <w:top w:val="double" w:sz="4" w:space="0" w:color="auto"/>
              <w:left w:val="nil"/>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Yes</w:t>
            </w:r>
          </w:p>
        </w:tc>
        <w:tc>
          <w:tcPr>
            <w:tcW w:w="2445" w:type="dxa"/>
            <w:tcBorders>
              <w:top w:val="double" w:sz="4" w:space="0" w:color="auto"/>
              <w:left w:val="nil"/>
              <w:bottom w:val="single" w:sz="4" w:space="0" w:color="auto"/>
              <w:right w:val="doub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r>
      <w:tr w:rsidR="00E70003" w:rsidRPr="00A57416" w:rsidTr="00E70003">
        <w:trPr>
          <w:trHeight w:val="460"/>
        </w:trPr>
        <w:tc>
          <w:tcPr>
            <w:tcW w:w="1797" w:type="dxa"/>
            <w:vMerge/>
            <w:tcBorders>
              <w:top w:val="single" w:sz="8" w:space="0" w:color="000000"/>
              <w:left w:val="double" w:sz="4" w:space="0" w:color="auto"/>
              <w:bottom w:val="double" w:sz="4" w:space="0" w:color="auto"/>
              <w:right w:val="double" w:sz="4" w:space="0" w:color="auto"/>
            </w:tcBorders>
            <w:vAlign w:val="center"/>
            <w:hideMark/>
          </w:tcPr>
          <w:p w:rsidR="00E70003" w:rsidRPr="00CB0FDD" w:rsidRDefault="00E70003" w:rsidP="00E70003">
            <w:pPr>
              <w:pStyle w:val="whp20100506"/>
              <w:ind w:left="720"/>
              <w:jc w:val="center"/>
              <w:rPr>
                <w:lang w:eastAsia="en-ZA"/>
              </w:rPr>
            </w:pPr>
          </w:p>
        </w:tc>
        <w:tc>
          <w:tcPr>
            <w:tcW w:w="2643" w:type="dxa"/>
            <w:tcBorders>
              <w:top w:val="nil"/>
              <w:left w:val="double" w:sz="4" w:space="0" w:color="auto"/>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UK</w:t>
            </w:r>
          </w:p>
        </w:tc>
        <w:tc>
          <w:tcPr>
            <w:tcW w:w="1652" w:type="dxa"/>
            <w:tcBorders>
              <w:top w:val="nil"/>
              <w:left w:val="nil"/>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Yes</w:t>
            </w:r>
          </w:p>
        </w:tc>
        <w:tc>
          <w:tcPr>
            <w:tcW w:w="2445" w:type="dxa"/>
            <w:tcBorders>
              <w:top w:val="nil"/>
              <w:left w:val="nil"/>
              <w:bottom w:val="single" w:sz="4" w:space="0" w:color="auto"/>
              <w:right w:val="doub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r>
      <w:tr w:rsidR="00E70003" w:rsidRPr="00A57416" w:rsidTr="00E70003">
        <w:trPr>
          <w:trHeight w:val="460"/>
        </w:trPr>
        <w:tc>
          <w:tcPr>
            <w:tcW w:w="1797" w:type="dxa"/>
            <w:vMerge/>
            <w:tcBorders>
              <w:top w:val="single" w:sz="8" w:space="0" w:color="000000"/>
              <w:left w:val="double" w:sz="4" w:space="0" w:color="auto"/>
              <w:bottom w:val="double" w:sz="4" w:space="0" w:color="auto"/>
              <w:right w:val="double" w:sz="4" w:space="0" w:color="auto"/>
            </w:tcBorders>
            <w:vAlign w:val="center"/>
            <w:hideMark/>
          </w:tcPr>
          <w:p w:rsidR="00E70003" w:rsidRPr="00CB0FDD" w:rsidRDefault="00E70003" w:rsidP="00E70003">
            <w:pPr>
              <w:pStyle w:val="whp20100506"/>
              <w:ind w:left="720"/>
              <w:jc w:val="center"/>
              <w:rPr>
                <w:lang w:eastAsia="en-ZA"/>
              </w:rPr>
            </w:pPr>
          </w:p>
        </w:tc>
        <w:tc>
          <w:tcPr>
            <w:tcW w:w="2643" w:type="dxa"/>
            <w:tcBorders>
              <w:top w:val="nil"/>
              <w:left w:val="double" w:sz="4" w:space="0" w:color="auto"/>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Belgium</w:t>
            </w:r>
          </w:p>
        </w:tc>
        <w:tc>
          <w:tcPr>
            <w:tcW w:w="1652" w:type="dxa"/>
            <w:tcBorders>
              <w:top w:val="nil"/>
              <w:left w:val="nil"/>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Yes</w:t>
            </w:r>
          </w:p>
        </w:tc>
        <w:tc>
          <w:tcPr>
            <w:tcW w:w="2445" w:type="dxa"/>
            <w:tcBorders>
              <w:top w:val="nil"/>
              <w:left w:val="nil"/>
              <w:bottom w:val="single" w:sz="4" w:space="0" w:color="auto"/>
              <w:right w:val="doub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r>
      <w:tr w:rsidR="00E70003" w:rsidRPr="00A57416" w:rsidTr="00E70003">
        <w:trPr>
          <w:trHeight w:val="460"/>
        </w:trPr>
        <w:tc>
          <w:tcPr>
            <w:tcW w:w="1797" w:type="dxa"/>
            <w:vMerge/>
            <w:tcBorders>
              <w:top w:val="single" w:sz="8" w:space="0" w:color="000000"/>
              <w:left w:val="double" w:sz="4" w:space="0" w:color="auto"/>
              <w:bottom w:val="double" w:sz="4" w:space="0" w:color="auto"/>
              <w:right w:val="double" w:sz="4" w:space="0" w:color="auto"/>
            </w:tcBorders>
            <w:vAlign w:val="center"/>
            <w:hideMark/>
          </w:tcPr>
          <w:p w:rsidR="00E70003" w:rsidRPr="00CB0FDD" w:rsidRDefault="00E70003" w:rsidP="00E70003">
            <w:pPr>
              <w:pStyle w:val="whp20100506"/>
              <w:ind w:left="720"/>
              <w:jc w:val="center"/>
              <w:rPr>
                <w:lang w:eastAsia="en-ZA"/>
              </w:rPr>
            </w:pPr>
          </w:p>
        </w:tc>
        <w:tc>
          <w:tcPr>
            <w:tcW w:w="2643" w:type="dxa"/>
            <w:tcBorders>
              <w:top w:val="nil"/>
              <w:left w:val="double" w:sz="4" w:space="0" w:color="auto"/>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France</w:t>
            </w:r>
          </w:p>
        </w:tc>
        <w:tc>
          <w:tcPr>
            <w:tcW w:w="1652" w:type="dxa"/>
            <w:tcBorders>
              <w:top w:val="nil"/>
              <w:left w:val="nil"/>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Yes</w:t>
            </w:r>
          </w:p>
        </w:tc>
        <w:tc>
          <w:tcPr>
            <w:tcW w:w="2445" w:type="dxa"/>
            <w:tcBorders>
              <w:top w:val="nil"/>
              <w:left w:val="nil"/>
              <w:bottom w:val="single" w:sz="4" w:space="0" w:color="auto"/>
              <w:right w:val="doub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r>
      <w:tr w:rsidR="00E70003" w:rsidRPr="00A57416" w:rsidTr="00E70003">
        <w:trPr>
          <w:trHeight w:val="460"/>
        </w:trPr>
        <w:tc>
          <w:tcPr>
            <w:tcW w:w="1797" w:type="dxa"/>
            <w:vMerge/>
            <w:tcBorders>
              <w:top w:val="single" w:sz="8" w:space="0" w:color="000000"/>
              <w:left w:val="double" w:sz="4" w:space="0" w:color="auto"/>
              <w:bottom w:val="double" w:sz="4" w:space="0" w:color="auto"/>
              <w:right w:val="double" w:sz="4" w:space="0" w:color="auto"/>
            </w:tcBorders>
            <w:vAlign w:val="center"/>
            <w:hideMark/>
          </w:tcPr>
          <w:p w:rsidR="00E70003" w:rsidRPr="00CB0FDD" w:rsidRDefault="00E70003" w:rsidP="00E70003">
            <w:pPr>
              <w:pStyle w:val="whp20100506"/>
              <w:ind w:left="720"/>
              <w:jc w:val="center"/>
              <w:rPr>
                <w:lang w:eastAsia="en-ZA"/>
              </w:rPr>
            </w:pPr>
          </w:p>
        </w:tc>
        <w:tc>
          <w:tcPr>
            <w:tcW w:w="2643" w:type="dxa"/>
            <w:tcBorders>
              <w:top w:val="nil"/>
              <w:left w:val="double" w:sz="4" w:space="0" w:color="auto"/>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South Africa</w:t>
            </w:r>
          </w:p>
        </w:tc>
        <w:tc>
          <w:tcPr>
            <w:tcW w:w="1652" w:type="dxa"/>
            <w:tcBorders>
              <w:top w:val="nil"/>
              <w:left w:val="nil"/>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Yes</w:t>
            </w:r>
          </w:p>
        </w:tc>
        <w:tc>
          <w:tcPr>
            <w:tcW w:w="2445" w:type="dxa"/>
            <w:tcBorders>
              <w:top w:val="nil"/>
              <w:left w:val="nil"/>
              <w:bottom w:val="single" w:sz="4" w:space="0" w:color="auto"/>
              <w:right w:val="doub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r>
      <w:tr w:rsidR="00E70003" w:rsidRPr="00A57416" w:rsidTr="00E70003">
        <w:trPr>
          <w:trHeight w:val="460"/>
        </w:trPr>
        <w:tc>
          <w:tcPr>
            <w:tcW w:w="1797" w:type="dxa"/>
            <w:vMerge/>
            <w:tcBorders>
              <w:top w:val="single" w:sz="8" w:space="0" w:color="000000"/>
              <w:left w:val="double" w:sz="4" w:space="0" w:color="auto"/>
              <w:bottom w:val="double" w:sz="4" w:space="0" w:color="auto"/>
              <w:right w:val="double" w:sz="4" w:space="0" w:color="auto"/>
            </w:tcBorders>
            <w:vAlign w:val="center"/>
            <w:hideMark/>
          </w:tcPr>
          <w:p w:rsidR="00E70003" w:rsidRPr="00CB0FDD" w:rsidRDefault="00E70003" w:rsidP="00E70003">
            <w:pPr>
              <w:pStyle w:val="whp20100506"/>
              <w:ind w:left="720"/>
              <w:jc w:val="center"/>
              <w:rPr>
                <w:lang w:eastAsia="en-ZA"/>
              </w:rPr>
            </w:pPr>
          </w:p>
        </w:tc>
        <w:tc>
          <w:tcPr>
            <w:tcW w:w="2643" w:type="dxa"/>
            <w:tcBorders>
              <w:top w:val="nil"/>
              <w:left w:val="double" w:sz="4" w:space="0" w:color="auto"/>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Turkey</w:t>
            </w:r>
          </w:p>
        </w:tc>
        <w:tc>
          <w:tcPr>
            <w:tcW w:w="1652" w:type="dxa"/>
            <w:tcBorders>
              <w:top w:val="nil"/>
              <w:left w:val="nil"/>
              <w:bottom w:val="sing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Yes</w:t>
            </w:r>
          </w:p>
        </w:tc>
        <w:tc>
          <w:tcPr>
            <w:tcW w:w="2445" w:type="dxa"/>
            <w:tcBorders>
              <w:top w:val="nil"/>
              <w:left w:val="nil"/>
              <w:bottom w:val="single" w:sz="4" w:space="0" w:color="auto"/>
              <w:right w:val="double" w:sz="4" w:space="0" w:color="auto"/>
            </w:tcBorders>
            <w:shd w:val="clear" w:color="auto" w:fill="auto"/>
            <w:noWrap/>
            <w:vAlign w:val="center"/>
            <w:hideMark/>
          </w:tcPr>
          <w:p w:rsidR="00E70003" w:rsidRPr="00CB0FDD" w:rsidRDefault="00E70003" w:rsidP="00E70003">
            <w:pPr>
              <w:pStyle w:val="whp20100506"/>
              <w:ind w:left="720"/>
              <w:jc w:val="center"/>
              <w:rPr>
                <w:lang w:eastAsia="en-ZA"/>
              </w:rPr>
            </w:pPr>
          </w:p>
        </w:tc>
      </w:tr>
      <w:tr w:rsidR="00E70003" w:rsidRPr="00A57416" w:rsidTr="00E70003">
        <w:trPr>
          <w:trHeight w:val="483"/>
        </w:trPr>
        <w:tc>
          <w:tcPr>
            <w:tcW w:w="1797" w:type="dxa"/>
            <w:vMerge/>
            <w:tcBorders>
              <w:top w:val="single" w:sz="8" w:space="0" w:color="000000"/>
              <w:left w:val="double" w:sz="4" w:space="0" w:color="auto"/>
              <w:bottom w:val="double" w:sz="4" w:space="0" w:color="auto"/>
              <w:right w:val="double" w:sz="4" w:space="0" w:color="auto"/>
            </w:tcBorders>
            <w:vAlign w:val="center"/>
            <w:hideMark/>
          </w:tcPr>
          <w:p w:rsidR="00E70003" w:rsidRPr="00CB0FDD" w:rsidRDefault="00E70003" w:rsidP="00E70003">
            <w:pPr>
              <w:pStyle w:val="whp20100506"/>
              <w:ind w:left="720"/>
              <w:jc w:val="center"/>
              <w:rPr>
                <w:lang w:eastAsia="en-ZA"/>
              </w:rPr>
            </w:pPr>
          </w:p>
        </w:tc>
        <w:tc>
          <w:tcPr>
            <w:tcW w:w="2643" w:type="dxa"/>
            <w:tcBorders>
              <w:top w:val="nil"/>
              <w:left w:val="double" w:sz="4" w:space="0" w:color="auto"/>
              <w:bottom w:val="doub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Germany</w:t>
            </w:r>
          </w:p>
        </w:tc>
        <w:tc>
          <w:tcPr>
            <w:tcW w:w="1652" w:type="dxa"/>
            <w:tcBorders>
              <w:top w:val="nil"/>
              <w:left w:val="nil"/>
              <w:bottom w:val="double" w:sz="4" w:space="0" w:color="auto"/>
              <w:right w:val="single" w:sz="4" w:space="0" w:color="auto"/>
            </w:tcBorders>
            <w:shd w:val="clear" w:color="auto" w:fill="auto"/>
            <w:noWrap/>
            <w:vAlign w:val="center"/>
            <w:hideMark/>
          </w:tcPr>
          <w:p w:rsidR="00E70003" w:rsidRPr="00CB0FDD" w:rsidRDefault="00E70003" w:rsidP="00E70003">
            <w:pPr>
              <w:pStyle w:val="whp20100506"/>
              <w:jc w:val="center"/>
              <w:rPr>
                <w:lang w:eastAsia="en-ZA"/>
              </w:rPr>
            </w:pPr>
            <w:r w:rsidRPr="00CB0FDD">
              <w:rPr>
                <w:lang w:eastAsia="en-ZA"/>
              </w:rPr>
              <w:t>Yes</w:t>
            </w:r>
          </w:p>
        </w:tc>
        <w:tc>
          <w:tcPr>
            <w:tcW w:w="2445" w:type="dxa"/>
            <w:tcBorders>
              <w:top w:val="nil"/>
              <w:left w:val="nil"/>
              <w:bottom w:val="double" w:sz="4" w:space="0" w:color="auto"/>
              <w:right w:val="double" w:sz="4" w:space="0" w:color="auto"/>
            </w:tcBorders>
            <w:shd w:val="clear" w:color="auto" w:fill="auto"/>
            <w:noWrap/>
            <w:vAlign w:val="center"/>
            <w:hideMark/>
          </w:tcPr>
          <w:p w:rsidR="00E70003" w:rsidRPr="00CB0FDD" w:rsidRDefault="00E70003" w:rsidP="00E70003">
            <w:pPr>
              <w:pStyle w:val="whp20100506"/>
              <w:keepNext/>
              <w:ind w:left="720"/>
              <w:jc w:val="center"/>
              <w:rPr>
                <w:lang w:eastAsia="en-ZA"/>
              </w:rPr>
            </w:pPr>
          </w:p>
        </w:tc>
      </w:tr>
    </w:tbl>
    <w:p w:rsidR="00534C63" w:rsidRDefault="00534C63" w:rsidP="00534C63">
      <w:pPr>
        <w:pStyle w:val="whp20100506"/>
        <w:numPr>
          <w:ilvl w:val="0"/>
          <w:numId w:val="2"/>
        </w:numPr>
        <w:ind w:left="360"/>
        <w:rPr>
          <w:b/>
        </w:rPr>
      </w:pPr>
      <w:r>
        <w:rPr>
          <w:b/>
        </w:rPr>
        <w:lastRenderedPageBreak/>
        <w:t>LESSONS FROM INTERNATIONAL COUNTRIES FOR REIT STRUCTURES</w:t>
      </w:r>
    </w:p>
    <w:p w:rsidR="00534C63" w:rsidRDefault="00534C63" w:rsidP="00534C63">
      <w:pPr>
        <w:pStyle w:val="whp20100506"/>
      </w:pPr>
    </w:p>
    <w:p w:rsidR="00534C63" w:rsidRPr="0030237E" w:rsidRDefault="00534C63" w:rsidP="00534C63">
      <w:pPr>
        <w:pStyle w:val="whp20100506"/>
      </w:pPr>
      <w:r w:rsidRPr="0030237E">
        <w:t xml:space="preserve">The </w:t>
      </w:r>
      <w:r>
        <w:t>Literature review</w:t>
      </w:r>
      <w:r w:rsidRPr="0030237E">
        <w:t xml:space="preserve"> casts its net upon the international REIT markets in order to gain further understanding of international trends and lessons learnt from recent REIT adoption processes. </w:t>
      </w:r>
    </w:p>
    <w:p w:rsidR="00534C63" w:rsidRPr="0030237E" w:rsidRDefault="00534C63" w:rsidP="00534C63">
      <w:pPr>
        <w:pStyle w:val="whp20100506"/>
      </w:pPr>
    </w:p>
    <w:p w:rsidR="00534C63" w:rsidRPr="0030237E" w:rsidRDefault="00534C63" w:rsidP="00534C63">
      <w:pPr>
        <w:pStyle w:val="whp20100506"/>
      </w:pPr>
      <w:r w:rsidRPr="0030237E">
        <w:t xml:space="preserve">The lessons should be of particular importance to the National Treasury because of the fact that the fundamental principles of </w:t>
      </w:r>
      <w:r w:rsidR="00194F2A">
        <w:t>REITS</w:t>
      </w:r>
      <w:r w:rsidRPr="0030237E">
        <w:t xml:space="preserve"> remain constant across international boundaries. The teething problems experienced by each country carry inherent value and truths that, if considered and studied, will only be in the best interests of South Africa.</w:t>
      </w:r>
    </w:p>
    <w:p w:rsidR="00534C63" w:rsidRPr="0030237E" w:rsidRDefault="00534C63" w:rsidP="00534C63">
      <w:pPr>
        <w:pStyle w:val="whp20100506"/>
      </w:pPr>
    </w:p>
    <w:p w:rsidR="00534C63" w:rsidRPr="0030237E" w:rsidRDefault="00534C63" w:rsidP="00534C63">
      <w:pPr>
        <w:pStyle w:val="whp20100506"/>
      </w:pPr>
      <w:r w:rsidRPr="0030237E">
        <w:t>What is more, developed countries that have had REIT structures in place for some time will have their fibres tested by the recent economic down turn in terms of withstanding and weathering the severe market cycle fluctuations. The contraction of the market over recent years will expose the weakness of the international regulatory framework which will provide clues and warning signs to the National Treasury when drafting a blue print for South Africa.</w:t>
      </w:r>
    </w:p>
    <w:p w:rsidR="00534C63" w:rsidRPr="0030237E" w:rsidRDefault="00534C63" w:rsidP="00534C63">
      <w:pPr>
        <w:pStyle w:val="whp20100506"/>
      </w:pPr>
    </w:p>
    <w:p w:rsidR="00534C63" w:rsidRDefault="00534C63" w:rsidP="00534C63">
      <w:pPr>
        <w:pStyle w:val="whp20100506"/>
      </w:pPr>
      <w:r w:rsidRPr="0030237E">
        <w:t>What follows below is a</w:t>
      </w:r>
      <w:r>
        <w:t xml:space="preserve"> brief overview of international trends that have occurred mostly in the US as the leading REIT country and as a benchmark for the international community. The literature includes lessons learnt from the US and its international peers in Europe and Asia as the basis for motivating the creation of rules and regulations for </w:t>
      </w:r>
      <w:r w:rsidR="00194F2A">
        <w:t>REITS</w:t>
      </w:r>
      <w:r>
        <w:t xml:space="preserve"> in their respective countries. </w:t>
      </w:r>
    </w:p>
    <w:p w:rsidR="00534C63" w:rsidRDefault="00534C63" w:rsidP="00534C63">
      <w:pPr>
        <w:pStyle w:val="whp20100506"/>
      </w:pPr>
    </w:p>
    <w:p w:rsidR="00534C63" w:rsidRDefault="00534C63" w:rsidP="007B731D">
      <w:pPr>
        <w:pStyle w:val="whp20100506"/>
        <w:numPr>
          <w:ilvl w:val="1"/>
          <w:numId w:val="2"/>
        </w:numPr>
        <w:ind w:hanging="720"/>
        <w:rPr>
          <w:b/>
        </w:rPr>
      </w:pPr>
      <w:r>
        <w:rPr>
          <w:b/>
        </w:rPr>
        <w:t>UNITED STATES OF AMERICA (USA)</w:t>
      </w:r>
    </w:p>
    <w:p w:rsidR="00534C63" w:rsidRDefault="00534C63" w:rsidP="00534C63">
      <w:pPr>
        <w:pStyle w:val="whp20100506"/>
        <w:rPr>
          <w:b/>
        </w:rPr>
      </w:pPr>
    </w:p>
    <w:p w:rsidR="00534C63" w:rsidRDefault="00534C63" w:rsidP="00534C63">
      <w:pPr>
        <w:pStyle w:val="whp20100506"/>
      </w:pPr>
      <w:r>
        <w:t xml:space="preserve">In terms of the corporate governance of </w:t>
      </w:r>
      <w:r w:rsidR="00194F2A">
        <w:t>REITS</w:t>
      </w:r>
      <w:r>
        <w:t xml:space="preserve"> as a highly regulated investment vehicle, the relationship between the governance of a REIT and the subsequent performance thereof has been extensively studied for listed property companies in the USA. This will be a welcomed reference to the South African listed property sector, as the Property Loan Stock sector stands to be on the receiving end of a severe overhaul in terms of compliance and thus any concerns aligned to flexibility, returns, risk etc will be defused by way of contrast to international literature. With the vested interests of the REIT investor being the driving force of the governance proposals of the National Treasury, it will be critical to refer to international trends in order to motivate and justify its recommendations to the PLS and CISPs sector.</w:t>
      </w:r>
    </w:p>
    <w:p w:rsidR="00534C63" w:rsidRDefault="00534C63" w:rsidP="00534C63">
      <w:pPr>
        <w:pStyle w:val="whp20100506"/>
      </w:pPr>
    </w:p>
    <w:p w:rsidR="00534C63" w:rsidRPr="007E1EBC" w:rsidRDefault="00534C63" w:rsidP="00534C63">
      <w:pPr>
        <w:pStyle w:val="whp20100506"/>
      </w:pPr>
      <w:r w:rsidRPr="00473A74">
        <w:t xml:space="preserve">Cremers and Nair (2005) investigated the dynamic between corporate control (external governance) and shareholder activism (internal governance) and the impact thereon in the market. They found that the performance of a REIT is </w:t>
      </w:r>
      <w:r w:rsidRPr="007E1EBC">
        <w:t xml:space="preserve">influenced by the presence of both internal and external corporate governance procedures. In the event of very little governance control, they found that there was a poor relationship between internal governance and the REIT’s performance. </w:t>
      </w:r>
    </w:p>
    <w:p w:rsidR="00534C63" w:rsidRPr="007E1EBC" w:rsidRDefault="00534C63" w:rsidP="00534C63">
      <w:pPr>
        <w:pStyle w:val="whp20100506"/>
      </w:pPr>
    </w:p>
    <w:p w:rsidR="00534C63" w:rsidRPr="00473A74" w:rsidRDefault="00534C63" w:rsidP="00534C63">
      <w:pPr>
        <w:pStyle w:val="whp20100506"/>
        <w:rPr>
          <w:szCs w:val="20"/>
        </w:rPr>
      </w:pPr>
      <w:r w:rsidRPr="007E1EBC">
        <w:t xml:space="preserve">Core, Guay, and Rusticus (2006) </w:t>
      </w:r>
      <w:r w:rsidRPr="007E1EBC">
        <w:rPr>
          <w:szCs w:val="20"/>
        </w:rPr>
        <w:t xml:space="preserve">investigated REIT companies that have </w:t>
      </w:r>
      <w:r w:rsidRPr="007E1EBC">
        <w:rPr>
          <w:rStyle w:val="searchword"/>
          <w:szCs w:val="20"/>
          <w:shd w:val="clear" w:color="auto" w:fill="auto"/>
        </w:rPr>
        <w:t>weak</w:t>
      </w:r>
      <w:r w:rsidRPr="007E1EBC">
        <w:rPr>
          <w:szCs w:val="20"/>
        </w:rPr>
        <w:t xml:space="preserve"> shareholder rights and whether this would result in a display of underperformance relative to REIT counterparts who have stronger shareholder governance. They found that </w:t>
      </w:r>
      <w:r w:rsidRPr="007E1EBC">
        <w:rPr>
          <w:rStyle w:val="searchword"/>
          <w:szCs w:val="20"/>
          <w:shd w:val="clear" w:color="auto" w:fill="auto"/>
        </w:rPr>
        <w:t>weak</w:t>
      </w:r>
      <w:r w:rsidRPr="007E1EBC">
        <w:rPr>
          <w:szCs w:val="20"/>
        </w:rPr>
        <w:t xml:space="preserve"> </w:t>
      </w:r>
      <w:r w:rsidRPr="007E1EBC">
        <w:rPr>
          <w:rStyle w:val="searchword"/>
          <w:szCs w:val="20"/>
          <w:shd w:val="clear" w:color="auto" w:fill="auto"/>
        </w:rPr>
        <w:t>governance</w:t>
      </w:r>
      <w:r w:rsidRPr="007E1EBC">
        <w:rPr>
          <w:szCs w:val="20"/>
        </w:rPr>
        <w:t xml:space="preserve"> does not necessary causes poor stock returns on the basis that the market is not surprised the underperformance of these under-governed REIT companies. The possible explanation for this then would be that the poor governance of a REIT would be reflected more</w:t>
      </w:r>
      <w:r w:rsidRPr="00473A74">
        <w:rPr>
          <w:szCs w:val="20"/>
        </w:rPr>
        <w:t xml:space="preserve"> in the share price than in the performance.</w:t>
      </w:r>
    </w:p>
    <w:p w:rsidR="00534C63" w:rsidRPr="00473A74" w:rsidRDefault="00534C63" w:rsidP="00534C63">
      <w:pPr>
        <w:pStyle w:val="whp20100506"/>
      </w:pPr>
    </w:p>
    <w:p w:rsidR="00534C63" w:rsidRDefault="00534C63" w:rsidP="00534C63">
      <w:pPr>
        <w:pStyle w:val="whp20100506"/>
      </w:pPr>
      <w:r w:rsidRPr="00473A74">
        <w:t xml:space="preserve">The above is in stark contrast to the findings of Bauer et al (2006) who from their study of 220 </w:t>
      </w:r>
      <w:r w:rsidR="00194F2A">
        <w:t>REITS</w:t>
      </w:r>
      <w:r w:rsidRPr="00473A74">
        <w:t xml:space="preserve"> found that while the company value of a REIT increases in line</w:t>
      </w:r>
      <w:r>
        <w:t xml:space="preserve"> with good governance, they concluded that fundamental performance is only weakly related to their governance index. They expressed reservations whether the strategy of trading in </w:t>
      </w:r>
      <w:r w:rsidR="00194F2A">
        <w:t>REITS</w:t>
      </w:r>
      <w:r>
        <w:t xml:space="preserve"> with high governance ratings would lead to an outperformance to those </w:t>
      </w:r>
      <w:r w:rsidR="00194F2A">
        <w:t>REITS</w:t>
      </w:r>
      <w:r>
        <w:t xml:space="preserve"> with low governance ratings. It is however also interesting to note that the study of ‘external’ governance index (G-Index) and the performance of </w:t>
      </w:r>
      <w:r w:rsidR="00194F2A">
        <w:t>REITS</w:t>
      </w:r>
      <w:r>
        <w:t xml:space="preserve"> by Biano, Ghosh and Sirmans (2007) showed external governance is ineffective for </w:t>
      </w:r>
      <w:r w:rsidR="00194F2A">
        <w:t>REITS</w:t>
      </w:r>
      <w:r>
        <w:t xml:space="preserve"> and that more focus should be paid to the effectiveness of internal governance mechanisms. </w:t>
      </w:r>
    </w:p>
    <w:p w:rsidR="00534C63" w:rsidRDefault="00534C63" w:rsidP="00534C63">
      <w:pPr>
        <w:pStyle w:val="whp20100506"/>
      </w:pPr>
    </w:p>
    <w:p w:rsidR="00534C63" w:rsidRDefault="00534C63" w:rsidP="00534C63">
      <w:pPr>
        <w:pStyle w:val="whp20100506"/>
      </w:pPr>
      <w:r>
        <w:t xml:space="preserve">The bottom line for the National Treasury is that </w:t>
      </w:r>
      <w:r w:rsidR="00194F2A">
        <w:t>REITS</w:t>
      </w:r>
      <w:r>
        <w:t xml:space="preserve"> across the globe are subject to severe governance regulations, which has unquestionably benefited the sector in terms of transparency and performance. Bauer, Eichholtz and Kok (2009) studied over 5000 companies and 220 </w:t>
      </w:r>
      <w:r w:rsidR="00194F2A">
        <w:t>REITS</w:t>
      </w:r>
      <w:r>
        <w:t xml:space="preserve"> and found that there is strong a significantly positive correlation between governance and several performance variables. This along with general trends internationally will add merit and substance to the National Treasury’s recommendations and proposals for strong governance of </w:t>
      </w:r>
      <w:r w:rsidR="00194F2A">
        <w:t>REITS</w:t>
      </w:r>
      <w:r>
        <w:t xml:space="preserve"> in South Africa.</w:t>
      </w:r>
    </w:p>
    <w:p w:rsidR="00534C63" w:rsidRDefault="00534C63" w:rsidP="00534C63">
      <w:pPr>
        <w:pStyle w:val="whp20100506"/>
      </w:pPr>
    </w:p>
    <w:p w:rsidR="00534C63" w:rsidRDefault="00534C63" w:rsidP="00534C63">
      <w:pPr>
        <w:pStyle w:val="whp20100506"/>
      </w:pPr>
      <w:r>
        <w:lastRenderedPageBreak/>
        <w:t xml:space="preserve">One of the items on the National Treasury’s agenda is the safeguarding of the interests of the investor, particularly with regards to management of the REIT, albeit internal or external, especially with regards </w:t>
      </w:r>
      <w:r w:rsidR="00032422">
        <w:t>to entrenched</w:t>
      </w:r>
      <w:r>
        <w:t xml:space="preserve"> services providers who receive lucrative contracts, often at the expense of the investor. </w:t>
      </w:r>
    </w:p>
    <w:p w:rsidR="00534C63" w:rsidRDefault="00534C63" w:rsidP="00534C63">
      <w:pPr>
        <w:pStyle w:val="whp20100506"/>
      </w:pPr>
    </w:p>
    <w:p w:rsidR="00534C63" w:rsidRDefault="00534C63" w:rsidP="00534C63">
      <w:pPr>
        <w:pStyle w:val="whp20100506"/>
      </w:pPr>
      <w:r>
        <w:t xml:space="preserve">Ghosh et al (2008) studied the performance characteristics of </w:t>
      </w:r>
      <w:r w:rsidR="00194F2A">
        <w:t>REITS</w:t>
      </w:r>
      <w:r>
        <w:t xml:space="preserve"> relative to the vested and entrenched interests of the REIT’s CEO. They found that CEO’s who have vested interests in the performance and longevity of a REIT company use less leverage and shorter maturity debt. This is in line with the expectations that the management of a REIT company who, when acting in their own interests, will engage in business decisions that lower gearing in order to reduce potential liquidity problems and also use short term maturity debt to safeguard their remuneration and reputation by way of long term planning. </w:t>
      </w:r>
    </w:p>
    <w:p w:rsidR="00534C63" w:rsidRDefault="00534C63" w:rsidP="00534C63">
      <w:pPr>
        <w:pStyle w:val="whp20100506"/>
      </w:pPr>
    </w:p>
    <w:p w:rsidR="00534C63" w:rsidRDefault="00534C63" w:rsidP="00534C63">
      <w:pPr>
        <w:pStyle w:val="whp20100506"/>
      </w:pPr>
      <w:r>
        <w:t xml:space="preserve">The argument regarding vested interests extends </w:t>
      </w:r>
      <w:r w:rsidRPr="00D5681D">
        <w:t xml:space="preserve">to internal or external management companies </w:t>
      </w:r>
      <w:r>
        <w:t xml:space="preserve">and has been the subject of tremendous research over the years. Capozza and Seguin (2000) found that externally managed </w:t>
      </w:r>
      <w:r w:rsidR="00194F2A">
        <w:t>REITS</w:t>
      </w:r>
      <w:r>
        <w:t xml:space="preserve"> used considerably more debt instruments than internally managed </w:t>
      </w:r>
      <w:r w:rsidR="00194F2A">
        <w:t>REITS</w:t>
      </w:r>
      <w:r>
        <w:t xml:space="preserve"> and that the exposure that these externally managed </w:t>
      </w:r>
      <w:r w:rsidR="00194F2A">
        <w:t>REITS</w:t>
      </w:r>
      <w:r>
        <w:t xml:space="preserve"> had to debt was the reason for their poor performance to internally managed </w:t>
      </w:r>
      <w:r w:rsidR="00194F2A">
        <w:t>REITS</w:t>
      </w:r>
      <w:r>
        <w:t xml:space="preserve">. The study analysed the trends from the mid 1980’s to early 1990’s which coincides with the adoption of legislation in America allowing </w:t>
      </w:r>
      <w:r w:rsidR="00194F2A">
        <w:t>REITS</w:t>
      </w:r>
      <w:r w:rsidR="00032422">
        <w:t xml:space="preserve"> to</w:t>
      </w:r>
      <w:r>
        <w:t xml:space="preserve"> be internally managed. As a result of the underperformance, the preference in the market has favoured internally managed </w:t>
      </w:r>
      <w:r w:rsidR="00194F2A">
        <w:t>REITS</w:t>
      </w:r>
      <w:r>
        <w:t xml:space="preserve">. Their findings conclude that this has seen the altered methodologies of externally managed </w:t>
      </w:r>
      <w:r w:rsidR="00194F2A">
        <w:t>REITS</w:t>
      </w:r>
      <w:r>
        <w:t xml:space="preserve"> in order to remain competitive to their counterparts. </w:t>
      </w:r>
    </w:p>
    <w:p w:rsidR="00534C63" w:rsidRPr="007E1EBC" w:rsidRDefault="00534C63" w:rsidP="00534C63">
      <w:pPr>
        <w:pStyle w:val="whp20100506"/>
      </w:pPr>
    </w:p>
    <w:p w:rsidR="00534C63" w:rsidRPr="007E1EBC" w:rsidRDefault="00534C63" w:rsidP="00534C63">
      <w:pPr>
        <w:pStyle w:val="whp20100506"/>
      </w:pPr>
      <w:r w:rsidRPr="007E1EBC">
        <w:t xml:space="preserve">As far as the National Treasury is concerned, understanding the roles of external and internal management companies will be a vital component of the blue print for the South African </w:t>
      </w:r>
      <w:r w:rsidR="00194F2A">
        <w:t>REITS</w:t>
      </w:r>
      <w:r w:rsidRPr="007E1EBC">
        <w:t xml:space="preserve"> especially in terms of protecting the interests of the investor when long term (and lucrative) management agreements are negotiated.</w:t>
      </w:r>
    </w:p>
    <w:p w:rsidR="00534C63" w:rsidRPr="007E1EBC" w:rsidRDefault="00534C63" w:rsidP="00534C63">
      <w:pPr>
        <w:pStyle w:val="whp20100506"/>
      </w:pPr>
    </w:p>
    <w:p w:rsidR="00534C63" w:rsidRPr="007E1EBC" w:rsidRDefault="00534C63" w:rsidP="00534C63">
      <w:pPr>
        <w:pStyle w:val="whp20100506"/>
      </w:pPr>
      <w:r w:rsidRPr="007E1EBC">
        <w:t xml:space="preserve">Capozza and Seguin (1998) concluded that </w:t>
      </w:r>
      <w:r w:rsidR="00194F2A">
        <w:t>REITS</w:t>
      </w:r>
      <w:r w:rsidRPr="007E1EBC">
        <w:t xml:space="preserve"> which were externally managed considerably underperformed to </w:t>
      </w:r>
      <w:r w:rsidR="00194F2A">
        <w:t>REITS</w:t>
      </w:r>
      <w:r w:rsidRPr="007E1EBC">
        <w:t xml:space="preserve"> that were internally managed. Their studies found that externally managed </w:t>
      </w:r>
      <w:r w:rsidR="00194F2A">
        <w:t>REITS</w:t>
      </w:r>
      <w:r w:rsidRPr="007E1EBC">
        <w:t xml:space="preserve"> were particularly weaker in areas that involved external management expenses and interest expenses which in turn reduced the cash available to shareholders. Their most critical finding was that externally managed </w:t>
      </w:r>
      <w:r w:rsidR="00194F2A">
        <w:t>REITS</w:t>
      </w:r>
      <w:r w:rsidRPr="007E1EBC">
        <w:t xml:space="preserve"> negotiated debt </w:t>
      </w:r>
      <w:r w:rsidRPr="007E1EBC">
        <w:lastRenderedPageBreak/>
        <w:t>contracts as excessive rates. Their research therefore re-emphasises the importance of incentives for managerial success and investor returns.</w:t>
      </w:r>
    </w:p>
    <w:p w:rsidR="00534C63" w:rsidRPr="007E1EBC" w:rsidRDefault="00534C63" w:rsidP="00534C63">
      <w:pPr>
        <w:pStyle w:val="whp20100506"/>
      </w:pPr>
    </w:p>
    <w:p w:rsidR="00534C63" w:rsidRPr="007E1EBC" w:rsidRDefault="00534C63" w:rsidP="00534C63">
      <w:pPr>
        <w:pStyle w:val="whp20100506"/>
      </w:pPr>
      <w:r w:rsidRPr="007E1EBC">
        <w:t xml:space="preserve">Ambrose and Linneman (2001) highlighted effects of these changes in legislation by analysing 139 equity </w:t>
      </w:r>
      <w:r w:rsidR="00194F2A">
        <w:t>REITS</w:t>
      </w:r>
      <w:r w:rsidRPr="007E1EBC">
        <w:t xml:space="preserve"> in the USA. They also found that that externally advised </w:t>
      </w:r>
      <w:r w:rsidR="00194F2A">
        <w:t>REITS</w:t>
      </w:r>
      <w:r w:rsidRPr="007E1EBC">
        <w:t xml:space="preserve">, which as a result of the market pressures, made significant steps to meet and confirm to the benchmarks and superior operating performance that internally advised </w:t>
      </w:r>
      <w:r w:rsidR="00194F2A">
        <w:t>REITS</w:t>
      </w:r>
      <w:r w:rsidRPr="007E1EBC">
        <w:t xml:space="preserve"> have set in recent years. </w:t>
      </w:r>
    </w:p>
    <w:p w:rsidR="00534C63" w:rsidRPr="007E1EBC" w:rsidRDefault="00534C63" w:rsidP="00534C63">
      <w:pPr>
        <w:pStyle w:val="whp20100506"/>
        <w:rPr>
          <w:b/>
        </w:rPr>
      </w:pPr>
    </w:p>
    <w:p w:rsidR="00534C63" w:rsidRPr="007E1EBC" w:rsidRDefault="00534C63" w:rsidP="00534C63">
      <w:pPr>
        <w:pStyle w:val="whp20100506"/>
      </w:pPr>
      <w:r w:rsidRPr="007E1EBC">
        <w:t>In Deutsche Bank Research’s report called “</w:t>
      </w:r>
      <w:r w:rsidRPr="007E1EBC">
        <w:rPr>
          <w:i/>
        </w:rPr>
        <w:t xml:space="preserve">What Can Europe Learn from US </w:t>
      </w:r>
      <w:r w:rsidR="00194F2A">
        <w:rPr>
          <w:i/>
        </w:rPr>
        <w:t>REITS</w:t>
      </w:r>
      <w:r w:rsidRPr="007E1EBC">
        <w:rPr>
          <w:i/>
        </w:rPr>
        <w:t>: Lessons from the ivory towers</w:t>
      </w:r>
      <w:r w:rsidRPr="007E1EBC">
        <w:t xml:space="preserve">” (2006), it detailed the key findings of academic research on </w:t>
      </w:r>
      <w:r w:rsidR="00194F2A">
        <w:t>REITS</w:t>
      </w:r>
      <w:r w:rsidRPr="007E1EBC">
        <w:t xml:space="preserve"> in order to highlight possible lessons that can be learnt for countries that were considering adopting REIT frameworks. The report highlights four fundamental findings of the American REIT structures:</w:t>
      </w:r>
    </w:p>
    <w:p w:rsidR="00534C63" w:rsidRPr="007E1EBC" w:rsidRDefault="00534C63" w:rsidP="00534C63">
      <w:pPr>
        <w:pStyle w:val="whp20100506"/>
        <w:ind w:left="1080"/>
      </w:pPr>
    </w:p>
    <w:p w:rsidR="00534C63" w:rsidRPr="007E1EBC" w:rsidRDefault="00534C63" w:rsidP="00534C63">
      <w:pPr>
        <w:pStyle w:val="whp20100506"/>
        <w:numPr>
          <w:ilvl w:val="0"/>
          <w:numId w:val="22"/>
        </w:numPr>
        <w:ind w:left="450" w:hanging="450"/>
      </w:pPr>
      <w:r w:rsidRPr="007E1EBC">
        <w:t>The growth of the US REIT market accelerated with each change and amendment of their legislation. The lesson taken from this was that European REIT laws will also change over time and that the market will have to gain experience in practice in order to streamline and enhance their own legislative frameworks;</w:t>
      </w:r>
    </w:p>
    <w:p w:rsidR="00534C63" w:rsidRPr="007E1EBC" w:rsidRDefault="00534C63" w:rsidP="00534C63">
      <w:pPr>
        <w:pStyle w:val="whp20100506"/>
        <w:ind w:left="450" w:hanging="450"/>
      </w:pPr>
    </w:p>
    <w:p w:rsidR="00534C63" w:rsidRDefault="00534C63" w:rsidP="00534C63">
      <w:pPr>
        <w:pStyle w:val="whp20100506"/>
        <w:numPr>
          <w:ilvl w:val="0"/>
          <w:numId w:val="17"/>
        </w:numPr>
        <w:ind w:left="450" w:hanging="450"/>
      </w:pPr>
      <w:r>
        <w:t>The changes to REIT legislation took place mostly at the peak events where initial public offerings took place and therefore the changes to legislation mirrored the demand of the market. The lessons for European REIT being that extensive discussions and dialogue between industry and legislators are critical;</w:t>
      </w:r>
    </w:p>
    <w:p w:rsidR="00534C63" w:rsidRDefault="00534C63" w:rsidP="00534C63">
      <w:pPr>
        <w:pStyle w:val="whp20100506"/>
        <w:ind w:left="450" w:hanging="450"/>
      </w:pPr>
    </w:p>
    <w:p w:rsidR="00534C63" w:rsidRDefault="00534C63" w:rsidP="00534C63">
      <w:pPr>
        <w:pStyle w:val="whp20100506"/>
        <w:numPr>
          <w:ilvl w:val="0"/>
          <w:numId w:val="17"/>
        </w:numPr>
        <w:ind w:left="450" w:hanging="450"/>
      </w:pPr>
      <w:r>
        <w:t>The consolidation of the REIT market is a perpetual occurrence that does not only occur through mergers between funds but also as a result of rightsizing where funds delist from their respective stock exchanges. The lesson that the European market took from this is that when a REIT fund decides to go private, it is as a result of the correcting force of the REIT market;</w:t>
      </w:r>
    </w:p>
    <w:p w:rsidR="00534C63" w:rsidRDefault="00534C63" w:rsidP="00534C63">
      <w:pPr>
        <w:pStyle w:val="whp20100506"/>
        <w:ind w:left="450" w:hanging="450"/>
      </w:pPr>
    </w:p>
    <w:p w:rsidR="00534C63" w:rsidRPr="00006E79" w:rsidRDefault="00534C63" w:rsidP="00534C63">
      <w:pPr>
        <w:pStyle w:val="whp20100506"/>
        <w:numPr>
          <w:ilvl w:val="0"/>
          <w:numId w:val="17"/>
        </w:numPr>
        <w:ind w:left="450" w:hanging="450"/>
      </w:pPr>
      <w:r>
        <w:t xml:space="preserve">The majority of the REIT market capitalisation is represented by equity </w:t>
      </w:r>
      <w:r w:rsidR="00194F2A">
        <w:t>REITS</w:t>
      </w:r>
      <w:r>
        <w:t xml:space="preserve"> and that mortgage </w:t>
      </w:r>
      <w:r w:rsidR="00194F2A">
        <w:t>REITS</w:t>
      </w:r>
      <w:r>
        <w:t xml:space="preserve"> have lost importance. The lesson for the European market is that their </w:t>
      </w:r>
      <w:r>
        <w:lastRenderedPageBreak/>
        <w:t xml:space="preserve">strategic direction to focus on equity </w:t>
      </w:r>
      <w:r w:rsidR="00194F2A">
        <w:t>REITS</w:t>
      </w:r>
      <w:r>
        <w:t xml:space="preserve"> only is correct.</w:t>
      </w:r>
    </w:p>
    <w:p w:rsidR="00534C63" w:rsidRDefault="00534C63" w:rsidP="00534C63">
      <w:pPr>
        <w:pStyle w:val="whp20100506"/>
        <w:ind w:left="720"/>
        <w:rPr>
          <w:b/>
        </w:rPr>
      </w:pPr>
    </w:p>
    <w:p w:rsidR="00534C63" w:rsidRDefault="00534C63" w:rsidP="00534C63">
      <w:pPr>
        <w:pStyle w:val="whp20100506"/>
      </w:pPr>
      <w:r w:rsidRPr="0030237E">
        <w:t>These are lessons that would also apply to South Africa and would be of interest to the National Treasury to view the process of drafting REIT legislation as an on-going process as the</w:t>
      </w:r>
      <w:r>
        <w:t xml:space="preserve"> market evolves with time, which is discussed in more detail in the </w:t>
      </w:r>
      <w:r w:rsidR="00E07118">
        <w:t>Exploratory Study</w:t>
      </w:r>
      <w:r>
        <w:t xml:space="preserve"> (Section D).</w:t>
      </w:r>
    </w:p>
    <w:p w:rsidR="00534C63" w:rsidRPr="0030237E" w:rsidRDefault="00534C63" w:rsidP="00534C63">
      <w:pPr>
        <w:pStyle w:val="whp20100506"/>
      </w:pPr>
    </w:p>
    <w:p w:rsidR="00534C63" w:rsidRPr="0030237E" w:rsidRDefault="00534C63" w:rsidP="00534C63">
      <w:pPr>
        <w:pStyle w:val="whp20100506"/>
      </w:pPr>
      <w:r w:rsidRPr="0030237E">
        <w:t xml:space="preserve">Deutsche Bank </w:t>
      </w:r>
      <w:r>
        <w:t>Research Report</w:t>
      </w:r>
      <w:r w:rsidRPr="0030237E">
        <w:t xml:space="preserve"> founding an interesting correlation regarding the impact of the board of directors on their </w:t>
      </w:r>
      <w:r w:rsidR="00194F2A">
        <w:t>REITS</w:t>
      </w:r>
      <w:r w:rsidRPr="0030237E">
        <w:t xml:space="preserve"> (“</w:t>
      </w:r>
      <w:r w:rsidRPr="000148FE">
        <w:rPr>
          <w:i/>
        </w:rPr>
        <w:t xml:space="preserve">What Can Europe Learn from US </w:t>
      </w:r>
      <w:r w:rsidR="00194F2A">
        <w:rPr>
          <w:i/>
        </w:rPr>
        <w:t>REITS</w:t>
      </w:r>
      <w:r w:rsidRPr="000148FE">
        <w:rPr>
          <w:i/>
        </w:rPr>
        <w:t>: Lessons from the Ivory Towers</w:t>
      </w:r>
      <w:r w:rsidRPr="0030237E">
        <w:t xml:space="preserve">”, 2006). In the US, the board of directors of a REIT fund is made up of the CEO who is also the chairman of the board along with several other individuals. The report found that several studies proved that the return of a REIT is negatively correlated with board size and positively correlated with independent board members. The more successful </w:t>
      </w:r>
      <w:r w:rsidR="00194F2A">
        <w:t>REITS</w:t>
      </w:r>
      <w:r w:rsidRPr="0030237E">
        <w:t xml:space="preserve"> proved to be those where the CEO was not also the chairman and where management had a percentage of ownership in the REIT. </w:t>
      </w:r>
    </w:p>
    <w:p w:rsidR="00534C63" w:rsidRPr="0030237E" w:rsidRDefault="00534C63" w:rsidP="00534C63">
      <w:pPr>
        <w:pStyle w:val="whp20100506"/>
      </w:pPr>
    </w:p>
    <w:p w:rsidR="00534C63" w:rsidRPr="0030237E" w:rsidRDefault="00534C63" w:rsidP="00534C63">
      <w:pPr>
        <w:pStyle w:val="whp20100506"/>
      </w:pPr>
      <w:r w:rsidRPr="0030237E">
        <w:t xml:space="preserve">The Investment Property Forum (IPF) funded a research paper seeking to understand property as an investment class in particular the mechanisms of </w:t>
      </w:r>
      <w:r w:rsidR="00194F2A">
        <w:t>REITS</w:t>
      </w:r>
      <w:r w:rsidRPr="0030237E">
        <w:t xml:space="preserve"> as a benchmark for investors seeking to understand the arrival of </w:t>
      </w:r>
      <w:r w:rsidR="00194F2A">
        <w:t>REITS</w:t>
      </w:r>
      <w:r w:rsidRPr="0030237E">
        <w:t xml:space="preserve"> in the UK. In “</w:t>
      </w:r>
      <w:r w:rsidRPr="000148FE">
        <w:rPr>
          <w:i/>
        </w:rPr>
        <w:t>Real Estate Investment Trusts: The US Experience and Lessons for the UK</w:t>
      </w:r>
      <w:r w:rsidRPr="0030237E">
        <w:t xml:space="preserve">”, the US REIT market is evaluated by incorporating academic findings that have addressed the core investment issues in the US REIT context. </w:t>
      </w:r>
    </w:p>
    <w:p w:rsidR="00534C63" w:rsidRDefault="00534C63" w:rsidP="00534C63">
      <w:pPr>
        <w:pStyle w:val="whp20100506"/>
      </w:pPr>
    </w:p>
    <w:p w:rsidR="00534C63" w:rsidRPr="0030237E" w:rsidRDefault="00534C63" w:rsidP="00534C63">
      <w:pPr>
        <w:pStyle w:val="whp20100506"/>
      </w:pPr>
      <w:r w:rsidRPr="0030237E">
        <w:t xml:space="preserve">The report found that US </w:t>
      </w:r>
      <w:r w:rsidR="00194F2A">
        <w:t>REITS</w:t>
      </w:r>
      <w:r w:rsidRPr="0030237E">
        <w:t xml:space="preserve"> </w:t>
      </w:r>
      <w:r>
        <w:t xml:space="preserve">were traditionally passive pass through investment vehicles with very little vertical integration and offered investors access to a diversity of property classes. Since the advent of various pieces of legislation along with merger and acquisition activities, </w:t>
      </w:r>
      <w:r w:rsidR="00194F2A">
        <w:t>REITS</w:t>
      </w:r>
      <w:r>
        <w:t xml:space="preserve"> in the US have morphed and</w:t>
      </w:r>
      <w:r w:rsidRPr="0030237E">
        <w:t xml:space="preserve"> taken the following characteristics and features (IPF, 2009: 20):</w:t>
      </w:r>
    </w:p>
    <w:p w:rsidR="00534C63" w:rsidRDefault="00534C63" w:rsidP="00534C63">
      <w:pPr>
        <w:pStyle w:val="whp20100506"/>
        <w:tabs>
          <w:tab w:val="left" w:pos="284"/>
        </w:tabs>
      </w:pPr>
    </w:p>
    <w:p w:rsidR="00534C63" w:rsidRPr="00155680" w:rsidRDefault="00534C63" w:rsidP="00534C63">
      <w:pPr>
        <w:pStyle w:val="whp20100506"/>
        <w:numPr>
          <w:ilvl w:val="0"/>
          <w:numId w:val="17"/>
        </w:numPr>
        <w:tabs>
          <w:tab w:val="left" w:pos="284"/>
        </w:tabs>
        <w:ind w:left="0" w:firstLine="0"/>
        <w:rPr>
          <w:i/>
        </w:rPr>
      </w:pPr>
      <w:r w:rsidRPr="00155680">
        <w:rPr>
          <w:i/>
        </w:rPr>
        <w:t>Internal management team</w:t>
      </w:r>
    </w:p>
    <w:p w:rsidR="00534C63" w:rsidRPr="00155680" w:rsidRDefault="00534C63" w:rsidP="00534C63">
      <w:pPr>
        <w:pStyle w:val="whp20100506"/>
        <w:numPr>
          <w:ilvl w:val="0"/>
          <w:numId w:val="17"/>
        </w:numPr>
        <w:tabs>
          <w:tab w:val="left" w:pos="284"/>
        </w:tabs>
        <w:ind w:left="0" w:firstLine="0"/>
        <w:rPr>
          <w:i/>
        </w:rPr>
      </w:pPr>
      <w:r w:rsidRPr="00155680">
        <w:rPr>
          <w:i/>
        </w:rPr>
        <w:t>Large vertically integrated operating platforms</w:t>
      </w:r>
    </w:p>
    <w:p w:rsidR="00534C63" w:rsidRPr="007E1EBC" w:rsidRDefault="00534C63" w:rsidP="00534C63">
      <w:pPr>
        <w:pStyle w:val="whp20100506"/>
        <w:numPr>
          <w:ilvl w:val="0"/>
          <w:numId w:val="17"/>
        </w:numPr>
        <w:tabs>
          <w:tab w:val="left" w:pos="284"/>
        </w:tabs>
        <w:ind w:left="0" w:firstLine="0"/>
        <w:rPr>
          <w:i/>
        </w:rPr>
      </w:pPr>
      <w:r w:rsidRPr="007E1EBC">
        <w:rPr>
          <w:i/>
        </w:rPr>
        <w:t>Classified by property type (and region)</w:t>
      </w:r>
    </w:p>
    <w:p w:rsidR="00534C63" w:rsidRPr="007E1EBC" w:rsidRDefault="00534C63" w:rsidP="00534C63">
      <w:pPr>
        <w:pStyle w:val="whp20100506"/>
        <w:numPr>
          <w:ilvl w:val="0"/>
          <w:numId w:val="17"/>
        </w:numPr>
        <w:tabs>
          <w:tab w:val="left" w:pos="284"/>
        </w:tabs>
        <w:ind w:left="0" w:firstLine="0"/>
        <w:rPr>
          <w:i/>
        </w:rPr>
      </w:pPr>
      <w:r w:rsidRPr="007E1EBC">
        <w:rPr>
          <w:i/>
        </w:rPr>
        <w:t xml:space="preserve">Relatively low gearing </w:t>
      </w:r>
    </w:p>
    <w:p w:rsidR="00534C63" w:rsidRPr="007E1EBC" w:rsidRDefault="00534C63" w:rsidP="00534C63">
      <w:pPr>
        <w:pStyle w:val="whp20100506"/>
        <w:numPr>
          <w:ilvl w:val="0"/>
          <w:numId w:val="17"/>
        </w:numPr>
        <w:tabs>
          <w:tab w:val="left" w:pos="284"/>
        </w:tabs>
        <w:ind w:left="0" w:firstLine="0"/>
        <w:rPr>
          <w:i/>
        </w:rPr>
      </w:pPr>
      <w:r w:rsidRPr="007E1EBC">
        <w:rPr>
          <w:i/>
        </w:rPr>
        <w:t>Wide ranging capital sources (debt and equity, private and public)</w:t>
      </w:r>
    </w:p>
    <w:p w:rsidR="00534C63" w:rsidRPr="007E1EBC" w:rsidRDefault="00534C63" w:rsidP="00534C63">
      <w:pPr>
        <w:pStyle w:val="whp20100506"/>
      </w:pPr>
      <w:r w:rsidRPr="007E1EBC">
        <w:lastRenderedPageBreak/>
        <w:t xml:space="preserve">The National Treasury will naturally want the local South African investment sector to embrace the adoption of </w:t>
      </w:r>
      <w:r w:rsidR="00194F2A">
        <w:t>REITS</w:t>
      </w:r>
      <w:r w:rsidRPr="007E1EBC">
        <w:t xml:space="preserve"> when it is finally proclaimed. However a natural obstacle property funds with listing aspirations is timing, particularly when there is the threat of a takeover in the form of a merger or acquisition in the market. The consolidation of the property market is therefore something that the National Treasury should take cognisance of when drafting their REIT recommendations particularly after the spate of merger activities in South Africa over recent years (National Treasury, 2007: 4).</w:t>
      </w:r>
    </w:p>
    <w:p w:rsidR="00534C63" w:rsidRPr="007E1EBC" w:rsidRDefault="00534C63" w:rsidP="00534C63">
      <w:pPr>
        <w:pStyle w:val="whp20100506"/>
      </w:pPr>
    </w:p>
    <w:p w:rsidR="00534C63" w:rsidRPr="007E1EBC" w:rsidRDefault="00534C63" w:rsidP="00534C63">
      <w:pPr>
        <w:pStyle w:val="whp20100506"/>
      </w:pPr>
      <w:r w:rsidRPr="007E1EBC">
        <w:t>Ambrose et al (1998) studied the motivating factors within the economies of scale argument that justified the consolidation process of the real estate industry. Their objective was to determine what factors were attributable to the increase in REIT income in the consolidation activities and considered factors such as improved internal management of expenses, general portfolio acquisition, improved branding strategies and geographical focus. Their findings concluded that there were no real economies of scale in each of these areas that led to an increase in income, and that the benefits only existed very early on in the merger phases. It is not conceivable that these findings and those similar to it would thwart the consolidation trend within the listed in the future.</w:t>
      </w:r>
    </w:p>
    <w:p w:rsidR="00534C63" w:rsidRPr="007E1EBC" w:rsidRDefault="00534C63" w:rsidP="00534C63">
      <w:pPr>
        <w:pStyle w:val="whp20100506"/>
      </w:pPr>
    </w:p>
    <w:p w:rsidR="00534C63" w:rsidRPr="007E1EBC" w:rsidRDefault="00534C63" w:rsidP="00534C63">
      <w:pPr>
        <w:pStyle w:val="whp20100506"/>
      </w:pPr>
      <w:r w:rsidRPr="007E1EBC">
        <w:t xml:space="preserve">As far as the extent of property investment is concerned South African property funds invest in primarily four asset property classes being commercial, retail, industrial and residential while internationally </w:t>
      </w:r>
      <w:r w:rsidR="00194F2A">
        <w:t>REITS</w:t>
      </w:r>
      <w:r w:rsidRPr="007E1EBC">
        <w:t xml:space="preserve"> are known to invest in over fourteen different property asset classes (see Figure 2 above). Capozza and Seguin (1999) found that REIT funds that diversify across many property category types, negatively affect the value of the overall fund and that economic benefit for </w:t>
      </w:r>
      <w:r w:rsidR="00194F2A">
        <w:t>REITS</w:t>
      </w:r>
      <w:r w:rsidRPr="007E1EBC">
        <w:t xml:space="preserve"> lie predominantly in focused performance being a single property asset classification rather than a spread thereof. </w:t>
      </w:r>
    </w:p>
    <w:p w:rsidR="007B731D" w:rsidRDefault="007B731D" w:rsidP="00534C63">
      <w:pPr>
        <w:pStyle w:val="whp20100506"/>
        <w:rPr>
          <w:b/>
        </w:rPr>
      </w:pPr>
    </w:p>
    <w:p w:rsidR="00534C63" w:rsidRPr="007E1EBC" w:rsidRDefault="00534C63" w:rsidP="007B731D">
      <w:pPr>
        <w:pStyle w:val="whp20100506"/>
        <w:numPr>
          <w:ilvl w:val="1"/>
          <w:numId w:val="2"/>
        </w:numPr>
        <w:ind w:hanging="720"/>
      </w:pPr>
      <w:r w:rsidRPr="007E1EBC">
        <w:rPr>
          <w:b/>
        </w:rPr>
        <w:t>EUROPEAN TERRITORIES</w:t>
      </w:r>
    </w:p>
    <w:p w:rsidR="00534C63" w:rsidRDefault="00534C63" w:rsidP="00534C63">
      <w:pPr>
        <w:pStyle w:val="whp20100506"/>
      </w:pPr>
    </w:p>
    <w:p w:rsidR="00534C63" w:rsidRDefault="00534C63" w:rsidP="00534C63">
      <w:pPr>
        <w:pStyle w:val="whp20100506"/>
      </w:pPr>
      <w:r>
        <w:t xml:space="preserve">The issue of corporate governance of </w:t>
      </w:r>
      <w:r w:rsidR="00194F2A">
        <w:t>REITS</w:t>
      </w:r>
      <w:r>
        <w:t xml:space="preserve"> is also well documented in Europe. Drobetz, Schillhofer and Zimmermann (2003) study the impact of governance and performance on the back a single jurisdiction being that of Germany. They acknowledge that investors are willing to pay a premium for well governed REIT companies and that the valuation of an organisation is based on both corporate governance as well as financial issues. However the one finding that is of importance to this paper is their conclusion that additional governance </w:t>
      </w:r>
      <w:r>
        <w:lastRenderedPageBreak/>
        <w:t xml:space="preserve">categories such as compensation structures and board composition etc are not necessary. By striving for good corporate governance in general, with adequate disclosure and transparency standards, all </w:t>
      </w:r>
      <w:r w:rsidR="00194F2A">
        <w:t>REITS</w:t>
      </w:r>
      <w:r>
        <w:t xml:space="preserve"> will ultimately be rewarded by the capital markets for good governance practises while punishing those of poor governance practices. </w:t>
      </w:r>
    </w:p>
    <w:p w:rsidR="00534C63" w:rsidRPr="00EB78A7" w:rsidRDefault="00534C63" w:rsidP="00534C63">
      <w:pPr>
        <w:pStyle w:val="whp20100506"/>
      </w:pPr>
    </w:p>
    <w:p w:rsidR="00534C63" w:rsidRDefault="00534C63" w:rsidP="00534C63">
      <w:pPr>
        <w:pStyle w:val="whp20100506"/>
      </w:pPr>
      <w:r>
        <w:t xml:space="preserve">Campbell and Sirmans (2002) drafted a policy paper for the creation of </w:t>
      </w:r>
      <w:r w:rsidR="00194F2A">
        <w:t>REITS</w:t>
      </w:r>
      <w:r>
        <w:t xml:space="preserve"> in Europe by studying the US REIT market as a benchmark to determine the structures applicable to Europe. Consequently, the most salient of these structures were proposed as follows:</w:t>
      </w:r>
    </w:p>
    <w:p w:rsidR="00534C63" w:rsidRDefault="00534C63" w:rsidP="00534C63">
      <w:pPr>
        <w:pStyle w:val="whp20100506"/>
      </w:pPr>
    </w:p>
    <w:p w:rsidR="00534C63" w:rsidRDefault="00534C63" w:rsidP="00534C63">
      <w:pPr>
        <w:pStyle w:val="whp20100506"/>
        <w:numPr>
          <w:ilvl w:val="0"/>
          <w:numId w:val="24"/>
        </w:numPr>
        <w:ind w:left="426" w:hanging="426"/>
      </w:pPr>
      <w:r>
        <w:t xml:space="preserve">Ownership restrictions pertaining to the minimum number of investors and the size of control per individual in a REIT are critical in order to ensure that smaller investors have access to REIT ownership. They warn against a small concentrated group of large firms controlling the industry and thus exclusively benefiting from the tax advantages of REIT; </w:t>
      </w:r>
    </w:p>
    <w:p w:rsidR="00534C63" w:rsidRDefault="00534C63" w:rsidP="00534C63">
      <w:pPr>
        <w:pStyle w:val="whp20100506"/>
        <w:ind w:left="426" w:hanging="426"/>
      </w:pPr>
    </w:p>
    <w:p w:rsidR="00534C63" w:rsidRDefault="00534C63" w:rsidP="00534C63">
      <w:pPr>
        <w:pStyle w:val="whp20100506"/>
        <w:numPr>
          <w:ilvl w:val="0"/>
          <w:numId w:val="24"/>
        </w:numPr>
        <w:ind w:left="426" w:hanging="426"/>
      </w:pPr>
      <w:r>
        <w:t xml:space="preserve">Maximum distribution payout percentages should be implemented on </w:t>
      </w:r>
      <w:r w:rsidR="00194F2A">
        <w:t>REITS</w:t>
      </w:r>
      <w:r>
        <w:t xml:space="preserve"> so that those shareholders are re-assured the total flow through status of their investment. However they warn of the rigidity of price volatility that this will cause during economic downturns and the pressure on the REIT fund;</w:t>
      </w:r>
    </w:p>
    <w:p w:rsidR="00534C63" w:rsidRDefault="00534C63" w:rsidP="00534C63">
      <w:pPr>
        <w:ind w:left="426" w:hanging="426"/>
      </w:pPr>
    </w:p>
    <w:p w:rsidR="00534C63" w:rsidRDefault="00194F2A" w:rsidP="00534C63">
      <w:pPr>
        <w:pStyle w:val="whp20100506"/>
        <w:numPr>
          <w:ilvl w:val="0"/>
          <w:numId w:val="24"/>
        </w:numPr>
        <w:ind w:left="426" w:hanging="426"/>
      </w:pPr>
      <w:r>
        <w:t>REITS</w:t>
      </w:r>
      <w:r w:rsidR="00534C63">
        <w:t xml:space="preserve"> should have the opportunity to de-REIT and re-REIT in order to serve the interests of the investor rather than employing merger or privatisation strategies when their status is under threat that would prejudice the interests of the shareholders;</w:t>
      </w:r>
    </w:p>
    <w:p w:rsidR="00534C63" w:rsidRDefault="00534C63" w:rsidP="00534C63">
      <w:pPr>
        <w:pStyle w:val="whp20100506"/>
        <w:ind w:left="426" w:hanging="426"/>
      </w:pPr>
    </w:p>
    <w:p w:rsidR="00534C63" w:rsidRDefault="00534C63" w:rsidP="00534C63">
      <w:pPr>
        <w:pStyle w:val="whp20100506"/>
        <w:numPr>
          <w:ilvl w:val="0"/>
          <w:numId w:val="24"/>
        </w:numPr>
        <w:ind w:left="426" w:hanging="426"/>
      </w:pPr>
      <w:r>
        <w:t>Favours the implementation of debt ceilings to minimise gearing which in turn would level the playing fields amongst REIT but warns that there are procedural problems attached to this and that the suppliers of debt are vital corporate monitors (i.e. rating agencies);</w:t>
      </w:r>
    </w:p>
    <w:p w:rsidR="00534C63" w:rsidRDefault="00534C63" w:rsidP="00534C63">
      <w:pPr>
        <w:pStyle w:val="whp20100506"/>
        <w:ind w:left="426" w:hanging="426"/>
      </w:pPr>
    </w:p>
    <w:p w:rsidR="00534C63" w:rsidRDefault="00534C63" w:rsidP="00534C63">
      <w:pPr>
        <w:pStyle w:val="whp20100506"/>
        <w:numPr>
          <w:ilvl w:val="0"/>
          <w:numId w:val="24"/>
        </w:numPr>
        <w:ind w:left="426" w:hanging="426"/>
      </w:pPr>
      <w:r>
        <w:t xml:space="preserve">Emphasises the need for </w:t>
      </w:r>
      <w:r w:rsidR="00194F2A">
        <w:t>REITS</w:t>
      </w:r>
      <w:r>
        <w:t xml:space="preserve"> to be as transparent as possible with total disclosure to investors on all aspects of the </w:t>
      </w:r>
      <w:r w:rsidR="00194F2A">
        <w:t>REITS</w:t>
      </w:r>
      <w:r>
        <w:t xml:space="preserve"> business including disclosure on issues pertaining to cash flows, ownership structures, and property valuation;</w:t>
      </w:r>
    </w:p>
    <w:p w:rsidR="00534C63" w:rsidRDefault="00534C63" w:rsidP="00534C63">
      <w:pPr>
        <w:pStyle w:val="whp20100506"/>
        <w:ind w:left="426" w:hanging="426"/>
      </w:pPr>
    </w:p>
    <w:p w:rsidR="00534C63" w:rsidRDefault="00194F2A" w:rsidP="00534C63">
      <w:pPr>
        <w:pStyle w:val="whp20100506"/>
        <w:numPr>
          <w:ilvl w:val="0"/>
          <w:numId w:val="24"/>
        </w:numPr>
        <w:ind w:left="426" w:hanging="426"/>
      </w:pPr>
      <w:r>
        <w:t>REITS</w:t>
      </w:r>
      <w:r w:rsidR="00534C63">
        <w:t xml:space="preserve"> should be able to invest in all forms of property classes although there should be a special provision for hotels as they will be unfairly benefited against their rivals from a </w:t>
      </w:r>
      <w:r w:rsidR="00534C63">
        <w:lastRenderedPageBreak/>
        <w:t xml:space="preserve">tax perspective. </w:t>
      </w:r>
    </w:p>
    <w:p w:rsidR="00534C63" w:rsidRDefault="00534C63" w:rsidP="00534C63">
      <w:pPr>
        <w:pStyle w:val="whp20100506"/>
      </w:pPr>
    </w:p>
    <w:p w:rsidR="00534C63" w:rsidRDefault="00534C63" w:rsidP="00534C63">
      <w:pPr>
        <w:pStyle w:val="whp20100506"/>
      </w:pPr>
      <w:r>
        <w:t xml:space="preserve">As a point of reference for the National Treasury there is an interesting motivation for institutional and individual investors in the findings of Brounen, Korsgard and Mhaieu (2009) in the adoption of a new tax regime. They analysed the effects of introducing </w:t>
      </w:r>
      <w:r w:rsidR="00194F2A">
        <w:t>REITS</w:t>
      </w:r>
      <w:r>
        <w:t xml:space="preserve"> on the performance on the listed real estate sector, in particular the impact of the tax regime. They found that while the introduction of a tax transparent REIT regime means weighing up the tax advantages associated thereto, it also has the trade off of corporate flexibility to consider in terms of issues such as dividend policies, capital structures and other financial activities within the REIT. They found that the introduction of a financial regulatory regime in the form of a REIT, changes the risk composition of a company along with reducing the total level of risk inherent with the fund due to the mandatory dividend policies associated with </w:t>
      </w:r>
      <w:r w:rsidR="00194F2A">
        <w:t>REITS</w:t>
      </w:r>
      <w:r>
        <w:t>.</w:t>
      </w:r>
    </w:p>
    <w:p w:rsidR="00534C63" w:rsidRDefault="00534C63" w:rsidP="00534C63">
      <w:pPr>
        <w:pStyle w:val="whp20100506"/>
      </w:pPr>
    </w:p>
    <w:p w:rsidR="00534C63" w:rsidRDefault="00534C63" w:rsidP="00534C63">
      <w:pPr>
        <w:pStyle w:val="whp20100506"/>
      </w:pPr>
      <w:r>
        <w:t>In terms of acceptances of a new REIT order by the market, Schacht and Wimschulte (2007) found that the implementation of G-REIT in Germany as a new property investment dispensation undoubtedly had significant advantages for the real estate market in general, however it was unlikely that large capital flows from existing indirect vehicles to G-</w:t>
      </w:r>
      <w:r w:rsidR="00194F2A">
        <w:t>REITS</w:t>
      </w:r>
      <w:r>
        <w:t xml:space="preserve"> would take place in the short term. They found that in the long run the implementation of G-</w:t>
      </w:r>
      <w:r w:rsidR="00194F2A">
        <w:t>REITS</w:t>
      </w:r>
      <w:r>
        <w:t xml:space="preserve"> would become the primary indirect real estate vehicle in Germany which would lead to a more integrated property market with the capital market. This may not occur in South Africa as there are already near REIT-like structures in place in the form of PLS and CISPS however it may appeal to international investors.</w:t>
      </w:r>
    </w:p>
    <w:p w:rsidR="00534C63" w:rsidRDefault="00534C63" w:rsidP="00534C63">
      <w:pPr>
        <w:pStyle w:val="whp20100506"/>
      </w:pPr>
    </w:p>
    <w:p w:rsidR="00534C63" w:rsidRDefault="00534C63" w:rsidP="00534C63">
      <w:pPr>
        <w:pStyle w:val="whp20100506"/>
      </w:pPr>
      <w:r>
        <w:t xml:space="preserve">The structural framework of two of the dominant REIT regimes in Europe, being that of England and Germany, reveals an interesting correlation and pattern of the rules for </w:t>
      </w:r>
      <w:r w:rsidR="00194F2A">
        <w:t>REITS</w:t>
      </w:r>
      <w:r>
        <w:t xml:space="preserve"> as applied in Europe and would be relevant to understanding the recommendations of the National Treasury in context to international trends. </w:t>
      </w:r>
    </w:p>
    <w:p w:rsidR="00534C63" w:rsidRDefault="00534C63" w:rsidP="00534C63">
      <w:pPr>
        <w:pStyle w:val="whp20100506"/>
      </w:pPr>
    </w:p>
    <w:p w:rsidR="00534C63" w:rsidRPr="00EB78A7" w:rsidRDefault="00534C63" w:rsidP="00534C63">
      <w:pPr>
        <w:pStyle w:val="whp20100506"/>
      </w:pPr>
      <w:r>
        <w:t xml:space="preserve">This general summary of the two regimes is intended as a reference of the structures that tax and legal framework subscribe to at an international level for two countries who recently adopted </w:t>
      </w:r>
      <w:r w:rsidR="00194F2A">
        <w:t>REITS</w:t>
      </w:r>
      <w:r>
        <w:t xml:space="preserve"> in the past decade. The </w:t>
      </w:r>
      <w:r w:rsidRPr="00286119">
        <w:t>information is sourced from a journal by internationally renowned business advisory firm CMS</w:t>
      </w:r>
      <w:r w:rsidRPr="00286119">
        <w:rPr>
          <w:rStyle w:val="FootnoteReference"/>
        </w:rPr>
        <w:footnoteReference w:id="15"/>
      </w:r>
      <w:r w:rsidRPr="00286119">
        <w:t xml:space="preserve">, with additional literature where applicable. </w:t>
      </w:r>
    </w:p>
    <w:p w:rsidR="00534C63" w:rsidRPr="001D7A64" w:rsidRDefault="00534C63" w:rsidP="00534C63">
      <w:pPr>
        <w:pStyle w:val="whp20100506"/>
        <w:numPr>
          <w:ilvl w:val="0"/>
          <w:numId w:val="17"/>
        </w:numPr>
        <w:ind w:left="426"/>
        <w:rPr>
          <w:b/>
        </w:rPr>
      </w:pPr>
      <w:r w:rsidRPr="001D7A64">
        <w:rPr>
          <w:i/>
        </w:rPr>
        <w:lastRenderedPageBreak/>
        <w:t xml:space="preserve">Legal Form </w:t>
      </w:r>
    </w:p>
    <w:p w:rsidR="00534C63" w:rsidRPr="00C90C3E" w:rsidRDefault="00534C63" w:rsidP="00534C63">
      <w:pPr>
        <w:pStyle w:val="whp20100506"/>
      </w:pPr>
    </w:p>
    <w:p w:rsidR="00534C63" w:rsidRPr="0030237E" w:rsidRDefault="00534C63" w:rsidP="00534C63">
      <w:pPr>
        <w:pStyle w:val="whp20100506"/>
      </w:pPr>
      <w:r w:rsidRPr="0030237E">
        <w:t>The legal form for a REIT in the UK is that it must be a company that is a UK tax resident but may not have a dual residency. The legal form may not be a closed corporation unless it is a collective investment scheme partnership.</w:t>
      </w:r>
    </w:p>
    <w:p w:rsidR="00534C63" w:rsidRPr="0030237E" w:rsidRDefault="00534C63" w:rsidP="00534C63">
      <w:pPr>
        <w:pStyle w:val="whp20100506"/>
      </w:pPr>
    </w:p>
    <w:p w:rsidR="00534C63" w:rsidRPr="0030237E" w:rsidRDefault="00534C63" w:rsidP="00534C63">
      <w:pPr>
        <w:pStyle w:val="whp20100506"/>
      </w:pPr>
      <w:r w:rsidRPr="0030237E">
        <w:t>In Germany the REIT is known as a stock corporation of Aktiengesellschaft which is known as G-REIT. It has to have its statutory seat and effective place of management in Germany.</w:t>
      </w:r>
    </w:p>
    <w:p w:rsidR="00534C63" w:rsidRDefault="00534C63" w:rsidP="00534C63">
      <w:pPr>
        <w:pStyle w:val="whp20100506"/>
      </w:pPr>
    </w:p>
    <w:p w:rsidR="00534C63" w:rsidRPr="001D7A64" w:rsidRDefault="00534C63" w:rsidP="00534C63">
      <w:pPr>
        <w:pStyle w:val="whp20100506"/>
        <w:numPr>
          <w:ilvl w:val="3"/>
          <w:numId w:val="2"/>
        </w:numPr>
        <w:tabs>
          <w:tab w:val="left" w:pos="426"/>
        </w:tabs>
        <w:ind w:left="0" w:firstLine="0"/>
        <w:rPr>
          <w:i/>
        </w:rPr>
      </w:pPr>
      <w:r w:rsidRPr="001D7A64">
        <w:rPr>
          <w:i/>
        </w:rPr>
        <w:t>Mandatory Stock Exchange Listing</w:t>
      </w:r>
    </w:p>
    <w:p w:rsidR="00534C63" w:rsidRPr="00C90C3E" w:rsidRDefault="00534C63" w:rsidP="00534C63">
      <w:pPr>
        <w:pStyle w:val="whp20100506"/>
      </w:pPr>
      <w:r>
        <w:tab/>
      </w:r>
    </w:p>
    <w:p w:rsidR="00534C63" w:rsidRPr="0030237E" w:rsidRDefault="00534C63" w:rsidP="00534C63">
      <w:pPr>
        <w:pStyle w:val="whp20100506"/>
      </w:pPr>
      <w:r w:rsidRPr="0030237E">
        <w:t>The ordinary shares of the UK REIT must be listed on a recognised stock exchange.</w:t>
      </w:r>
    </w:p>
    <w:p w:rsidR="00534C63" w:rsidRPr="0030237E" w:rsidRDefault="00534C63" w:rsidP="00534C63">
      <w:pPr>
        <w:pStyle w:val="whp20100506"/>
      </w:pPr>
      <w:r w:rsidRPr="0030237E">
        <w:tab/>
      </w:r>
    </w:p>
    <w:p w:rsidR="00534C63" w:rsidRPr="0030237E" w:rsidRDefault="00534C63" w:rsidP="00534C63">
      <w:pPr>
        <w:pStyle w:val="whp20100506"/>
      </w:pPr>
      <w:r w:rsidRPr="0030237E">
        <w:t>In Germany the entity must within three years after incorporation as a pre-REIT be listed on a stock exchange either in Germany or any member state of the European Union.</w:t>
      </w:r>
    </w:p>
    <w:p w:rsidR="00534C63" w:rsidRDefault="00534C63" w:rsidP="00534C63">
      <w:pPr>
        <w:pStyle w:val="whp20100506"/>
      </w:pPr>
      <w:r>
        <w:tab/>
      </w:r>
    </w:p>
    <w:p w:rsidR="00534C63" w:rsidRPr="001D7A64" w:rsidRDefault="00534C63" w:rsidP="00534C63">
      <w:pPr>
        <w:pStyle w:val="ListParagraph"/>
      </w:pPr>
      <w:r w:rsidRPr="001D7A64">
        <w:t>Investor Restrictions</w:t>
      </w:r>
    </w:p>
    <w:p w:rsidR="00534C63" w:rsidRPr="00C90C3E" w:rsidRDefault="00534C63" w:rsidP="00534C63">
      <w:pPr>
        <w:pStyle w:val="whp20100506"/>
      </w:pPr>
      <w:r>
        <w:tab/>
      </w:r>
    </w:p>
    <w:p w:rsidR="00534C63" w:rsidRPr="0030237E" w:rsidRDefault="00534C63" w:rsidP="00534C63">
      <w:pPr>
        <w:pStyle w:val="whp20100506"/>
      </w:pPr>
      <w:r w:rsidRPr="0030237E">
        <w:t>The only restriction that applies in the United Kingdom is one of where dividends are paid to a body corporate or a company that as a beneficiary is entitled to 10% of the share capital or dividends.</w:t>
      </w:r>
    </w:p>
    <w:p w:rsidR="00534C63" w:rsidRPr="0030237E" w:rsidRDefault="00534C63" w:rsidP="00534C63">
      <w:pPr>
        <w:pStyle w:val="whp20100506"/>
      </w:pPr>
      <w:r w:rsidRPr="0030237E">
        <w:tab/>
      </w:r>
    </w:p>
    <w:p w:rsidR="00534C63" w:rsidRDefault="00534C63" w:rsidP="00534C63">
      <w:pPr>
        <w:pStyle w:val="whp20100506"/>
      </w:pPr>
      <w:r w:rsidRPr="0030237E">
        <w:t xml:space="preserve">Once listed, at least 25% of the G-REIT must be widely held which means that an investor has no more than 3% of the REIT’s shares. No one investor may have direct ownership of 10% or more in a G-REIT. </w:t>
      </w:r>
    </w:p>
    <w:p w:rsidR="00534C63" w:rsidRDefault="00534C63" w:rsidP="00534C63">
      <w:pPr>
        <w:pStyle w:val="whp20100506"/>
      </w:pPr>
    </w:p>
    <w:p w:rsidR="00534C63" w:rsidRDefault="00534C63" w:rsidP="00534C63">
      <w:pPr>
        <w:pStyle w:val="ListParagraph"/>
      </w:pPr>
      <w:r>
        <w:t>Qualifying Activities</w:t>
      </w:r>
    </w:p>
    <w:p w:rsidR="00534C63" w:rsidRPr="004C3B57" w:rsidRDefault="00534C63" w:rsidP="00534C63">
      <w:pPr>
        <w:pStyle w:val="whp20100506"/>
      </w:pPr>
    </w:p>
    <w:p w:rsidR="00534C63" w:rsidRPr="0030237E" w:rsidRDefault="00534C63" w:rsidP="00534C63">
      <w:pPr>
        <w:pStyle w:val="whp20100506"/>
      </w:pPr>
      <w:r w:rsidRPr="0030237E">
        <w:t xml:space="preserve">In the UK the qualifying activities are intended to mean a property rental business and include development with a view to hold onto the property as an investment. At least 75% of all profits must be derived from these activities. </w:t>
      </w:r>
    </w:p>
    <w:p w:rsidR="00534C63" w:rsidRPr="0030237E" w:rsidRDefault="00534C63" w:rsidP="00534C63">
      <w:pPr>
        <w:pStyle w:val="whp20100506"/>
      </w:pPr>
    </w:p>
    <w:p w:rsidR="00534C63" w:rsidRPr="0030237E" w:rsidRDefault="00534C63" w:rsidP="00534C63">
      <w:pPr>
        <w:pStyle w:val="whp20100506"/>
      </w:pPr>
      <w:r w:rsidRPr="0030237E">
        <w:t xml:space="preserve">The UK business must have at least three rental properties with no one property being greater </w:t>
      </w:r>
      <w:r w:rsidRPr="0030237E">
        <w:lastRenderedPageBreak/>
        <w:t>than 40% of the total value of the properties.</w:t>
      </w:r>
    </w:p>
    <w:p w:rsidR="00534C63" w:rsidRPr="0030237E" w:rsidRDefault="00534C63" w:rsidP="00534C63">
      <w:pPr>
        <w:pStyle w:val="whp20100506"/>
      </w:pPr>
    </w:p>
    <w:p w:rsidR="00534C63" w:rsidRPr="0030237E" w:rsidRDefault="00534C63" w:rsidP="00534C63">
      <w:pPr>
        <w:pStyle w:val="whp20100506"/>
      </w:pPr>
      <w:r w:rsidRPr="0030237E">
        <w:t xml:space="preserve">The UK REIT may invest in non-UK assets and properties however no credit for overseas tax will be received. </w:t>
      </w:r>
    </w:p>
    <w:p w:rsidR="00534C63" w:rsidRPr="0030237E" w:rsidRDefault="00534C63" w:rsidP="00534C63">
      <w:pPr>
        <w:pStyle w:val="whp20100506"/>
      </w:pPr>
    </w:p>
    <w:p w:rsidR="00534C63" w:rsidRPr="0030237E" w:rsidRDefault="00534C63" w:rsidP="00534C63">
      <w:pPr>
        <w:pStyle w:val="whp20100506"/>
      </w:pPr>
      <w:r w:rsidRPr="0030237E">
        <w:t>The activities in Germany are more flexible as a G-REIT may own property in local or foreign countries, and can conduct property management services along with the sale of properties. At least 75% of the G-REIT’s gross income must be derived from the rental or lease of real estate property or from the sale of real estate.</w:t>
      </w:r>
    </w:p>
    <w:p w:rsidR="00534C63" w:rsidRPr="0030237E" w:rsidRDefault="00534C63" w:rsidP="00534C63">
      <w:pPr>
        <w:pStyle w:val="whp20100506"/>
      </w:pPr>
    </w:p>
    <w:p w:rsidR="00534C63" w:rsidRPr="0030237E" w:rsidRDefault="00534C63" w:rsidP="00534C63">
      <w:pPr>
        <w:pStyle w:val="whp20100506"/>
      </w:pPr>
      <w:r w:rsidRPr="0030237E">
        <w:t xml:space="preserve">A G-REIT may not invest in properties where over 50% of the floor space is used for residential properties. A G-REIT may also not own shares in foreign </w:t>
      </w:r>
      <w:r w:rsidR="00194F2A">
        <w:t>REITS</w:t>
      </w:r>
      <w:r w:rsidRPr="0030237E">
        <w:t xml:space="preserve"> where the shares are traded on the public market. </w:t>
      </w:r>
    </w:p>
    <w:p w:rsidR="00534C63" w:rsidRPr="00C90C3E" w:rsidRDefault="00534C63" w:rsidP="00534C63">
      <w:pPr>
        <w:pStyle w:val="ListParagraph"/>
        <w:numPr>
          <w:ilvl w:val="0"/>
          <w:numId w:val="0"/>
        </w:numPr>
        <w:ind w:left="709"/>
      </w:pPr>
    </w:p>
    <w:p w:rsidR="00534C63" w:rsidRDefault="00534C63" w:rsidP="00534C63">
      <w:pPr>
        <w:pStyle w:val="ListParagraph"/>
      </w:pPr>
      <w:r>
        <w:t>Internal versus External Management</w:t>
      </w:r>
    </w:p>
    <w:p w:rsidR="00534C63" w:rsidRPr="00C90C3E" w:rsidRDefault="00534C63" w:rsidP="00534C63">
      <w:pPr>
        <w:pStyle w:val="whp20100506"/>
      </w:pPr>
    </w:p>
    <w:p w:rsidR="00534C63" w:rsidRPr="00C90C3E" w:rsidRDefault="00534C63" w:rsidP="00534C63">
      <w:pPr>
        <w:pStyle w:val="whp20100506"/>
      </w:pPr>
      <w:r w:rsidRPr="00C90C3E">
        <w:t xml:space="preserve">A UK REIT </w:t>
      </w:r>
      <w:r>
        <w:t>and a G-REIT may also have either.</w:t>
      </w:r>
    </w:p>
    <w:p w:rsidR="00534C63" w:rsidRPr="00C90C3E" w:rsidRDefault="00534C63" w:rsidP="00534C63">
      <w:pPr>
        <w:pStyle w:val="whp20100506"/>
      </w:pPr>
      <w:r w:rsidRPr="00C90C3E">
        <w:tab/>
      </w:r>
    </w:p>
    <w:p w:rsidR="00534C63" w:rsidRDefault="00534C63" w:rsidP="00534C63">
      <w:pPr>
        <w:pStyle w:val="ListParagraph"/>
      </w:pPr>
      <w:r>
        <w:t>Asset Classes</w:t>
      </w:r>
    </w:p>
    <w:p w:rsidR="00534C63" w:rsidRPr="00C90C3E" w:rsidRDefault="00534C63" w:rsidP="00534C63">
      <w:pPr>
        <w:pStyle w:val="ListParagraph"/>
        <w:numPr>
          <w:ilvl w:val="0"/>
          <w:numId w:val="0"/>
        </w:numPr>
        <w:ind w:left="709"/>
      </w:pPr>
    </w:p>
    <w:p w:rsidR="00534C63" w:rsidRPr="000A0CB7" w:rsidRDefault="00534C63" w:rsidP="00534C63">
      <w:pPr>
        <w:pStyle w:val="whp20100506"/>
      </w:pPr>
      <w:r w:rsidRPr="000A0CB7">
        <w:t xml:space="preserve">A UK REIT may have any class of property however hotels present a problem as a REIT may not occupy a hotel that it owns, because owner occupied properties are not permitted as </w:t>
      </w:r>
      <w:r w:rsidR="00194F2A">
        <w:t>REITS</w:t>
      </w:r>
      <w:r w:rsidRPr="000A0CB7">
        <w:t xml:space="preserve">. </w:t>
      </w:r>
    </w:p>
    <w:p w:rsidR="00534C63" w:rsidRPr="000A0CB7" w:rsidRDefault="00534C63" w:rsidP="00534C63">
      <w:pPr>
        <w:pStyle w:val="whp20100506"/>
      </w:pPr>
    </w:p>
    <w:p w:rsidR="00534C63" w:rsidRPr="000A0CB7" w:rsidRDefault="00534C63" w:rsidP="00534C63">
      <w:pPr>
        <w:pStyle w:val="whp20100506"/>
      </w:pPr>
      <w:r w:rsidRPr="000A0CB7">
        <w:t xml:space="preserve">Non real estate activities may not exceed 20% of a G-REIT’s assets. What is more if the G-REIT offers property related services to third parties, this must be performed by a wholly owned subsidiary of the REIT which will not benefit from the tax exempt status of the parent REIT. These companies may also not exceed 20% of the REIT’s total assets and the proceeds received from these companies may not exceed 20% of the total revenue of the REIT. </w:t>
      </w:r>
    </w:p>
    <w:p w:rsidR="00534C63" w:rsidRPr="00C90C3E" w:rsidRDefault="00534C63" w:rsidP="00534C63">
      <w:pPr>
        <w:pStyle w:val="whp20100506"/>
      </w:pPr>
    </w:p>
    <w:p w:rsidR="00534C63" w:rsidRDefault="00534C63" w:rsidP="00534C63">
      <w:pPr>
        <w:pStyle w:val="ListParagraph"/>
      </w:pPr>
      <w:r>
        <w:t>Gearing Restrictions</w:t>
      </w:r>
    </w:p>
    <w:p w:rsidR="00534C63" w:rsidRPr="00C90C3E" w:rsidRDefault="00534C63" w:rsidP="00534C63">
      <w:pPr>
        <w:pStyle w:val="whp20100506"/>
      </w:pPr>
    </w:p>
    <w:p w:rsidR="00534C63" w:rsidRPr="0030237E" w:rsidRDefault="00534C63" w:rsidP="00534C63">
      <w:pPr>
        <w:pStyle w:val="whp20100506"/>
      </w:pPr>
      <w:r w:rsidRPr="0030237E">
        <w:t xml:space="preserve">The UK REIT has no borrowing restrictions however if in any accounting period, the income </w:t>
      </w:r>
      <w:r w:rsidRPr="0030237E">
        <w:lastRenderedPageBreak/>
        <w:t>profits from the tax-exempt business does not cover the related financing costs by at least 1.25 times, there is a tax charge applicable to the REIT.</w:t>
      </w:r>
    </w:p>
    <w:p w:rsidR="00534C63" w:rsidRPr="0030237E" w:rsidRDefault="00534C63" w:rsidP="00534C63">
      <w:pPr>
        <w:pStyle w:val="whp20100506"/>
      </w:pPr>
    </w:p>
    <w:p w:rsidR="00534C63" w:rsidRPr="0030237E" w:rsidRDefault="00534C63" w:rsidP="00534C63">
      <w:pPr>
        <w:pStyle w:val="whp20100506"/>
      </w:pPr>
      <w:r w:rsidRPr="0030237E">
        <w:t>A G-REIT may borrow up to the value of 60% of its fixed assets.</w:t>
      </w:r>
    </w:p>
    <w:p w:rsidR="00534C63" w:rsidRPr="00C90C3E" w:rsidRDefault="00534C63" w:rsidP="00534C63"/>
    <w:p w:rsidR="00534C63" w:rsidRDefault="00534C63" w:rsidP="00534C63">
      <w:pPr>
        <w:pStyle w:val="ListParagraph"/>
      </w:pPr>
      <w:r>
        <w:t>Is Distribution of Income Mandatory</w:t>
      </w:r>
    </w:p>
    <w:p w:rsidR="00534C63" w:rsidRPr="00606199" w:rsidRDefault="00534C63" w:rsidP="00534C63">
      <w:pPr>
        <w:pStyle w:val="whp20100506"/>
      </w:pPr>
    </w:p>
    <w:p w:rsidR="00534C63" w:rsidRPr="0030237E" w:rsidRDefault="00534C63" w:rsidP="00534C63">
      <w:pPr>
        <w:pStyle w:val="whp20100506"/>
      </w:pPr>
      <w:r w:rsidRPr="0030237E">
        <w:t xml:space="preserve">At least 90% of the UK REIT’s profits (excluding capital gains) of the tax-exempt business must be distributed. </w:t>
      </w:r>
    </w:p>
    <w:p w:rsidR="00534C63" w:rsidRPr="0030237E" w:rsidRDefault="00534C63" w:rsidP="00534C63">
      <w:pPr>
        <w:pStyle w:val="whp20100506"/>
      </w:pPr>
    </w:p>
    <w:p w:rsidR="00534C63" w:rsidRPr="0030237E" w:rsidRDefault="00534C63" w:rsidP="00534C63">
      <w:pPr>
        <w:pStyle w:val="whp20100506"/>
      </w:pPr>
      <w:r w:rsidRPr="0030237E">
        <w:t xml:space="preserve">A G-REIT must make annual distributions of at least 90% of its income to its shareholders. </w:t>
      </w:r>
    </w:p>
    <w:p w:rsidR="00534C63" w:rsidRPr="00606199" w:rsidRDefault="00534C63" w:rsidP="00534C63">
      <w:pPr>
        <w:pStyle w:val="whp20100506"/>
      </w:pPr>
    </w:p>
    <w:p w:rsidR="00534C63" w:rsidRDefault="00534C63" w:rsidP="00534C63">
      <w:pPr>
        <w:pStyle w:val="ListParagraph"/>
      </w:pPr>
      <w:r>
        <w:t>Timing of Distribution</w:t>
      </w:r>
    </w:p>
    <w:p w:rsidR="00534C63" w:rsidRPr="00606199" w:rsidRDefault="00534C63" w:rsidP="00534C63">
      <w:pPr>
        <w:pStyle w:val="whp20100506"/>
      </w:pPr>
    </w:p>
    <w:p w:rsidR="00534C63" w:rsidRPr="0030237E" w:rsidRDefault="00534C63" w:rsidP="00534C63">
      <w:pPr>
        <w:pStyle w:val="whp20100506"/>
      </w:pPr>
      <w:r w:rsidRPr="0030237E">
        <w:t>The UK REIT must distribute the monies before the REIT’s normal filing date for the company’s tax return for that particular financial year.</w:t>
      </w:r>
    </w:p>
    <w:p w:rsidR="00534C63" w:rsidRPr="0030237E" w:rsidRDefault="00534C63" w:rsidP="00534C63">
      <w:pPr>
        <w:pStyle w:val="whp20100506"/>
      </w:pPr>
    </w:p>
    <w:p w:rsidR="00534C63" w:rsidRPr="0030237E" w:rsidRDefault="00534C63" w:rsidP="00534C63">
      <w:pPr>
        <w:pStyle w:val="whp20100506"/>
      </w:pPr>
      <w:r w:rsidRPr="0030237E">
        <w:t>In Germany, the REIT must pay out its dividends by the end of the following accounting year.</w:t>
      </w:r>
    </w:p>
    <w:p w:rsidR="00534C63" w:rsidRPr="00606199" w:rsidRDefault="00534C63" w:rsidP="00534C63">
      <w:pPr>
        <w:pStyle w:val="whp20100506"/>
      </w:pPr>
    </w:p>
    <w:p w:rsidR="00534C63" w:rsidRDefault="00534C63" w:rsidP="00534C63">
      <w:pPr>
        <w:pStyle w:val="ListParagraph"/>
      </w:pPr>
      <w:r>
        <w:t>Is Distribution of Capital Gains mandatory?</w:t>
      </w:r>
    </w:p>
    <w:p w:rsidR="00534C63" w:rsidRPr="0030237E" w:rsidRDefault="00534C63" w:rsidP="00534C63">
      <w:pPr>
        <w:pStyle w:val="whp20100506"/>
      </w:pPr>
    </w:p>
    <w:p w:rsidR="00534C63" w:rsidRPr="0030237E" w:rsidRDefault="00534C63" w:rsidP="00534C63">
      <w:pPr>
        <w:pStyle w:val="whp20100506"/>
      </w:pPr>
      <w:r w:rsidRPr="0030237E">
        <w:t>There is no requirement for the UK REIT to distribute capital gains.</w:t>
      </w:r>
    </w:p>
    <w:p w:rsidR="00534C63" w:rsidRPr="0030237E" w:rsidRDefault="00534C63" w:rsidP="00534C63">
      <w:pPr>
        <w:pStyle w:val="whp20100506"/>
      </w:pPr>
    </w:p>
    <w:p w:rsidR="00534C63" w:rsidRPr="0030237E" w:rsidRDefault="00534C63" w:rsidP="00534C63">
      <w:pPr>
        <w:pStyle w:val="whp20100506"/>
      </w:pPr>
      <w:r w:rsidRPr="0030237E">
        <w:t xml:space="preserve">A G-REIT must distribute capital gains, but 50% of the gains derived from the disposal of assets may be allocated to a reserve. </w:t>
      </w:r>
    </w:p>
    <w:p w:rsidR="00534C63" w:rsidRPr="0030237E" w:rsidRDefault="00534C63" w:rsidP="00534C63">
      <w:pPr>
        <w:pStyle w:val="whp20100506"/>
      </w:pPr>
    </w:p>
    <w:p w:rsidR="00534C63" w:rsidRDefault="00534C63" w:rsidP="00534C63">
      <w:pPr>
        <w:pStyle w:val="ListParagraph"/>
      </w:pPr>
      <w:r>
        <w:t>Conversion Charge</w:t>
      </w:r>
    </w:p>
    <w:p w:rsidR="00534C63" w:rsidRPr="0030237E" w:rsidRDefault="00534C63" w:rsidP="00534C63">
      <w:pPr>
        <w:pStyle w:val="whp20100506"/>
      </w:pPr>
    </w:p>
    <w:p w:rsidR="00534C63" w:rsidRPr="0030237E" w:rsidRDefault="00534C63" w:rsidP="00534C63">
      <w:pPr>
        <w:pStyle w:val="whp20100506"/>
      </w:pPr>
      <w:r w:rsidRPr="0030237E">
        <w:t>In the UK, there is a charge of 2% of the market value of the properties that enter the REIT which is payable in four annual instalments (broken down into the following sizes per instalment: 0.5%, 0.53%, 0.56%, and 0.6%).</w:t>
      </w:r>
    </w:p>
    <w:p w:rsidR="00534C63" w:rsidRPr="0030237E" w:rsidRDefault="00534C63" w:rsidP="00534C63">
      <w:pPr>
        <w:pStyle w:val="whp20100506"/>
      </w:pPr>
    </w:p>
    <w:p w:rsidR="00534C63" w:rsidRPr="0030237E" w:rsidRDefault="00534C63" w:rsidP="00534C63">
      <w:pPr>
        <w:pStyle w:val="whp20100506"/>
      </w:pPr>
      <w:r w:rsidRPr="0030237E">
        <w:lastRenderedPageBreak/>
        <w:t>The ruling in Germany is that between 31 December 2006 and 01 January 2010, only 50% of the capital gains are subject to taxation. The property must at the time of sale have been part of the seller’s local fixed asset base for a period of at least five years. All real estate transfer tax is set at 3.5%.</w:t>
      </w:r>
    </w:p>
    <w:p w:rsidR="00534C63" w:rsidRPr="0030237E" w:rsidRDefault="00534C63" w:rsidP="00534C63">
      <w:pPr>
        <w:pStyle w:val="whp20100506"/>
      </w:pPr>
    </w:p>
    <w:p w:rsidR="00534C63" w:rsidRDefault="00534C63" w:rsidP="00534C63">
      <w:pPr>
        <w:pStyle w:val="ListParagraph"/>
      </w:pPr>
      <w:r>
        <w:t xml:space="preserve">Taxation of Income at level of REIT </w:t>
      </w:r>
    </w:p>
    <w:p w:rsidR="00534C63" w:rsidRPr="0030237E" w:rsidRDefault="00534C63" w:rsidP="00534C63">
      <w:pPr>
        <w:pStyle w:val="whp20100506"/>
      </w:pPr>
    </w:p>
    <w:p w:rsidR="00534C63" w:rsidRPr="0030237E" w:rsidRDefault="00534C63" w:rsidP="00534C63">
      <w:pPr>
        <w:pStyle w:val="whp20100506"/>
      </w:pPr>
      <w:r w:rsidRPr="0030237E">
        <w:t>The UK REIT is exempt from corporate tax on income profits from qualifying activities.</w:t>
      </w:r>
    </w:p>
    <w:p w:rsidR="00534C63" w:rsidRPr="0030237E" w:rsidRDefault="00534C63" w:rsidP="00534C63">
      <w:pPr>
        <w:pStyle w:val="whp20100506"/>
      </w:pPr>
    </w:p>
    <w:p w:rsidR="00534C63" w:rsidRPr="0030237E" w:rsidRDefault="00534C63" w:rsidP="00534C63">
      <w:pPr>
        <w:pStyle w:val="whp20100506"/>
      </w:pPr>
      <w:r w:rsidRPr="0030237E">
        <w:t>The G-REIT is exempt from corporate income tax and trade tax, but only on condition that the G-REIT is also a resident of Germany. Any breach of this is met with immediate loss of tax exemption status.</w:t>
      </w:r>
    </w:p>
    <w:p w:rsidR="00534C63" w:rsidRPr="0030237E" w:rsidRDefault="00534C63" w:rsidP="00534C63">
      <w:pPr>
        <w:pStyle w:val="whp20100506"/>
      </w:pPr>
    </w:p>
    <w:p w:rsidR="00534C63" w:rsidRDefault="00534C63" w:rsidP="00534C63">
      <w:pPr>
        <w:pStyle w:val="ListParagraph"/>
      </w:pPr>
      <w:r>
        <w:t xml:space="preserve">Taxation of Gain at level of REIT </w:t>
      </w:r>
    </w:p>
    <w:p w:rsidR="00534C63" w:rsidRPr="0030237E" w:rsidRDefault="00534C63" w:rsidP="00534C63">
      <w:pPr>
        <w:pStyle w:val="whp20100506"/>
      </w:pPr>
    </w:p>
    <w:p w:rsidR="00534C63" w:rsidRPr="0030237E" w:rsidRDefault="00534C63" w:rsidP="00534C63">
      <w:pPr>
        <w:pStyle w:val="whp20100506"/>
      </w:pPr>
      <w:r w:rsidRPr="0030237E">
        <w:t>Any capital gains in the UK REIT that arose from the sale and disposal of assets in the qualifying business are exempt from tax.</w:t>
      </w:r>
    </w:p>
    <w:p w:rsidR="00534C63" w:rsidRPr="000A0CB7" w:rsidRDefault="00534C63" w:rsidP="00534C63">
      <w:pPr>
        <w:pStyle w:val="whp20100506"/>
      </w:pPr>
    </w:p>
    <w:p w:rsidR="00534C63" w:rsidRPr="000A0CB7" w:rsidRDefault="00534C63" w:rsidP="00534C63">
      <w:pPr>
        <w:pStyle w:val="whp20100506"/>
      </w:pPr>
      <w:r w:rsidRPr="000A0CB7">
        <w:t>A G-REIT is exempt.</w:t>
      </w:r>
    </w:p>
    <w:p w:rsidR="00534C63" w:rsidRPr="000A0CB7" w:rsidRDefault="00534C63" w:rsidP="00534C63">
      <w:pPr>
        <w:pStyle w:val="whp20100506"/>
      </w:pPr>
    </w:p>
    <w:p w:rsidR="00534C63" w:rsidRDefault="00534C63" w:rsidP="00534C63">
      <w:pPr>
        <w:pStyle w:val="ListParagraph"/>
      </w:pPr>
      <w:r>
        <w:t>Registration Duties</w:t>
      </w:r>
    </w:p>
    <w:p w:rsidR="00534C63" w:rsidRPr="00606199" w:rsidRDefault="00534C63" w:rsidP="00534C63">
      <w:pPr>
        <w:pStyle w:val="whp20100506"/>
      </w:pPr>
    </w:p>
    <w:p w:rsidR="00534C63" w:rsidRPr="00606199" w:rsidRDefault="00534C63" w:rsidP="00534C63">
      <w:pPr>
        <w:pStyle w:val="whp20100506"/>
      </w:pPr>
      <w:r w:rsidRPr="00606199">
        <w:t>In</w:t>
      </w:r>
      <w:r>
        <w:t xml:space="preserve"> </w:t>
      </w:r>
      <w:r w:rsidRPr="00606199">
        <w:t>the U</w:t>
      </w:r>
      <w:r>
        <w:t>K</w:t>
      </w:r>
      <w:r w:rsidRPr="00606199">
        <w:t>, a stamp Duty Land Tax is applicable at 4%</w:t>
      </w:r>
      <w:r w:rsidR="006818CB">
        <w:t>.</w:t>
      </w:r>
    </w:p>
    <w:p w:rsidR="00534C63" w:rsidRDefault="00534C63" w:rsidP="00534C63">
      <w:pPr>
        <w:pStyle w:val="whp20100506"/>
      </w:pPr>
    </w:p>
    <w:p w:rsidR="00534C63" w:rsidRDefault="00534C63" w:rsidP="00534C63">
      <w:pPr>
        <w:pStyle w:val="whp20100506"/>
      </w:pPr>
      <w:r>
        <w:t>In Germany, there is no registration duty.</w:t>
      </w:r>
    </w:p>
    <w:p w:rsidR="00534C63" w:rsidRPr="00606199" w:rsidRDefault="00534C63" w:rsidP="00534C63">
      <w:pPr>
        <w:pStyle w:val="whp20100506"/>
      </w:pPr>
    </w:p>
    <w:p w:rsidR="00534C63" w:rsidRDefault="00534C63" w:rsidP="00534C63">
      <w:pPr>
        <w:pStyle w:val="ListParagraph"/>
      </w:pPr>
      <w:r>
        <w:t xml:space="preserve">Withholding Tax on Distribution </w:t>
      </w:r>
    </w:p>
    <w:p w:rsidR="00534C63" w:rsidRPr="00606199" w:rsidRDefault="00534C63" w:rsidP="00534C63">
      <w:pPr>
        <w:pStyle w:val="whp20100506"/>
      </w:pPr>
    </w:p>
    <w:p w:rsidR="00534C63" w:rsidRPr="00606199" w:rsidRDefault="00534C63" w:rsidP="00534C63">
      <w:pPr>
        <w:pStyle w:val="whp20100506"/>
      </w:pPr>
      <w:r w:rsidRPr="00606199">
        <w:t>The withholding tax on distribution is subject to a deduction of tax at the basic rate applicable in the UK.</w:t>
      </w:r>
    </w:p>
    <w:p w:rsidR="00534C63" w:rsidRPr="00606199" w:rsidRDefault="00534C63" w:rsidP="00534C63">
      <w:pPr>
        <w:pStyle w:val="whp20100506"/>
      </w:pPr>
    </w:p>
    <w:p w:rsidR="00534C63" w:rsidRDefault="00534C63" w:rsidP="00534C63">
      <w:pPr>
        <w:pStyle w:val="whp20100506"/>
      </w:pPr>
      <w:r>
        <w:t>In Germany, the G-REIT must withhold 25% plus 5% solidarity surcharge thereon</w:t>
      </w:r>
      <w:r w:rsidR="006818CB">
        <w:t>.</w:t>
      </w:r>
    </w:p>
    <w:p w:rsidR="00534C63" w:rsidRDefault="00534C63" w:rsidP="00534C63">
      <w:pPr>
        <w:pStyle w:val="ListParagraph"/>
      </w:pPr>
      <w:r>
        <w:lastRenderedPageBreak/>
        <w:t xml:space="preserve">Tax on Dividends – Domestic Shareholders </w:t>
      </w:r>
    </w:p>
    <w:p w:rsidR="00534C63" w:rsidRPr="000A0CB7" w:rsidRDefault="00534C63" w:rsidP="00534C63">
      <w:pPr>
        <w:pStyle w:val="whp20100506"/>
      </w:pPr>
    </w:p>
    <w:p w:rsidR="00534C63" w:rsidRDefault="00534C63" w:rsidP="00534C63">
      <w:pPr>
        <w:pStyle w:val="whp20100506"/>
      </w:pPr>
      <w:r w:rsidRPr="000A0CB7">
        <w:t>Distributions from tax exempt profits will mostly be treated as UK property income when received in the hands of the investor for the purposes of UK corporate and income tax</w:t>
      </w:r>
      <w:r w:rsidR="006818CB">
        <w:t>.</w:t>
      </w:r>
    </w:p>
    <w:p w:rsidR="00534C63" w:rsidRDefault="00534C63" w:rsidP="00534C63">
      <w:pPr>
        <w:pStyle w:val="whp20100506"/>
      </w:pPr>
    </w:p>
    <w:p w:rsidR="00534C63" w:rsidRPr="000A0CB7" w:rsidRDefault="00534C63" w:rsidP="00534C63">
      <w:pPr>
        <w:pStyle w:val="whp20100506"/>
      </w:pPr>
      <w:r>
        <w:t>For the G-REIT, the dividends are fully taxable without any tax credit on income from foreign countries or companies</w:t>
      </w:r>
      <w:r w:rsidR="006818CB">
        <w:t>.</w:t>
      </w:r>
    </w:p>
    <w:p w:rsidR="00534C63" w:rsidRDefault="00534C63" w:rsidP="00534C63">
      <w:pPr>
        <w:pStyle w:val="whp20100506"/>
      </w:pPr>
    </w:p>
    <w:p w:rsidR="00534C63" w:rsidRDefault="00534C63" w:rsidP="00534C63">
      <w:pPr>
        <w:pStyle w:val="ListParagraph"/>
      </w:pPr>
      <w:r>
        <w:t xml:space="preserve">Tax on Dividends – Foreign Shareholders </w:t>
      </w:r>
    </w:p>
    <w:p w:rsidR="00534C63" w:rsidRPr="0030237E" w:rsidRDefault="00534C63" w:rsidP="00534C63">
      <w:pPr>
        <w:pStyle w:val="whp20100506"/>
      </w:pPr>
    </w:p>
    <w:p w:rsidR="00534C63" w:rsidRPr="0030237E" w:rsidRDefault="00534C63" w:rsidP="00534C63">
      <w:pPr>
        <w:pStyle w:val="whp20100506"/>
      </w:pPr>
      <w:r w:rsidRPr="0030237E">
        <w:t>There will be no additional tax applicable to the withholding tax for UK REIT. The only restriction applicable is if payment is made to a body corporate or a company that is entitled to 10% of the share equity or dividends.</w:t>
      </w:r>
    </w:p>
    <w:p w:rsidR="00534C63" w:rsidRPr="0030237E" w:rsidRDefault="00534C63" w:rsidP="00534C63">
      <w:pPr>
        <w:pStyle w:val="whp20100506"/>
      </w:pPr>
    </w:p>
    <w:p w:rsidR="00534C63" w:rsidRPr="0030237E" w:rsidRDefault="00534C63" w:rsidP="00534C63">
      <w:pPr>
        <w:pStyle w:val="whp20100506"/>
      </w:pPr>
      <w:r w:rsidRPr="0030237E">
        <w:t>There will be no additional tax that is applicable to the withholding tax. The G-REIT will not benefit from tax treaties that are in place in the European Union.</w:t>
      </w:r>
    </w:p>
    <w:p w:rsidR="00534C63" w:rsidRPr="0030237E" w:rsidRDefault="00534C63" w:rsidP="00534C63">
      <w:pPr>
        <w:pStyle w:val="whp20100506"/>
      </w:pPr>
    </w:p>
    <w:p w:rsidR="00534C63" w:rsidRDefault="00534C63" w:rsidP="00534C63">
      <w:pPr>
        <w:pStyle w:val="ListParagraph"/>
      </w:pPr>
      <w:r>
        <w:t>Tax on Capital Gains on Disposal of Asset – Domestic Shareholders</w:t>
      </w:r>
    </w:p>
    <w:p w:rsidR="00534C63" w:rsidRPr="0030237E" w:rsidRDefault="00534C63" w:rsidP="00534C63">
      <w:pPr>
        <w:pStyle w:val="whp20100506"/>
      </w:pPr>
    </w:p>
    <w:p w:rsidR="00534C63" w:rsidRPr="0030237E" w:rsidRDefault="00534C63" w:rsidP="00534C63">
      <w:pPr>
        <w:pStyle w:val="whp20100506"/>
      </w:pPr>
      <w:r w:rsidRPr="0030237E">
        <w:t>The UK REIT will be taxable under the normal capital gains tax regulations</w:t>
      </w:r>
      <w:r w:rsidR="006818CB">
        <w:t>.</w:t>
      </w:r>
    </w:p>
    <w:p w:rsidR="00534C63" w:rsidRPr="0030237E" w:rsidRDefault="00534C63" w:rsidP="00534C63">
      <w:pPr>
        <w:pStyle w:val="whp20100506"/>
      </w:pPr>
    </w:p>
    <w:p w:rsidR="00534C63" w:rsidRPr="0030237E" w:rsidRDefault="00534C63" w:rsidP="00534C63">
      <w:pPr>
        <w:pStyle w:val="whp20100506"/>
      </w:pPr>
      <w:r w:rsidRPr="0030237E">
        <w:t xml:space="preserve">In Germany there is a split between private investors and companies. In the event of a private investor, the income tax is applicable if the period between the purchase of the holding in the G-REIT and the sale is less than one year. If the period of ownership is greater than one year, then the sale is only taxable if the shareholders hold a share of at least one %. As far as corporate tax is concerned, it is fully taxable. </w:t>
      </w:r>
    </w:p>
    <w:p w:rsidR="00534C63" w:rsidRPr="0030237E" w:rsidRDefault="00534C63" w:rsidP="00534C63">
      <w:pPr>
        <w:pStyle w:val="whp20100506"/>
      </w:pPr>
    </w:p>
    <w:p w:rsidR="00534C63" w:rsidRDefault="00534C63" w:rsidP="00534C63">
      <w:pPr>
        <w:pStyle w:val="ListParagraph"/>
      </w:pPr>
      <w:r>
        <w:t>Tax on Capital Gains on Disposal of Asset – Foreign Shareholders</w:t>
      </w:r>
    </w:p>
    <w:p w:rsidR="00534C63" w:rsidRPr="0030237E" w:rsidRDefault="00534C63" w:rsidP="00534C63">
      <w:pPr>
        <w:pStyle w:val="whp20100506"/>
      </w:pPr>
    </w:p>
    <w:p w:rsidR="00534C63" w:rsidRPr="0030237E" w:rsidRDefault="00534C63" w:rsidP="00534C63">
      <w:pPr>
        <w:pStyle w:val="whp20100506"/>
      </w:pPr>
      <w:r w:rsidRPr="0030237E">
        <w:t>In the event of a UK REIT, any gain that is due to a non-UK resident arising from the disposal of shares in the REIT will not be taxable in the UK if the non-UK resident is not permanently established in the UK as an investor.</w:t>
      </w:r>
    </w:p>
    <w:p w:rsidR="00534C63" w:rsidRDefault="00534C63" w:rsidP="00534C63">
      <w:pPr>
        <w:pStyle w:val="whp20100506"/>
      </w:pPr>
      <w:r w:rsidRPr="0030237E">
        <w:lastRenderedPageBreak/>
        <w:t>In Germany, capital gains that are realised by non residents that own less than one % are not subject to tax in Germany. If the ownership is proved to be of a permanent establishment in Germany, then the taxation of the capital gains is in accordance with the general REIT principles.</w:t>
      </w:r>
    </w:p>
    <w:p w:rsidR="00364C0C" w:rsidRDefault="00364C0C" w:rsidP="00534C63">
      <w:pPr>
        <w:pStyle w:val="whp20100506"/>
      </w:pPr>
    </w:p>
    <w:p w:rsidR="00534C63" w:rsidRPr="00364C0C" w:rsidRDefault="00364C0C" w:rsidP="00364C0C">
      <w:pPr>
        <w:pStyle w:val="Caption"/>
        <w:jc w:val="center"/>
        <w:rPr>
          <w:sz w:val="18"/>
          <w:szCs w:val="18"/>
        </w:rPr>
      </w:pPr>
      <w:bookmarkStart w:id="10" w:name="_Toc267930713"/>
      <w:r w:rsidRPr="00087CC5">
        <w:t xml:space="preserve">Table </w:t>
      </w:r>
      <w:r>
        <w:t>3</w:t>
      </w:r>
      <w:r w:rsidRPr="00087CC5">
        <w:t xml:space="preserve"> Key Criteria for Selected REIT Countries (USB 2007)</w:t>
      </w:r>
      <w:bookmarkEnd w:id="10"/>
    </w:p>
    <w:tbl>
      <w:tblPr>
        <w:tblW w:w="9463" w:type="dxa"/>
        <w:jc w:val="center"/>
        <w:tblInd w:w="1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207"/>
        <w:gridCol w:w="1366"/>
        <w:gridCol w:w="1514"/>
        <w:gridCol w:w="1366"/>
        <w:gridCol w:w="1644"/>
        <w:gridCol w:w="1366"/>
      </w:tblGrid>
      <w:tr w:rsidR="00534C63" w:rsidRPr="00AE0A25" w:rsidTr="00A8691C">
        <w:trPr>
          <w:trHeight w:val="809"/>
          <w:jc w:val="center"/>
        </w:trPr>
        <w:tc>
          <w:tcPr>
            <w:tcW w:w="2207" w:type="dxa"/>
            <w:shd w:val="clear" w:color="auto" w:fill="F2F2F2" w:themeFill="background1" w:themeFillShade="F2"/>
            <w:vAlign w:val="center"/>
            <w:hideMark/>
          </w:tcPr>
          <w:p w:rsidR="00534C63" w:rsidRPr="004428FF" w:rsidRDefault="00534C63" w:rsidP="00684B0F">
            <w:pPr>
              <w:pStyle w:val="whp20100506"/>
              <w:jc w:val="center"/>
              <w:rPr>
                <w:b/>
              </w:rPr>
            </w:pPr>
            <w:r w:rsidRPr="004428FF">
              <w:rPr>
                <w:b/>
              </w:rPr>
              <w:t>Criteria</w:t>
            </w:r>
          </w:p>
        </w:tc>
        <w:tc>
          <w:tcPr>
            <w:tcW w:w="1366" w:type="dxa"/>
            <w:shd w:val="clear" w:color="auto" w:fill="F2F2F2" w:themeFill="background1" w:themeFillShade="F2"/>
            <w:vAlign w:val="center"/>
            <w:hideMark/>
          </w:tcPr>
          <w:p w:rsidR="00534C63" w:rsidRPr="004428FF" w:rsidRDefault="00534C63" w:rsidP="00684B0F">
            <w:pPr>
              <w:pStyle w:val="whp20100506"/>
              <w:jc w:val="center"/>
              <w:rPr>
                <w:b/>
              </w:rPr>
            </w:pPr>
            <w:r w:rsidRPr="004428FF">
              <w:rPr>
                <w:b/>
              </w:rPr>
              <w:t>USA</w:t>
            </w:r>
          </w:p>
        </w:tc>
        <w:tc>
          <w:tcPr>
            <w:tcW w:w="1514" w:type="dxa"/>
            <w:shd w:val="clear" w:color="auto" w:fill="F2F2F2" w:themeFill="background1" w:themeFillShade="F2"/>
            <w:vAlign w:val="center"/>
            <w:hideMark/>
          </w:tcPr>
          <w:p w:rsidR="00534C63" w:rsidRPr="004428FF" w:rsidRDefault="00534C63" w:rsidP="00684B0F">
            <w:pPr>
              <w:pStyle w:val="whp20100506"/>
              <w:jc w:val="center"/>
              <w:rPr>
                <w:b/>
              </w:rPr>
            </w:pPr>
            <w:r w:rsidRPr="004428FF">
              <w:rPr>
                <w:b/>
              </w:rPr>
              <w:t>Australia</w:t>
            </w:r>
          </w:p>
        </w:tc>
        <w:tc>
          <w:tcPr>
            <w:tcW w:w="1366" w:type="dxa"/>
            <w:shd w:val="clear" w:color="auto" w:fill="F2F2F2" w:themeFill="background1" w:themeFillShade="F2"/>
            <w:vAlign w:val="center"/>
            <w:hideMark/>
          </w:tcPr>
          <w:p w:rsidR="00534C63" w:rsidRPr="004428FF" w:rsidRDefault="00534C63" w:rsidP="00684B0F">
            <w:pPr>
              <w:pStyle w:val="whp20100506"/>
              <w:jc w:val="center"/>
              <w:rPr>
                <w:b/>
              </w:rPr>
            </w:pPr>
            <w:r w:rsidRPr="004428FF">
              <w:rPr>
                <w:b/>
              </w:rPr>
              <w:t>UK</w:t>
            </w:r>
          </w:p>
        </w:tc>
        <w:tc>
          <w:tcPr>
            <w:tcW w:w="1644" w:type="dxa"/>
            <w:shd w:val="clear" w:color="auto" w:fill="F2F2F2" w:themeFill="background1" w:themeFillShade="F2"/>
            <w:vAlign w:val="center"/>
            <w:hideMark/>
          </w:tcPr>
          <w:p w:rsidR="00534C63" w:rsidRPr="004428FF" w:rsidRDefault="00534C63" w:rsidP="00684B0F">
            <w:pPr>
              <w:pStyle w:val="whp20100506"/>
              <w:jc w:val="center"/>
              <w:rPr>
                <w:b/>
              </w:rPr>
            </w:pPr>
            <w:r w:rsidRPr="004428FF">
              <w:rPr>
                <w:b/>
              </w:rPr>
              <w:t>Singapore</w:t>
            </w:r>
          </w:p>
        </w:tc>
        <w:tc>
          <w:tcPr>
            <w:tcW w:w="1366" w:type="dxa"/>
            <w:shd w:val="clear" w:color="auto" w:fill="F2F2F2" w:themeFill="background1" w:themeFillShade="F2"/>
            <w:vAlign w:val="center"/>
            <w:hideMark/>
          </w:tcPr>
          <w:p w:rsidR="00534C63" w:rsidRPr="004428FF" w:rsidRDefault="00534C63" w:rsidP="00684B0F">
            <w:pPr>
              <w:pStyle w:val="whp20100506"/>
              <w:jc w:val="center"/>
              <w:rPr>
                <w:b/>
              </w:rPr>
            </w:pPr>
            <w:r w:rsidRPr="004428FF">
              <w:rPr>
                <w:b/>
              </w:rPr>
              <w:t>Hong Kong</w:t>
            </w:r>
          </w:p>
        </w:tc>
      </w:tr>
      <w:tr w:rsidR="00534C63" w:rsidRPr="00AE0A25" w:rsidTr="00A8691C">
        <w:trPr>
          <w:trHeight w:val="1291"/>
          <w:jc w:val="center"/>
        </w:trPr>
        <w:tc>
          <w:tcPr>
            <w:tcW w:w="2207" w:type="dxa"/>
            <w:shd w:val="clear" w:color="auto" w:fill="F2F2F2" w:themeFill="background1" w:themeFillShade="F2"/>
            <w:vAlign w:val="center"/>
            <w:hideMark/>
          </w:tcPr>
          <w:p w:rsidR="00534C63" w:rsidRPr="004428FF" w:rsidRDefault="00A8691C" w:rsidP="00A8691C">
            <w:pPr>
              <w:pStyle w:val="whp20100506"/>
              <w:jc w:val="center"/>
              <w:rPr>
                <w:b/>
              </w:rPr>
            </w:pPr>
            <w:r>
              <w:rPr>
                <w:b/>
              </w:rPr>
              <w:t>M</w:t>
            </w:r>
            <w:r w:rsidR="00534C63" w:rsidRPr="004428FF">
              <w:rPr>
                <w:b/>
              </w:rPr>
              <w:t xml:space="preserve">anagement </w:t>
            </w:r>
            <w:r>
              <w:rPr>
                <w:b/>
              </w:rPr>
              <w:t>C</w:t>
            </w:r>
            <w:r w:rsidR="00534C63" w:rsidRPr="004428FF">
              <w:rPr>
                <w:b/>
              </w:rPr>
              <w:t>ompany</w:t>
            </w:r>
          </w:p>
        </w:tc>
        <w:tc>
          <w:tcPr>
            <w:tcW w:w="1366" w:type="dxa"/>
            <w:shd w:val="clear" w:color="auto" w:fill="auto"/>
            <w:vAlign w:val="center"/>
            <w:hideMark/>
          </w:tcPr>
          <w:p w:rsidR="00534C63" w:rsidRPr="00AE0A25" w:rsidRDefault="00534C63" w:rsidP="00684B0F">
            <w:pPr>
              <w:pStyle w:val="whp20100506"/>
              <w:jc w:val="center"/>
            </w:pPr>
            <w:r w:rsidRPr="00AE0A25">
              <w:t>internal &amp; external</w:t>
            </w:r>
          </w:p>
        </w:tc>
        <w:tc>
          <w:tcPr>
            <w:tcW w:w="1514" w:type="dxa"/>
            <w:shd w:val="clear" w:color="auto" w:fill="auto"/>
            <w:vAlign w:val="center"/>
            <w:hideMark/>
          </w:tcPr>
          <w:p w:rsidR="00534C63" w:rsidRPr="00AE0A25" w:rsidRDefault="00534C63" w:rsidP="00684B0F">
            <w:pPr>
              <w:pStyle w:val="whp20100506"/>
              <w:jc w:val="center"/>
            </w:pPr>
            <w:r w:rsidRPr="00AE0A25">
              <w:t>internal &amp; external</w:t>
            </w:r>
          </w:p>
        </w:tc>
        <w:tc>
          <w:tcPr>
            <w:tcW w:w="1366" w:type="dxa"/>
            <w:shd w:val="clear" w:color="auto" w:fill="auto"/>
            <w:vAlign w:val="center"/>
            <w:hideMark/>
          </w:tcPr>
          <w:p w:rsidR="00534C63" w:rsidRPr="00AE0A25" w:rsidRDefault="00534C63" w:rsidP="00684B0F">
            <w:pPr>
              <w:pStyle w:val="whp20100506"/>
              <w:jc w:val="center"/>
            </w:pPr>
            <w:r w:rsidRPr="00AE0A25">
              <w:t>internal &amp; external</w:t>
            </w:r>
          </w:p>
        </w:tc>
        <w:tc>
          <w:tcPr>
            <w:tcW w:w="1644" w:type="dxa"/>
            <w:shd w:val="clear" w:color="auto" w:fill="auto"/>
            <w:vAlign w:val="center"/>
            <w:hideMark/>
          </w:tcPr>
          <w:p w:rsidR="00534C63" w:rsidRPr="00AE0A25" w:rsidRDefault="00534C63" w:rsidP="00684B0F">
            <w:pPr>
              <w:pStyle w:val="whp20100506"/>
              <w:jc w:val="center"/>
            </w:pPr>
            <w:r w:rsidRPr="00AE0A25">
              <w:t>external</w:t>
            </w:r>
          </w:p>
        </w:tc>
        <w:tc>
          <w:tcPr>
            <w:tcW w:w="1366" w:type="dxa"/>
            <w:shd w:val="clear" w:color="auto" w:fill="auto"/>
            <w:vAlign w:val="center"/>
            <w:hideMark/>
          </w:tcPr>
          <w:p w:rsidR="00534C63" w:rsidRPr="00AE0A25" w:rsidRDefault="00534C63" w:rsidP="00684B0F">
            <w:pPr>
              <w:pStyle w:val="whp20100506"/>
              <w:jc w:val="center"/>
            </w:pPr>
            <w:r w:rsidRPr="00AE0A25">
              <w:t>internal &amp; external</w:t>
            </w:r>
          </w:p>
        </w:tc>
      </w:tr>
      <w:tr w:rsidR="00534C63" w:rsidRPr="00AE0A25" w:rsidTr="00A8691C">
        <w:trPr>
          <w:trHeight w:val="1291"/>
          <w:jc w:val="center"/>
        </w:trPr>
        <w:tc>
          <w:tcPr>
            <w:tcW w:w="2207" w:type="dxa"/>
            <w:shd w:val="clear" w:color="auto" w:fill="F2F2F2" w:themeFill="background1" w:themeFillShade="F2"/>
            <w:vAlign w:val="center"/>
            <w:hideMark/>
          </w:tcPr>
          <w:p w:rsidR="00534C63" w:rsidRPr="004428FF" w:rsidRDefault="00A8691C" w:rsidP="00A8691C">
            <w:pPr>
              <w:pStyle w:val="whp20100506"/>
              <w:jc w:val="center"/>
              <w:rPr>
                <w:b/>
              </w:rPr>
            </w:pPr>
            <w:r>
              <w:rPr>
                <w:b/>
              </w:rPr>
              <w:t>P</w:t>
            </w:r>
            <w:r w:rsidR="00534C63" w:rsidRPr="004428FF">
              <w:rPr>
                <w:b/>
              </w:rPr>
              <w:t xml:space="preserve">roperty </w:t>
            </w:r>
            <w:r>
              <w:rPr>
                <w:b/>
              </w:rPr>
              <w:t>I</w:t>
            </w:r>
            <w:r w:rsidR="00534C63" w:rsidRPr="004428FF">
              <w:rPr>
                <w:b/>
              </w:rPr>
              <w:t>nvestment</w:t>
            </w:r>
          </w:p>
        </w:tc>
        <w:tc>
          <w:tcPr>
            <w:tcW w:w="1366" w:type="dxa"/>
            <w:shd w:val="clear" w:color="auto" w:fill="auto"/>
            <w:vAlign w:val="center"/>
            <w:hideMark/>
          </w:tcPr>
          <w:p w:rsidR="00534C63" w:rsidRPr="00AE0A25" w:rsidRDefault="00534C63" w:rsidP="00684B0F">
            <w:pPr>
              <w:pStyle w:val="whp20100506"/>
              <w:jc w:val="center"/>
            </w:pPr>
            <w:r w:rsidRPr="00AE0A25">
              <w:t>75%</w:t>
            </w:r>
          </w:p>
        </w:tc>
        <w:tc>
          <w:tcPr>
            <w:tcW w:w="1514" w:type="dxa"/>
            <w:shd w:val="clear" w:color="auto" w:fill="auto"/>
            <w:vAlign w:val="center"/>
            <w:hideMark/>
          </w:tcPr>
          <w:p w:rsidR="00534C63" w:rsidRPr="00AE0A25" w:rsidRDefault="00534C63" w:rsidP="00684B0F">
            <w:pPr>
              <w:pStyle w:val="whp20100506"/>
              <w:jc w:val="center"/>
            </w:pPr>
            <w:r w:rsidRPr="00AE0A25">
              <w:t>flexible</w:t>
            </w:r>
          </w:p>
        </w:tc>
        <w:tc>
          <w:tcPr>
            <w:tcW w:w="1366" w:type="dxa"/>
            <w:shd w:val="clear" w:color="auto" w:fill="auto"/>
            <w:vAlign w:val="center"/>
            <w:hideMark/>
          </w:tcPr>
          <w:p w:rsidR="00534C63" w:rsidRPr="00AE0A25" w:rsidRDefault="00534C63" w:rsidP="00684B0F">
            <w:pPr>
              <w:pStyle w:val="whp20100506"/>
              <w:jc w:val="center"/>
            </w:pPr>
            <w:r w:rsidRPr="00AE0A25">
              <w:t>75%</w:t>
            </w:r>
          </w:p>
        </w:tc>
        <w:tc>
          <w:tcPr>
            <w:tcW w:w="1644" w:type="dxa"/>
            <w:shd w:val="clear" w:color="auto" w:fill="auto"/>
            <w:vAlign w:val="center"/>
            <w:hideMark/>
          </w:tcPr>
          <w:p w:rsidR="00534C63" w:rsidRPr="00AE0A25" w:rsidRDefault="00534C63" w:rsidP="00684B0F">
            <w:pPr>
              <w:pStyle w:val="whp20100506"/>
              <w:jc w:val="center"/>
            </w:pPr>
            <w:r w:rsidRPr="00AE0A25">
              <w:t>70%</w:t>
            </w:r>
          </w:p>
        </w:tc>
        <w:tc>
          <w:tcPr>
            <w:tcW w:w="1366" w:type="dxa"/>
            <w:shd w:val="clear" w:color="auto" w:fill="auto"/>
            <w:vAlign w:val="center"/>
            <w:hideMark/>
          </w:tcPr>
          <w:p w:rsidR="00534C63" w:rsidRPr="00AE0A25" w:rsidRDefault="00534C63" w:rsidP="00684B0F">
            <w:pPr>
              <w:pStyle w:val="whp20100506"/>
              <w:jc w:val="center"/>
            </w:pPr>
            <w:r w:rsidRPr="00AE0A25">
              <w:t>100%</w:t>
            </w:r>
          </w:p>
        </w:tc>
      </w:tr>
      <w:tr w:rsidR="00534C63" w:rsidRPr="00AE0A25" w:rsidTr="00A8691C">
        <w:trPr>
          <w:trHeight w:val="1291"/>
          <w:jc w:val="center"/>
        </w:trPr>
        <w:tc>
          <w:tcPr>
            <w:tcW w:w="2207" w:type="dxa"/>
            <w:shd w:val="clear" w:color="auto" w:fill="F2F2F2" w:themeFill="background1" w:themeFillShade="F2"/>
            <w:vAlign w:val="center"/>
            <w:hideMark/>
          </w:tcPr>
          <w:p w:rsidR="00534C63" w:rsidRPr="004428FF" w:rsidRDefault="00A8691C" w:rsidP="00A8691C">
            <w:pPr>
              <w:pStyle w:val="whp20100506"/>
              <w:jc w:val="center"/>
              <w:rPr>
                <w:b/>
              </w:rPr>
            </w:pPr>
            <w:r>
              <w:rPr>
                <w:b/>
              </w:rPr>
              <w:t>Cross Border I</w:t>
            </w:r>
            <w:r w:rsidR="00534C63" w:rsidRPr="004428FF">
              <w:rPr>
                <w:b/>
              </w:rPr>
              <w:t>nvestment</w:t>
            </w:r>
          </w:p>
        </w:tc>
        <w:tc>
          <w:tcPr>
            <w:tcW w:w="1366" w:type="dxa"/>
            <w:shd w:val="clear" w:color="auto" w:fill="auto"/>
            <w:vAlign w:val="center"/>
            <w:hideMark/>
          </w:tcPr>
          <w:p w:rsidR="00534C63" w:rsidRPr="00AE0A25" w:rsidRDefault="00534C63" w:rsidP="00684B0F">
            <w:pPr>
              <w:pStyle w:val="whp20100506"/>
              <w:jc w:val="center"/>
            </w:pPr>
            <w:r w:rsidRPr="00AE0A25">
              <w:t>yes</w:t>
            </w:r>
          </w:p>
        </w:tc>
        <w:tc>
          <w:tcPr>
            <w:tcW w:w="1514" w:type="dxa"/>
            <w:shd w:val="clear" w:color="auto" w:fill="auto"/>
            <w:vAlign w:val="center"/>
            <w:hideMark/>
          </w:tcPr>
          <w:p w:rsidR="00534C63" w:rsidRPr="00AE0A25" w:rsidRDefault="00534C63" w:rsidP="00684B0F">
            <w:pPr>
              <w:pStyle w:val="whp20100506"/>
              <w:jc w:val="center"/>
            </w:pPr>
            <w:r w:rsidRPr="00AE0A25">
              <w:t>yes</w:t>
            </w:r>
          </w:p>
        </w:tc>
        <w:tc>
          <w:tcPr>
            <w:tcW w:w="1366" w:type="dxa"/>
            <w:shd w:val="clear" w:color="auto" w:fill="auto"/>
            <w:vAlign w:val="center"/>
            <w:hideMark/>
          </w:tcPr>
          <w:p w:rsidR="00534C63" w:rsidRPr="00AE0A25" w:rsidRDefault="00534C63" w:rsidP="00684B0F">
            <w:pPr>
              <w:pStyle w:val="whp20100506"/>
              <w:jc w:val="center"/>
            </w:pPr>
            <w:r w:rsidRPr="00AE0A25">
              <w:t>yes</w:t>
            </w:r>
          </w:p>
        </w:tc>
        <w:tc>
          <w:tcPr>
            <w:tcW w:w="1644" w:type="dxa"/>
            <w:shd w:val="clear" w:color="auto" w:fill="auto"/>
            <w:vAlign w:val="center"/>
            <w:hideMark/>
          </w:tcPr>
          <w:p w:rsidR="00534C63" w:rsidRPr="00AE0A25" w:rsidRDefault="00534C63" w:rsidP="00684B0F">
            <w:pPr>
              <w:pStyle w:val="whp20100506"/>
              <w:jc w:val="center"/>
            </w:pPr>
            <w:r w:rsidRPr="00AE0A25">
              <w:t>yes</w:t>
            </w:r>
          </w:p>
        </w:tc>
        <w:tc>
          <w:tcPr>
            <w:tcW w:w="1366" w:type="dxa"/>
            <w:shd w:val="clear" w:color="auto" w:fill="auto"/>
            <w:vAlign w:val="center"/>
            <w:hideMark/>
          </w:tcPr>
          <w:p w:rsidR="00534C63" w:rsidRPr="00AE0A25" w:rsidRDefault="00534C63" w:rsidP="00684B0F">
            <w:pPr>
              <w:pStyle w:val="whp20100506"/>
              <w:jc w:val="center"/>
            </w:pPr>
            <w:r w:rsidRPr="00AE0A25">
              <w:t>yes</w:t>
            </w:r>
          </w:p>
        </w:tc>
      </w:tr>
      <w:tr w:rsidR="00534C63" w:rsidRPr="00AE0A25" w:rsidTr="00A8691C">
        <w:trPr>
          <w:trHeight w:val="1291"/>
          <w:jc w:val="center"/>
        </w:trPr>
        <w:tc>
          <w:tcPr>
            <w:tcW w:w="2207" w:type="dxa"/>
            <w:shd w:val="clear" w:color="auto" w:fill="F2F2F2" w:themeFill="background1" w:themeFillShade="F2"/>
            <w:vAlign w:val="center"/>
            <w:hideMark/>
          </w:tcPr>
          <w:p w:rsidR="00534C63" w:rsidRPr="004428FF" w:rsidRDefault="00A8691C" w:rsidP="00684B0F">
            <w:pPr>
              <w:pStyle w:val="whp20100506"/>
              <w:jc w:val="center"/>
              <w:rPr>
                <w:b/>
              </w:rPr>
            </w:pPr>
            <w:r>
              <w:rPr>
                <w:b/>
              </w:rPr>
              <w:t>Property D</w:t>
            </w:r>
            <w:r w:rsidR="00534C63" w:rsidRPr="004428FF">
              <w:rPr>
                <w:b/>
              </w:rPr>
              <w:t>evelopment</w:t>
            </w:r>
          </w:p>
        </w:tc>
        <w:tc>
          <w:tcPr>
            <w:tcW w:w="1366" w:type="dxa"/>
            <w:shd w:val="clear" w:color="auto" w:fill="auto"/>
            <w:vAlign w:val="center"/>
            <w:hideMark/>
          </w:tcPr>
          <w:p w:rsidR="00534C63" w:rsidRPr="00AE0A25" w:rsidRDefault="00534C63" w:rsidP="00684B0F">
            <w:pPr>
              <w:pStyle w:val="whp20100506"/>
              <w:jc w:val="center"/>
            </w:pPr>
            <w:r w:rsidRPr="00AE0A25">
              <w:t>yes</w:t>
            </w:r>
          </w:p>
        </w:tc>
        <w:tc>
          <w:tcPr>
            <w:tcW w:w="1514" w:type="dxa"/>
            <w:shd w:val="clear" w:color="auto" w:fill="auto"/>
            <w:vAlign w:val="center"/>
            <w:hideMark/>
          </w:tcPr>
          <w:p w:rsidR="00534C63" w:rsidRPr="00AE0A25" w:rsidRDefault="00534C63" w:rsidP="00684B0F">
            <w:pPr>
              <w:pStyle w:val="whp20100506"/>
              <w:jc w:val="center"/>
            </w:pPr>
            <w:r w:rsidRPr="00AE0A25">
              <w:t>yes</w:t>
            </w:r>
          </w:p>
        </w:tc>
        <w:tc>
          <w:tcPr>
            <w:tcW w:w="1366" w:type="dxa"/>
            <w:shd w:val="clear" w:color="auto" w:fill="auto"/>
            <w:vAlign w:val="center"/>
            <w:hideMark/>
          </w:tcPr>
          <w:p w:rsidR="00534C63" w:rsidRPr="00AE0A25" w:rsidRDefault="00534C63" w:rsidP="00684B0F">
            <w:pPr>
              <w:pStyle w:val="whp20100506"/>
              <w:jc w:val="center"/>
            </w:pPr>
            <w:r w:rsidRPr="00AE0A25">
              <w:t>yes</w:t>
            </w:r>
          </w:p>
        </w:tc>
        <w:tc>
          <w:tcPr>
            <w:tcW w:w="1644" w:type="dxa"/>
            <w:shd w:val="clear" w:color="auto" w:fill="auto"/>
            <w:vAlign w:val="center"/>
            <w:hideMark/>
          </w:tcPr>
          <w:p w:rsidR="00534C63" w:rsidRPr="00AE0A25" w:rsidRDefault="00534C63" w:rsidP="00684B0F">
            <w:pPr>
              <w:pStyle w:val="whp20100506"/>
              <w:jc w:val="center"/>
            </w:pPr>
            <w:r w:rsidRPr="00AE0A25">
              <w:t>max 20% assets</w:t>
            </w:r>
          </w:p>
        </w:tc>
        <w:tc>
          <w:tcPr>
            <w:tcW w:w="1366" w:type="dxa"/>
            <w:shd w:val="clear" w:color="auto" w:fill="auto"/>
            <w:vAlign w:val="center"/>
            <w:hideMark/>
          </w:tcPr>
          <w:p w:rsidR="00534C63" w:rsidRPr="00AE0A25" w:rsidRDefault="00534C63" w:rsidP="00684B0F">
            <w:pPr>
              <w:pStyle w:val="whp20100506"/>
              <w:jc w:val="center"/>
            </w:pPr>
            <w:r w:rsidRPr="00AE0A25">
              <w:t>no</w:t>
            </w:r>
          </w:p>
        </w:tc>
      </w:tr>
      <w:tr w:rsidR="00534C63" w:rsidRPr="00AE0A25" w:rsidTr="00A8691C">
        <w:trPr>
          <w:trHeight w:val="2587"/>
          <w:jc w:val="center"/>
        </w:trPr>
        <w:tc>
          <w:tcPr>
            <w:tcW w:w="2207" w:type="dxa"/>
            <w:shd w:val="clear" w:color="auto" w:fill="F2F2F2" w:themeFill="background1" w:themeFillShade="F2"/>
            <w:vAlign w:val="center"/>
            <w:hideMark/>
          </w:tcPr>
          <w:p w:rsidR="00534C63" w:rsidRPr="004428FF" w:rsidRDefault="00A8691C" w:rsidP="00684B0F">
            <w:pPr>
              <w:pStyle w:val="whp20100506"/>
              <w:jc w:val="center"/>
              <w:rPr>
                <w:b/>
              </w:rPr>
            </w:pPr>
            <w:r>
              <w:rPr>
                <w:b/>
              </w:rPr>
              <w:t>Gearing R</w:t>
            </w:r>
            <w:r w:rsidR="00534C63" w:rsidRPr="004428FF">
              <w:rPr>
                <w:b/>
              </w:rPr>
              <w:t>estrictions</w:t>
            </w:r>
          </w:p>
        </w:tc>
        <w:tc>
          <w:tcPr>
            <w:tcW w:w="1366" w:type="dxa"/>
            <w:shd w:val="clear" w:color="auto" w:fill="auto"/>
            <w:vAlign w:val="center"/>
            <w:hideMark/>
          </w:tcPr>
          <w:p w:rsidR="00534C63" w:rsidRPr="00AE0A25" w:rsidRDefault="00534C63" w:rsidP="00684B0F">
            <w:pPr>
              <w:pStyle w:val="whp20100506"/>
              <w:jc w:val="center"/>
            </w:pPr>
            <w:r w:rsidRPr="00AE0A25">
              <w:t>no limit</w:t>
            </w:r>
          </w:p>
        </w:tc>
        <w:tc>
          <w:tcPr>
            <w:tcW w:w="1514" w:type="dxa"/>
            <w:shd w:val="clear" w:color="auto" w:fill="auto"/>
            <w:vAlign w:val="center"/>
            <w:hideMark/>
          </w:tcPr>
          <w:p w:rsidR="00534C63" w:rsidRPr="00AE0A25" w:rsidRDefault="00534C63" w:rsidP="00684B0F">
            <w:pPr>
              <w:pStyle w:val="whp20100506"/>
              <w:jc w:val="center"/>
            </w:pPr>
            <w:r w:rsidRPr="00AE0A25">
              <w:t>no limit</w:t>
            </w:r>
          </w:p>
        </w:tc>
        <w:tc>
          <w:tcPr>
            <w:tcW w:w="1366" w:type="dxa"/>
            <w:shd w:val="clear" w:color="auto" w:fill="auto"/>
            <w:vAlign w:val="center"/>
            <w:hideMark/>
          </w:tcPr>
          <w:p w:rsidR="00534C63" w:rsidRPr="00AE0A25" w:rsidRDefault="00534C63" w:rsidP="00684B0F">
            <w:pPr>
              <w:pStyle w:val="whp20100506"/>
              <w:jc w:val="center"/>
            </w:pPr>
            <w:r w:rsidRPr="00AE0A25">
              <w:t>1.25x interest cover</w:t>
            </w:r>
          </w:p>
        </w:tc>
        <w:tc>
          <w:tcPr>
            <w:tcW w:w="1644" w:type="dxa"/>
            <w:shd w:val="clear" w:color="auto" w:fill="auto"/>
            <w:vAlign w:val="center"/>
            <w:hideMark/>
          </w:tcPr>
          <w:p w:rsidR="00534C63" w:rsidRPr="00AE0A25" w:rsidRDefault="00534C63" w:rsidP="00684B0F">
            <w:pPr>
              <w:pStyle w:val="whp20100506"/>
              <w:jc w:val="center"/>
            </w:pPr>
            <w:r w:rsidRPr="00AE0A25">
              <w:t>35% total assets; 60% total assets</w:t>
            </w:r>
          </w:p>
        </w:tc>
        <w:tc>
          <w:tcPr>
            <w:tcW w:w="1366" w:type="dxa"/>
            <w:shd w:val="clear" w:color="auto" w:fill="auto"/>
            <w:vAlign w:val="center"/>
            <w:hideMark/>
          </w:tcPr>
          <w:p w:rsidR="00534C63" w:rsidRPr="00AE0A25" w:rsidRDefault="00534C63" w:rsidP="00684B0F">
            <w:pPr>
              <w:pStyle w:val="whp20100506"/>
              <w:jc w:val="center"/>
            </w:pPr>
            <w:r w:rsidRPr="00AE0A25">
              <w:t>45% total assets</w:t>
            </w:r>
          </w:p>
        </w:tc>
      </w:tr>
      <w:tr w:rsidR="00534C63" w:rsidRPr="00AE0A25" w:rsidTr="00A8691C">
        <w:trPr>
          <w:trHeight w:val="1291"/>
          <w:jc w:val="center"/>
        </w:trPr>
        <w:tc>
          <w:tcPr>
            <w:tcW w:w="2207" w:type="dxa"/>
            <w:shd w:val="clear" w:color="auto" w:fill="F2F2F2" w:themeFill="background1" w:themeFillShade="F2"/>
            <w:vAlign w:val="center"/>
            <w:hideMark/>
          </w:tcPr>
          <w:p w:rsidR="00534C63" w:rsidRPr="004428FF" w:rsidRDefault="00A8691C" w:rsidP="00684B0F">
            <w:pPr>
              <w:pStyle w:val="whp20100506"/>
              <w:jc w:val="center"/>
              <w:rPr>
                <w:b/>
              </w:rPr>
            </w:pPr>
            <w:r>
              <w:rPr>
                <w:b/>
              </w:rPr>
              <w:t>Distribution P</w:t>
            </w:r>
            <w:r w:rsidR="00534C63" w:rsidRPr="004428FF">
              <w:rPr>
                <w:b/>
              </w:rPr>
              <w:t>ercentage</w:t>
            </w:r>
          </w:p>
        </w:tc>
        <w:tc>
          <w:tcPr>
            <w:tcW w:w="1366" w:type="dxa"/>
            <w:shd w:val="clear" w:color="auto" w:fill="auto"/>
            <w:vAlign w:val="center"/>
            <w:hideMark/>
          </w:tcPr>
          <w:p w:rsidR="00534C63" w:rsidRPr="00AE0A25" w:rsidRDefault="00534C63" w:rsidP="00684B0F">
            <w:pPr>
              <w:pStyle w:val="whp20100506"/>
              <w:jc w:val="center"/>
            </w:pPr>
            <w:r w:rsidRPr="00AE0A25">
              <w:t>90%</w:t>
            </w:r>
          </w:p>
        </w:tc>
        <w:tc>
          <w:tcPr>
            <w:tcW w:w="1514" w:type="dxa"/>
            <w:shd w:val="clear" w:color="auto" w:fill="auto"/>
            <w:vAlign w:val="center"/>
            <w:hideMark/>
          </w:tcPr>
          <w:p w:rsidR="00534C63" w:rsidRPr="00AE0A25" w:rsidRDefault="00534C63" w:rsidP="00684B0F">
            <w:pPr>
              <w:pStyle w:val="whp20100506"/>
              <w:jc w:val="center"/>
            </w:pPr>
            <w:r w:rsidRPr="00AE0A25">
              <w:t>100%</w:t>
            </w:r>
          </w:p>
        </w:tc>
        <w:tc>
          <w:tcPr>
            <w:tcW w:w="1366" w:type="dxa"/>
            <w:shd w:val="clear" w:color="auto" w:fill="auto"/>
            <w:vAlign w:val="center"/>
            <w:hideMark/>
          </w:tcPr>
          <w:p w:rsidR="00534C63" w:rsidRPr="00AE0A25" w:rsidRDefault="00534C63" w:rsidP="00684B0F">
            <w:pPr>
              <w:pStyle w:val="whp20100506"/>
              <w:jc w:val="center"/>
            </w:pPr>
            <w:r w:rsidRPr="00AE0A25">
              <w:t>90%</w:t>
            </w:r>
          </w:p>
        </w:tc>
        <w:tc>
          <w:tcPr>
            <w:tcW w:w="1644" w:type="dxa"/>
            <w:shd w:val="clear" w:color="auto" w:fill="auto"/>
            <w:vAlign w:val="center"/>
            <w:hideMark/>
          </w:tcPr>
          <w:p w:rsidR="00534C63" w:rsidRPr="00AE0A25" w:rsidRDefault="00534C63" w:rsidP="00684B0F">
            <w:pPr>
              <w:pStyle w:val="whp20100506"/>
              <w:jc w:val="center"/>
            </w:pPr>
            <w:r w:rsidRPr="00AE0A25">
              <w:t>90%</w:t>
            </w:r>
          </w:p>
        </w:tc>
        <w:tc>
          <w:tcPr>
            <w:tcW w:w="1366" w:type="dxa"/>
            <w:shd w:val="clear" w:color="auto" w:fill="auto"/>
            <w:vAlign w:val="center"/>
            <w:hideMark/>
          </w:tcPr>
          <w:p w:rsidR="00534C63" w:rsidRPr="00AE0A25" w:rsidRDefault="00534C63" w:rsidP="00684B0F">
            <w:pPr>
              <w:pStyle w:val="whp20100506"/>
              <w:jc w:val="center"/>
            </w:pPr>
            <w:r w:rsidRPr="00AE0A25">
              <w:t>90%</w:t>
            </w:r>
          </w:p>
        </w:tc>
      </w:tr>
      <w:tr w:rsidR="00534C63" w:rsidRPr="00AE0A25" w:rsidTr="00A8691C">
        <w:trPr>
          <w:trHeight w:val="809"/>
          <w:jc w:val="center"/>
        </w:trPr>
        <w:tc>
          <w:tcPr>
            <w:tcW w:w="2207" w:type="dxa"/>
            <w:shd w:val="clear" w:color="auto" w:fill="F2F2F2" w:themeFill="background1" w:themeFillShade="F2"/>
            <w:vAlign w:val="center"/>
            <w:hideMark/>
          </w:tcPr>
          <w:p w:rsidR="00534C63" w:rsidRPr="004428FF" w:rsidRDefault="00A8691C" w:rsidP="00684B0F">
            <w:pPr>
              <w:pStyle w:val="whp20100506"/>
              <w:jc w:val="center"/>
              <w:rPr>
                <w:b/>
              </w:rPr>
            </w:pPr>
            <w:r>
              <w:rPr>
                <w:b/>
              </w:rPr>
              <w:t>Tax T</w:t>
            </w:r>
            <w:r w:rsidR="00534C63" w:rsidRPr="004428FF">
              <w:rPr>
                <w:b/>
              </w:rPr>
              <w:t>ransparency</w:t>
            </w:r>
          </w:p>
        </w:tc>
        <w:tc>
          <w:tcPr>
            <w:tcW w:w="1366" w:type="dxa"/>
            <w:shd w:val="clear" w:color="auto" w:fill="auto"/>
            <w:vAlign w:val="center"/>
            <w:hideMark/>
          </w:tcPr>
          <w:p w:rsidR="00534C63" w:rsidRPr="00AE0A25" w:rsidRDefault="00534C63" w:rsidP="00684B0F">
            <w:pPr>
              <w:pStyle w:val="whp20100506"/>
              <w:jc w:val="center"/>
            </w:pPr>
            <w:r w:rsidRPr="00AE0A25">
              <w:t>yes</w:t>
            </w:r>
          </w:p>
        </w:tc>
        <w:tc>
          <w:tcPr>
            <w:tcW w:w="1514" w:type="dxa"/>
            <w:shd w:val="clear" w:color="auto" w:fill="auto"/>
            <w:vAlign w:val="center"/>
            <w:hideMark/>
          </w:tcPr>
          <w:p w:rsidR="00534C63" w:rsidRPr="00AE0A25" w:rsidRDefault="00534C63" w:rsidP="00684B0F">
            <w:pPr>
              <w:pStyle w:val="whp20100506"/>
              <w:jc w:val="center"/>
            </w:pPr>
            <w:r w:rsidRPr="00AE0A25">
              <w:t>yes</w:t>
            </w:r>
          </w:p>
        </w:tc>
        <w:tc>
          <w:tcPr>
            <w:tcW w:w="1366" w:type="dxa"/>
            <w:shd w:val="clear" w:color="auto" w:fill="auto"/>
            <w:vAlign w:val="center"/>
            <w:hideMark/>
          </w:tcPr>
          <w:p w:rsidR="00534C63" w:rsidRPr="00AE0A25" w:rsidRDefault="00534C63" w:rsidP="00684B0F">
            <w:pPr>
              <w:pStyle w:val="whp20100506"/>
              <w:jc w:val="center"/>
            </w:pPr>
            <w:r w:rsidRPr="00AE0A25">
              <w:t>yes</w:t>
            </w:r>
          </w:p>
        </w:tc>
        <w:tc>
          <w:tcPr>
            <w:tcW w:w="1644" w:type="dxa"/>
            <w:shd w:val="clear" w:color="auto" w:fill="auto"/>
            <w:vAlign w:val="center"/>
            <w:hideMark/>
          </w:tcPr>
          <w:p w:rsidR="00534C63" w:rsidRPr="00AE0A25" w:rsidRDefault="00534C63" w:rsidP="00684B0F">
            <w:pPr>
              <w:pStyle w:val="whp20100506"/>
              <w:jc w:val="center"/>
            </w:pPr>
            <w:r w:rsidRPr="00AE0A25">
              <w:t>yes</w:t>
            </w:r>
          </w:p>
        </w:tc>
        <w:tc>
          <w:tcPr>
            <w:tcW w:w="1366" w:type="dxa"/>
            <w:shd w:val="clear" w:color="auto" w:fill="auto"/>
            <w:vAlign w:val="center"/>
            <w:hideMark/>
          </w:tcPr>
          <w:p w:rsidR="00534C63" w:rsidRDefault="00534C63" w:rsidP="00684B0F">
            <w:pPr>
              <w:pStyle w:val="whp20100506"/>
              <w:keepNext/>
              <w:jc w:val="center"/>
            </w:pPr>
            <w:r w:rsidRPr="00AE0A25">
              <w:t>no</w:t>
            </w:r>
          </w:p>
        </w:tc>
      </w:tr>
    </w:tbl>
    <w:p w:rsidR="00534C63" w:rsidRDefault="00534C63" w:rsidP="00534C63">
      <w:pPr>
        <w:pStyle w:val="Caption"/>
        <w:jc w:val="center"/>
        <w:rPr>
          <w:b w:val="0"/>
        </w:rPr>
      </w:pPr>
    </w:p>
    <w:p w:rsidR="00534C63" w:rsidRDefault="00534C63" w:rsidP="007B731D">
      <w:pPr>
        <w:pStyle w:val="whp20100506"/>
        <w:numPr>
          <w:ilvl w:val="0"/>
          <w:numId w:val="2"/>
        </w:numPr>
        <w:ind w:left="426"/>
        <w:rPr>
          <w:b/>
        </w:rPr>
      </w:pPr>
      <w:r w:rsidRPr="00EC1FD5">
        <w:rPr>
          <w:b/>
        </w:rPr>
        <w:lastRenderedPageBreak/>
        <w:t>THE NEED FOR CHANGE IN SOUTH AFRICA</w:t>
      </w:r>
    </w:p>
    <w:p w:rsidR="00534C63" w:rsidRDefault="00534C63" w:rsidP="00534C63">
      <w:pPr>
        <w:pStyle w:val="whp20100506"/>
        <w:rPr>
          <w:color w:val="7030A0"/>
        </w:rPr>
      </w:pPr>
    </w:p>
    <w:p w:rsidR="00534C63" w:rsidRDefault="00534C63" w:rsidP="00534C63">
      <w:pPr>
        <w:pStyle w:val="whp20100506"/>
      </w:pPr>
      <w:r w:rsidRPr="00D371D4">
        <w:t xml:space="preserve">In order to fully appreciate the rationale for adopting </w:t>
      </w:r>
      <w:r w:rsidR="00194F2A">
        <w:t>REITS</w:t>
      </w:r>
      <w:r w:rsidRPr="00D371D4">
        <w:t xml:space="preserve"> in South Africa, an holistic overview of the current</w:t>
      </w:r>
      <w:r>
        <w:t xml:space="preserve"> listed property</w:t>
      </w:r>
      <w:r w:rsidRPr="00D371D4">
        <w:t xml:space="preserve"> investment vehicles is required in order to not only understand the characteristics of these investment vehicles in operation</w:t>
      </w:r>
      <w:r>
        <w:t xml:space="preserve"> as a legislative framework</w:t>
      </w:r>
      <w:r w:rsidRPr="00D371D4">
        <w:t xml:space="preserve">, but also to determine whether irregularities exist between them, and if so, </w:t>
      </w:r>
      <w:r>
        <w:t xml:space="preserve">in what way and to what extent. </w:t>
      </w:r>
    </w:p>
    <w:p w:rsidR="00534C63" w:rsidRDefault="00534C63" w:rsidP="00534C63">
      <w:pPr>
        <w:pStyle w:val="whp20100506"/>
      </w:pPr>
    </w:p>
    <w:p w:rsidR="00534C63" w:rsidRPr="00D371D4" w:rsidRDefault="00534C63" w:rsidP="00534C63">
      <w:pPr>
        <w:pStyle w:val="whp20100506"/>
      </w:pPr>
      <w:r>
        <w:t xml:space="preserve">The objective being to determine </w:t>
      </w:r>
      <w:r w:rsidRPr="00D371D4">
        <w:t>whether</w:t>
      </w:r>
      <w:r>
        <w:t xml:space="preserve"> </w:t>
      </w:r>
      <w:r w:rsidRPr="00D371D4">
        <w:t xml:space="preserve">the irregularities </w:t>
      </w:r>
      <w:r>
        <w:t>are</w:t>
      </w:r>
      <w:r w:rsidRPr="00D371D4">
        <w:t xml:space="preserve"> significant enough to motivate the adoption of a new investment regime in the form of </w:t>
      </w:r>
      <w:r w:rsidR="00194F2A">
        <w:t>REITS</w:t>
      </w:r>
      <w:r w:rsidRPr="00D371D4">
        <w:t xml:space="preserve">. </w:t>
      </w:r>
    </w:p>
    <w:p w:rsidR="00534C63" w:rsidRPr="00D371D4" w:rsidRDefault="00534C63" w:rsidP="00534C63">
      <w:pPr>
        <w:pStyle w:val="whp20100506"/>
      </w:pPr>
    </w:p>
    <w:p w:rsidR="00534C63" w:rsidRDefault="00534C63" w:rsidP="00534C63">
      <w:pPr>
        <w:pStyle w:val="whp20100506"/>
      </w:pPr>
      <w:r>
        <w:t>As mentioned previously, t</w:t>
      </w:r>
      <w:r w:rsidRPr="00D371D4">
        <w:t xml:space="preserve">he South Africa property investment landscape is represented by two vehicles being Property Loan Stocks </w:t>
      </w:r>
      <w:r>
        <w:t xml:space="preserve">(PLS) </w:t>
      </w:r>
      <w:r w:rsidRPr="00D371D4">
        <w:t>and Collective Investment Scheme’s in Property</w:t>
      </w:r>
      <w:r>
        <w:t xml:space="preserve"> (CISP),</w:t>
      </w:r>
      <w:r w:rsidRPr="00D371D4">
        <w:t xml:space="preserve"> which are managed from both a regulatory and taxation perspective. </w:t>
      </w:r>
      <w:r>
        <w:t>Whilst CISPs (being a trust in its juristic form) and PLSs (being a company in its juristic form) act</w:t>
      </w:r>
      <w:r w:rsidRPr="00D371D4">
        <w:t xml:space="preserve"> as </w:t>
      </w:r>
      <w:r>
        <w:t>total flow-</w:t>
      </w:r>
      <w:r w:rsidRPr="00D371D4">
        <w:t>through vehicle</w:t>
      </w:r>
      <w:r>
        <w:t xml:space="preserve">s to mimic the functionality of a REIT, their synthetic differences in constitutional make-up creates a number of inconstant and incompatible characteristics in the law that applies these two vehicles. </w:t>
      </w:r>
    </w:p>
    <w:p w:rsidR="00534C63" w:rsidRDefault="00534C63" w:rsidP="00534C63">
      <w:pPr>
        <w:pStyle w:val="whp20100506"/>
      </w:pPr>
    </w:p>
    <w:p w:rsidR="00534C63" w:rsidRDefault="00534C63" w:rsidP="00534C63">
      <w:pPr>
        <w:pStyle w:val="whp20100506"/>
      </w:pPr>
      <w:r>
        <w:t>The National Treasury states (National Treasury, 2007: 5):</w:t>
      </w:r>
    </w:p>
    <w:p w:rsidR="00534C63" w:rsidRDefault="00534C63" w:rsidP="00534C63">
      <w:pPr>
        <w:pStyle w:val="whp20100506"/>
      </w:pPr>
    </w:p>
    <w:p w:rsidR="00534C63" w:rsidRPr="006E338E" w:rsidRDefault="00534C63" w:rsidP="00534C63">
      <w:pPr>
        <w:pStyle w:val="whp20100506"/>
        <w:rPr>
          <w:i/>
        </w:rPr>
      </w:pPr>
      <w:r>
        <w:rPr>
          <w:i/>
        </w:rPr>
        <w:t>“firstly the current property investment landscape is fragmented, only partly regulated and the regulatory framework is too restrictive and not internationally competitive. Secondly, there is an inconsistent tax treatment of the two different types of property investment vehicles.”</w:t>
      </w:r>
    </w:p>
    <w:p w:rsidR="00534C63" w:rsidRDefault="00534C63" w:rsidP="00534C63">
      <w:pPr>
        <w:pStyle w:val="whp20100506"/>
      </w:pPr>
    </w:p>
    <w:p w:rsidR="00534C63" w:rsidRDefault="00534C63" w:rsidP="00534C63">
      <w:pPr>
        <w:pStyle w:val="whp20100506"/>
      </w:pPr>
      <w:r>
        <w:t xml:space="preserve">Accordingly whilst there is an acknowledgement that the ‘what we do’ is the same between CISP and PLS companies, it is however the ‘how we do it’ that forms the basis of this review. </w:t>
      </w:r>
    </w:p>
    <w:p w:rsidR="00534C63" w:rsidRDefault="00534C63" w:rsidP="00534C63">
      <w:pPr>
        <w:pStyle w:val="whp20100506"/>
      </w:pPr>
      <w:r>
        <w:t xml:space="preserve">What follows below is a brief in-principle overview of the cross pollination of the legislative enactments that govern the operation of both Collective Investment Scheme in Property and Property Loan Stocks from a regulatory and taxation basis. The objective is to understand whether there is a fragmented landscape and the extent to which this discord motivates the need for adopting </w:t>
      </w:r>
      <w:r w:rsidR="00194F2A">
        <w:t>REITS</w:t>
      </w:r>
      <w:r>
        <w:t xml:space="preserve"> as a new dispensation.</w:t>
      </w:r>
    </w:p>
    <w:p w:rsidR="00534C63" w:rsidRDefault="00534C63" w:rsidP="00534C63">
      <w:pPr>
        <w:pStyle w:val="whp20100506"/>
      </w:pPr>
    </w:p>
    <w:p w:rsidR="00534C63" w:rsidRDefault="00534C63" w:rsidP="00534C63">
      <w:pPr>
        <w:pStyle w:val="whp20100506"/>
      </w:pPr>
      <w:r>
        <w:lastRenderedPageBreak/>
        <w:t xml:space="preserve">It must be pointed out that there is limited literature on the specific anomalies within CISPs and PLS other than general references to sections within the Income Tax Act and the Collective Investment Schemes Control Act. </w:t>
      </w:r>
    </w:p>
    <w:p w:rsidR="00534C63" w:rsidRDefault="00534C63" w:rsidP="00534C63">
      <w:pPr>
        <w:pStyle w:val="whp20100506"/>
      </w:pPr>
    </w:p>
    <w:p w:rsidR="00534C63" w:rsidRDefault="00534C63" w:rsidP="00534C63">
      <w:pPr>
        <w:pStyle w:val="whp20100506"/>
      </w:pPr>
      <w:r>
        <w:t>The Literature Review therefore relies heavily upon the contents of applicable legislative Acts along with piecing these together holistically as per the interviews sampled with the recognised industry leaders in South Africa.</w:t>
      </w:r>
    </w:p>
    <w:p w:rsidR="00534C63" w:rsidRDefault="00534C63" w:rsidP="00534C63">
      <w:pPr>
        <w:pStyle w:val="whp20100506"/>
      </w:pPr>
    </w:p>
    <w:p w:rsidR="00534C63" w:rsidRDefault="00534C63" w:rsidP="00534C63">
      <w:pPr>
        <w:pStyle w:val="whp20100506"/>
      </w:pPr>
      <w:r>
        <w:t xml:space="preserve">Further, this paper does not purport to evaluate the financial aspects of the tax anomalies in detail of either a CISP or PLS, as the focus remains on the legislative structure and framework. Reference is made to Fourie (2009) to help understand this aspect of the current investment vehicles in South Africa. </w:t>
      </w:r>
    </w:p>
    <w:p w:rsidR="00534C63" w:rsidRDefault="00534C63" w:rsidP="00534C63">
      <w:pPr>
        <w:pStyle w:val="whp20100506"/>
      </w:pPr>
      <w:r>
        <w:t xml:space="preserve">  </w:t>
      </w:r>
    </w:p>
    <w:p w:rsidR="00534C63" w:rsidRPr="00D371D4" w:rsidRDefault="00534C63" w:rsidP="00534C63">
      <w:pPr>
        <w:pStyle w:val="whp20100506"/>
        <w:rPr>
          <w:b/>
        </w:rPr>
      </w:pPr>
      <w:r w:rsidRPr="00D371D4">
        <w:rPr>
          <w:b/>
        </w:rPr>
        <w:t>4.1 COLLECTIVE INVESTMENT SCHEMES IN PROPERTY (CISPs)</w:t>
      </w:r>
    </w:p>
    <w:p w:rsidR="00534C63" w:rsidRDefault="00534C63" w:rsidP="00534C63">
      <w:pPr>
        <w:pStyle w:val="whp20100506"/>
        <w:ind w:left="480"/>
        <w:rPr>
          <w:b/>
        </w:rPr>
      </w:pPr>
    </w:p>
    <w:p w:rsidR="00534C63" w:rsidRPr="00A63A32" w:rsidRDefault="00534C63" w:rsidP="00534C63">
      <w:pPr>
        <w:pStyle w:val="whp20100506"/>
        <w:numPr>
          <w:ilvl w:val="2"/>
          <w:numId w:val="20"/>
        </w:numPr>
        <w:rPr>
          <w:b/>
        </w:rPr>
      </w:pPr>
      <w:r w:rsidRPr="00A63A32">
        <w:rPr>
          <w:b/>
        </w:rPr>
        <w:t>UNDERSTANDING THE REGULATION AND STRUCTURE OF CISPs</w:t>
      </w:r>
    </w:p>
    <w:p w:rsidR="00534C63" w:rsidRDefault="00534C63" w:rsidP="00534C63">
      <w:pPr>
        <w:pStyle w:val="whp20100506"/>
      </w:pPr>
    </w:p>
    <w:p w:rsidR="00534C63" w:rsidRDefault="00534C63" w:rsidP="00534C63">
      <w:pPr>
        <w:pStyle w:val="whp20100506"/>
      </w:pPr>
      <w:r>
        <w:t>L</w:t>
      </w:r>
      <w:r w:rsidRPr="00D235FD">
        <w:t>egislative control</w:t>
      </w:r>
      <w:r>
        <w:t xml:space="preserve"> of a Collective Investment Scheme in Property (CISP) is exercised in terms of the Collective Investment</w:t>
      </w:r>
      <w:r w:rsidRPr="00D235FD">
        <w:t xml:space="preserve"> Schemes Control Act</w:t>
      </w:r>
      <w:r>
        <w:t xml:space="preserve"> 45 of</w:t>
      </w:r>
      <w:r w:rsidRPr="00D235FD">
        <w:t xml:space="preserve"> 2002</w:t>
      </w:r>
      <w:r>
        <w:t xml:space="preserve"> </w:t>
      </w:r>
      <w:r w:rsidRPr="00D235FD">
        <w:t>(CISCA)</w:t>
      </w:r>
      <w:r>
        <w:t xml:space="preserve">, which replaced the Unit Trusts Control Act of 1981. </w:t>
      </w:r>
    </w:p>
    <w:p w:rsidR="00534C63" w:rsidRDefault="00534C63" w:rsidP="00534C63">
      <w:pPr>
        <w:pStyle w:val="whp20100506"/>
      </w:pPr>
    </w:p>
    <w:p w:rsidR="00534C63" w:rsidRDefault="00534C63" w:rsidP="00534C63">
      <w:pPr>
        <w:pStyle w:val="whp20100506"/>
      </w:pPr>
      <w:r>
        <w:t xml:space="preserve">Under the previous dispensation, the pseudonym ‘PUTs’ (property unit trusts) was derived and is still used as reference to CISPs in general media. </w:t>
      </w:r>
    </w:p>
    <w:p w:rsidR="00534C63" w:rsidRDefault="00534C63" w:rsidP="00534C63">
      <w:pPr>
        <w:pStyle w:val="whp20100506"/>
        <w:ind w:left="720"/>
      </w:pPr>
    </w:p>
    <w:p w:rsidR="00534C63" w:rsidRPr="004428FF" w:rsidRDefault="00534C63" w:rsidP="00534C63">
      <w:pPr>
        <w:pStyle w:val="whp20100506"/>
      </w:pPr>
      <w:r w:rsidRPr="004428FF">
        <w:t>Under Part 1 of CISCA, a collective investment scheme in defined as:</w:t>
      </w:r>
    </w:p>
    <w:p w:rsidR="00534C63" w:rsidRPr="00B809D0" w:rsidRDefault="00534C63" w:rsidP="00534C63">
      <w:pPr>
        <w:pStyle w:val="whp20100506"/>
      </w:pPr>
    </w:p>
    <w:p w:rsidR="00534C63" w:rsidRDefault="00534C63" w:rsidP="00534C63">
      <w:pPr>
        <w:pStyle w:val="whp20100506"/>
        <w:rPr>
          <w:i/>
          <w:szCs w:val="20"/>
        </w:rPr>
      </w:pPr>
      <w:r w:rsidRPr="00B809D0">
        <w:t>“</w:t>
      </w:r>
      <w:r w:rsidRPr="00B809D0">
        <w:rPr>
          <w:i/>
          <w:szCs w:val="20"/>
        </w:rPr>
        <w:t xml:space="preserve">means a scheme, in whatever form, including an </w:t>
      </w:r>
      <w:hyperlink r:id="rId16" w:history="1">
        <w:r w:rsidRPr="00B809D0">
          <w:rPr>
            <w:rStyle w:val="Hyperlink"/>
            <w:rFonts w:ascii="Times New Roman" w:hAnsi="Times New Roman"/>
            <w:i/>
          </w:rPr>
          <w:t>open-ended investment company</w:t>
        </w:r>
      </w:hyperlink>
      <w:r w:rsidRPr="00B809D0">
        <w:rPr>
          <w:i/>
          <w:szCs w:val="20"/>
        </w:rPr>
        <w:t xml:space="preserve">, in pursuance of which </w:t>
      </w:r>
      <w:hyperlink r:id="rId17" w:history="1">
        <w:r w:rsidRPr="00B809D0">
          <w:rPr>
            <w:rStyle w:val="Hyperlink"/>
            <w:rFonts w:ascii="Times New Roman" w:hAnsi="Times New Roman"/>
            <w:i/>
          </w:rPr>
          <w:t>members of the public</w:t>
        </w:r>
      </w:hyperlink>
      <w:r w:rsidRPr="00B809D0">
        <w:rPr>
          <w:i/>
          <w:szCs w:val="20"/>
        </w:rPr>
        <w:t xml:space="preserve"> are invited or permitted to invest money or other </w:t>
      </w:r>
      <w:hyperlink r:id="rId18" w:history="1">
        <w:r w:rsidRPr="00B809D0">
          <w:rPr>
            <w:rStyle w:val="Hyperlink"/>
            <w:rFonts w:ascii="Times New Roman" w:hAnsi="Times New Roman"/>
            <w:i/>
          </w:rPr>
          <w:t>assets</w:t>
        </w:r>
      </w:hyperlink>
      <w:r w:rsidRPr="00B809D0">
        <w:rPr>
          <w:i/>
          <w:szCs w:val="20"/>
        </w:rPr>
        <w:t xml:space="preserve"> in a </w:t>
      </w:r>
      <w:hyperlink r:id="rId19" w:history="1">
        <w:r w:rsidRPr="00B809D0">
          <w:rPr>
            <w:rStyle w:val="Hyperlink"/>
            <w:rFonts w:ascii="Times New Roman" w:hAnsi="Times New Roman"/>
            <w:i/>
          </w:rPr>
          <w:t>portfolio</w:t>
        </w:r>
      </w:hyperlink>
      <w:r w:rsidRPr="00B809D0">
        <w:rPr>
          <w:i/>
          <w:szCs w:val="20"/>
        </w:rPr>
        <w:t>, and in terms of which-</w:t>
      </w:r>
    </w:p>
    <w:p w:rsidR="00534C63" w:rsidRPr="00B809D0" w:rsidRDefault="00534C63" w:rsidP="00534C63">
      <w:pPr>
        <w:pStyle w:val="whp20100506"/>
        <w:ind w:left="720"/>
        <w:rPr>
          <w:i/>
        </w:rPr>
      </w:pPr>
    </w:p>
    <w:p w:rsidR="00534C63" w:rsidRDefault="00534C63" w:rsidP="00534C63">
      <w:pPr>
        <w:pStyle w:val="whp20100506"/>
        <w:numPr>
          <w:ilvl w:val="0"/>
          <w:numId w:val="6"/>
        </w:numPr>
        <w:tabs>
          <w:tab w:val="left" w:pos="540"/>
        </w:tabs>
        <w:ind w:left="540" w:hanging="540"/>
        <w:rPr>
          <w:i/>
          <w:szCs w:val="20"/>
        </w:rPr>
      </w:pPr>
      <w:r w:rsidRPr="00B809D0">
        <w:rPr>
          <w:i/>
          <w:szCs w:val="20"/>
        </w:rPr>
        <w:t xml:space="preserve">two or more investors contribute money or other assets to and hold a </w:t>
      </w:r>
      <w:hyperlink r:id="rId20" w:history="1">
        <w:r w:rsidRPr="00B809D0">
          <w:rPr>
            <w:rStyle w:val="Hyperlink"/>
            <w:rFonts w:ascii="Times New Roman" w:hAnsi="Times New Roman"/>
            <w:i/>
          </w:rPr>
          <w:t>participatory interest</w:t>
        </w:r>
      </w:hyperlink>
      <w:r w:rsidRPr="00B809D0">
        <w:rPr>
          <w:i/>
          <w:szCs w:val="20"/>
        </w:rPr>
        <w:t xml:space="preserve"> in a portfolio of the scheme through shares, units or any other form of participatory interest; and</w:t>
      </w:r>
    </w:p>
    <w:p w:rsidR="00534C63" w:rsidRPr="00B809D0" w:rsidRDefault="00534C63" w:rsidP="00534C63">
      <w:pPr>
        <w:pStyle w:val="whp20100506"/>
        <w:tabs>
          <w:tab w:val="left" w:pos="540"/>
        </w:tabs>
        <w:ind w:left="540" w:hanging="540"/>
        <w:rPr>
          <w:i/>
        </w:rPr>
      </w:pPr>
    </w:p>
    <w:p w:rsidR="00534C63" w:rsidRPr="00B809D0" w:rsidRDefault="00534C63" w:rsidP="00534C63">
      <w:pPr>
        <w:pStyle w:val="whp20100506"/>
        <w:tabs>
          <w:tab w:val="left" w:pos="540"/>
        </w:tabs>
        <w:ind w:left="540" w:hanging="540"/>
        <w:rPr>
          <w:i/>
        </w:rPr>
      </w:pPr>
      <w:r w:rsidRPr="00B809D0">
        <w:rPr>
          <w:i/>
          <w:szCs w:val="20"/>
        </w:rPr>
        <w:lastRenderedPageBreak/>
        <w:t>b)</w:t>
      </w:r>
      <w:r w:rsidRPr="00B809D0">
        <w:rPr>
          <w:i/>
          <w:szCs w:val="16"/>
        </w:rPr>
        <w:t>        </w:t>
      </w:r>
      <w:r w:rsidRPr="00B809D0">
        <w:rPr>
          <w:i/>
          <w:szCs w:val="20"/>
        </w:rPr>
        <w:t xml:space="preserve">the investors share the risk and the benefit of investment in proportion to their participatory interest in a portfolio of a scheme or on any other basis determined in the </w:t>
      </w:r>
      <w:hyperlink r:id="rId21" w:history="1">
        <w:r w:rsidRPr="00B809D0">
          <w:rPr>
            <w:rStyle w:val="Hyperlink"/>
            <w:rFonts w:ascii="Times New Roman" w:hAnsi="Times New Roman"/>
            <w:i/>
          </w:rPr>
          <w:t>deed</w:t>
        </w:r>
      </w:hyperlink>
      <w:r w:rsidRPr="00B809D0">
        <w:rPr>
          <w:i/>
          <w:szCs w:val="20"/>
        </w:rPr>
        <w:t>,</w:t>
      </w:r>
    </w:p>
    <w:p w:rsidR="00534C63" w:rsidRDefault="00534C63" w:rsidP="00534C63">
      <w:pPr>
        <w:pStyle w:val="whp20100506"/>
        <w:tabs>
          <w:tab w:val="left" w:pos="540"/>
        </w:tabs>
        <w:ind w:left="540" w:hanging="540"/>
        <w:rPr>
          <w:i/>
          <w:szCs w:val="20"/>
        </w:rPr>
      </w:pPr>
    </w:p>
    <w:p w:rsidR="00534C63" w:rsidRPr="00B809D0" w:rsidRDefault="00534C63" w:rsidP="00534C63">
      <w:pPr>
        <w:pStyle w:val="whp20100506"/>
        <w:tabs>
          <w:tab w:val="left" w:pos="540"/>
        </w:tabs>
        <w:ind w:left="540" w:hanging="540"/>
        <w:rPr>
          <w:i/>
        </w:rPr>
      </w:pPr>
      <w:r w:rsidRPr="00B809D0">
        <w:rPr>
          <w:i/>
          <w:szCs w:val="20"/>
        </w:rPr>
        <w:t>but not a collective investment scheme authorised by any other Act;”</w:t>
      </w:r>
    </w:p>
    <w:p w:rsidR="00534C63" w:rsidRDefault="00534C63" w:rsidP="00534C63">
      <w:pPr>
        <w:pStyle w:val="whp20100506"/>
        <w:ind w:left="720"/>
      </w:pPr>
    </w:p>
    <w:p w:rsidR="00534C63" w:rsidRDefault="00534C63" w:rsidP="00534C63">
      <w:pPr>
        <w:pStyle w:val="whp20100506"/>
      </w:pPr>
      <w:r>
        <w:t xml:space="preserve">Generally therefore CISCA is blanket legislation that applies to all unit trust funds, exchange traded funds and participation mortgage bond schemes where investors have their money pooled into particular portfolios, which in turn is utilised by fund managers to acquire underlying investment assets. </w:t>
      </w:r>
    </w:p>
    <w:p w:rsidR="00534C63" w:rsidRDefault="00534C63" w:rsidP="00534C63">
      <w:pPr>
        <w:pStyle w:val="whp20100506"/>
        <w:ind w:left="720"/>
      </w:pPr>
    </w:p>
    <w:p w:rsidR="00534C63" w:rsidRDefault="00534C63" w:rsidP="00534C63">
      <w:pPr>
        <w:pStyle w:val="whp20100506"/>
      </w:pPr>
      <w:r>
        <w:t>CISPs falls under specific control of Part V of CISCA, whilst also being subject of the jurisdiction and</w:t>
      </w:r>
      <w:r w:rsidRPr="00D235FD">
        <w:t xml:space="preserve"> </w:t>
      </w:r>
      <w:r>
        <w:t>authority of the Registrar</w:t>
      </w:r>
      <w:r>
        <w:rPr>
          <w:rStyle w:val="FootnoteReference"/>
        </w:rPr>
        <w:footnoteReference w:id="16"/>
      </w:r>
      <w:r>
        <w:t xml:space="preserve"> of CISCA,</w:t>
      </w:r>
      <w:r w:rsidRPr="00D235FD">
        <w:t xml:space="preserve"> which is an entity</w:t>
      </w:r>
      <w:r>
        <w:t xml:space="preserve"> specifically created by</w:t>
      </w:r>
      <w:r w:rsidRPr="00D235FD">
        <w:t xml:space="preserve"> the Financial Services Board (FSB)</w:t>
      </w:r>
      <w:r>
        <w:rPr>
          <w:rStyle w:val="FootnoteReference"/>
        </w:rPr>
        <w:footnoteReference w:id="17"/>
      </w:r>
      <w:r>
        <w:t xml:space="preserve"> to oversee the compliance of CISPs to CISCA</w:t>
      </w:r>
      <w:r w:rsidRPr="00D235FD">
        <w:t>.</w:t>
      </w:r>
      <w:r>
        <w:t xml:space="preserve"> </w:t>
      </w:r>
      <w:r w:rsidRPr="00D235FD">
        <w:t xml:space="preserve"> </w:t>
      </w:r>
    </w:p>
    <w:p w:rsidR="00534C63" w:rsidRDefault="00534C63" w:rsidP="00534C63">
      <w:pPr>
        <w:pStyle w:val="whp20100506"/>
        <w:ind w:left="720"/>
      </w:pPr>
    </w:p>
    <w:p w:rsidR="00534C63" w:rsidRDefault="00534C63" w:rsidP="00534C63">
      <w:pPr>
        <w:pStyle w:val="whp20100506"/>
      </w:pPr>
      <w:r>
        <w:t xml:space="preserve">Should a CISP be a listed entity on any stock exchange in South Africa, being either on the main Johannesburg Stock Exchange or on the Alt-X, then in addition to the aforementioned legislation, </w:t>
      </w:r>
      <w:r w:rsidRPr="00D235FD">
        <w:t xml:space="preserve">their affairs </w:t>
      </w:r>
      <w:r>
        <w:t>must be compliant to</w:t>
      </w:r>
      <w:r w:rsidRPr="00D235FD">
        <w:t xml:space="preserve"> the rules </w:t>
      </w:r>
      <w:r>
        <w:t xml:space="preserve">and listing regulations </w:t>
      </w:r>
      <w:r w:rsidRPr="00D235FD">
        <w:t>of the JSE</w:t>
      </w:r>
      <w:r w:rsidR="009D2F7C">
        <w:t>. See Figure</w:t>
      </w:r>
      <w:r w:rsidR="003C1984">
        <w:t xml:space="preserve"> 6</w:t>
      </w:r>
      <w:r>
        <w:t xml:space="preserve"> for overview of the applicable pieces of regulation.</w:t>
      </w:r>
    </w:p>
    <w:p w:rsidR="00534C63" w:rsidRDefault="00DE1DB3" w:rsidP="00534C63">
      <w:pPr>
        <w:pStyle w:val="whp20100506"/>
        <w:keepNext/>
        <w:ind w:left="720"/>
        <w:jc w:val="center"/>
      </w:pPr>
      <w:r>
        <w:rPr>
          <w:noProof/>
        </w:rPr>
        <w:pict>
          <v:shapetype id="_x0000_t202" coordsize="21600,21600" o:spt="202" path="m,l,21600r21600,l21600,xe">
            <v:stroke joinstyle="miter"/>
            <v:path gradientshapeok="t" o:connecttype="rect"/>
          </v:shapetype>
          <v:shape id="_x0000_s1029" type="#_x0000_t202" style="position:absolute;left:0;text-align:left;margin-left:110.45pt;margin-top:241.85pt;width:269.75pt;height:24.35pt;z-index:251665408" stroked="f">
            <v:textbox style="mso-next-textbox:#_x0000_s1029;mso-fit-shape-to-text:t" inset="0,0,0,0">
              <w:txbxContent>
                <w:p w:rsidR="00573D8E" w:rsidRPr="00087CC5" w:rsidRDefault="00573D8E" w:rsidP="00534C63">
                  <w:pPr>
                    <w:pStyle w:val="Caption"/>
                    <w:jc w:val="center"/>
                    <w:rPr>
                      <w:noProof/>
                      <w:lang w:eastAsia="en-ZA"/>
                    </w:rPr>
                  </w:pPr>
                  <w:bookmarkStart w:id="11" w:name="_Toc267930714"/>
                  <w:r w:rsidRPr="00087CC5">
                    <w:t xml:space="preserve">Figure </w:t>
                  </w:r>
                  <w:r>
                    <w:t>5</w:t>
                  </w:r>
                  <w:r w:rsidRPr="00087CC5">
                    <w:t xml:space="preserve"> Legislative Control of listed CISPs in South Africa</w:t>
                  </w:r>
                  <w:bookmarkEnd w:id="11"/>
                  <w:r w:rsidRPr="00087CC5">
                    <w:t xml:space="preserve"> </w:t>
                  </w:r>
                </w:p>
              </w:txbxContent>
            </v:textbox>
          </v:shape>
        </w:pict>
      </w:r>
      <w:r w:rsidR="00534C63">
        <w:rPr>
          <w:noProof/>
          <w:lang w:eastAsia="en-GB"/>
        </w:rPr>
        <w:drawing>
          <wp:anchor distT="0" distB="0" distL="114300" distR="114300" simplePos="0" relativeHeight="251668480" behindDoc="0" locked="1" layoutInCell="1" allowOverlap="1">
            <wp:simplePos x="0" y="0"/>
            <wp:positionH relativeFrom="character">
              <wp:posOffset>-680085</wp:posOffset>
            </wp:positionH>
            <wp:positionV relativeFrom="line">
              <wp:posOffset>-1905</wp:posOffset>
            </wp:positionV>
            <wp:extent cx="4819650" cy="3009900"/>
            <wp:effectExtent l="0" t="0" r="0" b="0"/>
            <wp:wrapNone/>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anchor>
        </w:drawing>
      </w:r>
      <w:r w:rsidRPr="00DE1DB3">
        <w:rPr>
          <w:noProof/>
          <w:lang w:val="en-ZA" w:eastAsia="en-Z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9pt;height:237pt">
            <v:imagedata croptop="-65520f" cropbottom="65520f"/>
          </v:shape>
        </w:pict>
      </w:r>
    </w:p>
    <w:p w:rsidR="00534C63" w:rsidRPr="0084727D" w:rsidRDefault="00534C63" w:rsidP="00534C63">
      <w:pPr>
        <w:pStyle w:val="Caption"/>
        <w:jc w:val="center"/>
        <w:rPr>
          <w:rFonts w:ascii="Times New Roman" w:hAnsi="Times New Roman"/>
          <w:b w:val="0"/>
          <w:sz w:val="18"/>
          <w:szCs w:val="18"/>
        </w:rPr>
      </w:pPr>
      <w:r>
        <w:rPr>
          <w:rFonts w:ascii="Times New Roman" w:hAnsi="Times New Roman"/>
          <w:b w:val="0"/>
          <w:sz w:val="18"/>
          <w:szCs w:val="18"/>
        </w:rPr>
        <w:t xml:space="preserve"> </w:t>
      </w:r>
    </w:p>
    <w:p w:rsidR="00534C63" w:rsidRDefault="00534C63" w:rsidP="00534C63">
      <w:pPr>
        <w:pStyle w:val="whp20100506"/>
      </w:pPr>
      <w:r>
        <w:lastRenderedPageBreak/>
        <w:t xml:space="preserve">From an ownership perspective, investors of CISPs are deemed to own undivided shares in the underlying investment vehicle and, as the ultimate beneficiaries of the scheme, are known as Participatory Interest Holders (See Figure </w:t>
      </w:r>
      <w:r w:rsidR="00E6310C">
        <w:t>6</w:t>
      </w:r>
      <w:r>
        <w:t>). A participatory interest is defined in CISCA as</w:t>
      </w:r>
      <w:r>
        <w:rPr>
          <w:rStyle w:val="FootnoteReference"/>
        </w:rPr>
        <w:footnoteReference w:id="18"/>
      </w:r>
      <w:r>
        <w:t>:</w:t>
      </w:r>
    </w:p>
    <w:p w:rsidR="00534C63" w:rsidRDefault="00534C63" w:rsidP="00534C63">
      <w:pPr>
        <w:pStyle w:val="whp20100506"/>
        <w:ind w:left="720"/>
      </w:pPr>
    </w:p>
    <w:p w:rsidR="00534C63" w:rsidRPr="002E0A5B" w:rsidRDefault="00534C63" w:rsidP="00534C63">
      <w:pPr>
        <w:pStyle w:val="whp20100506"/>
        <w:rPr>
          <w:i/>
        </w:rPr>
      </w:pPr>
      <w:r>
        <w:rPr>
          <w:i/>
        </w:rPr>
        <w:t>“</w:t>
      </w:r>
      <w:r w:rsidRPr="002E0A5B">
        <w:rPr>
          <w:i/>
        </w:rPr>
        <w:t xml:space="preserve">means any interest, undivided share or share whether called a participatory interest, unit or by any other name, and whether the value of such interest, unit, undivided share or share remains constant or varies from time to time, which may be acquired by an </w:t>
      </w:r>
      <w:hyperlink r:id="rId27" w:history="1">
        <w:r w:rsidRPr="002E0A5B">
          <w:rPr>
            <w:rStyle w:val="Hyperlink"/>
            <w:rFonts w:ascii="Times New Roman" w:hAnsi="Times New Roman"/>
            <w:i/>
          </w:rPr>
          <w:t>investor</w:t>
        </w:r>
      </w:hyperlink>
      <w:r w:rsidRPr="002E0A5B">
        <w:rPr>
          <w:i/>
        </w:rPr>
        <w:t xml:space="preserve"> in a </w:t>
      </w:r>
      <w:hyperlink r:id="rId28" w:history="1">
        <w:r w:rsidRPr="002E0A5B">
          <w:rPr>
            <w:rStyle w:val="Hyperlink"/>
            <w:rFonts w:ascii="Times New Roman" w:hAnsi="Times New Roman"/>
            <w:i/>
          </w:rPr>
          <w:t>portfolio</w:t>
        </w:r>
      </w:hyperlink>
      <w:r>
        <w:rPr>
          <w:i/>
        </w:rPr>
        <w:t>”</w:t>
      </w:r>
    </w:p>
    <w:p w:rsidR="00534C63" w:rsidRDefault="00534C63" w:rsidP="00534C63">
      <w:pPr>
        <w:pStyle w:val="whp20100506"/>
        <w:ind w:left="720"/>
      </w:pPr>
    </w:p>
    <w:p w:rsidR="00534C63" w:rsidRDefault="00534C63" w:rsidP="00534C63">
      <w:pPr>
        <w:pStyle w:val="whp20100506"/>
      </w:pPr>
      <w:r>
        <w:t>The CISP can owned property either directly or indirectly though shares in a company.</w:t>
      </w:r>
    </w:p>
    <w:p w:rsidR="00534C63" w:rsidRDefault="00534C63" w:rsidP="00534C63">
      <w:pPr>
        <w:pStyle w:val="whp20100506"/>
        <w:ind w:left="720"/>
      </w:pPr>
    </w:p>
    <w:p w:rsidR="00534C63" w:rsidRDefault="00DE1DB3" w:rsidP="00534C63">
      <w:pPr>
        <w:pStyle w:val="whp20100506"/>
        <w:tabs>
          <w:tab w:val="left" w:pos="3780"/>
        </w:tabs>
        <w:ind w:left="720"/>
        <w:jc w:val="center"/>
      </w:pPr>
      <w:r>
        <w:rPr>
          <w:noProof/>
        </w:rPr>
        <w:pict>
          <v:shape id="_x0000_s1030" type="#_x0000_t202" style="position:absolute;left:0;text-align:left;margin-left:117pt;margin-top:131.2pt;width:284.25pt;height:24.35pt;z-index:251666432" stroked="f">
            <v:textbox style="mso-next-textbox:#_x0000_s1030;mso-fit-shape-to-text:t" inset="0,0,0,0">
              <w:txbxContent>
                <w:p w:rsidR="00573D8E" w:rsidRPr="009B6F84" w:rsidRDefault="00573D8E" w:rsidP="00534C63">
                  <w:pPr>
                    <w:pStyle w:val="Caption"/>
                    <w:jc w:val="center"/>
                    <w:rPr>
                      <w:noProof/>
                    </w:rPr>
                  </w:pPr>
                  <w:bookmarkStart w:id="12" w:name="_Toc267930715"/>
                  <w:r w:rsidRPr="009B6F84">
                    <w:t xml:space="preserve">Figure </w:t>
                  </w:r>
                  <w:r>
                    <w:t xml:space="preserve">6 </w:t>
                  </w:r>
                  <w:r w:rsidRPr="009B6F84">
                    <w:t>Ownership Structure of a CISP in South Africa</w:t>
                  </w:r>
                  <w:bookmarkEnd w:id="12"/>
                  <w:r w:rsidRPr="009B6F84">
                    <w:t xml:space="preserve"> </w:t>
                  </w:r>
                </w:p>
              </w:txbxContent>
            </v:textbox>
          </v:shape>
        </w:pict>
      </w:r>
      <w:r>
        <w:rPr>
          <w:noProof/>
        </w:rPr>
        <w:pict>
          <v:shape id="_x0000_s1026" type="#_x0000_t202" style="position:absolute;left:0;text-align:left;margin-left:155pt;margin-top:137.1pt;width:198.95pt;height:16.1pt;z-index:251658240" stroked="f">
            <v:textbox style="mso-next-textbox:#_x0000_s1026" inset="0,0,0,0">
              <w:txbxContent>
                <w:p w:rsidR="00573D8E" w:rsidRPr="0084727D" w:rsidRDefault="00573D8E" w:rsidP="00534C63">
                  <w:pPr>
                    <w:pStyle w:val="Caption"/>
                    <w:jc w:val="center"/>
                    <w:rPr>
                      <w:rFonts w:ascii="Times New Roman" w:eastAsia="Times New Roman" w:hAnsi="Times New Roman"/>
                      <w:b w:val="0"/>
                      <w:sz w:val="18"/>
                      <w:szCs w:val="18"/>
                    </w:rPr>
                  </w:pPr>
                  <w:bookmarkStart w:id="13" w:name="_Toc262634188"/>
                  <w:bookmarkStart w:id="14" w:name="_Toc262634209"/>
                  <w:bookmarkStart w:id="15" w:name="_Toc263675833"/>
                  <w:bookmarkStart w:id="16" w:name="_Toc265556354"/>
                  <w:r>
                    <w:rPr>
                      <w:rFonts w:ascii="Times New Roman" w:hAnsi="Times New Roman"/>
                      <w:b w:val="0"/>
                      <w:sz w:val="18"/>
                      <w:szCs w:val="18"/>
                    </w:rPr>
                    <w:t xml:space="preserve"> </w:t>
                  </w:r>
                  <w:r w:rsidRPr="0084727D">
                    <w:rPr>
                      <w:rFonts w:ascii="Times New Roman" w:hAnsi="Times New Roman"/>
                      <w:b w:val="0"/>
                      <w:sz w:val="18"/>
                      <w:szCs w:val="18"/>
                    </w:rPr>
                    <w:t xml:space="preserve"> </w:t>
                  </w:r>
                  <w:bookmarkEnd w:id="13"/>
                  <w:bookmarkEnd w:id="14"/>
                  <w:bookmarkEnd w:id="15"/>
                  <w:bookmarkEnd w:id="16"/>
                </w:p>
              </w:txbxContent>
            </v:textbox>
            <w10:wrap type="topAndBottom"/>
          </v:shape>
        </w:pict>
      </w:r>
      <w:r w:rsidR="00534C63">
        <w:rPr>
          <w:noProof/>
          <w:lang w:eastAsia="en-GB"/>
        </w:rPr>
        <w:drawing>
          <wp:inline distT="0" distB="0" distL="0" distR="0">
            <wp:extent cx="2657475" cy="1600200"/>
            <wp:effectExtent l="0" t="0" r="0" b="0"/>
            <wp:docPr id="2" name="Organization Chart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534C63" w:rsidRDefault="00534C63" w:rsidP="00534C63">
      <w:pPr>
        <w:pStyle w:val="whp20100506"/>
      </w:pPr>
      <w:r>
        <w:br/>
        <w:t>A CISP has its day to day affairs managed and exercised by a management company</w:t>
      </w:r>
      <w:r>
        <w:rPr>
          <w:rStyle w:val="FootnoteReference"/>
        </w:rPr>
        <w:footnoteReference w:id="19"/>
      </w:r>
      <w:r>
        <w:t xml:space="preserve"> for and on behalf of the investor beneficiaries which, as a natural consequence of CISPs taking the form of a trust, is generally undertaken by external management companies in practice. </w:t>
      </w:r>
    </w:p>
    <w:p w:rsidR="00534C63" w:rsidRDefault="00534C63" w:rsidP="00534C63">
      <w:pPr>
        <w:pStyle w:val="whp20100506"/>
        <w:ind w:left="720"/>
      </w:pPr>
    </w:p>
    <w:p w:rsidR="00534C63" w:rsidRDefault="00534C63" w:rsidP="00534C63">
      <w:pPr>
        <w:pStyle w:val="whp20100506"/>
      </w:pPr>
      <w:r>
        <w:t>As the enabling</w:t>
      </w:r>
      <w:r w:rsidRPr="00D235FD">
        <w:t xml:space="preserve"> document that</w:t>
      </w:r>
      <w:r>
        <w:t xml:space="preserve"> creates the existence of a particular</w:t>
      </w:r>
      <w:r w:rsidRPr="00D235FD">
        <w:t xml:space="preserve"> </w:t>
      </w:r>
      <w:r>
        <w:t>CISP, all management is done in accordance with the Trust Deed, which determines the nature of the rights and obligations that the trust may incur as a functional legal personality</w:t>
      </w:r>
      <w:r w:rsidRPr="00D235FD">
        <w:t>.</w:t>
      </w:r>
      <w:r>
        <w:t xml:space="preserve"> The FSB has issued a Model Trust Deed</w:t>
      </w:r>
      <w:r>
        <w:rPr>
          <w:rStyle w:val="FootnoteReference"/>
        </w:rPr>
        <w:footnoteReference w:id="20"/>
      </w:r>
      <w:r>
        <w:t xml:space="preserve"> as a reference to guide the formulation of a trust deed document and the adequate management of a CISP trust. </w:t>
      </w:r>
    </w:p>
    <w:p w:rsidR="00534C63" w:rsidRDefault="00534C63" w:rsidP="00534C63">
      <w:pPr>
        <w:pStyle w:val="whp20100506"/>
      </w:pPr>
      <w:r>
        <w:t xml:space="preserve">In terms of S47 (1) of Part V of CISCA, a collective scheme in property is defined as </w:t>
      </w:r>
    </w:p>
    <w:p w:rsidR="00534C63" w:rsidRDefault="00534C63" w:rsidP="00534C63">
      <w:pPr>
        <w:pStyle w:val="whp20100506"/>
        <w:ind w:left="720"/>
      </w:pPr>
    </w:p>
    <w:p w:rsidR="00534C63" w:rsidRDefault="00534C63" w:rsidP="00534C63">
      <w:pPr>
        <w:pStyle w:val="whp20100506"/>
      </w:pPr>
      <w:r>
        <w:lastRenderedPageBreak/>
        <w:t>“</w:t>
      </w:r>
      <w:r>
        <w:rPr>
          <w:i/>
        </w:rPr>
        <w:t>a scheme the portfolio of which consists of property shares, immovable property, assets determined under subsection (2) or any investment permitted under section 49”</w:t>
      </w:r>
      <w:r>
        <w:t xml:space="preserve">.  </w:t>
      </w:r>
    </w:p>
    <w:p w:rsidR="00534C63" w:rsidRDefault="00534C63" w:rsidP="00534C63">
      <w:pPr>
        <w:pStyle w:val="whp20100506"/>
        <w:ind w:left="720"/>
      </w:pPr>
    </w:p>
    <w:p w:rsidR="00534C63" w:rsidRDefault="00534C63" w:rsidP="00534C63">
      <w:pPr>
        <w:pStyle w:val="whp20100506"/>
      </w:pPr>
      <w:r>
        <w:t>As such, indirect ownership of the underlying assets of the CISP include property shares in a fixed property company, the property shares of a holding company on condition that it has no other subsidiaries other than fixed property companies. A critical component of a CISP owning shares in a fixed property company (FPC) or holding company (HC) is that these shares must be wholly owned by the CISP. Failure to own 100% of the FPC or HC results in the loss of its definition of being an asset and the consequent tax benefits bestowed upon it by the Income Tax Act, discussed below</w:t>
      </w:r>
      <w:r w:rsidRPr="00FC2C8F">
        <w:t xml:space="preserve">. </w:t>
      </w:r>
    </w:p>
    <w:p w:rsidR="00534C63" w:rsidRDefault="00534C63" w:rsidP="00534C63">
      <w:pPr>
        <w:pStyle w:val="whp20100506"/>
        <w:ind w:left="720"/>
      </w:pPr>
    </w:p>
    <w:p w:rsidR="00534C63" w:rsidRDefault="00534C63" w:rsidP="00534C63">
      <w:pPr>
        <w:pStyle w:val="whp20100506"/>
      </w:pPr>
      <w:r w:rsidRPr="00FC2C8F">
        <w:t xml:space="preserve">S49 of CISCA permits offshore property investment on condition that the country </w:t>
      </w:r>
      <w:r>
        <w:t xml:space="preserve">where the investment is situated </w:t>
      </w:r>
      <w:r w:rsidRPr="00FC2C8F">
        <w:t xml:space="preserve">has an </w:t>
      </w:r>
      <w:r>
        <w:t xml:space="preserve">international sovereign currency rating. See Figure </w:t>
      </w:r>
      <w:r w:rsidR="00E6310C">
        <w:t>7</w:t>
      </w:r>
      <w:r>
        <w:t xml:space="preserve"> for a holistic overview of the ownership structures in South Africa. </w:t>
      </w:r>
    </w:p>
    <w:p w:rsidR="00534C63" w:rsidRDefault="00534C63" w:rsidP="00534C63">
      <w:pPr>
        <w:pStyle w:val="whp20100506"/>
        <w:ind w:left="720"/>
      </w:pPr>
    </w:p>
    <w:p w:rsidR="00534C63" w:rsidRDefault="00534C63" w:rsidP="00534C63">
      <w:pPr>
        <w:pStyle w:val="whp20100506"/>
        <w:ind w:left="720"/>
      </w:pPr>
      <w:r>
        <w:rPr>
          <w:noProof/>
          <w:lang w:eastAsia="en-GB"/>
        </w:rPr>
        <w:drawing>
          <wp:anchor distT="0" distB="0" distL="114300" distR="114300" simplePos="0" relativeHeight="251660288" behindDoc="0" locked="0" layoutInCell="1" allowOverlap="1">
            <wp:simplePos x="0" y="0"/>
            <wp:positionH relativeFrom="character">
              <wp:posOffset>-127000</wp:posOffset>
            </wp:positionH>
            <wp:positionV relativeFrom="line">
              <wp:posOffset>57785</wp:posOffset>
            </wp:positionV>
            <wp:extent cx="5156200" cy="3835400"/>
            <wp:effectExtent l="0" t="0" r="82550" b="0"/>
            <wp:wrapNone/>
            <wp:docPr id="20" name="Organization Chart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anchor>
        </w:drawing>
      </w:r>
    </w:p>
    <w:p w:rsidR="00534C63" w:rsidRPr="00D235FD" w:rsidRDefault="00534C63" w:rsidP="00534C63">
      <w:pPr>
        <w:pStyle w:val="whp20100506"/>
        <w:ind w:left="720"/>
      </w:pPr>
      <w:r>
        <w:t xml:space="preserve"> </w:t>
      </w:r>
      <w:r>
        <w:tab/>
      </w:r>
      <w:r w:rsidR="00DE1DB3">
        <w:pict>
          <v:shape id="_x0000_i1026" type="#_x0000_t75" style="width:299pt;height:259pt">
            <v:imagedata croptop="-65520f" cropbottom="65520f"/>
          </v:shape>
        </w:pict>
      </w:r>
    </w:p>
    <w:p w:rsidR="00534C63" w:rsidRDefault="00534C63" w:rsidP="00534C63">
      <w:pPr>
        <w:pStyle w:val="whp20100506"/>
        <w:ind w:left="1440"/>
      </w:pPr>
    </w:p>
    <w:p w:rsidR="00534C63" w:rsidRDefault="00DE1DB3" w:rsidP="00534C63">
      <w:pPr>
        <w:pStyle w:val="whp20100506"/>
        <w:rPr>
          <w:b/>
        </w:rPr>
      </w:pPr>
      <w:r w:rsidRPr="00DE1DB3">
        <w:rPr>
          <w:noProof/>
        </w:rPr>
        <w:pict>
          <v:shape id="_x0000_s1031" type="#_x0000_t202" style="position:absolute;margin-left:50pt;margin-top:14.9pt;width:380.7pt;height:24.35pt;z-index:251667456" stroked="f">
            <v:textbox style="mso-next-textbox:#_x0000_s1031;mso-fit-shape-to-text:t" inset="0,0,0,0">
              <w:txbxContent>
                <w:p w:rsidR="00573D8E" w:rsidRPr="009B6F84" w:rsidRDefault="00573D8E" w:rsidP="00534C63">
                  <w:pPr>
                    <w:pStyle w:val="Caption"/>
                    <w:jc w:val="center"/>
                    <w:rPr>
                      <w:noProof/>
                    </w:rPr>
                  </w:pPr>
                  <w:bookmarkStart w:id="17" w:name="_Toc267930716"/>
                  <w:r w:rsidRPr="009B6F84">
                    <w:t xml:space="preserve">Figure </w:t>
                  </w:r>
                  <w:r>
                    <w:t>7</w:t>
                  </w:r>
                  <w:r w:rsidRPr="009B6F84">
                    <w:t xml:space="preserve"> Property Ownership Structures of CISPs in South Africa</w:t>
                  </w:r>
                  <w:bookmarkEnd w:id="17"/>
                  <w:r w:rsidRPr="009B6F84">
                    <w:t xml:space="preserve"> </w:t>
                  </w:r>
                </w:p>
              </w:txbxContent>
            </v:textbox>
          </v:shape>
        </w:pict>
      </w:r>
    </w:p>
    <w:p w:rsidR="006818CB" w:rsidRDefault="006818CB">
      <w:pPr>
        <w:spacing w:after="200" w:line="276" w:lineRule="auto"/>
        <w:rPr>
          <w:rFonts w:ascii="Times New Roman" w:hAnsi="Times New Roman"/>
          <w:b/>
          <w:sz w:val="24"/>
        </w:rPr>
      </w:pPr>
      <w:r>
        <w:rPr>
          <w:b/>
        </w:rPr>
        <w:br w:type="page"/>
      </w:r>
    </w:p>
    <w:p w:rsidR="00534C63" w:rsidRPr="003837C3" w:rsidRDefault="00534C63" w:rsidP="00534C63">
      <w:pPr>
        <w:pStyle w:val="whp20100506"/>
        <w:numPr>
          <w:ilvl w:val="2"/>
          <w:numId w:val="20"/>
        </w:numPr>
        <w:rPr>
          <w:b/>
        </w:rPr>
      </w:pPr>
      <w:r w:rsidRPr="003837C3">
        <w:rPr>
          <w:b/>
        </w:rPr>
        <w:lastRenderedPageBreak/>
        <w:t>UNDERSTANDING THE FRAGMENTED TAXATION PRINCIPLES OF CISPs</w:t>
      </w:r>
      <w:r w:rsidR="002B70BE">
        <w:rPr>
          <w:rStyle w:val="FootnoteReference"/>
          <w:b/>
        </w:rPr>
        <w:footnoteReference w:id="21"/>
      </w:r>
    </w:p>
    <w:p w:rsidR="00534C63" w:rsidRDefault="00534C63" w:rsidP="00534C63">
      <w:pPr>
        <w:pStyle w:val="whp20100506"/>
      </w:pPr>
    </w:p>
    <w:p w:rsidR="00534C63" w:rsidRDefault="00534C63" w:rsidP="00534C63">
      <w:pPr>
        <w:pStyle w:val="whp20100506"/>
      </w:pPr>
      <w:r>
        <w:t>The general mechanisms regulating the taxation of Collective Investment Schemes in Property (CISP) is found in the Income Tax Act (the Act) as discussed below. The general principles of the taxation problems are highlighted in the Discussion Paper of the National Treasury and</w:t>
      </w:r>
      <w:r w:rsidRPr="001F6933">
        <w:t xml:space="preserve"> </w:t>
      </w:r>
      <w:r>
        <w:t>examined in more detail below.</w:t>
      </w:r>
    </w:p>
    <w:p w:rsidR="00534C63" w:rsidRDefault="00534C63" w:rsidP="00534C63">
      <w:pPr>
        <w:pStyle w:val="whp20100506"/>
      </w:pPr>
    </w:p>
    <w:p w:rsidR="00534C63" w:rsidRDefault="00534C63" w:rsidP="00534C63">
      <w:pPr>
        <w:pStyle w:val="whp20100506"/>
      </w:pPr>
      <w:r>
        <w:t xml:space="preserve">As stated initially, the sole purpose of </w:t>
      </w:r>
      <w:r w:rsidR="00194F2A">
        <w:t>REITS</w:t>
      </w:r>
      <w:r>
        <w:t xml:space="preserve"> are to facilitate a total flow through of funds into the hands of the investor where it is taxed. This is also the intention and purpose of CISPs. </w:t>
      </w:r>
    </w:p>
    <w:p w:rsidR="00534C63" w:rsidRDefault="00534C63" w:rsidP="00534C63">
      <w:pPr>
        <w:pStyle w:val="whp20100506"/>
      </w:pPr>
    </w:p>
    <w:p w:rsidR="00534C63" w:rsidRDefault="00534C63" w:rsidP="00534C63">
      <w:pPr>
        <w:pStyle w:val="whp20100506"/>
      </w:pPr>
      <w:r>
        <w:t xml:space="preserve">S25B(1) of the Act is the facilitating clause that creates the ‘conduit principle’ in favour of the beneficiaries in their capacity as Participatory Unit Holders (PIH) and the ultimate beneficiaries of a CISP. </w:t>
      </w:r>
    </w:p>
    <w:p w:rsidR="00534C63" w:rsidRDefault="00534C63" w:rsidP="00534C63">
      <w:pPr>
        <w:pStyle w:val="whp20100506"/>
      </w:pPr>
    </w:p>
    <w:p w:rsidR="00534C63" w:rsidRDefault="00534C63" w:rsidP="00534C63">
      <w:pPr>
        <w:pStyle w:val="whp20100506"/>
      </w:pPr>
      <w:r>
        <w:t>S25B (1) states that:</w:t>
      </w:r>
    </w:p>
    <w:p w:rsidR="00534C63" w:rsidRDefault="00534C63" w:rsidP="00534C63">
      <w:pPr>
        <w:pStyle w:val="whp20100506"/>
      </w:pPr>
    </w:p>
    <w:p w:rsidR="00534C63" w:rsidRDefault="00534C63" w:rsidP="00534C63">
      <w:pPr>
        <w:pStyle w:val="whp20100506"/>
        <w:rPr>
          <w:i/>
        </w:rPr>
      </w:pPr>
      <w:r>
        <w:t xml:space="preserve"> “</w:t>
      </w:r>
      <w:r>
        <w:rPr>
          <w:i/>
        </w:rPr>
        <w:t xml:space="preserve">any amount received by or accrued to or in favour of any person during any year of assessment in his or her capacity as the trustee or a trust, shall, subject to the provisions of section 7, to the extent to which that amount has been derived for the immediate or future benefit of any ascertained beneficiary who has a vested right to that amount during that year, be deemed to be an amount which has accrued to that beneficiary, and to the extent to which that amount is not so derived, be deemed to be an amount which has accrued to that trust”. </w:t>
      </w:r>
    </w:p>
    <w:p w:rsidR="00534C63" w:rsidRDefault="00534C63" w:rsidP="00534C63">
      <w:pPr>
        <w:pStyle w:val="whp20100506"/>
      </w:pPr>
    </w:p>
    <w:p w:rsidR="00534C63" w:rsidRDefault="00534C63" w:rsidP="00534C63">
      <w:pPr>
        <w:pStyle w:val="whp20100506"/>
      </w:pPr>
      <w:r>
        <w:t>The implication of S25B (1) is that the CISP is deemed as a vesting trust only and that all income earned is passed over the beneficiaries of the trust being the investor. Capital gains accrue to the beneficiary however this is regulated by S67A of the 8</w:t>
      </w:r>
      <w:r w:rsidRPr="00304C2B">
        <w:rPr>
          <w:vertAlign w:val="superscript"/>
        </w:rPr>
        <w:t>th</w:t>
      </w:r>
      <w:r>
        <w:t xml:space="preserve"> Schedule of the Income Tax Act, discussed later. </w:t>
      </w:r>
    </w:p>
    <w:p w:rsidR="00534C63" w:rsidRDefault="00534C63" w:rsidP="00534C63">
      <w:pPr>
        <w:pStyle w:val="whp20100506"/>
      </w:pPr>
    </w:p>
    <w:p w:rsidR="00534C63" w:rsidRDefault="00534C63" w:rsidP="00534C63">
      <w:pPr>
        <w:pStyle w:val="whp20100506"/>
      </w:pPr>
      <w:r>
        <w:lastRenderedPageBreak/>
        <w:t>A further consideration is S10(1)(iA)</w:t>
      </w:r>
      <w:r>
        <w:rPr>
          <w:rStyle w:val="FootnoteReference"/>
        </w:rPr>
        <w:footnoteReference w:id="22"/>
      </w:r>
      <w:r>
        <w:t xml:space="preserve"> of t</w:t>
      </w:r>
      <w:r w:rsidRPr="00D235FD">
        <w:t>he Income Tax Act</w:t>
      </w:r>
      <w:r>
        <w:t xml:space="preserve"> goes further by stipulating that income will be exempted from normal tax. S10 (1) (iA) states that if:</w:t>
      </w:r>
    </w:p>
    <w:p w:rsidR="00534C63" w:rsidRDefault="00534C63" w:rsidP="00534C63">
      <w:pPr>
        <w:pStyle w:val="whp20100506"/>
      </w:pPr>
    </w:p>
    <w:p w:rsidR="00534C63" w:rsidRDefault="00534C63" w:rsidP="00534C63">
      <w:pPr>
        <w:pStyle w:val="whp20100506"/>
        <w:rPr>
          <w:i/>
        </w:rPr>
      </w:pPr>
      <w:r>
        <w:t>“</w:t>
      </w:r>
      <w:r>
        <w:rPr>
          <w:i/>
        </w:rPr>
        <w:t xml:space="preserve">any amount received by or accrued to a holder of a participatory interest in a portfolio of a collective investment scheme in securities by way of a distribution from that portfolio if that amount is deemed to have accrued to that portfolio in terms of section 25BA(b). </w:t>
      </w:r>
    </w:p>
    <w:p w:rsidR="00534C63" w:rsidRDefault="00534C63" w:rsidP="00534C63">
      <w:pPr>
        <w:pStyle w:val="whp20100506"/>
      </w:pPr>
    </w:p>
    <w:p w:rsidR="00534C63" w:rsidRDefault="00534C63" w:rsidP="00534C63">
      <w:pPr>
        <w:pStyle w:val="whp20100506"/>
      </w:pPr>
      <w:r>
        <w:t xml:space="preserve">Because the Collective Investment Schemes in Property (CISP) are </w:t>
      </w:r>
      <w:r w:rsidRPr="00D235FD">
        <w:t>deemed</w:t>
      </w:r>
      <w:r>
        <w:t xml:space="preserve"> to be a</w:t>
      </w:r>
      <w:r w:rsidRPr="00D235FD">
        <w:t xml:space="preserve"> vesting trust</w:t>
      </w:r>
      <w:r>
        <w:t>, al</w:t>
      </w:r>
      <w:r w:rsidRPr="00D235FD">
        <w:t>l receipts and accruals vest with the unit holder</w:t>
      </w:r>
      <w:r>
        <w:t xml:space="preserve"> and not the investment vehicle</w:t>
      </w:r>
      <w:r w:rsidRPr="00D235FD">
        <w:t xml:space="preserve">. </w:t>
      </w:r>
      <w:r>
        <w:t xml:space="preserve">The implication of this is therefore that a CISP is a wholly </w:t>
      </w:r>
      <w:r w:rsidRPr="00D235FD">
        <w:t xml:space="preserve">tax transparent form of </w:t>
      </w:r>
      <w:r>
        <w:t>in</w:t>
      </w:r>
      <w:r w:rsidRPr="00D235FD">
        <w:t>vestment</w:t>
      </w:r>
      <w:r>
        <w:t xml:space="preserve"> which aims to achieve a total flow through of funds from the source and ultimately into the hands of the PIH. </w:t>
      </w:r>
    </w:p>
    <w:p w:rsidR="00534C63" w:rsidRDefault="00534C63" w:rsidP="00534C63">
      <w:pPr>
        <w:pStyle w:val="whp20100506"/>
      </w:pPr>
    </w:p>
    <w:p w:rsidR="00534C63" w:rsidRDefault="00534C63" w:rsidP="00534C63">
      <w:pPr>
        <w:pStyle w:val="whp20100506"/>
      </w:pPr>
      <w:r>
        <w:t xml:space="preserve">The impact of S10(1)(iA) therefore is that CISPs </w:t>
      </w:r>
      <w:r w:rsidRPr="00D235FD">
        <w:t>do not pay tax at the corporate level</w:t>
      </w:r>
      <w:r>
        <w:t>,</w:t>
      </w:r>
      <w:r w:rsidRPr="00D235FD">
        <w:t xml:space="preserve"> irrespective of whether the underlying real estate assets are owned by the trust directly or by a company</w:t>
      </w:r>
      <w:r>
        <w:t xml:space="preserve"> whose shares are owned by the trust</w:t>
      </w:r>
      <w:r w:rsidRPr="00D235FD">
        <w:t xml:space="preserve">. </w:t>
      </w:r>
    </w:p>
    <w:p w:rsidR="00534C63" w:rsidRDefault="00534C63" w:rsidP="00534C63">
      <w:pPr>
        <w:pStyle w:val="whp20100506"/>
      </w:pPr>
    </w:p>
    <w:p w:rsidR="00534C63" w:rsidRDefault="00534C63" w:rsidP="00534C63">
      <w:pPr>
        <w:pStyle w:val="whp20100506"/>
      </w:pPr>
      <w:r>
        <w:t>Should a CISP not utilising the provision of S10 (1) (iA), in other words not passing the money over to its PIH, all</w:t>
      </w:r>
      <w:r w:rsidRPr="00D235FD">
        <w:t xml:space="preserve"> retained income </w:t>
      </w:r>
      <w:r>
        <w:t>that is held within the CISP will be taxed at the rate of 40%. This being the percentage rate that all trusts are taxed in South Africa</w:t>
      </w:r>
      <w:r w:rsidRPr="00D235FD">
        <w:t>.</w:t>
      </w:r>
      <w:r>
        <w:t xml:space="preserve"> The purpose of this being to encourage CISPs to pass all the revenue generated to the beneficiary and is a universal trend in </w:t>
      </w:r>
      <w:r w:rsidR="00194F2A">
        <w:t>REITS</w:t>
      </w:r>
      <w:r>
        <w:t xml:space="preserve"> internationally.</w:t>
      </w:r>
    </w:p>
    <w:p w:rsidR="00534C63" w:rsidRDefault="00534C63" w:rsidP="00534C63">
      <w:pPr>
        <w:pStyle w:val="whp20100506"/>
      </w:pPr>
    </w:p>
    <w:p w:rsidR="00534C63" w:rsidRDefault="00534C63" w:rsidP="00534C63">
      <w:pPr>
        <w:pStyle w:val="whp20100506"/>
      </w:pPr>
      <w:r>
        <w:t>The fragmented, if not confusing, principles of taxation within a Collective Investment Schemes in Property (CISP) is best understood by reviewing the work of Fourie (2009) by scrutinising the ownership structures from two perspectives being:</w:t>
      </w:r>
    </w:p>
    <w:p w:rsidR="00534C63" w:rsidRDefault="00534C63" w:rsidP="00534C63">
      <w:pPr>
        <w:pStyle w:val="whp20100506"/>
        <w:rPr>
          <w:b/>
        </w:rPr>
      </w:pPr>
    </w:p>
    <w:p w:rsidR="00534C63" w:rsidRPr="00C603DC" w:rsidRDefault="00534C63" w:rsidP="00CB0FDD">
      <w:pPr>
        <w:pStyle w:val="whp20100506"/>
        <w:numPr>
          <w:ilvl w:val="0"/>
          <w:numId w:val="18"/>
        </w:numPr>
        <w:rPr>
          <w:b/>
        </w:rPr>
      </w:pPr>
      <w:r w:rsidRPr="00C603DC">
        <w:rPr>
          <w:b/>
        </w:rPr>
        <w:t>Direct Ownership of Property by a CISP</w:t>
      </w:r>
      <w:r w:rsidRPr="00C603DC">
        <w:rPr>
          <w:rStyle w:val="FootnoteReference"/>
          <w:b/>
        </w:rPr>
        <w:footnoteReference w:id="23"/>
      </w:r>
    </w:p>
    <w:p w:rsidR="00534C63" w:rsidRDefault="00534C63" w:rsidP="00534C63">
      <w:pPr>
        <w:pStyle w:val="whp20100506"/>
      </w:pPr>
    </w:p>
    <w:p w:rsidR="00534C63" w:rsidRDefault="00534C63" w:rsidP="00534C63">
      <w:pPr>
        <w:pStyle w:val="whp20100506"/>
      </w:pPr>
      <w:r>
        <w:t>The first part o review is the treatment of income. All r</w:t>
      </w:r>
      <w:r w:rsidRPr="00D235FD">
        <w:t xml:space="preserve">ental income is distributed to the </w:t>
      </w:r>
      <w:r>
        <w:t>PIH,</w:t>
      </w:r>
      <w:r w:rsidRPr="00D235FD">
        <w:t xml:space="preserve"> </w:t>
      </w:r>
      <w:r>
        <w:t>and</w:t>
      </w:r>
      <w:r w:rsidRPr="00D235FD">
        <w:t xml:space="preserve"> for tax purposes</w:t>
      </w:r>
      <w:r>
        <w:t xml:space="preserve"> this payment</w:t>
      </w:r>
      <w:r w:rsidRPr="00D235FD">
        <w:t xml:space="preserve"> is treated as </w:t>
      </w:r>
      <w:r>
        <w:t xml:space="preserve">rental income when paid to the beneficiary. </w:t>
      </w:r>
      <w:r>
        <w:lastRenderedPageBreak/>
        <w:t>The revenue generated by the CISP retains its characteristics and therefore the PIH will receive the same amount that the CISP generated. The CISP merely acts as a conduit to channel the funds to the investor where it will be taxed in his hands. Once the interest is received by the PIH, it is taxed at his marginal rate of tax after all interest exemptions are exhausted by the investor. This is the total flow-through principle. I</w:t>
      </w:r>
      <w:r w:rsidRPr="00D235FD">
        <w:t xml:space="preserve">f the </w:t>
      </w:r>
      <w:r>
        <w:t xml:space="preserve">PIH is </w:t>
      </w:r>
      <w:r w:rsidRPr="00D235FD">
        <w:t>a company, then company corporate tax rates applies</w:t>
      </w:r>
      <w:r>
        <w:t xml:space="preserve">, </w:t>
      </w:r>
      <w:r w:rsidRPr="007D5081">
        <w:t xml:space="preserve">which is currently 28%. </w:t>
      </w:r>
    </w:p>
    <w:p w:rsidR="00534C63" w:rsidRDefault="00534C63" w:rsidP="00534C63">
      <w:pPr>
        <w:pStyle w:val="whp20100506"/>
      </w:pPr>
    </w:p>
    <w:p w:rsidR="00534C63" w:rsidRDefault="00534C63" w:rsidP="00534C63">
      <w:pPr>
        <w:pStyle w:val="whp20100506"/>
      </w:pPr>
      <w:r>
        <w:t>The second part of review is the treatment of Capital Gains. As per S67A of the 8</w:t>
      </w:r>
      <w:r w:rsidRPr="009A3BF5">
        <w:rPr>
          <w:vertAlign w:val="superscript"/>
        </w:rPr>
        <w:t>th</w:t>
      </w:r>
      <w:r>
        <w:t xml:space="preserve"> Schedule of the Income Tax Act</w:t>
      </w:r>
      <w:r w:rsidRPr="00D235FD">
        <w:t xml:space="preserve">, all capital gains and losses </w:t>
      </w:r>
      <w:r>
        <w:t xml:space="preserve">within a CISP </w:t>
      </w:r>
      <w:r w:rsidRPr="00D235FD">
        <w:t xml:space="preserve">are deferred until the moment that the </w:t>
      </w:r>
      <w:r>
        <w:t>PIH</w:t>
      </w:r>
      <w:r w:rsidRPr="00D235FD">
        <w:t xml:space="preserve"> sells his </w:t>
      </w:r>
      <w:r>
        <w:t xml:space="preserve">participatory </w:t>
      </w:r>
      <w:r w:rsidRPr="00D235FD">
        <w:t>units</w:t>
      </w:r>
      <w:r>
        <w:t xml:space="preserve">. At this point </w:t>
      </w:r>
      <w:r w:rsidRPr="00D235FD">
        <w:t>the disposal will trigger Capital Gains Tax (CGT)</w:t>
      </w:r>
      <w:r>
        <w:t xml:space="preserve"> as a recognised CGT event. In practice </w:t>
      </w:r>
      <w:r w:rsidRPr="00D235FD">
        <w:t>when properties are sold within the PUT, no CGT event is triggered</w:t>
      </w:r>
      <w:r>
        <w:t xml:space="preserve"> at the moment of the sale of the underlying property, only at the disposal of the participatory units in the open market.</w:t>
      </w:r>
    </w:p>
    <w:p w:rsidR="00534C63" w:rsidRDefault="00534C63" w:rsidP="00534C63">
      <w:pPr>
        <w:pStyle w:val="whp20100506"/>
        <w:ind w:left="720"/>
        <w:jc w:val="center"/>
      </w:pPr>
    </w:p>
    <w:p w:rsidR="00534C63" w:rsidRPr="00C603DC" w:rsidRDefault="00534C63" w:rsidP="00CB0FDD">
      <w:pPr>
        <w:pStyle w:val="whp20100506"/>
        <w:numPr>
          <w:ilvl w:val="0"/>
          <w:numId w:val="18"/>
        </w:numPr>
        <w:rPr>
          <w:b/>
        </w:rPr>
      </w:pPr>
      <w:r w:rsidRPr="00C603DC">
        <w:rPr>
          <w:b/>
        </w:rPr>
        <w:t>Indirect Ownership of Property</w:t>
      </w:r>
      <w:r w:rsidRPr="00C603DC">
        <w:rPr>
          <w:rStyle w:val="FootnoteReference"/>
          <w:b/>
        </w:rPr>
        <w:footnoteReference w:id="24"/>
      </w:r>
    </w:p>
    <w:p w:rsidR="00534C63" w:rsidRDefault="00534C63" w:rsidP="00534C63">
      <w:pPr>
        <w:pStyle w:val="whp20100506"/>
      </w:pPr>
    </w:p>
    <w:p w:rsidR="00534C63" w:rsidRDefault="00534C63" w:rsidP="00534C63">
      <w:pPr>
        <w:pStyle w:val="whp20100506"/>
      </w:pPr>
      <w:r>
        <w:t>CISPs can indirectly have ownership structures in property, where the CISP owns property shares in either a Fixed Property Company (FPC) or a Holding Company (HC) who directly own the property. In the latter case of a HC, the property shares will be that of another Collective Investment Scheme in Property known as the auxiliary CISP. The perplexity of taxing CISPs in this instance becomes very convoluted.  Again the analysis of indirect ownership in a FPC and HC must be viewed from both a revenue and capital gain perspective.</w:t>
      </w:r>
    </w:p>
    <w:p w:rsidR="00534C63" w:rsidRDefault="00534C63" w:rsidP="00534C63">
      <w:pPr>
        <w:pStyle w:val="whp20100506"/>
        <w:rPr>
          <w:b/>
        </w:rPr>
      </w:pPr>
    </w:p>
    <w:p w:rsidR="00534C63" w:rsidRDefault="00534C63" w:rsidP="00534C63">
      <w:pPr>
        <w:pStyle w:val="whp20100506"/>
      </w:pPr>
      <w:r>
        <w:t xml:space="preserve">In the event of a CISP owning shares in a FPC, the rental income that is generated in the FPC is deductable as dividends under the provisions of S11(s) of the Income Tax Act which states that there shall be allowed as deductions from the income of such person so derived: </w:t>
      </w:r>
    </w:p>
    <w:p w:rsidR="00534C63" w:rsidRDefault="00534C63" w:rsidP="00534C63">
      <w:pPr>
        <w:pStyle w:val="whp20100506"/>
      </w:pPr>
    </w:p>
    <w:p w:rsidR="00534C63" w:rsidRDefault="00534C63" w:rsidP="00534C63">
      <w:pPr>
        <w:pStyle w:val="whp20100506"/>
      </w:pPr>
      <w:r>
        <w:t>“</w:t>
      </w:r>
      <w:r>
        <w:rPr>
          <w:sz w:val="16"/>
          <w:szCs w:val="16"/>
        </w:rPr>
        <w:t> </w:t>
      </w:r>
      <w:r w:rsidRPr="0078152F">
        <w:rPr>
          <w:i/>
        </w:rPr>
        <w:t xml:space="preserve">in the case of a company the shares of which are ‘property shares’ as defined in section 47 of the Collective Investment Schemes Control Act, 2002, the dividends (other than those distributed out of profits of a capital nature) distributed by such company during the year of assessment on shares included in a portfolio comprised in any collective investment scheme in property managed or carried on by any company registered as a manager under section </w:t>
      </w:r>
      <w:r w:rsidRPr="0078152F">
        <w:rPr>
          <w:i/>
        </w:rPr>
        <w:lastRenderedPageBreak/>
        <w:t>42 of that Act for the purposes of Part V of that Act</w:t>
      </w:r>
      <w:r>
        <w:t>”.</w:t>
      </w:r>
    </w:p>
    <w:p w:rsidR="00534C63" w:rsidRDefault="00534C63" w:rsidP="00534C63">
      <w:pPr>
        <w:pStyle w:val="whp20100506"/>
      </w:pPr>
    </w:p>
    <w:p w:rsidR="00534C63" w:rsidRDefault="00534C63" w:rsidP="00534C63">
      <w:pPr>
        <w:pStyle w:val="whp20100506"/>
      </w:pPr>
      <w:r>
        <w:t xml:space="preserve">The practical application therefore is that all revenue profits that are paid over to the CISP in the form of a dividend from the FPC </w:t>
      </w:r>
      <w:r w:rsidR="00A678E2">
        <w:t>are</w:t>
      </w:r>
      <w:r>
        <w:t xml:space="preserve"> tax deductable from the FPC’s taxable income</w:t>
      </w:r>
      <w:r>
        <w:rPr>
          <w:rStyle w:val="FootnoteReference"/>
        </w:rPr>
        <w:footnoteReference w:id="25"/>
      </w:r>
      <w:r>
        <w:t>. Once received by the CISP, the dividends would ordinarily be taxable; however as a vesting trust applying the conduit principle</w:t>
      </w:r>
      <w:r>
        <w:rPr>
          <w:rStyle w:val="FootnoteReference"/>
        </w:rPr>
        <w:footnoteReference w:id="26"/>
      </w:r>
      <w:r>
        <w:t>, the dividends are exempt</w:t>
      </w:r>
      <w:r>
        <w:rPr>
          <w:rStyle w:val="FootnoteReference"/>
        </w:rPr>
        <w:footnoteReference w:id="27"/>
      </w:r>
      <w:r>
        <w:t xml:space="preserve"> and paid over to the PIH as the beneficiary, who in turn would then be liable for paying tax. A FPC will not pay secondary tax on the dividends paid to the CISP.</w:t>
      </w:r>
    </w:p>
    <w:p w:rsidR="00534C63" w:rsidRDefault="00534C63" w:rsidP="00534C63">
      <w:pPr>
        <w:pStyle w:val="whp20100506"/>
        <w:ind w:left="720"/>
      </w:pPr>
    </w:p>
    <w:p w:rsidR="00534C63" w:rsidRDefault="00534C63" w:rsidP="00534C63">
      <w:pPr>
        <w:pStyle w:val="whp20100506"/>
      </w:pPr>
      <w:r>
        <w:t xml:space="preserve">As far as disposing of an asset by a FPC is concerned, the FPC must pay capital gains tax </w:t>
      </w:r>
    </w:p>
    <w:p w:rsidR="00534C63" w:rsidRDefault="00534C63" w:rsidP="00534C63">
      <w:pPr>
        <w:pStyle w:val="whp20100506"/>
      </w:pPr>
      <w:r>
        <w:t>(CGT) as this is recognized as a taxable event. The dividends paid by FPC to the CISP, derived from the profits of the sale, does not qualify for the deduction in terms of  S11(s) however does qualify for the exemption of S10(1)(k)(i) as paragraph (aa) states in relation to dividends:</w:t>
      </w:r>
    </w:p>
    <w:p w:rsidR="00534C63" w:rsidRDefault="00534C63" w:rsidP="00534C63">
      <w:pPr>
        <w:pStyle w:val="whp20100506"/>
        <w:rPr>
          <w:i/>
        </w:rPr>
      </w:pPr>
    </w:p>
    <w:p w:rsidR="00534C63" w:rsidRDefault="00534C63" w:rsidP="00534C63">
      <w:pPr>
        <w:pStyle w:val="whp20100506"/>
        <w:rPr>
          <w:i/>
        </w:rPr>
      </w:pPr>
      <w:r w:rsidRPr="0011377D">
        <w:rPr>
          <w:i/>
        </w:rPr>
        <w:t xml:space="preserve">“dividends (other than foreign dividends) received by or accrued to or in favour of any </w:t>
      </w:r>
      <w:hyperlink r:id="rId39" w:history="1">
        <w:r w:rsidRPr="0011377D">
          <w:rPr>
            <w:rStyle w:val="Hyperlink"/>
            <w:i/>
          </w:rPr>
          <w:t>person</w:t>
        </w:r>
      </w:hyperlink>
      <w:r w:rsidRPr="0011377D">
        <w:rPr>
          <w:i/>
        </w:rPr>
        <w:t xml:space="preserve">: </w:t>
      </w:r>
      <w:r w:rsidRPr="0011377D">
        <w:rPr>
          <w:b/>
          <w:bCs/>
          <w:i/>
        </w:rPr>
        <w:t>Provided that</w:t>
      </w:r>
      <w:r w:rsidRPr="0011377D">
        <w:rPr>
          <w:i/>
        </w:rPr>
        <w:t xml:space="preserve"> this exemption shall not apply</w:t>
      </w:r>
      <w:r>
        <w:rPr>
          <w:i/>
        </w:rPr>
        <w:t>—</w:t>
      </w:r>
    </w:p>
    <w:p w:rsidR="00534C63" w:rsidRDefault="00534C63" w:rsidP="00534C63">
      <w:pPr>
        <w:pStyle w:val="whp20100506"/>
        <w:rPr>
          <w:i/>
        </w:rPr>
      </w:pPr>
    </w:p>
    <w:p w:rsidR="00534C63" w:rsidRDefault="00534C63" w:rsidP="00534C63">
      <w:pPr>
        <w:pStyle w:val="whp20100506"/>
        <w:rPr>
          <w:i/>
        </w:rPr>
      </w:pPr>
      <w:r w:rsidRPr="0011377D">
        <w:rPr>
          <w:i/>
        </w:rPr>
        <w:t>aa)</w:t>
      </w:r>
      <w:r w:rsidRPr="0011377D">
        <w:rPr>
          <w:i/>
          <w:sz w:val="16"/>
          <w:szCs w:val="16"/>
        </w:rPr>
        <w:t>      </w:t>
      </w:r>
      <w:r w:rsidRPr="0011377D">
        <w:rPr>
          <w:i/>
        </w:rPr>
        <w:t>to dividends (other than those distributed out of profits of a capital nature and those received by or accrued to or in favour of any person who is neither a resident, nor carrying on business in the Republic) distributed by a company the shares of which are ‘property shares’ as defined in section 47 of the Collective Investment Schemes Control Act, 2002, on shares included in a portfolio comprised in any collective investment scheme in property managed or carried on by any company registered as a manager under section 42 of that Act for purposes of Part V of that Act;</w:t>
      </w:r>
    </w:p>
    <w:p w:rsidR="00534C63" w:rsidRDefault="00534C63" w:rsidP="00534C63">
      <w:pPr>
        <w:pStyle w:val="whp20100506"/>
        <w:ind w:left="720"/>
      </w:pPr>
    </w:p>
    <w:p w:rsidR="00534C63" w:rsidRDefault="00534C63" w:rsidP="00534C63">
      <w:pPr>
        <w:pStyle w:val="whp20100506"/>
      </w:pPr>
      <w:r>
        <w:t>Secondary Tax on Companies is payable the dividends that are paid from the capital gains achieved as the disposal of the underlying property asset.</w:t>
      </w:r>
    </w:p>
    <w:p w:rsidR="00534C63" w:rsidRDefault="00534C63" w:rsidP="00534C63">
      <w:pPr>
        <w:pStyle w:val="whp20100506"/>
      </w:pPr>
    </w:p>
    <w:p w:rsidR="00534C63" w:rsidRDefault="00534C63" w:rsidP="00534C63">
      <w:pPr>
        <w:pStyle w:val="whp20100506"/>
      </w:pPr>
      <w:r>
        <w:t xml:space="preserve">In the event of a CISP owning shares in an auxiliary CISP, the mechanics are straight forward in that the rental revenue and capital gains that are generated therein will flow to the primary </w:t>
      </w:r>
      <w:r>
        <w:lastRenderedPageBreak/>
        <w:t xml:space="preserve">CISP as a result of the status of the auxiliary CISP as a vesting trust in terms of S25B (1) and therefore acts as a conduit in furtherance of the total flow through principle. </w:t>
      </w:r>
    </w:p>
    <w:p w:rsidR="00534C63" w:rsidRDefault="00534C63" w:rsidP="00534C63">
      <w:pPr>
        <w:pStyle w:val="whp20100506"/>
        <w:ind w:left="720"/>
      </w:pPr>
    </w:p>
    <w:p w:rsidR="00534C63" w:rsidRDefault="00534C63" w:rsidP="00534C63">
      <w:pPr>
        <w:pStyle w:val="whp20100506"/>
      </w:pPr>
      <w:r>
        <w:t xml:space="preserve">The nature of the primary CISP, also as a vesting trust, further allows the revenue and capital will flow directly into the hands of the PIH as the ultimate beneficiary. </w:t>
      </w:r>
    </w:p>
    <w:p w:rsidR="00534C63" w:rsidRDefault="00534C63" w:rsidP="00534C63">
      <w:pPr>
        <w:pStyle w:val="whp20100506"/>
        <w:ind w:left="720"/>
      </w:pPr>
    </w:p>
    <w:p w:rsidR="00534C63" w:rsidRPr="00A678E2" w:rsidRDefault="00534C63" w:rsidP="00534C63">
      <w:pPr>
        <w:pStyle w:val="whp20100506"/>
      </w:pPr>
      <w:r>
        <w:t xml:space="preserve">S67A (1) of </w:t>
      </w:r>
      <w:r w:rsidRPr="00A678E2">
        <w:t xml:space="preserve">the Eighth Schedule is again applicable in that no capital gains trust is payable until such time as the primary CISPs disposes of its units in the auxiliary CISP. </w:t>
      </w:r>
    </w:p>
    <w:p w:rsidR="00534C63" w:rsidRPr="00A678E2" w:rsidRDefault="00534C63" w:rsidP="00534C63">
      <w:pPr>
        <w:pStyle w:val="whp20100506"/>
        <w:ind w:left="720"/>
      </w:pPr>
    </w:p>
    <w:p w:rsidR="00534C63" w:rsidRPr="00A678E2" w:rsidRDefault="00AD0CAA" w:rsidP="00534C63">
      <w:pPr>
        <w:pStyle w:val="whp20100506"/>
        <w:numPr>
          <w:ilvl w:val="2"/>
          <w:numId w:val="20"/>
        </w:numPr>
        <w:rPr>
          <w:b/>
        </w:rPr>
      </w:pPr>
      <w:r w:rsidRPr="00A678E2">
        <w:rPr>
          <w:b/>
        </w:rPr>
        <w:t xml:space="preserve">HOLISTIC </w:t>
      </w:r>
      <w:r w:rsidR="00534C63" w:rsidRPr="00A678E2">
        <w:rPr>
          <w:b/>
        </w:rPr>
        <w:t xml:space="preserve">ANOMALIES </w:t>
      </w:r>
      <w:r w:rsidRPr="00A678E2">
        <w:rPr>
          <w:b/>
        </w:rPr>
        <w:t xml:space="preserve">AND PROBLEMS </w:t>
      </w:r>
      <w:r w:rsidR="00534C63" w:rsidRPr="00A678E2">
        <w:rPr>
          <w:b/>
        </w:rPr>
        <w:t>OF CISPs LEGISLATION</w:t>
      </w:r>
    </w:p>
    <w:p w:rsidR="00534C63" w:rsidRDefault="00534C63" w:rsidP="00534C63">
      <w:pPr>
        <w:pStyle w:val="whp20100506"/>
      </w:pPr>
    </w:p>
    <w:p w:rsidR="00534C63" w:rsidRDefault="00534C63" w:rsidP="00534C63">
      <w:pPr>
        <w:pStyle w:val="whp20100506"/>
      </w:pPr>
      <w:r>
        <w:t xml:space="preserve">As illustrated above the application of the taxation principles to the various ownership scenarios of CISPs is fragmented and somewhat confusing. The anomalies in the legislative framework is that CISPs are regulated under both the Collective Investment Schemes Control Act 45of 2002 (CISCA) and The Income Tax Act 58 of 1962 (ITA). </w:t>
      </w:r>
    </w:p>
    <w:p w:rsidR="00534C63" w:rsidRDefault="00534C63" w:rsidP="00534C63">
      <w:pPr>
        <w:pStyle w:val="whp20100506"/>
        <w:ind w:left="720"/>
      </w:pPr>
    </w:p>
    <w:p w:rsidR="00534C63" w:rsidRDefault="00534C63" w:rsidP="00534C63">
      <w:pPr>
        <w:pStyle w:val="whp20100506"/>
      </w:pPr>
      <w:r>
        <w:t>It is important to note that attempts have subsequently been made to address the existence of these anomalies by way of the Taxation Laws Amendment Act of 2009, which were implemented after the release of the National Treasury’s Discussion Document. This Research Report is however concerned primarily only with the historical background that led to the National Treasury to reform the listed investment property sector in South Africa and as such will not incorporate the 2009 changes as a primary focal point of the thesis.</w:t>
      </w:r>
    </w:p>
    <w:p w:rsidR="00534C63" w:rsidRDefault="00534C63" w:rsidP="00534C63">
      <w:pPr>
        <w:pStyle w:val="whp20100506"/>
        <w:ind w:left="720"/>
      </w:pPr>
    </w:p>
    <w:p w:rsidR="00534C63" w:rsidRDefault="00534C63" w:rsidP="00534C63">
      <w:pPr>
        <w:pStyle w:val="whp20100506"/>
      </w:pPr>
      <w:r>
        <w:t>The justification of a CISP acting as a total flow through conduit by excluding its revenue from gross income is derived from the exemption that is granted in S10(1)(iA) which specifically states that it is an exemption applicable to “</w:t>
      </w:r>
      <w:r>
        <w:rPr>
          <w:i/>
        </w:rPr>
        <w:t>any portfolio of a collective scheme referred to in (e)(i) of the definition of company in section 1”.</w:t>
      </w:r>
      <w:r>
        <w:t xml:space="preserve"> </w:t>
      </w:r>
    </w:p>
    <w:p w:rsidR="00534C63" w:rsidRDefault="00534C63" w:rsidP="00534C63">
      <w:pPr>
        <w:pStyle w:val="whp20100506"/>
        <w:ind w:left="720"/>
      </w:pPr>
    </w:p>
    <w:p w:rsidR="00534C63" w:rsidRDefault="00534C63" w:rsidP="00534C63">
      <w:pPr>
        <w:pStyle w:val="whp20100506"/>
      </w:pPr>
      <w:r>
        <w:t xml:space="preserve">The question therefore requires the determination of whether a CISP complies with the definition of company as per S1 (e) (i) of the said Act and it is here that the anomaly is created. </w:t>
      </w:r>
    </w:p>
    <w:p w:rsidR="00534C63" w:rsidRDefault="00534C63" w:rsidP="00534C63">
      <w:pPr>
        <w:pStyle w:val="whp20100506"/>
      </w:pPr>
    </w:p>
    <w:p w:rsidR="00534C63" w:rsidRDefault="00534C63" w:rsidP="00534C63">
      <w:pPr>
        <w:pStyle w:val="whp20100506"/>
      </w:pPr>
      <w:r>
        <w:t>The definition of a company as contained in S1(e)(i) is only applicable to “</w:t>
      </w:r>
      <w:r>
        <w:rPr>
          <w:i/>
        </w:rPr>
        <w:t xml:space="preserve">a portfolio comprised in the collective investment scheme in securities as contemplated in Part IV of the </w:t>
      </w:r>
      <w:r>
        <w:rPr>
          <w:i/>
        </w:rPr>
        <w:lastRenderedPageBreak/>
        <w:t>Collective Investment Scheme Control Act”</w:t>
      </w:r>
      <w:r>
        <w:t xml:space="preserve">. </w:t>
      </w:r>
    </w:p>
    <w:p w:rsidR="00534C63" w:rsidRDefault="00534C63" w:rsidP="00534C63">
      <w:pPr>
        <w:pStyle w:val="whp20100506"/>
        <w:ind w:left="720"/>
      </w:pPr>
    </w:p>
    <w:p w:rsidR="00534C63" w:rsidRDefault="00534C63" w:rsidP="00534C63">
      <w:pPr>
        <w:pStyle w:val="whp20100506"/>
      </w:pPr>
      <w:r>
        <w:t xml:space="preserve">CISP’s is not a collective scheme in securities and neither is it regulated by part IV of CISCA which on face value nullifies all of the aforementioned legislative principles applicable to CISPs. A CISP is a collection scheme in property and is regulated by part V. </w:t>
      </w:r>
    </w:p>
    <w:p w:rsidR="00534C63" w:rsidRDefault="00534C63" w:rsidP="00534C63">
      <w:pPr>
        <w:pStyle w:val="whp20100506"/>
        <w:ind w:left="720"/>
      </w:pPr>
    </w:p>
    <w:p w:rsidR="00534C63" w:rsidRDefault="00534C63" w:rsidP="00534C63">
      <w:pPr>
        <w:pStyle w:val="whp20100506"/>
      </w:pPr>
      <w:r>
        <w:t>It therefore does not comply with the qualified definition of ‘company’ as per S1 (e) (i) and thus in technical terms should not receive the exemption status afforded to it in practice. This is the fundamental anomaly in the applicable legislation.</w:t>
      </w:r>
    </w:p>
    <w:p w:rsidR="00534C63" w:rsidRDefault="00534C63" w:rsidP="00534C63">
      <w:pPr>
        <w:pStyle w:val="whp20100506"/>
        <w:rPr>
          <w:b/>
        </w:rPr>
      </w:pPr>
    </w:p>
    <w:p w:rsidR="00534C63" w:rsidRPr="00177B12" w:rsidRDefault="00534C63" w:rsidP="00534C63">
      <w:pPr>
        <w:pStyle w:val="whp20100506"/>
        <w:numPr>
          <w:ilvl w:val="1"/>
          <w:numId w:val="20"/>
        </w:numPr>
        <w:rPr>
          <w:b/>
        </w:rPr>
      </w:pPr>
      <w:r>
        <w:rPr>
          <w:b/>
        </w:rPr>
        <w:t>P</w:t>
      </w:r>
      <w:r w:rsidRPr="0002398B">
        <w:rPr>
          <w:b/>
        </w:rPr>
        <w:t>ROPERTY LOAN STOCKS (PL</w:t>
      </w:r>
      <w:r>
        <w:rPr>
          <w:b/>
        </w:rPr>
        <w:t>S)</w:t>
      </w:r>
    </w:p>
    <w:p w:rsidR="00534C63" w:rsidRDefault="00534C63" w:rsidP="00534C63">
      <w:pPr>
        <w:pStyle w:val="whp20100506"/>
        <w:ind w:left="720"/>
        <w:rPr>
          <w:b/>
        </w:rPr>
      </w:pPr>
    </w:p>
    <w:p w:rsidR="00534C63" w:rsidRDefault="00534C63" w:rsidP="00534C63">
      <w:pPr>
        <w:pStyle w:val="whp20100506"/>
        <w:numPr>
          <w:ilvl w:val="2"/>
          <w:numId w:val="20"/>
        </w:numPr>
        <w:rPr>
          <w:b/>
        </w:rPr>
      </w:pPr>
      <w:r w:rsidRPr="00B57BB6">
        <w:rPr>
          <w:b/>
        </w:rPr>
        <w:t>UNDERSTANDI</w:t>
      </w:r>
      <w:r w:rsidR="00832A5D">
        <w:rPr>
          <w:b/>
        </w:rPr>
        <w:t>NG THE REGULATION AND STRUCTURE</w:t>
      </w:r>
      <w:r w:rsidRPr="00B57BB6">
        <w:rPr>
          <w:b/>
        </w:rPr>
        <w:t xml:space="preserve"> OF PLS</w:t>
      </w:r>
    </w:p>
    <w:p w:rsidR="00534C63" w:rsidRPr="00177B12" w:rsidRDefault="00534C63" w:rsidP="00534C63">
      <w:pPr>
        <w:pStyle w:val="whp20100506"/>
      </w:pPr>
    </w:p>
    <w:p w:rsidR="00534C63" w:rsidRDefault="00534C63" w:rsidP="00534C63">
      <w:pPr>
        <w:pStyle w:val="whp20100506"/>
      </w:pPr>
      <w:r w:rsidRPr="00177B12">
        <w:t xml:space="preserve">A Property Loan Stock (PLS) is the second of the two listed investment property vehicles in South Africa. PLS entities are companies that are juristic entities that are regulated by the Companies Act 61 of 1973. </w:t>
      </w:r>
    </w:p>
    <w:p w:rsidR="00534C63" w:rsidRDefault="00534C63" w:rsidP="00534C63">
      <w:pPr>
        <w:pStyle w:val="whp20100506"/>
      </w:pPr>
    </w:p>
    <w:p w:rsidR="00534C63" w:rsidRDefault="00534C63" w:rsidP="00534C63">
      <w:pPr>
        <w:pStyle w:val="whp20100506"/>
      </w:pPr>
      <w:r w:rsidRPr="00177B12">
        <w:t xml:space="preserve">It must be noted that a comprehensive revision of this Act is being undertaken which is expected to be promulgated in 2010. For purposes of this </w:t>
      </w:r>
      <w:r>
        <w:t>Research Report</w:t>
      </w:r>
      <w:r w:rsidRPr="00177B12">
        <w:t>, the effects of the revised Companies Act will be ignored.</w:t>
      </w:r>
    </w:p>
    <w:p w:rsidR="00534C63" w:rsidRPr="00177B12" w:rsidRDefault="00534C63" w:rsidP="00534C63">
      <w:pPr>
        <w:pStyle w:val="whp20100506"/>
      </w:pPr>
    </w:p>
    <w:p w:rsidR="00534C63" w:rsidRDefault="00534C63" w:rsidP="00534C63">
      <w:pPr>
        <w:pStyle w:val="whp20100506"/>
      </w:pPr>
      <w:r w:rsidRPr="00177B12">
        <w:t xml:space="preserve">The PLS company, as a separate legal entity, is governed by the Companies Act as its enabling source, with its day to day activities being exercising in relation to that company’s Memorandum and Articles of Association. </w:t>
      </w:r>
    </w:p>
    <w:p w:rsidR="00534C63" w:rsidRDefault="00534C63" w:rsidP="00534C63">
      <w:pPr>
        <w:pStyle w:val="whp20100506"/>
      </w:pPr>
    </w:p>
    <w:p w:rsidR="00534C63" w:rsidRDefault="00534C63" w:rsidP="00534C63">
      <w:pPr>
        <w:pStyle w:val="whp20100506"/>
      </w:pPr>
      <w:r w:rsidRPr="00177B12">
        <w:t xml:space="preserve">A PLS entity, just like any other company, is incorporated by lodging its Memorandum and Articles of Association with the Registrar of Companies, which outlines the company’s objective. The PLS company must therefore ensure that its main business is aligned to that which is described as its main business in its Memorandum of Association. </w:t>
      </w:r>
    </w:p>
    <w:p w:rsidR="00534C63" w:rsidRDefault="00534C63" w:rsidP="00534C63">
      <w:pPr>
        <w:pStyle w:val="whp20100506"/>
      </w:pPr>
    </w:p>
    <w:p w:rsidR="00534C63" w:rsidRDefault="00DE1DB3" w:rsidP="00534C63">
      <w:pPr>
        <w:pStyle w:val="whp20100506"/>
      </w:pPr>
      <w:r>
        <w:rPr>
          <w:noProof/>
        </w:rPr>
        <w:lastRenderedPageBreak/>
        <w:pict>
          <v:shape id="_x0000_s1028" type="#_x0000_t202" style="position:absolute;margin-left:87pt;margin-top:185.25pt;width:316.6pt;height:22.95pt;z-index:251664384" stroked="f">
            <v:textbox style="mso-next-textbox:#_x0000_s1028;mso-fit-shape-to-text:t" inset="0,0,0,0">
              <w:txbxContent>
                <w:p w:rsidR="00573D8E" w:rsidRPr="00A90F31" w:rsidRDefault="00573D8E" w:rsidP="00534C63">
                  <w:pPr>
                    <w:pStyle w:val="Caption"/>
                    <w:jc w:val="center"/>
                    <w:rPr>
                      <w:rFonts w:asciiTheme="minorHAnsi" w:eastAsia="Times New Roman" w:hAnsiTheme="minorHAnsi"/>
                      <w:noProof/>
                      <w:sz w:val="18"/>
                      <w:szCs w:val="18"/>
                    </w:rPr>
                  </w:pPr>
                  <w:bookmarkStart w:id="18" w:name="_Toc263675836"/>
                  <w:bookmarkStart w:id="19" w:name="_Toc265556357"/>
                  <w:r w:rsidRPr="00A90F31">
                    <w:rPr>
                      <w:rFonts w:asciiTheme="minorHAnsi" w:hAnsiTheme="minorHAnsi"/>
                      <w:sz w:val="18"/>
                      <w:szCs w:val="18"/>
                    </w:rPr>
                    <w:t xml:space="preserve">Figure </w:t>
                  </w:r>
                  <w:r>
                    <w:rPr>
                      <w:rFonts w:asciiTheme="minorHAnsi" w:hAnsiTheme="minorHAnsi"/>
                      <w:sz w:val="18"/>
                      <w:szCs w:val="18"/>
                    </w:rPr>
                    <w:t>8</w:t>
                  </w:r>
                  <w:r w:rsidRPr="00A90F31">
                    <w:rPr>
                      <w:rFonts w:asciiTheme="minorHAnsi" w:hAnsiTheme="minorHAnsi"/>
                      <w:sz w:val="18"/>
                      <w:szCs w:val="18"/>
                    </w:rPr>
                    <w:t xml:space="preserve"> Legislative Control of PLS</w:t>
                  </w:r>
                  <w:bookmarkEnd w:id="18"/>
                  <w:bookmarkEnd w:id="19"/>
                  <w:r w:rsidRPr="00A90F31">
                    <w:rPr>
                      <w:rFonts w:asciiTheme="minorHAnsi" w:hAnsiTheme="minorHAnsi"/>
                      <w:sz w:val="18"/>
                      <w:szCs w:val="18"/>
                    </w:rPr>
                    <w:t xml:space="preserve"> in South Africa </w:t>
                  </w:r>
                </w:p>
              </w:txbxContent>
            </v:textbox>
            <w10:wrap type="topAndBottom"/>
          </v:shape>
        </w:pict>
      </w:r>
      <w:r w:rsidR="00534C63">
        <w:rPr>
          <w:noProof/>
          <w:lang w:eastAsia="en-GB"/>
        </w:rPr>
        <w:drawing>
          <wp:anchor distT="0" distB="0" distL="114300" distR="114300" simplePos="0" relativeHeight="251663360" behindDoc="0" locked="0" layoutInCell="1" allowOverlap="1">
            <wp:simplePos x="0" y="0"/>
            <wp:positionH relativeFrom="column">
              <wp:posOffset>1076325</wp:posOffset>
            </wp:positionH>
            <wp:positionV relativeFrom="paragraph">
              <wp:posOffset>19050</wp:posOffset>
            </wp:positionV>
            <wp:extent cx="4038600" cy="2219325"/>
            <wp:effectExtent l="0" t="0" r="0" b="0"/>
            <wp:wrapTopAndBottom/>
            <wp:docPr id="125" name="Diagram 1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anchor>
        </w:drawing>
      </w:r>
    </w:p>
    <w:p w:rsidR="00534C63" w:rsidRDefault="00534C63" w:rsidP="00534C63">
      <w:pPr>
        <w:pStyle w:val="whp20100506"/>
      </w:pPr>
      <w:r w:rsidRPr="006E4682">
        <w:t xml:space="preserve">Should the PLS be listed on the Johannesburg Stock Exchange (JSE), the PLS will also be subject to the listing requirements of the JSE or the Alt-X. </w:t>
      </w:r>
    </w:p>
    <w:p w:rsidR="00534C63" w:rsidRDefault="00534C63" w:rsidP="00534C63">
      <w:pPr>
        <w:pStyle w:val="whp20100506"/>
      </w:pPr>
    </w:p>
    <w:p w:rsidR="00534C63" w:rsidRDefault="00534C63" w:rsidP="00534C63">
      <w:pPr>
        <w:pStyle w:val="whp20100506"/>
      </w:pPr>
      <w:r w:rsidRPr="006E4682">
        <w:t>Unlike Property Unit Trusts, PLS companies are not subject to any regulative control of the Financial Services Board</w:t>
      </w:r>
      <w:r>
        <w:t>,</w:t>
      </w:r>
      <w:r w:rsidRPr="006E4682">
        <w:t xml:space="preserve"> nor are it regulated by the Collective Investment Schemes in Property Act. </w:t>
      </w:r>
    </w:p>
    <w:p w:rsidR="00534C63" w:rsidRDefault="00534C63" w:rsidP="00534C63">
      <w:pPr>
        <w:pStyle w:val="whp20100506"/>
      </w:pPr>
    </w:p>
    <w:p w:rsidR="00534C63" w:rsidRDefault="00534C63" w:rsidP="00534C63">
      <w:pPr>
        <w:pStyle w:val="whp20100506"/>
      </w:pPr>
      <w:r w:rsidRPr="00124B8E">
        <w:t>Ownership of a PLS is acquired by buying linked units in the company which consists of a minor equity component and a large debenture component. The equity component is recorded in the PLS balance sheet as share capital with or without a premium. The debenture component is reflected in the PLS balance sheet as a debenture or as a loan. In terms of treating the debenture, the PLS will repay the loan over a lengthy period which is normally anywhere between 25 to 30 years. The interest that is payable on the debenture component of the linked unit is made at a variable rate.</w:t>
      </w:r>
    </w:p>
    <w:p w:rsidR="00534C63" w:rsidRDefault="00534C63" w:rsidP="00534C63">
      <w:pPr>
        <w:pStyle w:val="whp20100506"/>
      </w:pPr>
    </w:p>
    <w:p w:rsidR="00534C63" w:rsidRDefault="00534C63" w:rsidP="00534C63">
      <w:pPr>
        <w:pStyle w:val="whp20100506"/>
      </w:pPr>
      <w:r>
        <w:t>Because the</w:t>
      </w:r>
      <w:r w:rsidRPr="006E4682">
        <w:t xml:space="preserve"> debenture is for all intents and purposes a loan, the conditions and terms of the debentures are controlled by the Debenture Trust Deed, which includes the interest rate and repayment dates to the holder. Independent trustees are appointed to manage the shareholders interest in the debentures. For this reason a PLS company must subscribe to the Debenture Trust Deed </w:t>
      </w:r>
      <w:r>
        <w:t>as</w:t>
      </w:r>
      <w:r w:rsidRPr="006E4682">
        <w:t xml:space="preserve"> another regulatory document.</w:t>
      </w:r>
      <w:r>
        <w:t xml:space="preserve"> </w:t>
      </w:r>
    </w:p>
    <w:p w:rsidR="00534C63" w:rsidRDefault="00534C63" w:rsidP="00534C63">
      <w:pPr>
        <w:pStyle w:val="whp20100506"/>
      </w:pPr>
    </w:p>
    <w:p w:rsidR="00534C63" w:rsidRDefault="00534C63" w:rsidP="00534C63">
      <w:pPr>
        <w:pStyle w:val="whp20100506"/>
      </w:pPr>
      <w:r w:rsidRPr="00D54DD3">
        <w:t xml:space="preserve">Typically the management activities of a PLS company are conducted internally (i.e. an </w:t>
      </w:r>
      <w:r w:rsidRPr="00D54DD3">
        <w:lastRenderedPageBreak/>
        <w:t>internal management team) who act within the ambit and scope of the Articles and M</w:t>
      </w:r>
      <w:r>
        <w:t>emorandum of Association. T</w:t>
      </w:r>
      <w:r w:rsidRPr="00D54DD3">
        <w:t xml:space="preserve">he vertical management structure of the management team is typically led by a Managing Director or a Chief Executive Officer.  </w:t>
      </w:r>
    </w:p>
    <w:p w:rsidR="00534C63" w:rsidRDefault="00534C63" w:rsidP="00534C63">
      <w:pPr>
        <w:pStyle w:val="whp20100506"/>
        <w:ind w:left="720"/>
      </w:pPr>
    </w:p>
    <w:p w:rsidR="00534C63" w:rsidRDefault="00534C63" w:rsidP="00534C63">
      <w:pPr>
        <w:pStyle w:val="whp20100506"/>
      </w:pPr>
      <w:r>
        <w:t xml:space="preserve">The investor buying shares of the PLS is known as either a linked unit holder or a shareholder. </w:t>
      </w:r>
      <w:r w:rsidRPr="005928C4">
        <w:t>A Linked Unit Holder (LUH)</w:t>
      </w:r>
      <w:r>
        <w:t>, as the investor</w:t>
      </w:r>
      <w:r w:rsidRPr="005928C4">
        <w:t xml:space="preserve"> in a Property Loan Stock (PLS), will receive one part equity and one part debenture from owning a linked unit. The equity </w:t>
      </w:r>
      <w:r>
        <w:t xml:space="preserve">part </w:t>
      </w:r>
      <w:r w:rsidRPr="005928C4">
        <w:t>is essentially the share whilst the debenture is the loan at a variable rate</w:t>
      </w:r>
      <w:r>
        <w:t xml:space="preserve"> of interest</w:t>
      </w:r>
      <w:r w:rsidRPr="005928C4">
        <w:t xml:space="preserve">. As such the income generated </w:t>
      </w:r>
      <w:r>
        <w:t xml:space="preserve">is in the form of declaring </w:t>
      </w:r>
      <w:r w:rsidRPr="005928C4">
        <w:t>dividends from the</w:t>
      </w:r>
      <w:r>
        <w:t xml:space="preserve"> equity</w:t>
      </w:r>
      <w:r w:rsidRPr="005928C4">
        <w:t xml:space="preserve"> share part and interest income from the debenture part</w:t>
      </w:r>
      <w:r w:rsidRPr="00175085">
        <w:t xml:space="preserve"> </w:t>
      </w:r>
      <w:r w:rsidRPr="005928C4">
        <w:t>from th</w:t>
      </w:r>
      <w:r>
        <w:t>is investment</w:t>
      </w:r>
      <w:r w:rsidRPr="005928C4">
        <w:t>.</w:t>
      </w:r>
    </w:p>
    <w:p w:rsidR="00534C63" w:rsidRDefault="00534C63" w:rsidP="00534C63">
      <w:pPr>
        <w:pStyle w:val="whp20100506"/>
      </w:pPr>
    </w:p>
    <w:p w:rsidR="00534C63" w:rsidRDefault="00DE1DB3" w:rsidP="00534C63">
      <w:pPr>
        <w:pStyle w:val="whp20100506"/>
        <w:jc w:val="center"/>
      </w:pPr>
      <w:r>
        <w:rPr>
          <w:noProof/>
        </w:rPr>
        <w:pict>
          <v:shape id="_x0000_s1027" type="#_x0000_t202" style="position:absolute;left:0;text-align:left;margin-left:104.15pt;margin-top:149pt;width:241.1pt;height:18pt;z-index:251662336" stroked="f">
            <v:textbox style="mso-next-textbox:#_x0000_s1027" inset="0,0,0,0">
              <w:txbxContent>
                <w:p w:rsidR="00573D8E" w:rsidRPr="00A90F31" w:rsidRDefault="00573D8E" w:rsidP="00534C63">
                  <w:pPr>
                    <w:pStyle w:val="Caption"/>
                    <w:rPr>
                      <w:rFonts w:asciiTheme="minorHAnsi" w:eastAsia="Times New Roman" w:hAnsiTheme="minorHAnsi"/>
                      <w:noProof/>
                      <w:sz w:val="18"/>
                      <w:szCs w:val="18"/>
                      <w:lang w:val="en-US"/>
                    </w:rPr>
                  </w:pPr>
                  <w:bookmarkStart w:id="20" w:name="_Toc263675837"/>
                  <w:bookmarkStart w:id="21" w:name="_Toc265556358"/>
                  <w:r w:rsidRPr="00A90F31">
                    <w:rPr>
                      <w:rFonts w:asciiTheme="minorHAnsi" w:hAnsiTheme="minorHAnsi"/>
                      <w:sz w:val="18"/>
                      <w:szCs w:val="18"/>
                    </w:rPr>
                    <w:t xml:space="preserve">Figure </w:t>
                  </w:r>
                  <w:r>
                    <w:rPr>
                      <w:rFonts w:asciiTheme="minorHAnsi" w:hAnsiTheme="minorHAnsi"/>
                      <w:sz w:val="18"/>
                      <w:szCs w:val="18"/>
                    </w:rPr>
                    <w:t>9</w:t>
                  </w:r>
                  <w:r w:rsidRPr="00A90F31">
                    <w:rPr>
                      <w:rFonts w:asciiTheme="minorHAnsi" w:hAnsiTheme="minorHAnsi"/>
                      <w:sz w:val="18"/>
                      <w:szCs w:val="18"/>
                    </w:rPr>
                    <w:t xml:space="preserve"> Ownership Structure of a PLS Company</w:t>
                  </w:r>
                  <w:bookmarkEnd w:id="20"/>
                  <w:bookmarkEnd w:id="21"/>
                  <w:r w:rsidRPr="00A90F31">
                    <w:rPr>
                      <w:rFonts w:asciiTheme="minorHAnsi" w:hAnsiTheme="minorHAnsi"/>
                      <w:sz w:val="18"/>
                      <w:szCs w:val="18"/>
                    </w:rPr>
                    <w:t xml:space="preserve"> in South Africa </w:t>
                  </w:r>
                </w:p>
              </w:txbxContent>
            </v:textbox>
            <w10:wrap type="topAndBottom"/>
          </v:shape>
        </w:pict>
      </w:r>
      <w:r w:rsidR="00534C63" w:rsidRPr="002066E0">
        <w:rPr>
          <w:noProof/>
          <w:lang w:eastAsia="en-GB"/>
        </w:rPr>
        <w:drawing>
          <wp:inline distT="0" distB="0" distL="0" distR="0">
            <wp:extent cx="1713230" cy="1786890"/>
            <wp:effectExtent l="0" t="0" r="20320" b="3810"/>
            <wp:docPr id="6" name="Organization Chart 1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rsidR="00534C63" w:rsidRDefault="00534C63" w:rsidP="00534C63">
      <w:pPr>
        <w:pStyle w:val="whp20100506"/>
      </w:pPr>
    </w:p>
    <w:p w:rsidR="00534C63" w:rsidRDefault="00534C63" w:rsidP="00534C63">
      <w:pPr>
        <w:pStyle w:val="whp20100506"/>
      </w:pPr>
      <w:r w:rsidRPr="005928C4">
        <w:t xml:space="preserve">The debenture portion of the linked unit will produce interest at a variable rate for the owner of the linked unit, which will pay out profits derived from any one or combination of the revenue streams that include either net rental income streams as generated from the underlying properties owned by the company or any </w:t>
      </w:r>
      <w:r>
        <w:t>capital</w:t>
      </w:r>
      <w:r w:rsidRPr="005928C4">
        <w:t xml:space="preserve"> </w:t>
      </w:r>
      <w:r>
        <w:t xml:space="preserve">revenue </w:t>
      </w:r>
      <w:r w:rsidRPr="005928C4">
        <w:t>generated from the sale of assets which have increased</w:t>
      </w:r>
      <w:r>
        <w:t xml:space="preserve"> in value after its acquisition. </w:t>
      </w:r>
    </w:p>
    <w:p w:rsidR="00534C63" w:rsidRDefault="00534C63" w:rsidP="00534C63">
      <w:pPr>
        <w:pStyle w:val="whp20100506"/>
      </w:pPr>
    </w:p>
    <w:p w:rsidR="00534C63" w:rsidRDefault="00534C63" w:rsidP="00534C63">
      <w:pPr>
        <w:pStyle w:val="whp20100506"/>
      </w:pPr>
      <w:r w:rsidRPr="005928C4">
        <w:t xml:space="preserve">Typically in practice the </w:t>
      </w:r>
      <w:r>
        <w:t xml:space="preserve">revenue generated from the </w:t>
      </w:r>
      <w:r w:rsidRPr="005928C4">
        <w:t>debenture portion of the invest</w:t>
      </w:r>
      <w:r>
        <w:t>ment</w:t>
      </w:r>
      <w:r w:rsidRPr="005928C4">
        <w:t xml:space="preserve"> is far greater than the equity</w:t>
      </w:r>
      <w:r>
        <w:t xml:space="preserve"> share and therefore the bulk of the income for the unit holder is </w:t>
      </w:r>
      <w:r w:rsidRPr="00A72BE8">
        <w:t>derived from the interest income rather than dividends from the PLS unit.</w:t>
      </w:r>
      <w:r>
        <w:t xml:space="preserve"> </w:t>
      </w:r>
    </w:p>
    <w:p w:rsidR="00C603DC" w:rsidRDefault="00C603DC" w:rsidP="00534C63">
      <w:pPr>
        <w:pStyle w:val="whp20100506"/>
      </w:pPr>
    </w:p>
    <w:p w:rsidR="00C603DC" w:rsidRDefault="00C603DC" w:rsidP="00534C63">
      <w:pPr>
        <w:pStyle w:val="whp20100506"/>
      </w:pPr>
    </w:p>
    <w:p w:rsidR="00C603DC" w:rsidRDefault="00C603DC" w:rsidP="00534C63">
      <w:pPr>
        <w:pStyle w:val="whp20100506"/>
      </w:pPr>
    </w:p>
    <w:p w:rsidR="00534C63" w:rsidRDefault="00534C63" w:rsidP="00534C63">
      <w:pPr>
        <w:pStyle w:val="whp20100506"/>
        <w:numPr>
          <w:ilvl w:val="2"/>
          <w:numId w:val="20"/>
        </w:numPr>
        <w:rPr>
          <w:b/>
        </w:rPr>
      </w:pPr>
      <w:r w:rsidRPr="00B57BB6">
        <w:rPr>
          <w:b/>
        </w:rPr>
        <w:lastRenderedPageBreak/>
        <w:t>UNDERSTANDING THE TAXATION PRINCIPLES OF PLS</w:t>
      </w:r>
      <w:r w:rsidR="00715E02">
        <w:rPr>
          <w:rStyle w:val="FootnoteReference"/>
          <w:b/>
        </w:rPr>
        <w:footnoteReference w:id="28"/>
      </w:r>
    </w:p>
    <w:p w:rsidR="00AD0CAA" w:rsidRDefault="00AD0CAA" w:rsidP="00AD0CAA">
      <w:pPr>
        <w:pStyle w:val="whp20100506"/>
        <w:ind w:left="720"/>
        <w:rPr>
          <w:b/>
        </w:rPr>
      </w:pPr>
    </w:p>
    <w:p w:rsidR="00534C63" w:rsidRDefault="00534C63" w:rsidP="00534C63">
      <w:pPr>
        <w:pStyle w:val="whp20100506"/>
      </w:pPr>
      <w:r>
        <w:t>The general mechanisms regulating the taxation of Property Loan Stock (PLS) companies are found in the Income Tax Act (the Act). The general principles of the taxation problems are highlighted in the Discussion Paper of the National Treasury and analysed in more detail below.</w:t>
      </w:r>
    </w:p>
    <w:p w:rsidR="00534C63" w:rsidRDefault="00534C63" w:rsidP="00534C63">
      <w:pPr>
        <w:pStyle w:val="whp20100506"/>
        <w:ind w:left="720"/>
      </w:pPr>
    </w:p>
    <w:p w:rsidR="00534C63" w:rsidRPr="00A72BE8" w:rsidRDefault="00534C63" w:rsidP="00534C63">
      <w:pPr>
        <w:pStyle w:val="whp20100506"/>
      </w:pPr>
      <w:r w:rsidRPr="00A72BE8">
        <w:t xml:space="preserve">PLS </w:t>
      </w:r>
      <w:r>
        <w:t>will be levied a tax rate in accordance with the</w:t>
      </w:r>
      <w:r w:rsidRPr="00A72BE8">
        <w:t xml:space="preserve"> definition of a company</w:t>
      </w:r>
      <w:r w:rsidRPr="00CE518E">
        <w:t xml:space="preserve"> </w:t>
      </w:r>
      <w:r w:rsidRPr="00A72BE8">
        <w:t>the Income Tax Act of 1968 (the Act)</w:t>
      </w:r>
      <w:r>
        <w:t>.</w:t>
      </w:r>
      <w:r w:rsidRPr="00A72BE8">
        <w:t xml:space="preserve"> S1 of the Act </w:t>
      </w:r>
      <w:r>
        <w:t xml:space="preserve">creates the tax liability which states that </w:t>
      </w:r>
      <w:r w:rsidRPr="00A72BE8">
        <w:t>the levying of normal tax</w:t>
      </w:r>
      <w:r>
        <w:t xml:space="preserve"> is</w:t>
      </w:r>
      <w:r w:rsidRPr="00A72BE8">
        <w:t>:</w:t>
      </w:r>
    </w:p>
    <w:p w:rsidR="00534C63" w:rsidRPr="00A72BE8" w:rsidRDefault="00534C63" w:rsidP="00534C63">
      <w:pPr>
        <w:pStyle w:val="whp20100506"/>
      </w:pPr>
      <w:r w:rsidRPr="00A72BE8">
        <w:t> </w:t>
      </w:r>
    </w:p>
    <w:p w:rsidR="00534C63" w:rsidRDefault="00534C63" w:rsidP="00534C63">
      <w:pPr>
        <w:pStyle w:val="whp20100506"/>
        <w:numPr>
          <w:ilvl w:val="0"/>
          <w:numId w:val="4"/>
        </w:numPr>
        <w:ind w:left="720" w:hanging="720"/>
        <w:rPr>
          <w:i/>
        </w:rPr>
      </w:pPr>
      <w:r w:rsidRPr="00A72BE8">
        <w:rPr>
          <w:i/>
        </w:rPr>
        <w:t xml:space="preserve">Subject to the provisions of the Fourth Schedule there shall be paid annually for the benefit of the National Revenue Fund, an income tax (in </w:t>
      </w:r>
      <w:hyperlink r:id="rId50" w:history="1">
        <w:r w:rsidRPr="00A72BE8">
          <w:rPr>
            <w:rStyle w:val="Hyperlink"/>
            <w:i/>
          </w:rPr>
          <w:t>this Act</w:t>
        </w:r>
      </w:hyperlink>
      <w:r w:rsidRPr="00A72BE8">
        <w:rPr>
          <w:i/>
        </w:rPr>
        <w:t xml:space="preserve"> referred to as the normal tax) in respect of the </w:t>
      </w:r>
      <w:hyperlink r:id="rId51" w:history="1">
        <w:r w:rsidRPr="00A72BE8">
          <w:rPr>
            <w:rStyle w:val="Hyperlink"/>
            <w:i/>
          </w:rPr>
          <w:t>taxable income</w:t>
        </w:r>
      </w:hyperlink>
      <w:r w:rsidRPr="00A72BE8">
        <w:rPr>
          <w:i/>
        </w:rPr>
        <w:t xml:space="preserve"> received by or accrued to or in favour of-</w:t>
      </w:r>
    </w:p>
    <w:p w:rsidR="00534C63" w:rsidRDefault="00534C63" w:rsidP="00534C63">
      <w:pPr>
        <w:pStyle w:val="whp20100506"/>
        <w:ind w:left="720" w:hanging="720"/>
        <w:rPr>
          <w:i/>
        </w:rPr>
      </w:pPr>
    </w:p>
    <w:p w:rsidR="00534C63" w:rsidRPr="00A72BE8" w:rsidRDefault="00534C63" w:rsidP="00534C63">
      <w:pPr>
        <w:pStyle w:val="whp20100506"/>
        <w:ind w:firstLine="720"/>
        <w:rPr>
          <w:i/>
        </w:rPr>
      </w:pPr>
      <w:r w:rsidRPr="00A72BE8">
        <w:rPr>
          <w:i/>
        </w:rPr>
        <w:t>d)</w:t>
      </w:r>
      <w:r w:rsidRPr="00A72BE8">
        <w:rPr>
          <w:i/>
          <w:sz w:val="16"/>
          <w:szCs w:val="16"/>
        </w:rPr>
        <w:t>        </w:t>
      </w:r>
      <w:r w:rsidR="00A678E2" w:rsidRPr="00A72BE8">
        <w:rPr>
          <w:i/>
        </w:rPr>
        <w:t>Any</w:t>
      </w:r>
      <w:r w:rsidRPr="00A72BE8">
        <w:rPr>
          <w:i/>
        </w:rPr>
        <w:t xml:space="preserve"> company during every </w:t>
      </w:r>
      <w:hyperlink r:id="rId52" w:history="1">
        <w:r w:rsidRPr="00A72BE8">
          <w:rPr>
            <w:rStyle w:val="Hyperlink"/>
            <w:i/>
          </w:rPr>
          <w:t>financial year</w:t>
        </w:r>
      </w:hyperlink>
      <w:r w:rsidRPr="00A72BE8">
        <w:rPr>
          <w:i/>
        </w:rPr>
        <w:t xml:space="preserve"> of such company.</w:t>
      </w:r>
    </w:p>
    <w:p w:rsidR="00534C63" w:rsidRPr="00A72BE8" w:rsidRDefault="00534C63" w:rsidP="00534C63">
      <w:pPr>
        <w:pStyle w:val="whp20100506"/>
      </w:pPr>
    </w:p>
    <w:p w:rsidR="00534C63" w:rsidRDefault="00534C63" w:rsidP="00534C63">
      <w:pPr>
        <w:pStyle w:val="whp20100506"/>
      </w:pPr>
      <w:r w:rsidRPr="00A72BE8">
        <w:t xml:space="preserve">With the definition of a company </w:t>
      </w:r>
      <w:r>
        <w:t xml:space="preserve">contained in Part 1 of the Act </w:t>
      </w:r>
      <w:r w:rsidRPr="00A72BE8">
        <w:t>being:</w:t>
      </w:r>
    </w:p>
    <w:p w:rsidR="00534C63" w:rsidRPr="00A72BE8" w:rsidRDefault="00534C63" w:rsidP="00534C63">
      <w:pPr>
        <w:pStyle w:val="whp20100506"/>
        <w:ind w:firstLine="720"/>
      </w:pPr>
    </w:p>
    <w:p w:rsidR="00534C63" w:rsidRPr="00A67362" w:rsidRDefault="00534C63" w:rsidP="00534C63">
      <w:pPr>
        <w:pStyle w:val="whp20100506"/>
        <w:ind w:left="1260" w:hanging="540"/>
        <w:rPr>
          <w:i/>
        </w:rPr>
      </w:pPr>
      <w:r w:rsidRPr="00A72BE8">
        <w:rPr>
          <w:rFonts w:cs="Arial"/>
          <w:i/>
          <w:szCs w:val="20"/>
        </w:rPr>
        <w:t>a)</w:t>
      </w:r>
      <w:r w:rsidRPr="00A72BE8">
        <w:rPr>
          <w:i/>
          <w:sz w:val="16"/>
          <w:szCs w:val="16"/>
        </w:rPr>
        <w:t>        </w:t>
      </w:r>
      <w:r w:rsidRPr="00A72BE8">
        <w:rPr>
          <w:rFonts w:cs="Arial"/>
          <w:i/>
          <w:szCs w:val="20"/>
        </w:rPr>
        <w:t xml:space="preserve">any association, corporation or company (other than a </w:t>
      </w:r>
      <w:hyperlink r:id="rId53" w:history="1">
        <w:r w:rsidRPr="00A72BE8">
          <w:rPr>
            <w:rFonts w:cs="Arial"/>
            <w:i/>
            <w:szCs w:val="20"/>
          </w:rPr>
          <w:t>close corporation</w:t>
        </w:r>
      </w:hyperlink>
      <w:r w:rsidRPr="00A72BE8">
        <w:rPr>
          <w:rFonts w:cs="Arial"/>
          <w:i/>
          <w:szCs w:val="20"/>
        </w:rPr>
        <w:t xml:space="preserve">) incorporated or deemed to be incorporated by or under any law in force or </w:t>
      </w:r>
      <w:r w:rsidRPr="00A67362">
        <w:rPr>
          <w:rFonts w:cs="Arial"/>
          <w:i/>
          <w:szCs w:val="20"/>
        </w:rPr>
        <w:t xml:space="preserve">previously in force in the </w:t>
      </w:r>
      <w:hyperlink r:id="rId54" w:history="1">
        <w:r w:rsidRPr="00A67362">
          <w:rPr>
            <w:rFonts w:cs="Arial"/>
            <w:i/>
            <w:szCs w:val="20"/>
          </w:rPr>
          <w:t>Republic</w:t>
        </w:r>
      </w:hyperlink>
      <w:r w:rsidRPr="00A67362">
        <w:rPr>
          <w:rFonts w:cs="Arial"/>
          <w:i/>
          <w:szCs w:val="20"/>
        </w:rPr>
        <w:t xml:space="preserve"> or in any part thereof, or anybody corporate formed or established or deemed to be formed or established by or under any such law;</w:t>
      </w:r>
    </w:p>
    <w:p w:rsidR="00534C63" w:rsidRPr="00A67362" w:rsidRDefault="00534C63" w:rsidP="00534C63">
      <w:pPr>
        <w:pStyle w:val="whp20100506"/>
        <w:ind w:left="720"/>
      </w:pPr>
    </w:p>
    <w:p w:rsidR="00534C63" w:rsidRPr="00A67362" w:rsidRDefault="00534C63" w:rsidP="00534C63">
      <w:pPr>
        <w:pStyle w:val="whp20100506"/>
      </w:pPr>
      <w:r w:rsidRPr="00A67362">
        <w:t>For this reason all PLS entities qualify as companies and therefore are subject to paying the same corporate tax rate as other companies being 28</w:t>
      </w:r>
      <w:r>
        <w:t>%</w:t>
      </w:r>
      <w:r w:rsidRPr="00A67362">
        <w:t xml:space="preserve">. With this as the point of departure for taxation of all PLS companies, the main objective of the PLS company is to minimize its exposure to tax in order to facilitate a total flow of funds. As with CISPs, the intention of PLS companies is to strive to be a conduit of funds to the hands of the Linked Unit Holder (or as close to total as possible), where it will be taxed at the investor’s marginal rate. </w:t>
      </w:r>
    </w:p>
    <w:p w:rsidR="00534C63" w:rsidRPr="00A67362" w:rsidRDefault="00534C63" w:rsidP="00534C63">
      <w:pPr>
        <w:pStyle w:val="whp20100506"/>
        <w:ind w:left="720"/>
      </w:pPr>
    </w:p>
    <w:p w:rsidR="00534C63" w:rsidRPr="00A67362" w:rsidRDefault="00534C63" w:rsidP="00534C63">
      <w:pPr>
        <w:pStyle w:val="whp20100506"/>
      </w:pPr>
      <w:r w:rsidRPr="00A67362">
        <w:t>As indicated revenue paid from the PLS is either in the form of interest or dividends to the LUH, which is sourced either from revenue or the capital gains from the disposal of an asset. In the case of interest revenue, the interest is linked to the debenture part of the linked unit and therefore will be subject to S11 (a) of the Act which is a general deduction in the determination of taxable income:</w:t>
      </w:r>
    </w:p>
    <w:p w:rsidR="00534C63" w:rsidRPr="00A67362" w:rsidRDefault="00534C63" w:rsidP="00534C63">
      <w:pPr>
        <w:spacing w:after="60"/>
        <w:ind w:left="720" w:hanging="720"/>
        <w:rPr>
          <w:rFonts w:ascii="Times New Roman" w:hAnsi="Times New Roman"/>
          <w:sz w:val="16"/>
          <w:szCs w:val="16"/>
        </w:rPr>
      </w:pPr>
      <w:r w:rsidRPr="00A67362">
        <w:rPr>
          <w:rFonts w:ascii="Times New Roman" w:hAnsi="Times New Roman"/>
          <w:sz w:val="16"/>
          <w:szCs w:val="16"/>
        </w:rPr>
        <w:t> </w:t>
      </w:r>
      <w:r w:rsidRPr="00A67362">
        <w:rPr>
          <w:rFonts w:ascii="Times New Roman" w:hAnsi="Times New Roman"/>
          <w:sz w:val="16"/>
          <w:szCs w:val="16"/>
        </w:rPr>
        <w:tab/>
      </w:r>
    </w:p>
    <w:p w:rsidR="00534C63" w:rsidRDefault="00534C63" w:rsidP="00534C63">
      <w:pPr>
        <w:pStyle w:val="whp20100506"/>
        <w:rPr>
          <w:i/>
        </w:rPr>
      </w:pPr>
      <w:r w:rsidRPr="00A67362">
        <w:rPr>
          <w:i/>
        </w:rPr>
        <w:t xml:space="preserve">“For the purpose of determining the taxable income derived by any person from carrying on any </w:t>
      </w:r>
      <w:hyperlink r:id="rId55" w:history="1">
        <w:r w:rsidRPr="00A67362">
          <w:rPr>
            <w:i/>
            <w:u w:val="single"/>
          </w:rPr>
          <w:t>trade</w:t>
        </w:r>
      </w:hyperlink>
      <w:r w:rsidRPr="00A67362">
        <w:rPr>
          <w:i/>
        </w:rPr>
        <w:t xml:space="preserve"> , there shall be allowed as deductions from the income of such person so derived-</w:t>
      </w:r>
    </w:p>
    <w:p w:rsidR="00534C63" w:rsidRPr="00A67362" w:rsidRDefault="00534C63" w:rsidP="00534C63">
      <w:pPr>
        <w:pStyle w:val="whp20100506"/>
        <w:ind w:left="720"/>
        <w:rPr>
          <w:i/>
        </w:rPr>
      </w:pPr>
    </w:p>
    <w:p w:rsidR="00534C63" w:rsidRPr="00A67362" w:rsidRDefault="00534C63" w:rsidP="00534C63">
      <w:pPr>
        <w:pStyle w:val="whp20100506"/>
        <w:numPr>
          <w:ilvl w:val="0"/>
          <w:numId w:val="5"/>
        </w:numPr>
        <w:ind w:left="1260" w:hanging="540"/>
        <w:rPr>
          <w:i/>
        </w:rPr>
      </w:pPr>
      <w:r w:rsidRPr="00A67362">
        <w:rPr>
          <w:i/>
          <w:sz w:val="16"/>
          <w:szCs w:val="16"/>
        </w:rPr>
        <w:t> </w:t>
      </w:r>
      <w:r w:rsidRPr="00A67362">
        <w:rPr>
          <w:i/>
        </w:rPr>
        <w:t>expenditure and losses actually incurred in the production of the income, provided such expenditure and losses are not of a capital nature;”</w:t>
      </w:r>
    </w:p>
    <w:p w:rsidR="00534C63" w:rsidRPr="00A67362" w:rsidRDefault="00534C63" w:rsidP="00534C63">
      <w:pPr>
        <w:pStyle w:val="whp20100506"/>
        <w:ind w:left="720"/>
      </w:pPr>
    </w:p>
    <w:p w:rsidR="00534C63" w:rsidRPr="00A67362" w:rsidRDefault="00534C63" w:rsidP="00534C63">
      <w:pPr>
        <w:pStyle w:val="whp20100506"/>
      </w:pPr>
      <w:r w:rsidRPr="00A67362">
        <w:t>In the case of dividend revenue, the dividends are linked to the equity share part of the linked unit and will not enjoy any form of deduction or exemption. Dividends are defined in S1 of the Act as:</w:t>
      </w:r>
    </w:p>
    <w:p w:rsidR="00534C63" w:rsidRPr="00A67362" w:rsidRDefault="00534C63" w:rsidP="00534C63">
      <w:pPr>
        <w:pStyle w:val="whp20100506"/>
        <w:ind w:left="720"/>
      </w:pPr>
    </w:p>
    <w:p w:rsidR="00534C63" w:rsidRPr="00A67362" w:rsidRDefault="00534C63" w:rsidP="00534C63">
      <w:pPr>
        <w:pStyle w:val="whp20100506"/>
        <w:rPr>
          <w:i/>
        </w:rPr>
      </w:pPr>
      <w:r w:rsidRPr="00A67362">
        <w:rPr>
          <w:i/>
        </w:rPr>
        <w:t>“means any amount transferred or applied by a company for the benefit of any shareholder in relation to that company by virtue of any share held by that shareholder in that company, whether-</w:t>
      </w:r>
    </w:p>
    <w:p w:rsidR="00534C63" w:rsidRDefault="00534C63" w:rsidP="00534C63">
      <w:pPr>
        <w:pStyle w:val="whp20100506"/>
        <w:ind w:firstLine="720"/>
        <w:rPr>
          <w:i/>
        </w:rPr>
      </w:pPr>
    </w:p>
    <w:p w:rsidR="00534C63" w:rsidRPr="00A67362" w:rsidRDefault="00534C63" w:rsidP="00534C63">
      <w:pPr>
        <w:pStyle w:val="whp20100506"/>
        <w:ind w:firstLine="720"/>
        <w:rPr>
          <w:i/>
        </w:rPr>
      </w:pPr>
      <w:r w:rsidRPr="00A67362">
        <w:rPr>
          <w:i/>
        </w:rPr>
        <w:t>a)</w:t>
      </w:r>
      <w:r w:rsidRPr="00A67362">
        <w:rPr>
          <w:i/>
          <w:sz w:val="16"/>
          <w:szCs w:val="16"/>
        </w:rPr>
        <w:t>        </w:t>
      </w:r>
      <w:r w:rsidRPr="00A67362">
        <w:rPr>
          <w:i/>
        </w:rPr>
        <w:t>by way of a distribution”</w:t>
      </w:r>
    </w:p>
    <w:p w:rsidR="00534C63" w:rsidRDefault="00534C63" w:rsidP="00534C63">
      <w:pPr>
        <w:pStyle w:val="whp20100506"/>
      </w:pPr>
    </w:p>
    <w:p w:rsidR="00534C63" w:rsidRPr="00A67362" w:rsidRDefault="00534C63" w:rsidP="00534C63">
      <w:pPr>
        <w:pStyle w:val="whp20100506"/>
      </w:pPr>
      <w:r w:rsidRPr="00A67362">
        <w:t>As per the normal treatment of dividends in companies, the dividend revenue will be subject to Secondary Tax on Companies as per S64B of the Act.</w:t>
      </w:r>
    </w:p>
    <w:p w:rsidR="00534C63" w:rsidRDefault="00534C63" w:rsidP="00534C63">
      <w:pPr>
        <w:pStyle w:val="whp20100506"/>
      </w:pPr>
    </w:p>
    <w:p w:rsidR="00534C63" w:rsidRPr="00A67362" w:rsidRDefault="00534C63" w:rsidP="00534C63">
      <w:pPr>
        <w:pStyle w:val="whp20100506"/>
      </w:pPr>
      <w:r w:rsidRPr="00A67362">
        <w:t>As far as capital gains are concerned, the PLS will be subject to the full Capital Gains Tax levy as per Part II of the 8</w:t>
      </w:r>
      <w:r w:rsidRPr="00A67362">
        <w:rPr>
          <w:vertAlign w:val="superscript"/>
        </w:rPr>
        <w:t>th</w:t>
      </w:r>
      <w:r w:rsidRPr="00A67362">
        <w:t xml:space="preserve"> Schedule of the Act. Secondary Tax on Companies is also applicable to dividends paid from capital gains. </w:t>
      </w:r>
    </w:p>
    <w:p w:rsidR="00534C63" w:rsidRDefault="00534C63" w:rsidP="00534C63">
      <w:pPr>
        <w:pStyle w:val="whp20100506"/>
      </w:pPr>
    </w:p>
    <w:p w:rsidR="00534C63" w:rsidRPr="00A67362" w:rsidRDefault="00534C63" w:rsidP="00534C63">
      <w:pPr>
        <w:pStyle w:val="whp20100506"/>
      </w:pPr>
      <w:r w:rsidRPr="00A67362">
        <w:t xml:space="preserve">In the event that a PLS owns property indirectly, say in the form of owning shares in an auxiliary PLS company, it will receive shares and dividends from that indirect investment based on the same principles explained above. It is however important to note that when a PLS company receives dividends from revenue generate from the auxiliary PLS, it will </w:t>
      </w:r>
      <w:r w:rsidRPr="00A67362">
        <w:lastRenderedPageBreak/>
        <w:t>qualify for the deduction benefits as per S10 (1) (k) (i) aa because the proviso of this clause being applicable to</w:t>
      </w:r>
      <w:r>
        <w:t xml:space="preserve"> a principle company</w:t>
      </w:r>
      <w:r w:rsidRPr="00A67362">
        <w:t xml:space="preserve"> owning shares in another investment. The deduction clause states: </w:t>
      </w:r>
    </w:p>
    <w:p w:rsidR="00534C63" w:rsidRPr="00A67362" w:rsidRDefault="00534C63" w:rsidP="00534C63">
      <w:pPr>
        <w:pStyle w:val="whp20100506"/>
        <w:ind w:left="720"/>
      </w:pPr>
    </w:p>
    <w:p w:rsidR="00534C63" w:rsidRPr="00A67362" w:rsidRDefault="00534C63" w:rsidP="00534C63">
      <w:pPr>
        <w:pStyle w:val="whp20100506"/>
        <w:rPr>
          <w:i/>
        </w:rPr>
      </w:pPr>
      <w:r w:rsidRPr="00A67362">
        <w:rPr>
          <w:i/>
        </w:rPr>
        <w:t>k)        </w:t>
      </w:r>
    </w:p>
    <w:p w:rsidR="00534C63" w:rsidRPr="00C22C4E" w:rsidRDefault="00534C63" w:rsidP="00534C63">
      <w:pPr>
        <w:pStyle w:val="whp20100506"/>
        <w:ind w:left="720" w:hanging="720"/>
        <w:rPr>
          <w:i/>
        </w:rPr>
      </w:pPr>
      <w:r w:rsidRPr="00A67362">
        <w:rPr>
          <w:i/>
        </w:rPr>
        <w:t>i)          </w:t>
      </w:r>
      <w:r w:rsidR="00A678E2" w:rsidRPr="00A67362">
        <w:rPr>
          <w:i/>
        </w:rPr>
        <w:t>Dividends</w:t>
      </w:r>
      <w:r w:rsidRPr="00A67362">
        <w:rPr>
          <w:i/>
        </w:rPr>
        <w:t xml:space="preserve"> (other than foreign dividends) received by or accrued to or in favour </w:t>
      </w:r>
      <w:r w:rsidRPr="00C22C4E">
        <w:rPr>
          <w:i/>
        </w:rPr>
        <w:t xml:space="preserve">of any </w:t>
      </w:r>
      <w:hyperlink r:id="rId56" w:history="1">
        <w:r w:rsidRPr="00C22C4E">
          <w:rPr>
            <w:rStyle w:val="Hyperlink"/>
            <w:i/>
          </w:rPr>
          <w:t>person</w:t>
        </w:r>
      </w:hyperlink>
      <w:r w:rsidRPr="00C22C4E">
        <w:rPr>
          <w:i/>
        </w:rPr>
        <w:t xml:space="preserve">: </w:t>
      </w:r>
      <w:r w:rsidRPr="00C22C4E">
        <w:rPr>
          <w:b/>
          <w:bCs/>
          <w:i/>
        </w:rPr>
        <w:t>Provided that</w:t>
      </w:r>
      <w:r w:rsidRPr="00C22C4E">
        <w:rPr>
          <w:i/>
        </w:rPr>
        <w:t xml:space="preserve"> this exemption shall not apply:</w:t>
      </w:r>
    </w:p>
    <w:p w:rsidR="00534C63" w:rsidRPr="00C22C4E" w:rsidRDefault="00534C63" w:rsidP="00534C63">
      <w:pPr>
        <w:pStyle w:val="whp20100506"/>
        <w:ind w:left="2160" w:hanging="720"/>
        <w:rPr>
          <w:i/>
        </w:rPr>
      </w:pPr>
    </w:p>
    <w:p w:rsidR="00534C63" w:rsidRPr="00A678E2" w:rsidRDefault="00534C63" w:rsidP="00534C63">
      <w:pPr>
        <w:pStyle w:val="whp20100506"/>
        <w:tabs>
          <w:tab w:val="left" w:pos="90"/>
        </w:tabs>
        <w:ind w:left="1350" w:hanging="630"/>
        <w:rPr>
          <w:i/>
        </w:rPr>
      </w:pPr>
      <w:r w:rsidRPr="00C22C4E">
        <w:rPr>
          <w:i/>
        </w:rPr>
        <w:t xml:space="preserve">aa)      to dividends (other than those distributed out of profits of a capital nature and those received by or accrued to or in favour of any person who is neither a resident, nor carrying on business in the Republic) distributed by a company the shares of which are ‘property shares’ as defined in section 47 of the Collective Investment Schemes Control Act, 2002, on shares included in a portfolio comprised in any collective investment scheme in property managed or </w:t>
      </w:r>
      <w:r w:rsidRPr="00A678E2">
        <w:rPr>
          <w:i/>
        </w:rPr>
        <w:t xml:space="preserve">carried on by any company registered as a manager under section 42 of that Act for purposes of Part V of that Act; </w:t>
      </w:r>
    </w:p>
    <w:p w:rsidR="00534C63" w:rsidRPr="00A678E2" w:rsidRDefault="00534C63" w:rsidP="00534C63">
      <w:pPr>
        <w:pStyle w:val="whp20100506"/>
        <w:ind w:firstLine="720"/>
        <w:rPr>
          <w:b/>
        </w:rPr>
      </w:pPr>
    </w:p>
    <w:p w:rsidR="00534C63" w:rsidRPr="00A678E2" w:rsidRDefault="00AD0CAA" w:rsidP="00534C63">
      <w:pPr>
        <w:pStyle w:val="whp20100506"/>
        <w:numPr>
          <w:ilvl w:val="2"/>
          <w:numId w:val="20"/>
        </w:numPr>
        <w:rPr>
          <w:b/>
        </w:rPr>
      </w:pPr>
      <w:r w:rsidRPr="00A678E2">
        <w:rPr>
          <w:b/>
        </w:rPr>
        <w:t xml:space="preserve">HOLISTIC </w:t>
      </w:r>
      <w:r w:rsidR="00832A5D" w:rsidRPr="00A678E2">
        <w:rPr>
          <w:b/>
        </w:rPr>
        <w:t xml:space="preserve">ANOMALIES </w:t>
      </w:r>
      <w:r w:rsidRPr="00A678E2">
        <w:rPr>
          <w:b/>
        </w:rPr>
        <w:t xml:space="preserve">AND PROBLEMS </w:t>
      </w:r>
      <w:r w:rsidR="00832A5D" w:rsidRPr="00A678E2">
        <w:rPr>
          <w:b/>
        </w:rPr>
        <w:t>OF PLS</w:t>
      </w:r>
      <w:r w:rsidRPr="00A678E2">
        <w:rPr>
          <w:b/>
        </w:rPr>
        <w:t xml:space="preserve"> LEGISLATION</w:t>
      </w:r>
    </w:p>
    <w:p w:rsidR="00534C63" w:rsidRDefault="00534C63" w:rsidP="00534C63">
      <w:pPr>
        <w:pStyle w:val="whp20100506"/>
      </w:pPr>
    </w:p>
    <w:p w:rsidR="00534C63" w:rsidRDefault="00534C63" w:rsidP="00534C63">
      <w:pPr>
        <w:pStyle w:val="whp20100506"/>
      </w:pPr>
      <w:r w:rsidRPr="00FB0670">
        <w:t xml:space="preserve">Arguably the biggest anomaly facing PLS companies is the manner in which it achieves the total flow through effect as a conduit in practice. </w:t>
      </w:r>
    </w:p>
    <w:p w:rsidR="00534C63" w:rsidRDefault="00534C63" w:rsidP="00534C63">
      <w:pPr>
        <w:pStyle w:val="whp20100506"/>
      </w:pPr>
    </w:p>
    <w:p w:rsidR="00534C63" w:rsidRPr="00FB0670" w:rsidRDefault="00534C63" w:rsidP="00534C63">
      <w:pPr>
        <w:pStyle w:val="whp20100506"/>
      </w:pPr>
      <w:r w:rsidRPr="00FB0670">
        <w:t xml:space="preserve">As indicated the Linked Unit Holder owns one part share plus one part debenture, which is a loan stapled to the share. The interest paid on this loan to the LUH is at a variable rate which fluctuates depending upon the level of interest paid out to the shareholders. This is the justification for the PLS paying the bulk of its revenue in the form of interest and not say dividends. As a result of the bulk of the PLS revenue being paid out in this manner as interest, it qualifies for the S11 (a) deduction and therefore achieves the total flow through of funds. </w:t>
      </w:r>
    </w:p>
    <w:p w:rsidR="00534C63" w:rsidRDefault="00534C63" w:rsidP="00534C63">
      <w:pPr>
        <w:pStyle w:val="whp20100506"/>
      </w:pPr>
    </w:p>
    <w:p w:rsidR="00534C63" w:rsidRDefault="00534C63" w:rsidP="00534C63">
      <w:pPr>
        <w:pStyle w:val="whp20100506"/>
      </w:pPr>
      <w:r w:rsidRPr="00FB0670">
        <w:t xml:space="preserve">The problem however is that it is questionable whether this practice is in fact not abuse of a loop hole in the system in the sense that the interest should in fact be paid over in the form of dividends </w:t>
      </w:r>
      <w:r w:rsidRPr="00C70A8F">
        <w:t xml:space="preserve">which then should be treated and taxed as with other company. Currently the high levels of interest paid by the PLS can be interpreted as excessive and therefore seen as an </w:t>
      </w:r>
      <w:r w:rsidRPr="00C70A8F">
        <w:lastRenderedPageBreak/>
        <w:t xml:space="preserve">abuse of the S11 (a).  </w:t>
      </w:r>
    </w:p>
    <w:p w:rsidR="00534C63" w:rsidRDefault="00534C63" w:rsidP="00534C63">
      <w:pPr>
        <w:pStyle w:val="whp20100506"/>
      </w:pPr>
    </w:p>
    <w:p w:rsidR="00534C63" w:rsidRDefault="00534C63" w:rsidP="00534C63">
      <w:pPr>
        <w:pStyle w:val="whp20100506"/>
      </w:pPr>
      <w:r>
        <w:t>A recent article in the Business Day illustrates the confusion regarding the apportionment of interest and dividends on debenture structures and may have long term consequences for the overall use of S11(a)</w:t>
      </w:r>
      <w:r>
        <w:rPr>
          <w:rStyle w:val="FootnoteReference"/>
        </w:rPr>
        <w:footnoteReference w:id="29"/>
      </w:r>
      <w:r>
        <w:t xml:space="preserve">. </w:t>
      </w:r>
    </w:p>
    <w:p w:rsidR="00534C63" w:rsidRDefault="00534C63" w:rsidP="00534C63">
      <w:pPr>
        <w:pStyle w:val="whp20100506"/>
      </w:pPr>
    </w:p>
    <w:p w:rsidR="00534C63" w:rsidRDefault="00534C63" w:rsidP="00534C63">
      <w:pPr>
        <w:pStyle w:val="whp20100506"/>
      </w:pPr>
      <w:r>
        <w:t xml:space="preserve">The article alluded to the use of ostensibly tax efficient property investments in attracting investment. In summation the syndication relied upon the debenture structure of their property syndicate that provided investors with high yields on the basis of revenue paid out as interest income earned on the debenture portion of the investment. </w:t>
      </w:r>
    </w:p>
    <w:p w:rsidR="00534C63" w:rsidRDefault="00534C63" w:rsidP="00534C63">
      <w:pPr>
        <w:pStyle w:val="whp20100506"/>
      </w:pPr>
    </w:p>
    <w:p w:rsidR="00534C63" w:rsidRDefault="00534C63" w:rsidP="00534C63">
      <w:pPr>
        <w:pStyle w:val="whp20100506"/>
      </w:pPr>
      <w:r>
        <w:t xml:space="preserve">The syndication promoted its product based on current legislative allowances and claimed that the revenue generated for its investors is tax efficient. The syndication relied on its revenue being paid in the form of interest income that is taxed in the hands of the investor at the investor’s tax rate and is dependent upon the overall income of the investor. This is in contrast to dividends paid out on the share portion of the investment which is taxed before the money reaches the investor. </w:t>
      </w:r>
    </w:p>
    <w:p w:rsidR="00534C63" w:rsidRDefault="00534C63" w:rsidP="00534C63">
      <w:pPr>
        <w:pStyle w:val="whp20100506"/>
      </w:pPr>
    </w:p>
    <w:p w:rsidR="00534C63" w:rsidRDefault="00534C63" w:rsidP="00534C63">
      <w:pPr>
        <w:pStyle w:val="whp20100506"/>
      </w:pPr>
      <w:r>
        <w:t xml:space="preserve">According to the article, the Reserve Bank deemed the structure to be a contravention of the Banks Act; however that it was likely that both the syndication and the Reserve Bank would seek a declaratory order from the court for the correct interpretation of the Banks Act. </w:t>
      </w:r>
    </w:p>
    <w:p w:rsidR="00534C63" w:rsidRDefault="00534C63" w:rsidP="00534C63">
      <w:pPr>
        <w:pStyle w:val="whp20100506"/>
      </w:pPr>
    </w:p>
    <w:p w:rsidR="00534C63" w:rsidRDefault="00534C63" w:rsidP="00534C63">
      <w:pPr>
        <w:pStyle w:val="whp20100506"/>
      </w:pPr>
      <w:r>
        <w:t xml:space="preserve">The outcome could have negative consequences for the PLS sector, who adopt a similar structure, should the courts view the payment of interest income based on the debenture portion of an investment as an abuse of the legislative allowances. </w:t>
      </w:r>
    </w:p>
    <w:p w:rsidR="00534C63" w:rsidRPr="007D2B8A" w:rsidRDefault="00534C63" w:rsidP="00534C63">
      <w:pPr>
        <w:pStyle w:val="whp20100506"/>
        <w:rPr>
          <w:rFonts w:cs="Arial"/>
          <w:color w:val="548DD4"/>
          <w:sz w:val="18"/>
          <w:szCs w:val="18"/>
          <w:lang w:val="en-US"/>
        </w:rPr>
      </w:pPr>
    </w:p>
    <w:p w:rsidR="00534C63" w:rsidRPr="00B57BB6" w:rsidRDefault="00534C63" w:rsidP="00534C63">
      <w:pPr>
        <w:pStyle w:val="whp20100506"/>
        <w:numPr>
          <w:ilvl w:val="1"/>
          <w:numId w:val="20"/>
        </w:numPr>
        <w:tabs>
          <w:tab w:val="left" w:pos="360"/>
        </w:tabs>
        <w:ind w:left="270" w:hanging="270"/>
        <w:rPr>
          <w:b/>
        </w:rPr>
      </w:pPr>
      <w:r w:rsidRPr="00B57BB6">
        <w:rPr>
          <w:b/>
        </w:rPr>
        <w:t>SUMMARISING CISPS AND PLS</w:t>
      </w:r>
    </w:p>
    <w:p w:rsidR="00534C63" w:rsidRDefault="00534C63" w:rsidP="00534C63">
      <w:pPr>
        <w:pStyle w:val="whp20100506"/>
      </w:pPr>
    </w:p>
    <w:p w:rsidR="00C603DC" w:rsidRPr="00C603DC" w:rsidRDefault="00C603DC" w:rsidP="00534C63">
      <w:pPr>
        <w:pStyle w:val="whp20100506"/>
        <w:rPr>
          <w:b/>
        </w:rPr>
      </w:pPr>
      <w:r w:rsidRPr="00C603DC">
        <w:rPr>
          <w:b/>
        </w:rPr>
        <w:t>4.3.1 Summarising the Characteristics of CISPS and PLS</w:t>
      </w:r>
    </w:p>
    <w:p w:rsidR="00C603DC" w:rsidRDefault="00C603DC" w:rsidP="00534C63">
      <w:pPr>
        <w:pStyle w:val="whp20100506"/>
      </w:pPr>
    </w:p>
    <w:p w:rsidR="00534C63" w:rsidRDefault="00534C63" w:rsidP="00534C63">
      <w:pPr>
        <w:pStyle w:val="whp20100506"/>
      </w:pPr>
      <w:r>
        <w:t>The salient features and characteristics of PLS and CISPs can be summaries</w:t>
      </w:r>
      <w:r w:rsidR="00E6310C">
        <w:t xml:space="preserve"> in Table 4</w:t>
      </w:r>
      <w:r>
        <w:t xml:space="preserve"> </w:t>
      </w:r>
      <w:r w:rsidR="003C1984">
        <w:t xml:space="preserve">below </w:t>
      </w:r>
      <w:r>
        <w:t>as follows:</w:t>
      </w:r>
    </w:p>
    <w:p w:rsidR="00534C63" w:rsidRDefault="00534C63" w:rsidP="00534C63">
      <w:pPr>
        <w:pStyle w:val="whp20100506"/>
        <w:rPr>
          <w:rFonts w:ascii="Calibri" w:hAnsi="Calibri"/>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66"/>
        <w:gridCol w:w="2700"/>
        <w:gridCol w:w="2454"/>
      </w:tblGrid>
      <w:tr w:rsidR="00364C0C" w:rsidRPr="00A90F31" w:rsidTr="00364C0C">
        <w:trPr>
          <w:trHeight w:val="568"/>
        </w:trPr>
        <w:tc>
          <w:tcPr>
            <w:tcW w:w="8820" w:type="dxa"/>
            <w:gridSpan w:val="3"/>
            <w:vMerge w:val="restart"/>
            <w:tcBorders>
              <w:top w:val="nil"/>
              <w:left w:val="nil"/>
              <w:bottom w:val="double" w:sz="4" w:space="0" w:color="auto"/>
              <w:right w:val="nil"/>
            </w:tcBorders>
            <w:shd w:val="clear" w:color="auto" w:fill="auto"/>
            <w:noWrap/>
            <w:vAlign w:val="center"/>
            <w:hideMark/>
          </w:tcPr>
          <w:p w:rsidR="00364C0C" w:rsidRPr="00364C0C" w:rsidRDefault="00364C0C" w:rsidP="00F7478F">
            <w:pPr>
              <w:pStyle w:val="whp20100506"/>
              <w:jc w:val="center"/>
              <w:rPr>
                <w:b/>
                <w:i/>
              </w:rPr>
            </w:pPr>
            <w:r w:rsidRPr="00364C0C">
              <w:rPr>
                <w:b/>
                <w:i/>
              </w:rPr>
              <w:t>Table 4 – General Characteristics of PUTS and CISPS</w:t>
            </w:r>
          </w:p>
        </w:tc>
      </w:tr>
      <w:tr w:rsidR="00534C63" w:rsidRPr="00923FE5" w:rsidTr="00364C0C">
        <w:trPr>
          <w:trHeight w:val="568"/>
        </w:trPr>
        <w:tc>
          <w:tcPr>
            <w:tcW w:w="8820" w:type="dxa"/>
            <w:gridSpan w:val="3"/>
            <w:vMerge w:val="restart"/>
            <w:tcBorders>
              <w:top w:val="double" w:sz="4" w:space="0" w:color="auto"/>
              <w:left w:val="double" w:sz="4" w:space="0" w:color="auto"/>
              <w:right w:val="double" w:sz="4" w:space="0" w:color="auto"/>
            </w:tcBorders>
            <w:shd w:val="clear" w:color="auto" w:fill="F2F2F2" w:themeFill="background1" w:themeFillShade="F2"/>
            <w:noWrap/>
            <w:vAlign w:val="center"/>
            <w:hideMark/>
          </w:tcPr>
          <w:p w:rsidR="00534C63" w:rsidRPr="00701814" w:rsidRDefault="00534C63" w:rsidP="00FD5373">
            <w:pPr>
              <w:pStyle w:val="whp20100506"/>
              <w:jc w:val="center"/>
              <w:rPr>
                <w:b/>
                <w:i/>
              </w:rPr>
            </w:pPr>
            <w:r w:rsidRPr="00701814">
              <w:rPr>
                <w:b/>
                <w:i/>
              </w:rPr>
              <w:t xml:space="preserve">General Characteristics of Property Unit Trusts (PUTs) </w:t>
            </w:r>
            <w:r w:rsidR="00FD5373" w:rsidRPr="00701814">
              <w:rPr>
                <w:b/>
                <w:i/>
              </w:rPr>
              <w:t>&amp;</w:t>
            </w:r>
            <w:r w:rsidRPr="00701814">
              <w:rPr>
                <w:b/>
                <w:i/>
              </w:rPr>
              <w:t xml:space="preserve"> Property Loan Stock (PLS)</w:t>
            </w:r>
          </w:p>
        </w:tc>
      </w:tr>
      <w:tr w:rsidR="00534C63" w:rsidRPr="00923FE5" w:rsidTr="00364C0C">
        <w:trPr>
          <w:trHeight w:val="414"/>
        </w:trPr>
        <w:tc>
          <w:tcPr>
            <w:tcW w:w="8820" w:type="dxa"/>
            <w:gridSpan w:val="3"/>
            <w:vMerge/>
            <w:tcBorders>
              <w:top w:val="nil"/>
              <w:left w:val="double" w:sz="4" w:space="0" w:color="auto"/>
              <w:right w:val="double" w:sz="4" w:space="0" w:color="auto"/>
            </w:tcBorders>
            <w:shd w:val="clear" w:color="auto" w:fill="F2F2F2" w:themeFill="background1" w:themeFillShade="F2"/>
            <w:vAlign w:val="center"/>
            <w:hideMark/>
          </w:tcPr>
          <w:p w:rsidR="00534C63" w:rsidRPr="00487BD1" w:rsidRDefault="00534C63" w:rsidP="00684B0F">
            <w:pPr>
              <w:pStyle w:val="whp20100506"/>
              <w:jc w:val="center"/>
            </w:pPr>
          </w:p>
        </w:tc>
      </w:tr>
      <w:tr w:rsidR="00534C63" w:rsidRPr="00923FE5" w:rsidTr="00A8691C">
        <w:trPr>
          <w:trHeight w:val="492"/>
        </w:trPr>
        <w:tc>
          <w:tcPr>
            <w:tcW w:w="3666" w:type="dxa"/>
            <w:tcBorders>
              <w:top w:val="doub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Investment Vehicle</w:t>
            </w:r>
          </w:p>
        </w:tc>
        <w:tc>
          <w:tcPr>
            <w:tcW w:w="2700" w:type="dxa"/>
            <w:tcBorders>
              <w:top w:val="double" w:sz="4" w:space="0" w:color="auto"/>
              <w:left w:val="double" w:sz="4" w:space="0" w:color="auto"/>
              <w:bottom w:val="doub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PLS</w:t>
            </w:r>
          </w:p>
        </w:tc>
        <w:tc>
          <w:tcPr>
            <w:tcW w:w="2454" w:type="dxa"/>
            <w:tcBorders>
              <w:top w:val="double" w:sz="4" w:space="0" w:color="auto"/>
              <w:left w:val="double" w:sz="4" w:space="0" w:color="auto"/>
              <w:bottom w:val="doub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CISP</w:t>
            </w:r>
          </w:p>
        </w:tc>
      </w:tr>
      <w:tr w:rsidR="00534C63" w:rsidRPr="00923FE5" w:rsidTr="00A8691C">
        <w:trPr>
          <w:trHeight w:val="510"/>
        </w:trPr>
        <w:tc>
          <w:tcPr>
            <w:tcW w:w="3666" w:type="dxa"/>
            <w:tcBorders>
              <w:top w:val="doub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Legal Form</w:t>
            </w:r>
          </w:p>
        </w:tc>
        <w:tc>
          <w:tcPr>
            <w:tcW w:w="2700" w:type="dxa"/>
            <w:tcBorders>
              <w:top w:val="double" w:sz="4" w:space="0" w:color="auto"/>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Company</w:t>
            </w:r>
          </w:p>
        </w:tc>
        <w:tc>
          <w:tcPr>
            <w:tcW w:w="2454" w:type="dxa"/>
            <w:tcBorders>
              <w:top w:val="double" w:sz="4" w:space="0" w:color="auto"/>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Trust</w:t>
            </w:r>
          </w:p>
        </w:tc>
      </w:tr>
      <w:tr w:rsidR="00534C63" w:rsidRPr="00923FE5" w:rsidTr="00A8691C">
        <w:trPr>
          <w:trHeight w:val="568"/>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Market Capitalisation of JSE Listed Entities (as at Dec 2007)</w:t>
            </w:r>
          </w:p>
        </w:tc>
        <w:tc>
          <w:tcPr>
            <w:tcW w:w="2700" w:type="dxa"/>
            <w:tcBorders>
              <w:left w:val="double" w:sz="4" w:space="0" w:color="auto"/>
              <w:right w:val="double" w:sz="4" w:space="0" w:color="auto"/>
            </w:tcBorders>
            <w:shd w:val="clear" w:color="auto" w:fill="auto"/>
            <w:noWrap/>
            <w:vAlign w:val="center"/>
            <w:hideMark/>
          </w:tcPr>
          <w:p w:rsidR="00534C63" w:rsidRPr="00D12E89" w:rsidRDefault="00534C63" w:rsidP="00684B0F">
            <w:pPr>
              <w:pStyle w:val="whp20100506"/>
              <w:jc w:val="center"/>
            </w:pPr>
            <w:r w:rsidRPr="00D12E89">
              <w:t>R68.8 Billion</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t>R24.3 Billion</w:t>
            </w:r>
          </w:p>
        </w:tc>
      </w:tr>
      <w:tr w:rsidR="00534C63" w:rsidRPr="00923FE5" w:rsidTr="00A8691C">
        <w:trPr>
          <w:trHeight w:val="568"/>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Main Legal Governance</w:t>
            </w:r>
          </w:p>
        </w:tc>
        <w:tc>
          <w:tcPr>
            <w:tcW w:w="2700" w:type="dxa"/>
            <w:tcBorders>
              <w:left w:val="double" w:sz="4" w:space="0" w:color="auto"/>
              <w:right w:val="double" w:sz="4" w:space="0" w:color="auto"/>
            </w:tcBorders>
            <w:shd w:val="clear" w:color="auto" w:fill="auto"/>
            <w:noWrap/>
            <w:vAlign w:val="center"/>
            <w:hideMark/>
          </w:tcPr>
          <w:p w:rsidR="00534C63" w:rsidRPr="00D12E89" w:rsidRDefault="00534C63" w:rsidP="00684B0F">
            <w:pPr>
              <w:pStyle w:val="whp20100506"/>
              <w:jc w:val="center"/>
            </w:pPr>
            <w:r w:rsidRPr="00D12E89">
              <w:t>Income Tax Act, Companies Act</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Income Tax Act, CISCA</w:t>
            </w:r>
          </w:p>
        </w:tc>
      </w:tr>
      <w:tr w:rsidR="00534C63" w:rsidRPr="00923FE5" w:rsidTr="00A8691C">
        <w:trPr>
          <w:trHeight w:val="575"/>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Supplementary Governance</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JSE</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FSB, JSE</w:t>
            </w:r>
          </w:p>
        </w:tc>
      </w:tr>
      <w:tr w:rsidR="00534C63" w:rsidRPr="00923FE5" w:rsidTr="00A8691C">
        <w:trPr>
          <w:trHeight w:val="568"/>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Regulatory Body</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Property Loan Stock Association</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Property Unit Trust Association</w:t>
            </w:r>
          </w:p>
        </w:tc>
      </w:tr>
      <w:tr w:rsidR="00534C63" w:rsidRPr="00923FE5" w:rsidTr="00A8691C">
        <w:trPr>
          <w:trHeight w:val="616"/>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Administration</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Director</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Trustee / Manager</w:t>
            </w:r>
          </w:p>
        </w:tc>
      </w:tr>
      <w:tr w:rsidR="00534C63" w:rsidRPr="00923FE5" w:rsidTr="00A8691C">
        <w:trPr>
          <w:trHeight w:val="568"/>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Management</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Mostly Internal Company</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External Company</w:t>
            </w:r>
          </w:p>
        </w:tc>
      </w:tr>
      <w:tr w:rsidR="00534C63" w:rsidRPr="00923FE5" w:rsidTr="00A8691C">
        <w:trPr>
          <w:trHeight w:val="1070"/>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Type of Returns</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Rental, Sale of Asset, Any Immovable Property Related Services</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Rental Income</w:t>
            </w:r>
          </w:p>
        </w:tc>
      </w:tr>
      <w:tr w:rsidR="00534C63" w:rsidRPr="00923FE5" w:rsidTr="00A8691C">
        <w:trPr>
          <w:trHeight w:val="440"/>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Invest directly in Property</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Yes</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Yes</w:t>
            </w:r>
          </w:p>
        </w:tc>
      </w:tr>
      <w:tr w:rsidR="00534C63" w:rsidRPr="00923FE5" w:rsidTr="00A8691C">
        <w:trPr>
          <w:trHeight w:val="620"/>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Invest in Other Companies</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Yes</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No</w:t>
            </w:r>
          </w:p>
        </w:tc>
      </w:tr>
      <w:tr w:rsidR="00534C63" w:rsidRPr="00923FE5" w:rsidTr="00A8691C">
        <w:trPr>
          <w:trHeight w:val="413"/>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Offshore Investment</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Yes</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Yes</w:t>
            </w:r>
          </w:p>
        </w:tc>
      </w:tr>
      <w:tr w:rsidR="00534C63" w:rsidRPr="00923FE5" w:rsidTr="00A8691C">
        <w:trPr>
          <w:trHeight w:val="568"/>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Regulatory Document</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Articles of Association, Memorandum, Debenture Trust Deed</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t xml:space="preserve">Model </w:t>
            </w:r>
            <w:r w:rsidRPr="00487BD1">
              <w:t>Trust Deed</w:t>
            </w:r>
          </w:p>
        </w:tc>
      </w:tr>
      <w:tr w:rsidR="00534C63" w:rsidRPr="00923FE5" w:rsidTr="00A8691C">
        <w:trPr>
          <w:trHeight w:val="568"/>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Ownership / Share Holding</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Part Equity + Part Debenture</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Participatory Unit Holder</w:t>
            </w:r>
          </w:p>
        </w:tc>
      </w:tr>
      <w:tr w:rsidR="00534C63" w:rsidRPr="00923FE5" w:rsidTr="00A8691C">
        <w:trPr>
          <w:trHeight w:val="422"/>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Gearing Limits</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Unlimited</w:t>
            </w:r>
            <w:r>
              <w:t xml:space="preserve"> (as per M</w:t>
            </w:r>
            <w:r w:rsidRPr="00487BD1">
              <w:t>emorandum)</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60%</w:t>
            </w:r>
          </w:p>
        </w:tc>
      </w:tr>
      <w:tr w:rsidR="00534C63" w:rsidRPr="00923FE5" w:rsidTr="00A8691C">
        <w:trPr>
          <w:trHeight w:val="557"/>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Capital Gains Tax Rate</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Effective Rate of 14%</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Effective Rate of 20%</w:t>
            </w:r>
          </w:p>
        </w:tc>
      </w:tr>
      <w:tr w:rsidR="00534C63" w:rsidRPr="00923FE5" w:rsidTr="00A8691C">
        <w:trPr>
          <w:trHeight w:val="537"/>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lastRenderedPageBreak/>
              <w:t>Nature of Revenue</w:t>
            </w:r>
          </w:p>
        </w:tc>
        <w:tc>
          <w:tcPr>
            <w:tcW w:w="2700"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Interest &amp; Dividend</w:t>
            </w:r>
          </w:p>
        </w:tc>
        <w:tc>
          <w:tcPr>
            <w:tcW w:w="2454" w:type="dxa"/>
            <w:tcBorders>
              <w:left w:val="double" w:sz="4" w:space="0" w:color="auto"/>
              <w:right w:val="double" w:sz="4" w:space="0" w:color="auto"/>
            </w:tcBorders>
            <w:shd w:val="clear" w:color="auto" w:fill="auto"/>
            <w:noWrap/>
            <w:vAlign w:val="center"/>
            <w:hideMark/>
          </w:tcPr>
          <w:p w:rsidR="00534C63" w:rsidRPr="00487BD1" w:rsidRDefault="00534C63" w:rsidP="00684B0F">
            <w:pPr>
              <w:pStyle w:val="whp20100506"/>
              <w:jc w:val="center"/>
            </w:pPr>
            <w:r w:rsidRPr="00487BD1">
              <w:t>Dividends</w:t>
            </w:r>
          </w:p>
        </w:tc>
      </w:tr>
      <w:tr w:rsidR="00534C63" w:rsidRPr="00124B8E" w:rsidTr="00A8691C">
        <w:trPr>
          <w:trHeight w:val="620"/>
        </w:trPr>
        <w:tc>
          <w:tcPr>
            <w:tcW w:w="3666" w:type="dxa"/>
            <w:tcBorders>
              <w:top w:val="single" w:sz="4" w:space="0" w:color="auto"/>
              <w:left w:val="double" w:sz="4" w:space="0" w:color="auto"/>
              <w:bottom w:val="sing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Dividend Tax Payable</w:t>
            </w:r>
          </w:p>
        </w:tc>
        <w:tc>
          <w:tcPr>
            <w:tcW w:w="2700" w:type="dxa"/>
            <w:tcBorders>
              <w:left w:val="double" w:sz="4" w:space="0" w:color="auto"/>
              <w:bottom w:val="single" w:sz="4" w:space="0" w:color="auto"/>
              <w:right w:val="double" w:sz="4" w:space="0" w:color="auto"/>
            </w:tcBorders>
            <w:shd w:val="clear" w:color="auto" w:fill="auto"/>
            <w:noWrap/>
            <w:vAlign w:val="center"/>
            <w:hideMark/>
          </w:tcPr>
          <w:p w:rsidR="00534C63" w:rsidRPr="00124B8E" w:rsidRDefault="00534C63" w:rsidP="00684B0F">
            <w:pPr>
              <w:pStyle w:val="whp20100506"/>
              <w:jc w:val="center"/>
            </w:pPr>
            <w:r w:rsidRPr="00124B8E">
              <w:t>Exempt (unless Dividends paid – STC rate of 10%)</w:t>
            </w:r>
          </w:p>
        </w:tc>
        <w:tc>
          <w:tcPr>
            <w:tcW w:w="2454" w:type="dxa"/>
            <w:tcBorders>
              <w:left w:val="double" w:sz="4" w:space="0" w:color="auto"/>
              <w:bottom w:val="single" w:sz="4" w:space="0" w:color="auto"/>
              <w:right w:val="double" w:sz="4" w:space="0" w:color="auto"/>
            </w:tcBorders>
            <w:shd w:val="clear" w:color="auto" w:fill="auto"/>
            <w:noWrap/>
            <w:vAlign w:val="center"/>
            <w:hideMark/>
          </w:tcPr>
          <w:p w:rsidR="00534C63" w:rsidRPr="00124B8E" w:rsidRDefault="00534C63" w:rsidP="00684B0F">
            <w:pPr>
              <w:pStyle w:val="whp20100506"/>
              <w:jc w:val="center"/>
            </w:pPr>
            <w:r>
              <w:t>n/a</w:t>
            </w:r>
          </w:p>
        </w:tc>
      </w:tr>
      <w:tr w:rsidR="00534C63" w:rsidRPr="00124B8E" w:rsidTr="00A8691C">
        <w:trPr>
          <w:trHeight w:val="710"/>
        </w:trPr>
        <w:tc>
          <w:tcPr>
            <w:tcW w:w="3666" w:type="dxa"/>
            <w:tcBorders>
              <w:top w:val="single" w:sz="4" w:space="0" w:color="auto"/>
              <w:left w:val="double" w:sz="4" w:space="0" w:color="auto"/>
              <w:bottom w:val="double" w:sz="4" w:space="0" w:color="auto"/>
              <w:right w:val="double" w:sz="4" w:space="0" w:color="auto"/>
            </w:tcBorders>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Interest Tax Payable</w:t>
            </w:r>
          </w:p>
        </w:tc>
        <w:tc>
          <w:tcPr>
            <w:tcW w:w="2700" w:type="dxa"/>
            <w:tcBorders>
              <w:left w:val="double" w:sz="4" w:space="0" w:color="auto"/>
              <w:bottom w:val="double" w:sz="4" w:space="0" w:color="auto"/>
              <w:right w:val="double" w:sz="4" w:space="0" w:color="auto"/>
            </w:tcBorders>
            <w:shd w:val="clear" w:color="auto" w:fill="auto"/>
            <w:noWrap/>
            <w:vAlign w:val="center"/>
            <w:hideMark/>
          </w:tcPr>
          <w:p w:rsidR="00534C63" w:rsidRPr="00124B8E" w:rsidRDefault="00534C63" w:rsidP="00684B0F">
            <w:pPr>
              <w:pStyle w:val="whp20100506"/>
              <w:jc w:val="center"/>
            </w:pPr>
            <w:r w:rsidRPr="00124B8E">
              <w:t>Yes at Individual Rate (after Rebates)</w:t>
            </w:r>
          </w:p>
        </w:tc>
        <w:tc>
          <w:tcPr>
            <w:tcW w:w="2454" w:type="dxa"/>
            <w:tcBorders>
              <w:left w:val="double" w:sz="4" w:space="0" w:color="auto"/>
              <w:bottom w:val="double" w:sz="4" w:space="0" w:color="auto"/>
              <w:right w:val="double" w:sz="4" w:space="0" w:color="auto"/>
            </w:tcBorders>
            <w:shd w:val="clear" w:color="auto" w:fill="auto"/>
            <w:noWrap/>
            <w:vAlign w:val="center"/>
            <w:hideMark/>
          </w:tcPr>
          <w:p w:rsidR="00534C63" w:rsidRPr="00124B8E" w:rsidRDefault="00534C63" w:rsidP="00684B0F">
            <w:pPr>
              <w:pStyle w:val="whp20100506"/>
              <w:jc w:val="center"/>
            </w:pPr>
            <w:r w:rsidRPr="00124B8E">
              <w:t>Yes at Individual Rate</w:t>
            </w:r>
          </w:p>
        </w:tc>
      </w:tr>
    </w:tbl>
    <w:p w:rsidR="00534C63" w:rsidRDefault="00534C63" w:rsidP="00534C63">
      <w:pPr>
        <w:pStyle w:val="whp20100506"/>
      </w:pPr>
      <w:r w:rsidRPr="00C70A8F">
        <w:tab/>
      </w:r>
    </w:p>
    <w:p w:rsidR="00534C63" w:rsidRPr="00A678E2" w:rsidRDefault="00534C63" w:rsidP="00C603DC">
      <w:pPr>
        <w:pStyle w:val="whp20100506"/>
        <w:numPr>
          <w:ilvl w:val="2"/>
          <w:numId w:val="36"/>
        </w:numPr>
        <w:rPr>
          <w:b/>
        </w:rPr>
      </w:pPr>
      <w:r w:rsidRPr="00A678E2">
        <w:rPr>
          <w:b/>
        </w:rPr>
        <w:t>SUMMARISING THE ANOMALIES</w:t>
      </w:r>
      <w:r w:rsidR="005D35CC" w:rsidRPr="00A678E2">
        <w:rPr>
          <w:b/>
        </w:rPr>
        <w:t xml:space="preserve"> AND PROBLEMS</w:t>
      </w:r>
      <w:r w:rsidRPr="00A678E2">
        <w:rPr>
          <w:b/>
        </w:rPr>
        <w:t xml:space="preserve"> OF CISPS AND </w:t>
      </w:r>
      <w:r w:rsidR="005D35CC" w:rsidRPr="00A678E2">
        <w:rPr>
          <w:b/>
        </w:rPr>
        <w:t>PLS THAT MOTIVATE IMPROVING THE EXISTING STRUCTURES</w:t>
      </w:r>
    </w:p>
    <w:p w:rsidR="00534C63" w:rsidRPr="00A678E2" w:rsidRDefault="00534C63" w:rsidP="00534C63">
      <w:pPr>
        <w:pStyle w:val="whp20100506"/>
      </w:pPr>
      <w:r w:rsidRPr="00A678E2">
        <w:tab/>
      </w:r>
    </w:p>
    <w:p w:rsidR="00534C63" w:rsidRPr="00C7460C" w:rsidRDefault="00534C63" w:rsidP="00534C63">
      <w:pPr>
        <w:pStyle w:val="whp20100506"/>
      </w:pPr>
      <w:r w:rsidRPr="00A678E2">
        <w:t>Essentially</w:t>
      </w:r>
      <w:r w:rsidRPr="00C7460C">
        <w:t xml:space="preserve"> the anomalies between CISPs and PLS exist as being divided along two main instances being tax applicable to income earned from operations and tax applicable to capital gains from the sale of an asset. This will best illustrate the dichotomy that exists between the two regimes and understanding the ultimate need for change in these structures. </w:t>
      </w:r>
    </w:p>
    <w:p w:rsidR="00534C63" w:rsidRPr="00C7460C" w:rsidRDefault="00534C63" w:rsidP="00534C63">
      <w:pPr>
        <w:pStyle w:val="whp20100506"/>
      </w:pPr>
    </w:p>
    <w:p w:rsidR="00534C63" w:rsidRPr="00C7460C" w:rsidRDefault="00534C63" w:rsidP="00534C63">
      <w:pPr>
        <w:pStyle w:val="whp20100506"/>
      </w:pPr>
      <w:r w:rsidRPr="00C7460C">
        <w:t xml:space="preserve">The National Treasury identified the anomalies that motivated a new dispensation as being deferred tax, inconsistent tax treatment and the dividend / interest (National Treasury, December 2007). </w:t>
      </w:r>
    </w:p>
    <w:p w:rsidR="00534C63" w:rsidRPr="00C7460C" w:rsidRDefault="00534C63" w:rsidP="00534C63">
      <w:pPr>
        <w:pStyle w:val="whp20100506"/>
      </w:pPr>
    </w:p>
    <w:p w:rsidR="00534C63" w:rsidRDefault="00534C63" w:rsidP="00534C63">
      <w:pPr>
        <w:pStyle w:val="whp20100506"/>
        <w:numPr>
          <w:ilvl w:val="0"/>
          <w:numId w:val="22"/>
        </w:numPr>
        <w:ind w:left="426"/>
      </w:pPr>
      <w:r>
        <w:t>Deferred Tax</w:t>
      </w:r>
    </w:p>
    <w:p w:rsidR="00534C63" w:rsidRDefault="00534C63" w:rsidP="00534C63">
      <w:pPr>
        <w:pStyle w:val="whp20100506"/>
      </w:pPr>
    </w:p>
    <w:p w:rsidR="00534C63" w:rsidRPr="00C7460C" w:rsidRDefault="00534C63" w:rsidP="00534C63">
      <w:pPr>
        <w:pStyle w:val="whp20100506"/>
      </w:pPr>
      <w:r w:rsidRPr="00C7460C">
        <w:t>As far as deferred tax is concerned</w:t>
      </w:r>
      <w:r>
        <w:t>,</w:t>
      </w:r>
      <w:r w:rsidRPr="00C7460C">
        <w:t xml:space="preserve"> the National Treasury stated that because CISPs are not recognised as companies for the purpose of income tax, any transaction where there is a reorganisation within a group of companies which either involves a company and a CISP or between two CISPs, will not qualify or received tax deferral status. This is in stark contrast to PLS where a company will qualify for tax deferral.</w:t>
      </w:r>
    </w:p>
    <w:p w:rsidR="00534C63" w:rsidRDefault="00534C63" w:rsidP="00534C63">
      <w:pPr>
        <w:pStyle w:val="whp20100506"/>
      </w:pPr>
    </w:p>
    <w:p w:rsidR="00534C63" w:rsidRDefault="00534C63" w:rsidP="00534C63">
      <w:pPr>
        <w:pStyle w:val="whp20100506"/>
        <w:numPr>
          <w:ilvl w:val="0"/>
          <w:numId w:val="22"/>
        </w:numPr>
        <w:ind w:left="426" w:hanging="426"/>
      </w:pPr>
      <w:r>
        <w:t>Inconsistent Tax</w:t>
      </w:r>
    </w:p>
    <w:p w:rsidR="00534C63" w:rsidRDefault="00534C63" w:rsidP="00534C63">
      <w:pPr>
        <w:pStyle w:val="whp20100506"/>
        <w:ind w:left="426"/>
      </w:pPr>
    </w:p>
    <w:p w:rsidR="00534C63" w:rsidRPr="00C7460C" w:rsidRDefault="00534C63" w:rsidP="00534C63">
      <w:pPr>
        <w:pStyle w:val="whp20100506"/>
      </w:pPr>
      <w:r>
        <w:t>A</w:t>
      </w:r>
      <w:r w:rsidRPr="00C7460C">
        <w:t xml:space="preserve">s illustrated above, CISPs and PUTs do not enjoy the same tax dispensation simply because of the vast differences that exist in the regulatory regimes controlling the respective juristic personalities. It is impossible to amend these discrepancies through legislative amendments because of the inherent dichotomy in legal forms and thus no bridging is possible to bring </w:t>
      </w:r>
      <w:r w:rsidRPr="00C7460C">
        <w:lastRenderedPageBreak/>
        <w:t xml:space="preserve">about a uniform tax dispensation.  </w:t>
      </w:r>
    </w:p>
    <w:p w:rsidR="00534C63" w:rsidRDefault="00534C63" w:rsidP="00534C63">
      <w:pPr>
        <w:pStyle w:val="whp20100506"/>
      </w:pPr>
    </w:p>
    <w:p w:rsidR="00534C63" w:rsidRDefault="00534C63" w:rsidP="00534C63">
      <w:pPr>
        <w:pStyle w:val="whp20100506"/>
        <w:numPr>
          <w:ilvl w:val="0"/>
          <w:numId w:val="22"/>
        </w:numPr>
        <w:ind w:left="426"/>
      </w:pPr>
      <w:r>
        <w:t>Dividends versus Interest</w:t>
      </w:r>
    </w:p>
    <w:p w:rsidR="00534C63" w:rsidRDefault="00534C63" w:rsidP="00534C63">
      <w:pPr>
        <w:pStyle w:val="whp20100506"/>
        <w:ind w:left="66"/>
      </w:pPr>
    </w:p>
    <w:p w:rsidR="00534C63" w:rsidRDefault="00534C63" w:rsidP="00534C63">
      <w:pPr>
        <w:pStyle w:val="whp20100506"/>
        <w:ind w:left="66"/>
      </w:pPr>
      <w:r w:rsidRPr="00C7460C">
        <w:t xml:space="preserve">The extensive use of debenture interest payments by the PLS to its shareholders is effectively the same in nature as the income paid by CISPs to its shareholders. The difference being that because PLS pays out debenture interest, it is not subject to FSB scrutiny or any related regulatory controls. The South African Receiver of Revenue has expressed its concerns and doubts that the distribution of PLS profit to its shareholders in fact qualify as interest. According to the Receiver these distributions is in fact actually dividends purely because of the high percentage levels paid out to shareholders on an annual basis relative to other companies and therefore in essence means that CISPs evade the scrutiny of the FSB. This therefore leaves investors exposed and without recourse to shareholder protection that would otherwise be prescribed as is the case with CISPs. </w:t>
      </w:r>
    </w:p>
    <w:p w:rsidR="00534C63" w:rsidRDefault="00534C63" w:rsidP="00534C63">
      <w:pPr>
        <w:pStyle w:val="whp20100506"/>
        <w:ind w:left="66"/>
      </w:pPr>
    </w:p>
    <w:p w:rsidR="00534C63" w:rsidRPr="00A678E2" w:rsidRDefault="00534C63" w:rsidP="00534C63">
      <w:pPr>
        <w:pStyle w:val="whp20100506"/>
        <w:ind w:left="66"/>
      </w:pPr>
      <w:r w:rsidRPr="00C7460C">
        <w:t xml:space="preserve">In seeking a new </w:t>
      </w:r>
      <w:r w:rsidRPr="00A678E2">
        <w:t>REIT regime that best suits the local landscape, the National Treasury and the various interested parties must take cognisance of the lessons learnt by international countries in their REIT adoption processes.</w:t>
      </w:r>
    </w:p>
    <w:p w:rsidR="00534C63" w:rsidRPr="00A678E2" w:rsidRDefault="00534C63" w:rsidP="00534C63">
      <w:pPr>
        <w:pStyle w:val="whp20100506"/>
      </w:pPr>
    </w:p>
    <w:p w:rsidR="00534C63" w:rsidRPr="00A678E2" w:rsidRDefault="00534C63" w:rsidP="00C603DC">
      <w:pPr>
        <w:pStyle w:val="whp20100506"/>
        <w:numPr>
          <w:ilvl w:val="1"/>
          <w:numId w:val="36"/>
        </w:numPr>
        <w:tabs>
          <w:tab w:val="left" w:pos="360"/>
        </w:tabs>
        <w:ind w:left="270" w:hanging="270"/>
        <w:rPr>
          <w:b/>
        </w:rPr>
      </w:pPr>
      <w:r w:rsidRPr="00A678E2">
        <w:rPr>
          <w:b/>
        </w:rPr>
        <w:t>CONCLUSION: THE NEED FOR CHANGE</w:t>
      </w:r>
      <w:r w:rsidR="00394404" w:rsidRPr="00A678E2">
        <w:rPr>
          <w:b/>
        </w:rPr>
        <w:t xml:space="preserve"> IN SOUTH AFRICA - IMPROVING THE EXISTING LISTED </w:t>
      </w:r>
      <w:r w:rsidR="003646B6" w:rsidRPr="00A678E2">
        <w:rPr>
          <w:b/>
        </w:rPr>
        <w:t xml:space="preserve">PROPERTY </w:t>
      </w:r>
      <w:r w:rsidR="00394404" w:rsidRPr="00A678E2">
        <w:rPr>
          <w:b/>
        </w:rPr>
        <w:t xml:space="preserve">INVESTMENT </w:t>
      </w:r>
      <w:r w:rsidR="003646B6" w:rsidRPr="00A678E2">
        <w:rPr>
          <w:b/>
        </w:rPr>
        <w:t>STRUCTURES</w:t>
      </w:r>
    </w:p>
    <w:p w:rsidR="00534C63" w:rsidRPr="00A678E2" w:rsidRDefault="00534C63" w:rsidP="00534C63">
      <w:pPr>
        <w:pStyle w:val="whp20100506"/>
      </w:pPr>
    </w:p>
    <w:p w:rsidR="00534C63" w:rsidRPr="00C7460C" w:rsidRDefault="00534C63" w:rsidP="00534C63">
      <w:pPr>
        <w:pStyle w:val="whp20100506"/>
      </w:pPr>
      <w:r w:rsidRPr="00A678E2">
        <w:t>Taking into account the aforementioned synopsis, the general conclusion of the South Africa property landscape is that there is a vast differences between CISPs and PLS entities, both from the point of view of a regulatory framework and taxation dispensation.</w:t>
      </w:r>
      <w:r w:rsidRPr="00C7460C">
        <w:t xml:space="preserve"> </w:t>
      </w:r>
    </w:p>
    <w:p w:rsidR="00534C63" w:rsidRPr="00C7460C" w:rsidRDefault="00534C63" w:rsidP="00534C63">
      <w:pPr>
        <w:pStyle w:val="whp20100506"/>
      </w:pPr>
    </w:p>
    <w:p w:rsidR="00534C63" w:rsidRPr="00C7460C" w:rsidRDefault="00534C63" w:rsidP="00534C63">
      <w:pPr>
        <w:pStyle w:val="whp20100506"/>
      </w:pPr>
      <w:r w:rsidRPr="00C7460C">
        <w:t xml:space="preserve">By its very nature as distinctly diverse juristic entities, the National Treasury has indicated that these differences cannot be bridged merely through legislative amendments. The dichotomous discrepancies between them are too vast to address and therefore requires a complete overall of the entire regulatory framework in order to find symmetry. </w:t>
      </w:r>
    </w:p>
    <w:p w:rsidR="00534C63" w:rsidRPr="00C7460C" w:rsidRDefault="00534C63" w:rsidP="00534C63">
      <w:pPr>
        <w:pStyle w:val="whp20100506"/>
      </w:pPr>
    </w:p>
    <w:p w:rsidR="00534C63" w:rsidRPr="00C7460C" w:rsidRDefault="00534C63" w:rsidP="00534C63">
      <w:pPr>
        <w:pStyle w:val="whp20100506"/>
      </w:pPr>
      <w:r w:rsidRPr="00C7460C">
        <w:t xml:space="preserve">The way forward therefore is the adoption of </w:t>
      </w:r>
      <w:r w:rsidR="00194F2A">
        <w:t>REITS</w:t>
      </w:r>
      <w:r w:rsidRPr="00C7460C">
        <w:t xml:space="preserve"> as the new tax and regulatory framework for the listed property investment sector. The National Treasury views the benefits of </w:t>
      </w:r>
      <w:r w:rsidR="00194F2A">
        <w:t>REITS</w:t>
      </w:r>
      <w:r w:rsidRPr="00C7460C">
        <w:t xml:space="preserve"> as including tax efficiency, diversification of property classes in a variety </w:t>
      </w:r>
      <w:r w:rsidRPr="00C7460C">
        <w:lastRenderedPageBreak/>
        <w:t>of sectors; highly liquid investment format; accessibility for investors to prime property investments; and providing income to investment vehicles such as fund and pensioners (National Treasury, 2007:7).</w:t>
      </w:r>
    </w:p>
    <w:p w:rsidR="00534C63" w:rsidRPr="00C7460C" w:rsidRDefault="00534C63" w:rsidP="00534C63">
      <w:pPr>
        <w:pStyle w:val="whp20100506"/>
      </w:pPr>
    </w:p>
    <w:p w:rsidR="00534C63" w:rsidRDefault="00534C63" w:rsidP="00534C63">
      <w:pPr>
        <w:pStyle w:val="whp20100506"/>
      </w:pPr>
      <w:r>
        <w:t>F</w:t>
      </w:r>
      <w:r w:rsidRPr="00C7460C">
        <w:t xml:space="preserve">eedback from various South African property leaders supports this motion. Mr Craig Hallowes from Pangbourne Properties views the benefit of </w:t>
      </w:r>
      <w:r w:rsidR="00194F2A">
        <w:t>REITS</w:t>
      </w:r>
      <w:r w:rsidRPr="00C7460C">
        <w:t xml:space="preserve"> as giving South Africa global branding; clarification and changes to the tax arrangements of PLS’ companies; confirmation of the conduit nature of REIT; and allows the sector to grow (Questionnaire 2010, May 4).</w:t>
      </w:r>
    </w:p>
    <w:p w:rsidR="0001089F" w:rsidRPr="00C7460C" w:rsidRDefault="0001089F" w:rsidP="00534C63">
      <w:pPr>
        <w:pStyle w:val="whp20100506"/>
      </w:pPr>
    </w:p>
    <w:p w:rsidR="00534C63" w:rsidRPr="00C7460C" w:rsidRDefault="00534C63" w:rsidP="00534C63">
      <w:pPr>
        <w:pStyle w:val="whp20100506"/>
      </w:pPr>
      <w:r w:rsidRPr="00C7460C">
        <w:t xml:space="preserve">Mr John Rainer from Standard Bank Real Estate Asset Management sees a marginal improvement but that through the introduction of </w:t>
      </w:r>
      <w:r w:rsidR="00194F2A">
        <w:t>REITS</w:t>
      </w:r>
      <w:r w:rsidRPr="00C7460C">
        <w:t xml:space="preserve"> the major benefit will entail that PLS companies will be legitimised and will no longer pay out interest income (Question</w:t>
      </w:r>
      <w:r>
        <w:t>n</w:t>
      </w:r>
      <w:r w:rsidRPr="00C7460C">
        <w:t>aire 2010, May 6).</w:t>
      </w:r>
    </w:p>
    <w:p w:rsidR="00534C63" w:rsidRDefault="00534C63" w:rsidP="00534C63">
      <w:pPr>
        <w:pStyle w:val="whp20100506"/>
        <w:ind w:left="720"/>
        <w:rPr>
          <w:noProof/>
        </w:rPr>
      </w:pPr>
    </w:p>
    <w:p w:rsidR="00534C63" w:rsidRPr="00C7460C" w:rsidRDefault="00534C63" w:rsidP="00534C63">
      <w:pPr>
        <w:pStyle w:val="whp20100506"/>
      </w:pPr>
      <w:r w:rsidRPr="00C7460C">
        <w:t>Mr Paul Theodosious from Acucap sees the benefit as a big diversification of investment assets; improved asset management; and greater international flow of investment into South Africa (Questionnaire 2009, December 5).</w:t>
      </w:r>
    </w:p>
    <w:p w:rsidR="00534C63" w:rsidRDefault="00534C63" w:rsidP="00534C63">
      <w:pPr>
        <w:pStyle w:val="whp20100506"/>
      </w:pPr>
    </w:p>
    <w:p w:rsidR="00534C63" w:rsidRDefault="00534C63" w:rsidP="00534C63">
      <w:pPr>
        <w:pStyle w:val="whp20100506"/>
      </w:pPr>
      <w:r>
        <w:t xml:space="preserve">Ms </w:t>
      </w:r>
      <w:r w:rsidRPr="006F58E2">
        <w:t>Mandy Ramsden</w:t>
      </w:r>
      <w:r>
        <w:t xml:space="preserve"> from Standard Bank takes the view that </w:t>
      </w:r>
      <w:r w:rsidRPr="006F58E2">
        <w:t>SA already has a true REIT in the form of the CISP</w:t>
      </w:r>
      <w:r>
        <w:t>, which is</w:t>
      </w:r>
      <w:r w:rsidRPr="006F58E2">
        <w:t xml:space="preserve"> an entity that invests in real estate and is an untaxed conduit in respect of the net rental income it passes on to its investors</w:t>
      </w:r>
      <w:r>
        <w:t xml:space="preserve"> (Email discussion, 2010, July)</w:t>
      </w:r>
      <w:r w:rsidRPr="006F58E2">
        <w:t xml:space="preserve">. A PLS company achieves the same thing in a synthetically structured way, without the co-operation of the State in the form of specifically designed tax law. </w:t>
      </w:r>
      <w:r>
        <w:t xml:space="preserve"> </w:t>
      </w:r>
    </w:p>
    <w:p w:rsidR="00534C63" w:rsidRPr="00C7460C" w:rsidRDefault="00534C63" w:rsidP="00534C63">
      <w:pPr>
        <w:pStyle w:val="whp20100506"/>
      </w:pPr>
    </w:p>
    <w:p w:rsidR="00534C63" w:rsidRPr="00C7460C" w:rsidRDefault="00534C63" w:rsidP="00534C63">
      <w:pPr>
        <w:pStyle w:val="whp20100506"/>
      </w:pPr>
      <w:r w:rsidRPr="00C7460C">
        <w:t xml:space="preserve">In conclusion the sentiments of the National Treasury are well founded that the current listed property investment landscape in South Africa is a fragment one and partly regulated which is neither internationally friendly nor internationally competitive (National Treasury, 2007: 1&amp;5).  </w:t>
      </w:r>
    </w:p>
    <w:p w:rsidR="00534C63" w:rsidRPr="00C7460C" w:rsidRDefault="00534C63" w:rsidP="00534C63">
      <w:pPr>
        <w:pStyle w:val="whp20100506"/>
      </w:pPr>
    </w:p>
    <w:p w:rsidR="00534C63" w:rsidRPr="00C7460C" w:rsidRDefault="00534C63" w:rsidP="00534C63">
      <w:pPr>
        <w:pStyle w:val="whp20100506"/>
      </w:pPr>
      <w:r w:rsidRPr="00C7460C">
        <w:t xml:space="preserve">The focus is therefore on seeking a structured </w:t>
      </w:r>
      <w:r w:rsidR="00194F2A">
        <w:t>REITS</w:t>
      </w:r>
      <w:r w:rsidRPr="00C7460C">
        <w:t xml:space="preserve"> framework that is both a combination of what is best for the South African property landscape but also takes into account international REIT trends and the local market requirements.</w:t>
      </w:r>
    </w:p>
    <w:p w:rsidR="00534C63" w:rsidRPr="00C457A5" w:rsidRDefault="00534C63" w:rsidP="00C603DC">
      <w:pPr>
        <w:pStyle w:val="whp20100506"/>
        <w:numPr>
          <w:ilvl w:val="0"/>
          <w:numId w:val="36"/>
        </w:numPr>
        <w:rPr>
          <w:b/>
          <w:bCs/>
        </w:rPr>
      </w:pPr>
      <w:r>
        <w:br w:type="page"/>
      </w:r>
    </w:p>
    <w:p w:rsidR="00534C63" w:rsidRDefault="00534C63" w:rsidP="00534C63">
      <w:pPr>
        <w:pStyle w:val="whp20100506"/>
        <w:rPr>
          <w:b/>
          <w:bCs/>
        </w:rPr>
      </w:pPr>
      <w:r>
        <w:rPr>
          <w:b/>
          <w:bCs/>
        </w:rPr>
        <w:lastRenderedPageBreak/>
        <w:t>SECTION C:</w:t>
      </w:r>
      <w:r>
        <w:rPr>
          <w:b/>
          <w:bCs/>
        </w:rPr>
        <w:tab/>
      </w:r>
      <w:r>
        <w:rPr>
          <w:b/>
          <w:bCs/>
        </w:rPr>
        <w:tab/>
        <w:t>RESEARCH METHODOLOGY (</w:t>
      </w:r>
      <w:r w:rsidR="00E07118">
        <w:rPr>
          <w:b/>
          <w:bCs/>
        </w:rPr>
        <w:t>EXPLORATORY STUDY</w:t>
      </w:r>
      <w:r>
        <w:rPr>
          <w:b/>
          <w:bCs/>
        </w:rPr>
        <w:t>)</w:t>
      </w:r>
    </w:p>
    <w:p w:rsidR="006E7519" w:rsidRDefault="006E7519" w:rsidP="006E7519">
      <w:pPr>
        <w:pStyle w:val="whp20100506"/>
        <w:rPr>
          <w:b/>
        </w:rPr>
      </w:pPr>
    </w:p>
    <w:p w:rsidR="006E7519" w:rsidRDefault="006E7519" w:rsidP="007B731D">
      <w:pPr>
        <w:pStyle w:val="whp20100506"/>
        <w:numPr>
          <w:ilvl w:val="0"/>
          <w:numId w:val="2"/>
        </w:numPr>
        <w:ind w:left="426" w:hanging="426"/>
        <w:rPr>
          <w:b/>
        </w:rPr>
      </w:pPr>
      <w:r>
        <w:rPr>
          <w:b/>
        </w:rPr>
        <w:t>METHODOLOGY</w:t>
      </w:r>
    </w:p>
    <w:p w:rsidR="006E7519" w:rsidRPr="00177B12" w:rsidRDefault="006E7519" w:rsidP="006E7519">
      <w:pPr>
        <w:pStyle w:val="whp20100506"/>
        <w:ind w:left="426"/>
        <w:rPr>
          <w:b/>
        </w:rPr>
      </w:pPr>
    </w:p>
    <w:p w:rsidR="00534C63" w:rsidRPr="00C8718F" w:rsidRDefault="00534C63" w:rsidP="00386CAB">
      <w:pPr>
        <w:pStyle w:val="whp20100506"/>
        <w:numPr>
          <w:ilvl w:val="1"/>
          <w:numId w:val="37"/>
        </w:numPr>
        <w:rPr>
          <w:b/>
        </w:rPr>
      </w:pPr>
      <w:r>
        <w:rPr>
          <w:b/>
        </w:rPr>
        <w:t xml:space="preserve">DESIGN OF THE </w:t>
      </w:r>
      <w:r w:rsidR="00E07118">
        <w:rPr>
          <w:b/>
        </w:rPr>
        <w:t>EXPLORATORY STUDY</w:t>
      </w:r>
    </w:p>
    <w:p w:rsidR="00534C63" w:rsidRDefault="00534C63" w:rsidP="00534C63">
      <w:pPr>
        <w:pStyle w:val="whp20100506"/>
        <w:ind w:left="360"/>
      </w:pPr>
    </w:p>
    <w:p w:rsidR="00534C63" w:rsidRPr="00974000" w:rsidRDefault="002F2DD0" w:rsidP="00534C63">
      <w:pPr>
        <w:pStyle w:val="whp20100506"/>
      </w:pPr>
      <w:r w:rsidRPr="00974000">
        <w:t xml:space="preserve">The main research question was </w:t>
      </w:r>
      <w:r w:rsidR="007153FC" w:rsidRPr="00974000">
        <w:rPr>
          <w:i/>
        </w:rPr>
        <w:t>h</w:t>
      </w:r>
      <w:r w:rsidRPr="00974000">
        <w:rPr>
          <w:i/>
        </w:rPr>
        <w:t xml:space="preserve">as the National Treasury, in their December 2007 discussion paper, proposed a REITS framework that will be successfully adopted by the listed South African property sector whilst being harmonious with international standards? </w:t>
      </w:r>
      <w:r w:rsidRPr="00974000">
        <w:t>In order to answer this question and achieve the research objectives</w:t>
      </w:r>
      <w:r w:rsidR="007153FC" w:rsidRPr="00974000">
        <w:t xml:space="preserve"> highlighted in sub-chapter 1.4 of the report, </w:t>
      </w:r>
      <w:r w:rsidR="00B00F23" w:rsidRPr="00974000">
        <w:t xml:space="preserve">the </w:t>
      </w:r>
      <w:r w:rsidR="00534C63" w:rsidRPr="00974000">
        <w:t xml:space="preserve">research </w:t>
      </w:r>
      <w:r w:rsidR="00B00F23" w:rsidRPr="00974000">
        <w:t>d</w:t>
      </w:r>
      <w:r w:rsidR="00534C63" w:rsidRPr="00974000">
        <w:t>esign</w:t>
      </w:r>
      <w:r w:rsidR="007153FC" w:rsidRPr="00974000">
        <w:t xml:space="preserve"> employed </w:t>
      </w:r>
      <w:r w:rsidR="00534C63" w:rsidRPr="00974000">
        <w:t>a</w:t>
      </w:r>
      <w:r w:rsidR="005D75A9" w:rsidRPr="00974000">
        <w:t>n</w:t>
      </w:r>
      <w:r w:rsidR="00534C63" w:rsidRPr="00974000">
        <w:t xml:space="preserve"> </w:t>
      </w:r>
      <w:r w:rsidR="00F40E9A" w:rsidRPr="00974000">
        <w:t>e</w:t>
      </w:r>
      <w:r w:rsidR="00E07118" w:rsidRPr="00974000">
        <w:t xml:space="preserve">xploratory </w:t>
      </w:r>
      <w:r w:rsidR="00F40E9A" w:rsidRPr="00974000">
        <w:t>s</w:t>
      </w:r>
      <w:r w:rsidR="00E07118" w:rsidRPr="00974000">
        <w:t>tudy</w:t>
      </w:r>
      <w:r w:rsidR="00534C63" w:rsidRPr="00974000">
        <w:t xml:space="preserve"> </w:t>
      </w:r>
      <w:r w:rsidR="00BC4B57" w:rsidRPr="00974000">
        <w:t>and</w:t>
      </w:r>
      <w:r w:rsidR="00534C63" w:rsidRPr="00974000">
        <w:t xml:space="preserve"> qualitativ</w:t>
      </w:r>
      <w:r w:rsidR="005D75A9" w:rsidRPr="00974000">
        <w:t>ely analys</w:t>
      </w:r>
      <w:r w:rsidR="00F40E9A" w:rsidRPr="00974000">
        <w:t>ed</w:t>
      </w:r>
      <w:r w:rsidR="005D75A9" w:rsidRPr="00974000">
        <w:t xml:space="preserve"> </w:t>
      </w:r>
      <w:r w:rsidR="00534C63" w:rsidRPr="00974000">
        <w:t>interviews conducted</w:t>
      </w:r>
      <w:r w:rsidR="005D75A9" w:rsidRPr="00974000">
        <w:t xml:space="preserve"> with industry leaders</w:t>
      </w:r>
      <w:r w:rsidR="00534C63" w:rsidRPr="00974000">
        <w:t xml:space="preserve"> by the researcher. </w:t>
      </w:r>
    </w:p>
    <w:p w:rsidR="0094127D" w:rsidRPr="00974000" w:rsidRDefault="0094127D" w:rsidP="00534C63">
      <w:pPr>
        <w:pStyle w:val="whp20100506"/>
        <w:rPr>
          <w:rStyle w:val="googqs-tidbit1"/>
        </w:rPr>
      </w:pPr>
    </w:p>
    <w:p w:rsidR="00D01257" w:rsidRPr="00974000" w:rsidRDefault="00B00F23" w:rsidP="00534C63">
      <w:pPr>
        <w:pStyle w:val="whp20100506"/>
      </w:pPr>
      <w:bookmarkStart w:id="22" w:name="OLE_LINK1"/>
      <w:r w:rsidRPr="00974000">
        <w:rPr>
          <w:rStyle w:val="googqs-tidbit1"/>
        </w:rPr>
        <w:t>REIT system is relatively new in South Africa</w:t>
      </w:r>
      <w:r w:rsidR="001856BC" w:rsidRPr="00974000">
        <w:rPr>
          <w:rStyle w:val="googqs-tidbit1"/>
        </w:rPr>
        <w:t xml:space="preserve"> and therefore very little literature exists about its theoretical framework and practical implementation. </w:t>
      </w:r>
      <w:r w:rsidR="00E07118" w:rsidRPr="00974000">
        <w:rPr>
          <w:rStyle w:val="googqs-tidbit1"/>
        </w:rPr>
        <w:t>Th</w:t>
      </w:r>
      <w:r w:rsidR="0025224A" w:rsidRPr="00974000">
        <w:rPr>
          <w:rStyle w:val="googqs-tidbit1"/>
        </w:rPr>
        <w:t>us</w:t>
      </w:r>
      <w:r w:rsidR="003A01C4" w:rsidRPr="00974000">
        <w:rPr>
          <w:rStyle w:val="googqs-tidbit1"/>
        </w:rPr>
        <w:t xml:space="preserve"> </w:t>
      </w:r>
      <w:r w:rsidR="00E07118" w:rsidRPr="00974000">
        <w:rPr>
          <w:rStyle w:val="googqs-tidbit1"/>
        </w:rPr>
        <w:t>Exploratory Study</w:t>
      </w:r>
      <w:r w:rsidR="0094127D" w:rsidRPr="00974000">
        <w:rPr>
          <w:rStyle w:val="googqs-tidbit1"/>
        </w:rPr>
        <w:t xml:space="preserve"> </w:t>
      </w:r>
      <w:r w:rsidR="00E07118" w:rsidRPr="00974000">
        <w:rPr>
          <w:rStyle w:val="googqs-tidbit1"/>
        </w:rPr>
        <w:t xml:space="preserve">was used </w:t>
      </w:r>
      <w:r w:rsidR="0094127D" w:rsidRPr="00974000">
        <w:rPr>
          <w:rStyle w:val="googqs-tidbit1"/>
        </w:rPr>
        <w:t xml:space="preserve">as </w:t>
      </w:r>
      <w:r w:rsidR="003A01C4" w:rsidRPr="00974000">
        <w:rPr>
          <w:rStyle w:val="googqs-tidbit1"/>
        </w:rPr>
        <w:t>“</w:t>
      </w:r>
      <w:r w:rsidR="0094127D" w:rsidRPr="00974000">
        <w:rPr>
          <w:rStyle w:val="googqs-tidbit1"/>
        </w:rPr>
        <w:t>an empirical inquiry that investigates a contemporary phenomenon within</w:t>
      </w:r>
      <w:r w:rsidR="0094127D" w:rsidRPr="00974000">
        <w:t xml:space="preserve"> its real-life context</w:t>
      </w:r>
      <w:r w:rsidR="003A01C4" w:rsidRPr="00974000">
        <w:t>”</w:t>
      </w:r>
      <w:r w:rsidR="0094127D" w:rsidRPr="00974000">
        <w:rPr>
          <w:rStyle w:val="FootnoteReference"/>
        </w:rPr>
        <w:footnoteReference w:id="30"/>
      </w:r>
      <w:r w:rsidR="0094127D" w:rsidRPr="00974000">
        <w:t>.</w:t>
      </w:r>
      <w:r w:rsidR="005D75A9" w:rsidRPr="00974000">
        <w:t xml:space="preserve"> T</w:t>
      </w:r>
      <w:r w:rsidR="00D01257" w:rsidRPr="00974000">
        <w:t xml:space="preserve">he </w:t>
      </w:r>
      <w:r w:rsidR="00E07118" w:rsidRPr="00974000">
        <w:t>Exploratory Study</w:t>
      </w:r>
      <w:r w:rsidR="003A01C4" w:rsidRPr="00974000">
        <w:t xml:space="preserve"> facilitates the function of addressing the explanatory question</w:t>
      </w:r>
      <w:r w:rsidR="00BC4B57" w:rsidRPr="00974000">
        <w:t>s</w:t>
      </w:r>
      <w:r w:rsidR="003A01C4" w:rsidRPr="00974000">
        <w:t xml:space="preserve"> of </w:t>
      </w:r>
      <w:r w:rsidR="00A97C59" w:rsidRPr="00974000">
        <w:t>‘</w:t>
      </w:r>
      <w:r w:rsidR="00D01257" w:rsidRPr="00974000">
        <w:t>why and how</w:t>
      </w:r>
      <w:r w:rsidR="00A97C59" w:rsidRPr="00974000">
        <w:t>’</w:t>
      </w:r>
      <w:r w:rsidR="00801582" w:rsidRPr="00974000">
        <w:t xml:space="preserve"> in context of </w:t>
      </w:r>
      <w:r w:rsidR="003A01C4" w:rsidRPr="00974000">
        <w:t xml:space="preserve">the </w:t>
      </w:r>
      <w:r w:rsidR="00D01257" w:rsidRPr="00974000">
        <w:t xml:space="preserve">holistic analysis of why </w:t>
      </w:r>
      <w:r w:rsidR="003A01C4" w:rsidRPr="00974000">
        <w:t>the National Treasury has sought to adopt REITS</w:t>
      </w:r>
      <w:r w:rsidR="00A97C59" w:rsidRPr="00974000">
        <w:t xml:space="preserve"> legislation</w:t>
      </w:r>
      <w:r w:rsidR="003A01C4" w:rsidRPr="00974000">
        <w:t xml:space="preserve"> in South Africa</w:t>
      </w:r>
      <w:r w:rsidR="00801582" w:rsidRPr="00974000">
        <w:t xml:space="preserve"> and how it intends to do so</w:t>
      </w:r>
      <w:r w:rsidR="003A01C4" w:rsidRPr="00974000">
        <w:t>.</w:t>
      </w:r>
      <w:r w:rsidR="00D01257" w:rsidRPr="00974000">
        <w:t xml:space="preserve"> </w:t>
      </w:r>
    </w:p>
    <w:p w:rsidR="00D01257" w:rsidRPr="00974000" w:rsidRDefault="00D01257" w:rsidP="00534C63">
      <w:pPr>
        <w:pStyle w:val="whp20100506"/>
      </w:pPr>
    </w:p>
    <w:p w:rsidR="00534C63" w:rsidRPr="00974000" w:rsidRDefault="00A97C59" w:rsidP="00534C63">
      <w:pPr>
        <w:pStyle w:val="whp20100506"/>
      </w:pPr>
      <w:r w:rsidRPr="00801582">
        <w:t>As a further backdrop to employing the use of a</w:t>
      </w:r>
      <w:r w:rsidR="00801582">
        <w:t>n</w:t>
      </w:r>
      <w:r w:rsidRPr="00801582">
        <w:t xml:space="preserve"> </w:t>
      </w:r>
      <w:r w:rsidR="00E07118" w:rsidRPr="00801582">
        <w:t>Exploratory Study</w:t>
      </w:r>
      <w:r w:rsidRPr="00801582">
        <w:t>,</w:t>
      </w:r>
      <w:r w:rsidR="00D01257" w:rsidRPr="00801582">
        <w:t xml:space="preserve"> the </w:t>
      </w:r>
      <w:r w:rsidRPr="00801582">
        <w:t xml:space="preserve">process of </w:t>
      </w:r>
      <w:r w:rsidR="00D01257" w:rsidRPr="00801582">
        <w:t>adopti</w:t>
      </w:r>
      <w:r w:rsidRPr="00801582">
        <w:t xml:space="preserve">ng </w:t>
      </w:r>
      <w:r w:rsidR="00D01257" w:rsidRPr="00801582">
        <w:t xml:space="preserve">REITS in South Africa could </w:t>
      </w:r>
      <w:r w:rsidR="00CB5958" w:rsidRPr="00801582">
        <w:t xml:space="preserve">further </w:t>
      </w:r>
      <w:r w:rsidR="00D01257" w:rsidRPr="00801582">
        <w:t xml:space="preserve">be viewed as </w:t>
      </w:r>
      <w:r w:rsidR="007F49F6" w:rsidRPr="00801582">
        <w:t xml:space="preserve">serving </w:t>
      </w:r>
      <w:r w:rsidR="00D01257" w:rsidRPr="00801582">
        <w:t xml:space="preserve">a </w:t>
      </w:r>
      <w:r w:rsidR="007F49F6" w:rsidRPr="00801582">
        <w:t>global</w:t>
      </w:r>
      <w:r w:rsidR="00D01257" w:rsidRPr="00801582">
        <w:t xml:space="preserve"> </w:t>
      </w:r>
      <w:r w:rsidR="00CB5958" w:rsidRPr="00801582">
        <w:t>benchmark</w:t>
      </w:r>
      <w:r w:rsidR="00D01257" w:rsidRPr="00801582">
        <w:t xml:space="preserve"> for other </w:t>
      </w:r>
      <w:r w:rsidR="00D01257" w:rsidRPr="00974000">
        <w:t>emerging market countries</w:t>
      </w:r>
      <w:r w:rsidR="00CB5958" w:rsidRPr="00974000">
        <w:t>,</w:t>
      </w:r>
      <w:r w:rsidR="00D01257" w:rsidRPr="00974000">
        <w:t xml:space="preserve"> </w:t>
      </w:r>
      <w:r w:rsidR="00CB5958" w:rsidRPr="00974000">
        <w:t xml:space="preserve">in Africa or elsewhere, </w:t>
      </w:r>
      <w:r w:rsidR="00D01257" w:rsidRPr="00974000">
        <w:t>seeking REITS status</w:t>
      </w:r>
      <w:r w:rsidR="007F49F6" w:rsidRPr="00974000">
        <w:t xml:space="preserve"> in line with global trends</w:t>
      </w:r>
      <w:r w:rsidR="00CB5958" w:rsidRPr="00974000">
        <w:t xml:space="preserve">. These emerging economies could </w:t>
      </w:r>
      <w:r w:rsidR="007F49F6" w:rsidRPr="00974000">
        <w:t xml:space="preserve">achieve this goal </w:t>
      </w:r>
      <w:r w:rsidR="00CB5958" w:rsidRPr="00974000">
        <w:t xml:space="preserve">by </w:t>
      </w:r>
      <w:r w:rsidR="008664DC" w:rsidRPr="00974000">
        <w:t>implement</w:t>
      </w:r>
      <w:r w:rsidR="007F49F6" w:rsidRPr="00974000">
        <w:t>ing</w:t>
      </w:r>
      <w:r w:rsidR="00CB5958" w:rsidRPr="00974000">
        <w:t xml:space="preserve"> their own REITS </w:t>
      </w:r>
      <w:r w:rsidR="00D01257" w:rsidRPr="00974000">
        <w:t>process</w:t>
      </w:r>
      <w:r w:rsidR="00CB5958" w:rsidRPr="00974000">
        <w:t>es</w:t>
      </w:r>
      <w:r w:rsidR="00D01257" w:rsidRPr="00974000">
        <w:t xml:space="preserve"> </w:t>
      </w:r>
      <w:r w:rsidR="008664DC" w:rsidRPr="00974000">
        <w:t>using and mirroring the South African model</w:t>
      </w:r>
      <w:r w:rsidR="007F49F6" w:rsidRPr="00974000">
        <w:t>,</w:t>
      </w:r>
      <w:r w:rsidR="008664DC" w:rsidRPr="00974000">
        <w:t xml:space="preserve"> </w:t>
      </w:r>
      <w:r w:rsidR="00D01257" w:rsidRPr="00974000">
        <w:t>or</w:t>
      </w:r>
      <w:r w:rsidR="00CB5958" w:rsidRPr="00974000">
        <w:t xml:space="preserve"> </w:t>
      </w:r>
      <w:r w:rsidR="009766FB" w:rsidRPr="00974000">
        <w:t xml:space="preserve">even more likely, </w:t>
      </w:r>
      <w:r w:rsidR="00801582" w:rsidRPr="00974000">
        <w:t xml:space="preserve">seek to maximise their </w:t>
      </w:r>
      <w:r w:rsidR="009766FB" w:rsidRPr="00974000">
        <w:t xml:space="preserve">emerging market status </w:t>
      </w:r>
      <w:r w:rsidR="00BC4B57" w:rsidRPr="00974000">
        <w:t>by</w:t>
      </w:r>
      <w:r w:rsidR="007F49F6" w:rsidRPr="00974000">
        <w:t xml:space="preserve"> </w:t>
      </w:r>
      <w:r w:rsidR="008664DC" w:rsidRPr="00974000">
        <w:t>employing</w:t>
      </w:r>
      <w:r w:rsidR="00D01257" w:rsidRPr="00974000">
        <w:t xml:space="preserve"> the Johannesburg Stock Exchange (JSE) a</w:t>
      </w:r>
      <w:r w:rsidR="00CB5958" w:rsidRPr="00974000">
        <w:t>s a</w:t>
      </w:r>
      <w:r w:rsidR="007F49F6" w:rsidRPr="00974000">
        <w:t xml:space="preserve"> host</w:t>
      </w:r>
      <w:r w:rsidR="009766FB" w:rsidRPr="00974000">
        <w:t xml:space="preserve">, thereby using the existing structures of the JSE as </w:t>
      </w:r>
      <w:r w:rsidR="00D01257" w:rsidRPr="00974000">
        <w:t>launch</w:t>
      </w:r>
      <w:r w:rsidR="007F49F6" w:rsidRPr="00974000">
        <w:t xml:space="preserve"> </w:t>
      </w:r>
      <w:r w:rsidR="00D01257" w:rsidRPr="00974000">
        <w:t>pad</w:t>
      </w:r>
      <w:r w:rsidR="00CB5958" w:rsidRPr="00974000">
        <w:t xml:space="preserve"> </w:t>
      </w:r>
      <w:r w:rsidR="008664DC" w:rsidRPr="00974000">
        <w:t xml:space="preserve">for </w:t>
      </w:r>
      <w:r w:rsidR="00CB5958" w:rsidRPr="00974000">
        <w:t>emerging</w:t>
      </w:r>
      <w:r w:rsidR="008664DC" w:rsidRPr="00974000">
        <w:t xml:space="preserve"> </w:t>
      </w:r>
      <w:r w:rsidR="007F49F6" w:rsidRPr="00974000">
        <w:t xml:space="preserve">market </w:t>
      </w:r>
      <w:r w:rsidR="008664DC" w:rsidRPr="00974000">
        <w:t>REITS</w:t>
      </w:r>
      <w:r w:rsidR="009766FB" w:rsidRPr="00974000">
        <w:t xml:space="preserve"> generally</w:t>
      </w:r>
      <w:r w:rsidR="008664DC" w:rsidRPr="00974000">
        <w:t xml:space="preserve">. </w:t>
      </w:r>
      <w:r w:rsidR="007F49F6" w:rsidRPr="00974000">
        <w:t>By creating a REITS framework in South Africa, it opens portals to a myriad of p</w:t>
      </w:r>
      <w:r w:rsidR="008664DC" w:rsidRPr="00974000">
        <w:t xml:space="preserve">ossibilities </w:t>
      </w:r>
      <w:r w:rsidR="007F49F6" w:rsidRPr="00974000">
        <w:t>and permutations</w:t>
      </w:r>
      <w:r w:rsidR="008664DC" w:rsidRPr="00974000">
        <w:t xml:space="preserve">. </w:t>
      </w:r>
    </w:p>
    <w:p w:rsidR="001856BC" w:rsidRPr="00974000" w:rsidRDefault="001856BC" w:rsidP="00534C63">
      <w:pPr>
        <w:pStyle w:val="whp20100506"/>
      </w:pPr>
    </w:p>
    <w:p w:rsidR="001856BC" w:rsidRPr="00974000" w:rsidRDefault="0009321D" w:rsidP="00534C63">
      <w:pPr>
        <w:pStyle w:val="whp20100506"/>
      </w:pPr>
      <w:r w:rsidRPr="00974000">
        <w:t xml:space="preserve">Despite the limitation of general inability to provide definitive answers to research questions (Rubin and Babbie, 2009, p. 41), the insight gained from the exploratory study of the REIT </w:t>
      </w:r>
      <w:r w:rsidRPr="00974000">
        <w:lastRenderedPageBreak/>
        <w:t>system was complemented by interviewing relevant people in the industry. Though</w:t>
      </w:r>
      <w:r w:rsidR="005B66B7" w:rsidRPr="00974000">
        <w:t xml:space="preserve"> sampling was purposive, the </w:t>
      </w:r>
      <w:r w:rsidRPr="00974000">
        <w:t>participants</w:t>
      </w:r>
      <w:r w:rsidR="005B66B7" w:rsidRPr="00974000">
        <w:t xml:space="preserve"> in the study were representative of the population of individuals knowledgeable about REIT – which was a means of strengthening the research design.</w:t>
      </w:r>
      <w:r w:rsidR="005B66B7" w:rsidRPr="00974000">
        <w:rPr>
          <w:rStyle w:val="FootnoteReference"/>
        </w:rPr>
        <w:footnoteReference w:id="31"/>
      </w:r>
      <w:r w:rsidRPr="00974000">
        <w:t xml:space="preserve"> </w:t>
      </w:r>
    </w:p>
    <w:p w:rsidR="009766FB" w:rsidRPr="00974000" w:rsidRDefault="009766FB" w:rsidP="00534C63">
      <w:pPr>
        <w:pStyle w:val="whp20100506"/>
      </w:pPr>
    </w:p>
    <w:p w:rsidR="009766FB" w:rsidRPr="00974000" w:rsidRDefault="009766FB" w:rsidP="00534C63">
      <w:pPr>
        <w:pStyle w:val="whp20100506"/>
      </w:pPr>
      <w:r w:rsidRPr="00974000">
        <w:t xml:space="preserve">The research methodology adopts the use of purposive sampling of participants in the South Africa listed investment property sector and, by way of interview processes, has collated </w:t>
      </w:r>
      <w:r w:rsidR="006C6D41" w:rsidRPr="00974000">
        <w:t xml:space="preserve">a holistic analysis of the ‘why and how’ in context of the National Treasury’s conversion process to adopt REITS taking into account the needs, concerns, and recommendations of the industry participants. </w:t>
      </w:r>
    </w:p>
    <w:bookmarkEnd w:id="22"/>
    <w:p w:rsidR="0094127D" w:rsidRPr="00974000" w:rsidRDefault="0094127D" w:rsidP="00534C63">
      <w:pPr>
        <w:pStyle w:val="whp20100506"/>
      </w:pPr>
    </w:p>
    <w:p w:rsidR="00534C63" w:rsidRDefault="008664DC" w:rsidP="00534C63">
      <w:pPr>
        <w:pStyle w:val="whp20100506"/>
      </w:pPr>
      <w:r>
        <w:t>T</w:t>
      </w:r>
      <w:r w:rsidR="00D01257">
        <w:t xml:space="preserve">he </w:t>
      </w:r>
      <w:r w:rsidR="00E07118">
        <w:t>Exploratory Study</w:t>
      </w:r>
      <w:r w:rsidR="00D01257">
        <w:t xml:space="preserve"> </w:t>
      </w:r>
      <w:r>
        <w:t xml:space="preserve">therefore </w:t>
      </w:r>
      <w:r w:rsidR="00534C63">
        <w:t xml:space="preserve">helps to answer the following research questions: </w:t>
      </w:r>
    </w:p>
    <w:p w:rsidR="00534C63" w:rsidRDefault="00534C63" w:rsidP="00534C63">
      <w:pPr>
        <w:pStyle w:val="whp20100506"/>
        <w:tabs>
          <w:tab w:val="left" w:pos="90"/>
        </w:tabs>
      </w:pPr>
    </w:p>
    <w:p w:rsidR="00534C63" w:rsidRDefault="00534C63" w:rsidP="00534C63">
      <w:pPr>
        <w:pStyle w:val="whp20100506"/>
        <w:numPr>
          <w:ilvl w:val="0"/>
          <w:numId w:val="1"/>
        </w:numPr>
        <w:tabs>
          <w:tab w:val="left" w:pos="90"/>
        </w:tabs>
        <w:ind w:left="360"/>
      </w:pPr>
      <w:r>
        <w:t xml:space="preserve">What are the fundamental pillars of the legal framework for </w:t>
      </w:r>
      <w:r w:rsidR="00194F2A">
        <w:t>REITS</w:t>
      </w:r>
      <w:r>
        <w:t xml:space="preserve"> best suited for</w:t>
      </w:r>
      <w:r w:rsidR="008664DC">
        <w:t xml:space="preserve"> the</w:t>
      </w:r>
      <w:r>
        <w:t xml:space="preserve"> South Africa</w:t>
      </w:r>
      <w:r w:rsidR="008664DC">
        <w:t>n market</w:t>
      </w:r>
      <w:r>
        <w:t>?</w:t>
      </w:r>
    </w:p>
    <w:p w:rsidR="00534C63" w:rsidRDefault="00534C63" w:rsidP="00534C63">
      <w:pPr>
        <w:pStyle w:val="whp20100506"/>
        <w:numPr>
          <w:ilvl w:val="0"/>
          <w:numId w:val="1"/>
        </w:numPr>
        <w:tabs>
          <w:tab w:val="left" w:pos="90"/>
        </w:tabs>
        <w:ind w:left="360"/>
      </w:pPr>
      <w:r w:rsidRPr="00253B3D">
        <w:t xml:space="preserve">What are the </w:t>
      </w:r>
      <w:r>
        <w:t>considerations and concerns of the listed property investment sector</w:t>
      </w:r>
      <w:r w:rsidR="008664DC">
        <w:t xml:space="preserve"> in converting to REITS</w:t>
      </w:r>
      <w:r w:rsidRPr="00253B3D">
        <w:t>?</w:t>
      </w:r>
    </w:p>
    <w:p w:rsidR="00534C63" w:rsidRPr="00253B3D" w:rsidRDefault="00534C63" w:rsidP="00534C63">
      <w:pPr>
        <w:pStyle w:val="whp20100506"/>
        <w:numPr>
          <w:ilvl w:val="0"/>
          <w:numId w:val="1"/>
        </w:numPr>
        <w:tabs>
          <w:tab w:val="left" w:pos="90"/>
        </w:tabs>
        <w:ind w:left="360"/>
      </w:pPr>
      <w:r>
        <w:t>Has the National Tr</w:t>
      </w:r>
      <w:r w:rsidR="008664DC">
        <w:t>easury successfully accommodated the interests</w:t>
      </w:r>
      <w:r>
        <w:t xml:space="preserve"> of local industry</w:t>
      </w:r>
      <w:r w:rsidR="008664DC">
        <w:t xml:space="preserve"> in their adoption recommendations</w:t>
      </w:r>
      <w:r>
        <w:t xml:space="preserve">? </w:t>
      </w:r>
    </w:p>
    <w:p w:rsidR="00534C63" w:rsidRDefault="00534C63" w:rsidP="00534C63">
      <w:pPr>
        <w:pStyle w:val="whp20100506"/>
      </w:pPr>
    </w:p>
    <w:p w:rsidR="00534C63" w:rsidRDefault="00534C63" w:rsidP="00534C63">
      <w:pPr>
        <w:pStyle w:val="whp20100506"/>
      </w:pPr>
      <w:r>
        <w:t xml:space="preserve">The </w:t>
      </w:r>
      <w:r w:rsidR="00E07118">
        <w:t>Exploratory Study</w:t>
      </w:r>
      <w:r>
        <w:t xml:space="preserve"> was designed by way of dividing the REIT dispensation into two distincti</w:t>
      </w:r>
      <w:r w:rsidR="006C6D41">
        <w:t>ve components, being that of a L</w:t>
      </w:r>
      <w:r>
        <w:t xml:space="preserve">egal </w:t>
      </w:r>
      <w:r w:rsidR="006C6D41">
        <w:t>F</w:t>
      </w:r>
      <w:r>
        <w:t xml:space="preserve">ramework and a </w:t>
      </w:r>
      <w:r w:rsidR="006C6D41">
        <w:t>Taxation D</w:t>
      </w:r>
      <w:r>
        <w:t xml:space="preserve">ispensation. </w:t>
      </w:r>
    </w:p>
    <w:p w:rsidR="00534C63" w:rsidRDefault="00534C63" w:rsidP="00534C63">
      <w:pPr>
        <w:pStyle w:val="whp20100506"/>
      </w:pPr>
    </w:p>
    <w:p w:rsidR="00534C63" w:rsidRDefault="00534C63" w:rsidP="00534C63">
      <w:pPr>
        <w:pStyle w:val="whp20100506"/>
      </w:pPr>
      <w:r>
        <w:t xml:space="preserve">In each component, the various pillars therein that form the specific rules and regulations of the National Treasury’s </w:t>
      </w:r>
      <w:r w:rsidR="00194F2A">
        <w:t>REITS</w:t>
      </w:r>
      <w:r>
        <w:t xml:space="preserve"> proposals are categorised and clustered together in order to best assesses the feedback and comments from local industry.</w:t>
      </w:r>
      <w:r>
        <w:br/>
      </w:r>
    </w:p>
    <w:p w:rsidR="00534C63" w:rsidRDefault="00534C63" w:rsidP="00534C63">
      <w:pPr>
        <w:pStyle w:val="whp20100506"/>
      </w:pPr>
      <w:r>
        <w:t xml:space="preserve">Again it must be emphasised that this report does not concern itself with financial </w:t>
      </w:r>
      <w:r w:rsidRPr="00974000">
        <w:t xml:space="preserve">ramifications or specific taxation aspects of </w:t>
      </w:r>
      <w:r w:rsidR="00194F2A" w:rsidRPr="00974000">
        <w:t>REITS</w:t>
      </w:r>
      <w:r w:rsidRPr="00974000">
        <w:t xml:space="preserve"> and predominantly focussed on the legislative rules and regulations</w:t>
      </w:r>
      <w:r w:rsidR="006C6D41" w:rsidRPr="00974000">
        <w:t xml:space="preserve"> in order to formulate a best-of-breed framework best suited for the South African listed sector</w:t>
      </w:r>
      <w:r w:rsidRPr="00974000">
        <w:t>.</w:t>
      </w:r>
      <w:r>
        <w:t xml:space="preserve"> </w:t>
      </w:r>
    </w:p>
    <w:p w:rsidR="00534C63" w:rsidRDefault="00534C63" w:rsidP="00534C63">
      <w:pPr>
        <w:pStyle w:val="whp20100506"/>
      </w:pPr>
    </w:p>
    <w:p w:rsidR="00534C63" w:rsidRPr="00C8718F" w:rsidRDefault="00534C63" w:rsidP="00386CAB">
      <w:pPr>
        <w:pStyle w:val="whp20100506"/>
        <w:numPr>
          <w:ilvl w:val="1"/>
          <w:numId w:val="37"/>
        </w:numPr>
        <w:rPr>
          <w:b/>
        </w:rPr>
      </w:pPr>
      <w:r>
        <w:rPr>
          <w:b/>
        </w:rPr>
        <w:lastRenderedPageBreak/>
        <w:t xml:space="preserve">PURPOSE OF THE </w:t>
      </w:r>
      <w:r w:rsidR="00E07118">
        <w:rPr>
          <w:b/>
        </w:rPr>
        <w:t>EXPLORATORY STUDY</w:t>
      </w:r>
    </w:p>
    <w:p w:rsidR="00534C63" w:rsidRDefault="00534C63" w:rsidP="00534C63">
      <w:pPr>
        <w:pStyle w:val="whp20100506"/>
        <w:ind w:left="720"/>
      </w:pPr>
    </w:p>
    <w:p w:rsidR="00534C63" w:rsidRDefault="00534C63" w:rsidP="00534C63">
      <w:pPr>
        <w:pStyle w:val="whp20100506"/>
      </w:pPr>
      <w:r>
        <w:t xml:space="preserve">The </w:t>
      </w:r>
      <w:r w:rsidR="00E07118">
        <w:t>Exploratory Study</w:t>
      </w:r>
      <w:r>
        <w:t xml:space="preserve"> seeks to scrutinise the proposed Real Estate Investment Trust (REIT) structures as recommended by the National Treasury in their 2007 Discussion Paper relative not only to international trends and standards, but moreover in light of the specific concerns and comments from the local South African industry in terms of their needs and requirements. </w:t>
      </w:r>
    </w:p>
    <w:p w:rsidR="00534C63" w:rsidRDefault="00534C63" w:rsidP="00534C63">
      <w:pPr>
        <w:pStyle w:val="whp20100506"/>
      </w:pPr>
    </w:p>
    <w:p w:rsidR="00534C63" w:rsidRDefault="00534C63" w:rsidP="00534C63">
      <w:pPr>
        <w:pStyle w:val="whp20100506"/>
      </w:pPr>
      <w:r>
        <w:t xml:space="preserve">In so doing, the </w:t>
      </w:r>
      <w:r w:rsidR="00E07118">
        <w:t>Exploratory Study</w:t>
      </w:r>
      <w:r>
        <w:t xml:space="preserve"> examines whether the National Treasury has created a </w:t>
      </w:r>
      <w:r w:rsidR="00194F2A">
        <w:t>REITS</w:t>
      </w:r>
      <w:r>
        <w:t xml:space="preserve"> framework that is best suited for the specific nature of the South African investment property landscape.</w:t>
      </w:r>
    </w:p>
    <w:p w:rsidR="00534C63" w:rsidRPr="00C8718F" w:rsidRDefault="00534C63" w:rsidP="00534C63">
      <w:pPr>
        <w:pStyle w:val="whp20100506"/>
        <w:rPr>
          <w:b/>
        </w:rPr>
      </w:pPr>
    </w:p>
    <w:p w:rsidR="00534C63" w:rsidRPr="00C8718F" w:rsidRDefault="00534C63" w:rsidP="00386CAB">
      <w:pPr>
        <w:pStyle w:val="whp20100506"/>
        <w:numPr>
          <w:ilvl w:val="1"/>
          <w:numId w:val="37"/>
        </w:numPr>
        <w:rPr>
          <w:b/>
        </w:rPr>
      </w:pPr>
      <w:r>
        <w:rPr>
          <w:b/>
        </w:rPr>
        <w:t>QUALITATIVE DATA</w:t>
      </w:r>
    </w:p>
    <w:p w:rsidR="00534C63" w:rsidRPr="00C8718F" w:rsidRDefault="00534C63" w:rsidP="00534C63">
      <w:pPr>
        <w:pStyle w:val="whp20100506"/>
        <w:ind w:left="720"/>
        <w:rPr>
          <w:b/>
        </w:rPr>
      </w:pPr>
      <w:r w:rsidRPr="00C8718F">
        <w:rPr>
          <w:b/>
        </w:rPr>
        <w:t xml:space="preserve">  </w:t>
      </w:r>
    </w:p>
    <w:p w:rsidR="006C6D41" w:rsidRPr="00974000" w:rsidRDefault="00534C63" w:rsidP="00534C63">
      <w:pPr>
        <w:pStyle w:val="whp20100506"/>
      </w:pPr>
      <w:r w:rsidRPr="00974000">
        <w:t xml:space="preserve">The research concerns itself with the proposed legislative regime that would eventually regulate </w:t>
      </w:r>
      <w:r w:rsidR="00194F2A" w:rsidRPr="00974000">
        <w:t>REITS</w:t>
      </w:r>
      <w:r w:rsidRPr="00974000">
        <w:t xml:space="preserve"> as a new form of property investment vehicle in South Africa</w:t>
      </w:r>
      <w:r w:rsidR="006C6D41" w:rsidRPr="00974000">
        <w:t xml:space="preserve"> and therefore t</w:t>
      </w:r>
      <w:r w:rsidRPr="00974000">
        <w:t>he type of data requirement for this Research Report is therefore based on a qualitative nature</w:t>
      </w:r>
      <w:r w:rsidR="006C6D41" w:rsidRPr="00974000">
        <w:t xml:space="preserve">. </w:t>
      </w:r>
    </w:p>
    <w:p w:rsidR="006C6D41" w:rsidRPr="00974000" w:rsidRDefault="006C6D41" w:rsidP="00534C63">
      <w:pPr>
        <w:pStyle w:val="whp20100506"/>
      </w:pPr>
    </w:p>
    <w:p w:rsidR="00534C63" w:rsidRPr="00974000" w:rsidRDefault="006C6D41" w:rsidP="00534C63">
      <w:pPr>
        <w:pStyle w:val="whp20100506"/>
      </w:pPr>
      <w:r w:rsidRPr="00974000">
        <w:t xml:space="preserve">The qualitative analysis </w:t>
      </w:r>
      <w:r w:rsidR="00534C63" w:rsidRPr="00974000">
        <w:t xml:space="preserve">took the form and shape of evaluating the specific proposals that encompasses the principle rules and regulations that would form the basis of the legislative </w:t>
      </w:r>
      <w:r w:rsidR="00194F2A" w:rsidRPr="00974000">
        <w:t>REITS</w:t>
      </w:r>
      <w:r w:rsidR="00534C63" w:rsidRPr="00974000">
        <w:t xml:space="preserve"> framework. </w:t>
      </w:r>
    </w:p>
    <w:p w:rsidR="00534C63" w:rsidRPr="00974000" w:rsidRDefault="00534C63" w:rsidP="00534C63">
      <w:pPr>
        <w:pStyle w:val="whp20100506"/>
      </w:pPr>
    </w:p>
    <w:p w:rsidR="00534C63" w:rsidRPr="00974000" w:rsidRDefault="00534C63" w:rsidP="00386CAB">
      <w:pPr>
        <w:pStyle w:val="whp20100506"/>
        <w:numPr>
          <w:ilvl w:val="1"/>
          <w:numId w:val="37"/>
        </w:numPr>
        <w:rPr>
          <w:b/>
        </w:rPr>
      </w:pPr>
      <w:r w:rsidRPr="00974000">
        <w:rPr>
          <w:b/>
        </w:rPr>
        <w:t>SOURCE OF DATA</w:t>
      </w:r>
    </w:p>
    <w:p w:rsidR="00534C63" w:rsidRPr="00974000" w:rsidRDefault="00534C63" w:rsidP="00534C63">
      <w:pPr>
        <w:pStyle w:val="whp20100506"/>
        <w:ind w:left="360"/>
      </w:pPr>
    </w:p>
    <w:p w:rsidR="002652C4" w:rsidRPr="00974000" w:rsidRDefault="00534C63" w:rsidP="00534C63">
      <w:pPr>
        <w:pStyle w:val="whp20100506"/>
      </w:pPr>
      <w:r w:rsidRPr="00974000">
        <w:t xml:space="preserve">The source of the data was done by way of sampling input from various participants within the </w:t>
      </w:r>
      <w:r w:rsidR="002652C4" w:rsidRPr="00974000">
        <w:t xml:space="preserve">property industry that focussed predominantly on the </w:t>
      </w:r>
      <w:r w:rsidRPr="00974000">
        <w:t>National Treasury and the Steering Committee</w:t>
      </w:r>
      <w:r w:rsidR="002652C4" w:rsidRPr="00974000">
        <w:t xml:space="preserve">. The source was also expanded to included </w:t>
      </w:r>
      <w:r w:rsidR="00BC3055" w:rsidRPr="00974000">
        <w:t xml:space="preserve">respected </w:t>
      </w:r>
      <w:r w:rsidR="002652C4" w:rsidRPr="00974000">
        <w:t xml:space="preserve">business </w:t>
      </w:r>
      <w:r w:rsidR="00BC3055" w:rsidRPr="00974000">
        <w:t>personalities in the listed property sector</w:t>
      </w:r>
      <w:r w:rsidRPr="00974000">
        <w:t xml:space="preserve">. </w:t>
      </w:r>
    </w:p>
    <w:p w:rsidR="002652C4" w:rsidRPr="00974000" w:rsidRDefault="002652C4" w:rsidP="00534C63">
      <w:pPr>
        <w:pStyle w:val="whp20100506"/>
      </w:pPr>
    </w:p>
    <w:p w:rsidR="00534C63" w:rsidRDefault="00BC3055" w:rsidP="00534C63">
      <w:pPr>
        <w:pStyle w:val="whp20100506"/>
      </w:pPr>
      <w:r w:rsidRPr="00974000">
        <w:t xml:space="preserve">The main thrust of research </w:t>
      </w:r>
      <w:r w:rsidR="004741D8" w:rsidRPr="00974000">
        <w:t>was conducted</w:t>
      </w:r>
      <w:r w:rsidR="00534C63" w:rsidRPr="00974000">
        <w:t xml:space="preserve"> with Katherine Gibson from the National</w:t>
      </w:r>
      <w:r w:rsidR="00534C63">
        <w:t xml:space="preserve"> Treasury </w:t>
      </w:r>
      <w:r w:rsidR="004741D8">
        <w:t>along with guidance from</w:t>
      </w:r>
      <w:r w:rsidR="00534C63">
        <w:t xml:space="preserve"> Andrew Brook</w:t>
      </w:r>
      <w:r w:rsidR="004741D8">
        <w:t xml:space="preserve">ing (local industry </w:t>
      </w:r>
      <w:r w:rsidR="00534C63">
        <w:t>Steering Committee</w:t>
      </w:r>
      <w:r w:rsidR="004741D8">
        <w:t>) with f</w:t>
      </w:r>
      <w:r w:rsidR="00534C63">
        <w:t xml:space="preserve">urther input sourced </w:t>
      </w:r>
      <w:r w:rsidR="004741D8">
        <w:t>from</w:t>
      </w:r>
      <w:r w:rsidR="00534C63">
        <w:t xml:space="preserve"> interviews with various industry leaders within the listed property sector. </w:t>
      </w:r>
    </w:p>
    <w:p w:rsidR="00534C63" w:rsidRDefault="00534C63" w:rsidP="00534C63">
      <w:pPr>
        <w:pStyle w:val="whp20100506"/>
      </w:pPr>
    </w:p>
    <w:p w:rsidR="00534C63" w:rsidRDefault="00534C63" w:rsidP="00534C63">
      <w:pPr>
        <w:pStyle w:val="whp20100506"/>
      </w:pPr>
      <w:r>
        <w:t>The spread of interviews included input specifically from within the Property Loan Stock (PLS) sector and the Collective Investment Schemes in Property (CISP) sector and asset managers/analysts.</w:t>
      </w:r>
    </w:p>
    <w:p w:rsidR="00534C63" w:rsidRDefault="00534C63" w:rsidP="00534C63">
      <w:pPr>
        <w:pStyle w:val="whp20100506"/>
      </w:pPr>
    </w:p>
    <w:p w:rsidR="00534C63" w:rsidRDefault="00534C63" w:rsidP="00534C63">
      <w:pPr>
        <w:pStyle w:val="whp20100506"/>
      </w:pPr>
      <w:r>
        <w:t>It must be noted that the Steering Committee was appointed as the ‘voice’ of the li</w:t>
      </w:r>
      <w:r w:rsidR="006818CB">
        <w:t>sted property investment sector.</w:t>
      </w:r>
    </w:p>
    <w:p w:rsidR="00BC3055" w:rsidRDefault="00BC3055" w:rsidP="00534C63">
      <w:pPr>
        <w:pStyle w:val="whp20100506"/>
      </w:pPr>
    </w:p>
    <w:p w:rsidR="00534C63" w:rsidRPr="00C8718F" w:rsidRDefault="00534C63" w:rsidP="00386CAB">
      <w:pPr>
        <w:pStyle w:val="whp20100506"/>
        <w:numPr>
          <w:ilvl w:val="1"/>
          <w:numId w:val="37"/>
        </w:numPr>
        <w:rPr>
          <w:b/>
        </w:rPr>
      </w:pPr>
      <w:r>
        <w:rPr>
          <w:b/>
        </w:rPr>
        <w:t>DATA CAPTURE</w:t>
      </w:r>
    </w:p>
    <w:p w:rsidR="00534C63" w:rsidRDefault="00534C63" w:rsidP="00534C63">
      <w:pPr>
        <w:pStyle w:val="whp20100506"/>
      </w:pPr>
    </w:p>
    <w:p w:rsidR="00534C63" w:rsidRDefault="00534C63" w:rsidP="00534C63">
      <w:pPr>
        <w:pStyle w:val="whp20100506"/>
      </w:pPr>
      <w:r w:rsidRPr="00F04B76">
        <w:t xml:space="preserve">The </w:t>
      </w:r>
      <w:r>
        <w:t xml:space="preserve">tools used to sample the data was done by way of one-on-one interviews with the aforementioned individuals, the completing of questionnaires, and the examination of commentary documentation and various discussion papers from the National Treasury (from 2008 to 2009) and the Steering Committee at various stages of the adoption process. </w:t>
      </w:r>
    </w:p>
    <w:p w:rsidR="00534C63" w:rsidRDefault="00534C63" w:rsidP="00534C63">
      <w:pPr>
        <w:pStyle w:val="whp20100506"/>
      </w:pPr>
    </w:p>
    <w:p w:rsidR="00534C63" w:rsidRPr="00C8718F" w:rsidRDefault="00534C63" w:rsidP="00386CAB">
      <w:pPr>
        <w:pStyle w:val="whp20100506"/>
        <w:numPr>
          <w:ilvl w:val="1"/>
          <w:numId w:val="37"/>
        </w:numPr>
        <w:tabs>
          <w:tab w:val="left" w:pos="270"/>
          <w:tab w:val="left" w:pos="360"/>
        </w:tabs>
        <w:ind w:left="180" w:hanging="180"/>
        <w:rPr>
          <w:b/>
        </w:rPr>
      </w:pPr>
      <w:r>
        <w:rPr>
          <w:b/>
        </w:rPr>
        <w:t>GEOGRAPHICAL SPREAD OF PARTICIPANTS</w:t>
      </w:r>
    </w:p>
    <w:p w:rsidR="00534C63" w:rsidRDefault="00534C63" w:rsidP="00534C63">
      <w:pPr>
        <w:pStyle w:val="whp20100506"/>
        <w:ind w:left="720"/>
      </w:pPr>
      <w:r>
        <w:t xml:space="preserve"> </w:t>
      </w:r>
    </w:p>
    <w:p w:rsidR="00534C63" w:rsidRPr="00974000" w:rsidRDefault="00534C63" w:rsidP="00534C63">
      <w:pPr>
        <w:pStyle w:val="whp20100506"/>
      </w:pPr>
      <w:r>
        <w:t xml:space="preserve">Due to the geographical spread of the participants, the data was sourced predominantly in the Johannesburg </w:t>
      </w:r>
      <w:r w:rsidRPr="00974000">
        <w:t>area</w:t>
      </w:r>
      <w:r w:rsidR="002652C4" w:rsidRPr="00974000">
        <w:t xml:space="preserve"> (Gauteng)</w:t>
      </w:r>
      <w:r w:rsidRPr="00974000">
        <w:t xml:space="preserve">, where most of the property funds and participants are individually domiciled, with input also sourced from Cape Town and Pretoria. </w:t>
      </w:r>
    </w:p>
    <w:p w:rsidR="00534C63" w:rsidRPr="00974000" w:rsidRDefault="00534C63" w:rsidP="00534C63">
      <w:pPr>
        <w:pStyle w:val="whp20100506"/>
      </w:pPr>
    </w:p>
    <w:p w:rsidR="00534C63" w:rsidRPr="00974000" w:rsidRDefault="00534C63" w:rsidP="00534C63">
      <w:pPr>
        <w:pStyle w:val="whp20100506"/>
      </w:pPr>
      <w:r w:rsidRPr="00974000">
        <w:t>Interviews were conducted personally and where necessary, questionnaires were sent electronically for completion.</w:t>
      </w:r>
    </w:p>
    <w:p w:rsidR="00514D3D" w:rsidRPr="00974000" w:rsidRDefault="00514D3D" w:rsidP="00534C63">
      <w:pPr>
        <w:pStyle w:val="whp20100506"/>
      </w:pPr>
    </w:p>
    <w:p w:rsidR="00534C63" w:rsidRPr="00974000" w:rsidRDefault="00534C63" w:rsidP="00386CAB">
      <w:pPr>
        <w:pStyle w:val="whp20100506"/>
        <w:numPr>
          <w:ilvl w:val="1"/>
          <w:numId w:val="37"/>
        </w:numPr>
        <w:tabs>
          <w:tab w:val="left" w:pos="450"/>
        </w:tabs>
        <w:ind w:left="270" w:hanging="270"/>
        <w:rPr>
          <w:b/>
        </w:rPr>
      </w:pPr>
      <w:r w:rsidRPr="00974000">
        <w:rPr>
          <w:b/>
        </w:rPr>
        <w:t>DATA FRAME</w:t>
      </w:r>
      <w:r w:rsidR="0001089F" w:rsidRPr="00974000">
        <w:rPr>
          <w:b/>
        </w:rPr>
        <w:t xml:space="preserve"> &amp; SAMPLE SIZE</w:t>
      </w:r>
    </w:p>
    <w:p w:rsidR="00534C63" w:rsidRPr="00974000" w:rsidRDefault="00534C63" w:rsidP="00534C63">
      <w:pPr>
        <w:pStyle w:val="whp20100506"/>
        <w:ind w:left="360"/>
      </w:pPr>
    </w:p>
    <w:p w:rsidR="00534C63" w:rsidRPr="00974000" w:rsidRDefault="00534C63" w:rsidP="00534C63">
      <w:pPr>
        <w:pStyle w:val="whp20100506"/>
      </w:pPr>
      <w:r w:rsidRPr="00974000">
        <w:t>The sample size is limited to the volunteering of individuals in the listed property sector and analysts within these sectors. The limitation of participation was based upon those companies who were actively participating in the adoption process and therefore had intimate knowledge of the proposals and recommendations being discussed.</w:t>
      </w:r>
    </w:p>
    <w:p w:rsidR="00534C63" w:rsidRPr="00974000" w:rsidRDefault="00534C63" w:rsidP="00534C63">
      <w:pPr>
        <w:pStyle w:val="whp20100506"/>
      </w:pPr>
    </w:p>
    <w:p w:rsidR="00534C63" w:rsidRDefault="00534C63" w:rsidP="00534C63">
      <w:pPr>
        <w:pStyle w:val="whp20100506"/>
      </w:pPr>
      <w:r w:rsidRPr="00974000">
        <w:t>The sampling of data was executed by way of personal interviews conducted with the National Treasury</w:t>
      </w:r>
      <w:r w:rsidR="002652C4" w:rsidRPr="00974000">
        <w:t xml:space="preserve"> (Katherine Gibson)</w:t>
      </w:r>
      <w:r w:rsidRPr="00974000">
        <w:t>, the Steering Committee</w:t>
      </w:r>
      <w:r w:rsidR="002652C4" w:rsidRPr="00974000">
        <w:t xml:space="preserve"> (Andrew Brooking)</w:t>
      </w:r>
      <w:r w:rsidRPr="00974000">
        <w:t>, Acucap</w:t>
      </w:r>
      <w:r w:rsidR="002652C4" w:rsidRPr="00974000">
        <w:t xml:space="preserve"> (</w:t>
      </w:r>
      <w:r w:rsidR="00974000">
        <w:t>Paul Theodosio</w:t>
      </w:r>
      <w:r w:rsidR="002652C4" w:rsidRPr="00974000">
        <w:t>)</w:t>
      </w:r>
      <w:r w:rsidRPr="00974000">
        <w:t xml:space="preserve">, Pangbourne </w:t>
      </w:r>
      <w:r w:rsidR="002652C4" w:rsidRPr="00974000">
        <w:t>(</w:t>
      </w:r>
      <w:r w:rsidR="0039085F" w:rsidRPr="00974000">
        <w:t xml:space="preserve">Craig Hollowes) </w:t>
      </w:r>
      <w:r w:rsidRPr="00974000">
        <w:t>and Emira</w:t>
      </w:r>
      <w:r w:rsidR="002652C4" w:rsidRPr="00974000">
        <w:t xml:space="preserve"> (James Templeton)</w:t>
      </w:r>
      <w:r w:rsidRPr="00974000">
        <w:t>.</w:t>
      </w:r>
      <w:r>
        <w:t xml:space="preserve"> </w:t>
      </w:r>
    </w:p>
    <w:p w:rsidR="00534C63" w:rsidRDefault="00534C63" w:rsidP="00534C63">
      <w:pPr>
        <w:pStyle w:val="whp20100506"/>
      </w:pPr>
    </w:p>
    <w:p w:rsidR="00534C63" w:rsidRPr="00974000" w:rsidRDefault="00534C63" w:rsidP="00534C63">
      <w:pPr>
        <w:pStyle w:val="whp20100506"/>
      </w:pPr>
      <w:r>
        <w:t>Again it must be noted that the Steering Committee was headed up by Andrew Brooking (from Java Capital</w:t>
      </w:r>
      <w:r w:rsidRPr="00974000">
        <w:t>) and represented the listed property sector as a whole</w:t>
      </w:r>
      <w:r w:rsidR="0039085F" w:rsidRPr="00974000">
        <w:t>, for this reason a number of listed funds directed the researcher to the Steering Committee for comment representing their interests in the process</w:t>
      </w:r>
      <w:r w:rsidRPr="00974000">
        <w:t>.</w:t>
      </w:r>
    </w:p>
    <w:p w:rsidR="00534C63" w:rsidRPr="00974000" w:rsidRDefault="00534C63" w:rsidP="00534C63">
      <w:pPr>
        <w:pStyle w:val="whp20100506"/>
      </w:pPr>
    </w:p>
    <w:p w:rsidR="0039085F" w:rsidRPr="00974000" w:rsidRDefault="00534C63" w:rsidP="00534C63">
      <w:pPr>
        <w:pStyle w:val="whp20100506"/>
      </w:pPr>
      <w:r w:rsidRPr="00974000">
        <w:t>The sampling of data by way of questionnaires with property asset managers and / or analysts were limited to those willing to participate in this report being</w:t>
      </w:r>
      <w:r w:rsidR="0039085F" w:rsidRPr="00974000">
        <w:t>:</w:t>
      </w:r>
    </w:p>
    <w:p w:rsidR="0039085F" w:rsidRPr="00974000" w:rsidRDefault="00534C63" w:rsidP="0039085F">
      <w:pPr>
        <w:pStyle w:val="whp20100506"/>
        <w:numPr>
          <w:ilvl w:val="0"/>
          <w:numId w:val="18"/>
        </w:numPr>
      </w:pPr>
      <w:r w:rsidRPr="00974000">
        <w:t xml:space="preserve">Investec, </w:t>
      </w:r>
    </w:p>
    <w:p w:rsidR="0039085F" w:rsidRPr="00974000" w:rsidRDefault="00534C63" w:rsidP="0039085F">
      <w:pPr>
        <w:pStyle w:val="whp20100506"/>
        <w:numPr>
          <w:ilvl w:val="0"/>
          <w:numId w:val="18"/>
        </w:numPr>
      </w:pPr>
      <w:r w:rsidRPr="00974000">
        <w:t xml:space="preserve">Pangbourne, </w:t>
      </w:r>
    </w:p>
    <w:p w:rsidR="0039085F" w:rsidRPr="00974000" w:rsidRDefault="00534C63" w:rsidP="0039085F">
      <w:pPr>
        <w:pStyle w:val="whp20100506"/>
        <w:numPr>
          <w:ilvl w:val="0"/>
          <w:numId w:val="18"/>
        </w:numPr>
      </w:pPr>
      <w:r w:rsidRPr="00974000">
        <w:t>Ca</w:t>
      </w:r>
      <w:r w:rsidR="0039085F" w:rsidRPr="00974000">
        <w:t xml:space="preserve">talysts Asset Management </w:t>
      </w:r>
    </w:p>
    <w:p w:rsidR="006E7519" w:rsidRDefault="00534C63" w:rsidP="00534C63">
      <w:pPr>
        <w:pStyle w:val="whp20100506"/>
        <w:numPr>
          <w:ilvl w:val="0"/>
          <w:numId w:val="18"/>
        </w:numPr>
      </w:pPr>
      <w:r w:rsidRPr="00974000">
        <w:t xml:space="preserve">Fountainhead. </w:t>
      </w:r>
    </w:p>
    <w:p w:rsidR="0016511A" w:rsidRPr="00974000" w:rsidRDefault="0016511A" w:rsidP="0016511A">
      <w:pPr>
        <w:pStyle w:val="whp20100506"/>
        <w:ind w:left="720"/>
      </w:pPr>
    </w:p>
    <w:p w:rsidR="00534C63" w:rsidRPr="00974000" w:rsidRDefault="00534C63" w:rsidP="00386CAB">
      <w:pPr>
        <w:pStyle w:val="whp20100506"/>
        <w:numPr>
          <w:ilvl w:val="1"/>
          <w:numId w:val="37"/>
        </w:numPr>
        <w:rPr>
          <w:b/>
        </w:rPr>
      </w:pPr>
      <w:r w:rsidRPr="00974000">
        <w:rPr>
          <w:b/>
        </w:rPr>
        <w:t xml:space="preserve">DATA ADJUSTMENT </w:t>
      </w:r>
    </w:p>
    <w:p w:rsidR="00534C63" w:rsidRPr="00974000" w:rsidRDefault="00534C63" w:rsidP="00534C63">
      <w:pPr>
        <w:pStyle w:val="whp20100506"/>
        <w:ind w:left="360"/>
      </w:pPr>
    </w:p>
    <w:p w:rsidR="00534C63" w:rsidRPr="00974000" w:rsidRDefault="00534C63" w:rsidP="00534C63">
      <w:pPr>
        <w:pStyle w:val="whp20100506"/>
      </w:pPr>
      <w:r w:rsidRPr="00974000">
        <w:t xml:space="preserve">It must be noted that the source of input from the listed property sector (both PLS and CISPs) was severely limited to the level of participation in the overall REIT adoption process in South Africa and the level of intimate knowledge of this process. </w:t>
      </w:r>
    </w:p>
    <w:p w:rsidR="00534C63" w:rsidRPr="00974000" w:rsidRDefault="00534C63" w:rsidP="00534C63">
      <w:pPr>
        <w:pStyle w:val="whp20100506"/>
      </w:pPr>
    </w:p>
    <w:p w:rsidR="00534C63" w:rsidRPr="00974000" w:rsidRDefault="00F138DB" w:rsidP="00534C63">
      <w:pPr>
        <w:pStyle w:val="whp20100506"/>
      </w:pPr>
      <w:r w:rsidRPr="00974000">
        <w:t>A</w:t>
      </w:r>
      <w:r w:rsidR="00534C63" w:rsidRPr="00974000">
        <w:t xml:space="preserve">ttempts were made to interview various representatives from as diverse </w:t>
      </w:r>
      <w:r w:rsidRPr="00974000">
        <w:t xml:space="preserve">a </w:t>
      </w:r>
      <w:r w:rsidR="00534C63" w:rsidRPr="00974000">
        <w:t>range as possible within in the listed property sector, however it was clear that the ‘voice’ of the industry was bestowed upon the Steering Committee, and therefore various individuals approached were</w:t>
      </w:r>
      <w:r w:rsidRPr="00974000">
        <w:t xml:space="preserve"> mostly </w:t>
      </w:r>
      <w:r w:rsidR="00534C63" w:rsidRPr="00974000">
        <w:t>not able to provide information for purposes of compiling this report or did</w:t>
      </w:r>
      <w:r w:rsidRPr="00974000">
        <w:t xml:space="preserve"> not have any significant value-</w:t>
      </w:r>
      <w:r w:rsidR="00534C63" w:rsidRPr="00974000">
        <w:t>add</w:t>
      </w:r>
      <w:r w:rsidRPr="00974000">
        <w:t xml:space="preserve">, other than the endeavours of what was under the domain of </w:t>
      </w:r>
      <w:r w:rsidR="00534C63" w:rsidRPr="00974000">
        <w:t>the Steering Committee. The feedback from those who participated in the interviews and questionnaires were recorded in this paper as is without editing or changes their views expressed.</w:t>
      </w:r>
    </w:p>
    <w:p w:rsidR="00534C63" w:rsidRPr="00974000" w:rsidRDefault="00534C63" w:rsidP="00534C63">
      <w:pPr>
        <w:pStyle w:val="whp20100506"/>
      </w:pPr>
    </w:p>
    <w:p w:rsidR="00534C63" w:rsidRPr="00974000" w:rsidRDefault="00534C63" w:rsidP="00534C63">
      <w:pPr>
        <w:pStyle w:val="whp20100506"/>
      </w:pPr>
      <w:r w:rsidRPr="00974000">
        <w:t xml:space="preserve">In addition, the more complicated and controversial policy items may not have been adequately answered or discussed as it may have fallen outside the ambit and expertise of some participants. The </w:t>
      </w:r>
      <w:r w:rsidR="00E07118" w:rsidRPr="00974000">
        <w:t>Exploratory Study</w:t>
      </w:r>
      <w:r w:rsidRPr="00974000">
        <w:t xml:space="preserve"> therefore relies on the feedback as per the National Treasury and the Steering Committee as the ultimate policy drivers in these areas.</w:t>
      </w:r>
    </w:p>
    <w:p w:rsidR="00534C63" w:rsidRDefault="00534C63" w:rsidP="00534C63">
      <w:pPr>
        <w:pStyle w:val="whp20100506"/>
      </w:pPr>
    </w:p>
    <w:p w:rsidR="00EB527A" w:rsidRPr="00974000" w:rsidRDefault="00EB527A" w:rsidP="00534C63">
      <w:pPr>
        <w:pStyle w:val="whp20100506"/>
      </w:pPr>
    </w:p>
    <w:p w:rsidR="00534C63" w:rsidRPr="00974000" w:rsidRDefault="00534C63" w:rsidP="00386CAB">
      <w:pPr>
        <w:pStyle w:val="whp20100506"/>
        <w:numPr>
          <w:ilvl w:val="1"/>
          <w:numId w:val="37"/>
        </w:numPr>
        <w:rPr>
          <w:b/>
        </w:rPr>
      </w:pPr>
      <w:r w:rsidRPr="00974000">
        <w:rPr>
          <w:b/>
        </w:rPr>
        <w:lastRenderedPageBreak/>
        <w:t>GENERAL THEORY</w:t>
      </w:r>
    </w:p>
    <w:p w:rsidR="00534C63" w:rsidRPr="00974000" w:rsidRDefault="00534C63" w:rsidP="00534C63">
      <w:pPr>
        <w:pStyle w:val="whp20100506"/>
      </w:pPr>
    </w:p>
    <w:p w:rsidR="00534C63" w:rsidRPr="00974000" w:rsidRDefault="00534C63" w:rsidP="00534C63">
      <w:pPr>
        <w:pStyle w:val="whp20100506"/>
      </w:pPr>
      <w:r w:rsidRPr="00974000">
        <w:t xml:space="preserve">The level of research conducted is mostly deductive based on general theory that is specific to the REIT globally. The participants interviewed and sampled offered varying justification of derivative forms of the general theories applicable to </w:t>
      </w:r>
      <w:r w:rsidR="00194F2A" w:rsidRPr="00974000">
        <w:t>REITS</w:t>
      </w:r>
      <w:r w:rsidRPr="00974000">
        <w:t xml:space="preserve">. </w:t>
      </w:r>
    </w:p>
    <w:p w:rsidR="00534C63" w:rsidRPr="00974000" w:rsidRDefault="00534C63" w:rsidP="00534C63">
      <w:pPr>
        <w:pStyle w:val="whp20100506"/>
      </w:pPr>
    </w:p>
    <w:p w:rsidR="00534C63" w:rsidRPr="00974000" w:rsidRDefault="00534C63" w:rsidP="00534C63">
      <w:pPr>
        <w:pStyle w:val="whp20100506"/>
      </w:pPr>
      <w:r w:rsidRPr="00974000">
        <w:t xml:space="preserve">However based on their input, one is able to observe and confirm their sentiments to the general theory which either confirmed or rebuked the general theory. There are also isolated instances where unique nuances specific to the South African property landscape would lend itself to inductive theory building (i.e. policy considerations for Broad Based Black Employment Equity) however this is minimal as it forms part of broader socio-economic and political policies that were not mandated in the formulation of the </w:t>
      </w:r>
      <w:r w:rsidR="00194F2A" w:rsidRPr="00974000">
        <w:t>REITS</w:t>
      </w:r>
      <w:r w:rsidRPr="00974000">
        <w:t xml:space="preserve"> regulatory framework.</w:t>
      </w:r>
    </w:p>
    <w:p w:rsidR="0052535D" w:rsidRPr="00974000" w:rsidRDefault="0052535D" w:rsidP="00534C63">
      <w:pPr>
        <w:pStyle w:val="whp20100506"/>
      </w:pPr>
    </w:p>
    <w:p w:rsidR="00534C63" w:rsidRPr="00974000" w:rsidRDefault="00534C63" w:rsidP="00386CAB">
      <w:pPr>
        <w:pStyle w:val="whp20100506"/>
        <w:numPr>
          <w:ilvl w:val="1"/>
          <w:numId w:val="37"/>
        </w:numPr>
        <w:rPr>
          <w:b/>
        </w:rPr>
      </w:pPr>
      <w:r w:rsidRPr="00974000">
        <w:rPr>
          <w:b/>
        </w:rPr>
        <w:t>STRUCTURE</w:t>
      </w:r>
    </w:p>
    <w:p w:rsidR="00534C63" w:rsidRPr="00974000" w:rsidRDefault="00534C63" w:rsidP="00534C63">
      <w:pPr>
        <w:pStyle w:val="whp20100506"/>
      </w:pPr>
    </w:p>
    <w:p w:rsidR="00534C63" w:rsidRPr="00974000" w:rsidRDefault="00534C63" w:rsidP="00534C63">
      <w:pPr>
        <w:pStyle w:val="whp20100506"/>
      </w:pPr>
      <w:r w:rsidRPr="00974000">
        <w:t>The legislative framework comprises of the legislative recommendations and proposals on various categories of REIT rules. As such the mass volume of information gathered is best evaluated in terms of formulating the following structure:</w:t>
      </w:r>
    </w:p>
    <w:p w:rsidR="00534C63" w:rsidRPr="00974000" w:rsidRDefault="00534C63" w:rsidP="00534C63">
      <w:pPr>
        <w:pStyle w:val="whp20100506"/>
      </w:pPr>
    </w:p>
    <w:p w:rsidR="00534C63" w:rsidRPr="00974000" w:rsidRDefault="00534C63" w:rsidP="00534C63">
      <w:pPr>
        <w:pStyle w:val="whp20100506"/>
        <w:numPr>
          <w:ilvl w:val="0"/>
          <w:numId w:val="17"/>
        </w:numPr>
        <w:rPr>
          <w:b/>
        </w:rPr>
      </w:pPr>
      <w:r w:rsidRPr="00974000">
        <w:t>REIT Rule Name</w:t>
      </w:r>
    </w:p>
    <w:p w:rsidR="00534C63" w:rsidRPr="00974000" w:rsidRDefault="00534C63" w:rsidP="00534C63">
      <w:pPr>
        <w:pStyle w:val="whp20100506"/>
        <w:numPr>
          <w:ilvl w:val="0"/>
          <w:numId w:val="17"/>
        </w:numPr>
        <w:rPr>
          <w:b/>
        </w:rPr>
      </w:pPr>
      <w:r w:rsidRPr="00974000">
        <w:t>National Treasury Proposal</w:t>
      </w:r>
    </w:p>
    <w:p w:rsidR="00534C63" w:rsidRPr="00974000" w:rsidRDefault="00534C63" w:rsidP="00534C63">
      <w:pPr>
        <w:pStyle w:val="whp20100506"/>
        <w:numPr>
          <w:ilvl w:val="0"/>
          <w:numId w:val="17"/>
        </w:numPr>
        <w:rPr>
          <w:b/>
        </w:rPr>
      </w:pPr>
      <w:r w:rsidRPr="00974000">
        <w:t>Comments (Sampled Comments, Concerns and Recommendations)</w:t>
      </w:r>
      <w:r w:rsidRPr="00974000">
        <w:rPr>
          <w:b/>
        </w:rPr>
        <w:t xml:space="preserve"> </w:t>
      </w:r>
    </w:p>
    <w:p w:rsidR="00534C63" w:rsidRPr="00974000" w:rsidRDefault="00534C63" w:rsidP="00534C63">
      <w:pPr>
        <w:pStyle w:val="whp20100506"/>
        <w:numPr>
          <w:ilvl w:val="0"/>
          <w:numId w:val="17"/>
        </w:numPr>
        <w:rPr>
          <w:b/>
        </w:rPr>
      </w:pPr>
      <w:r w:rsidRPr="00974000">
        <w:t xml:space="preserve">Conclusion </w:t>
      </w:r>
      <w:r w:rsidRPr="00974000">
        <w:rPr>
          <w:b/>
        </w:rPr>
        <w:br w:type="page"/>
      </w:r>
    </w:p>
    <w:p w:rsidR="00534C63" w:rsidRDefault="00534C63" w:rsidP="00534C63">
      <w:pPr>
        <w:pStyle w:val="whp20100506"/>
        <w:rPr>
          <w:b/>
        </w:rPr>
      </w:pPr>
      <w:r w:rsidRPr="00974000">
        <w:rPr>
          <w:b/>
        </w:rPr>
        <w:lastRenderedPageBreak/>
        <w:t>SECTION D:</w:t>
      </w:r>
      <w:r w:rsidRPr="00974000">
        <w:rPr>
          <w:b/>
        </w:rPr>
        <w:tab/>
        <w:t>EMPIRICAL STUDY</w:t>
      </w:r>
    </w:p>
    <w:p w:rsidR="00534C63" w:rsidRDefault="00534C63" w:rsidP="00534C63">
      <w:pPr>
        <w:pStyle w:val="whp20100506"/>
        <w:rPr>
          <w:b/>
        </w:rPr>
      </w:pPr>
    </w:p>
    <w:p w:rsidR="00534C63" w:rsidRPr="006E44B3" w:rsidRDefault="00534C63" w:rsidP="00386CAB">
      <w:pPr>
        <w:pStyle w:val="whp20100506"/>
        <w:numPr>
          <w:ilvl w:val="0"/>
          <w:numId w:val="37"/>
        </w:numPr>
        <w:ind w:left="426"/>
        <w:rPr>
          <w:b/>
          <w:bCs/>
        </w:rPr>
      </w:pPr>
      <w:r w:rsidRPr="006E44B3">
        <w:rPr>
          <w:b/>
        </w:rPr>
        <w:t xml:space="preserve"> </w:t>
      </w:r>
      <w:r>
        <w:rPr>
          <w:b/>
        </w:rPr>
        <w:t xml:space="preserve">THE </w:t>
      </w:r>
      <w:r w:rsidR="00E07118">
        <w:rPr>
          <w:b/>
        </w:rPr>
        <w:t>EXPLORATORY STUDY</w:t>
      </w:r>
      <w:r>
        <w:rPr>
          <w:b/>
          <w:bCs/>
        </w:rPr>
        <w:t xml:space="preserve">  </w:t>
      </w:r>
    </w:p>
    <w:p w:rsidR="00534C63" w:rsidRPr="00341A8D" w:rsidRDefault="00534C63" w:rsidP="00534C63">
      <w:pPr>
        <w:pStyle w:val="whp20100506"/>
      </w:pPr>
      <w:r w:rsidRPr="00341A8D">
        <w:tab/>
      </w:r>
    </w:p>
    <w:p w:rsidR="00534C63" w:rsidRDefault="00534C63" w:rsidP="00534C63">
      <w:pPr>
        <w:pStyle w:val="whp20100506"/>
      </w:pPr>
      <w:r w:rsidRPr="00124B8E">
        <w:t xml:space="preserve">The National Treasury have been charged with the task of drafting a legislative framework that will in its final form be the blueprint for REIT in South Africa. The goals and objectives of the National Treasury is therefore of critical importance </w:t>
      </w:r>
      <w:r>
        <w:t xml:space="preserve">in order </w:t>
      </w:r>
      <w:r w:rsidRPr="00124B8E">
        <w:t xml:space="preserve">to understand the ethos and spirit of its construction when scrutinising the content thereof. </w:t>
      </w:r>
    </w:p>
    <w:p w:rsidR="00534C63" w:rsidRPr="00124B8E" w:rsidRDefault="00534C63" w:rsidP="00534C63">
      <w:pPr>
        <w:pStyle w:val="whp20100506"/>
      </w:pPr>
    </w:p>
    <w:p w:rsidR="00534C63" w:rsidRDefault="00534C63" w:rsidP="00534C63">
      <w:pPr>
        <w:pStyle w:val="whp20100506"/>
      </w:pPr>
      <w:r w:rsidRPr="00124B8E">
        <w:t>What follows below are the fundamental pillars as recommended by the National Treasury for a REIT regulatory framework and taxation dispensation in South Africa as circulated in December 2007</w:t>
      </w:r>
      <w:r>
        <w:rPr>
          <w:rStyle w:val="FootnoteReference"/>
        </w:rPr>
        <w:footnoteReference w:id="32"/>
      </w:r>
      <w:r w:rsidRPr="00124B8E">
        <w:t xml:space="preserve">. </w:t>
      </w:r>
    </w:p>
    <w:p w:rsidR="00534C63" w:rsidRDefault="00534C63" w:rsidP="00534C63">
      <w:pPr>
        <w:pStyle w:val="whp20100506"/>
        <w:ind w:left="360"/>
      </w:pPr>
    </w:p>
    <w:p w:rsidR="00534C63" w:rsidRDefault="00534C63" w:rsidP="00534C63">
      <w:pPr>
        <w:pStyle w:val="whp20100506"/>
      </w:pPr>
      <w:r w:rsidRPr="00124B8E">
        <w:t>The format of the analysis</w:t>
      </w:r>
      <w:r>
        <w:t xml:space="preserve"> conducted is done by way of understanding the </w:t>
      </w:r>
      <w:r w:rsidRPr="007369DD">
        <w:t xml:space="preserve">National Treasury’s </w:t>
      </w:r>
      <w:r>
        <w:t>REIT p</w:t>
      </w:r>
      <w:r w:rsidRPr="007369DD">
        <w:t>roposal</w:t>
      </w:r>
      <w:r>
        <w:t xml:space="preserve"> and the corresponding o</w:t>
      </w:r>
      <w:r w:rsidRPr="007369DD">
        <w:t xml:space="preserve">bjective of the National Treasury </w:t>
      </w:r>
      <w:r>
        <w:t>with a particular p</w:t>
      </w:r>
      <w:r w:rsidRPr="007369DD">
        <w:t>roposal</w:t>
      </w:r>
      <w:r>
        <w:t xml:space="preserve">. </w:t>
      </w:r>
    </w:p>
    <w:p w:rsidR="00534C63" w:rsidRDefault="00534C63" w:rsidP="00534C63">
      <w:pPr>
        <w:pStyle w:val="whp20100506"/>
      </w:pPr>
    </w:p>
    <w:p w:rsidR="00534C63" w:rsidRPr="007369DD" w:rsidRDefault="00534C63" w:rsidP="00534C63">
      <w:pPr>
        <w:pStyle w:val="whp20100506"/>
      </w:pPr>
      <w:r>
        <w:t>In terms of assessing the proposals and recommendations, this Research Report will make reference to c</w:t>
      </w:r>
      <w:r w:rsidRPr="007369DD">
        <w:t xml:space="preserve">onsiderations and </w:t>
      </w:r>
      <w:r>
        <w:t>c</w:t>
      </w:r>
      <w:r w:rsidRPr="007369DD">
        <w:t xml:space="preserve">ommentary </w:t>
      </w:r>
      <w:r>
        <w:t xml:space="preserve">received </w:t>
      </w:r>
      <w:r w:rsidRPr="007369DD">
        <w:t>from</w:t>
      </w:r>
      <w:r>
        <w:t xml:space="preserve"> South African</w:t>
      </w:r>
      <w:r w:rsidRPr="007369DD">
        <w:t xml:space="preserve"> </w:t>
      </w:r>
      <w:r>
        <w:t>l</w:t>
      </w:r>
      <w:r w:rsidRPr="007369DD">
        <w:t xml:space="preserve">ocal </w:t>
      </w:r>
      <w:r>
        <w:t>industry as per the Response Document issued by the National Treasury in 2008</w:t>
      </w:r>
      <w:r>
        <w:rPr>
          <w:rStyle w:val="FootnoteReference"/>
        </w:rPr>
        <w:footnoteReference w:id="33"/>
      </w:r>
      <w:r>
        <w:t xml:space="preserve">, in conjunction with interviews and questionnaires completed by leading industry authorities specifically for this research paper. Where applicable, reference is also made to international trends and standards. </w:t>
      </w:r>
    </w:p>
    <w:p w:rsidR="00534C63" w:rsidRPr="00124B8E" w:rsidRDefault="00534C63" w:rsidP="00534C63">
      <w:pPr>
        <w:pStyle w:val="whp20100506"/>
      </w:pPr>
    </w:p>
    <w:p w:rsidR="00534C63" w:rsidRPr="00124B8E" w:rsidRDefault="00534C63" w:rsidP="00534C63">
      <w:pPr>
        <w:pStyle w:val="whp20100506"/>
      </w:pPr>
      <w:r>
        <w:t>It is important to note that this Research Report will only discuss the most salient of recommendations in principle only and will not scrutinize the principles in details. What is more, only those recommendations that have elicited the most response from local industry as problematic or has deviated the most from international trends will be scrutinised in this report.</w:t>
      </w:r>
    </w:p>
    <w:p w:rsidR="00534C63" w:rsidRPr="00124B8E" w:rsidRDefault="00534C63" w:rsidP="00534C63">
      <w:pPr>
        <w:pStyle w:val="whp20100506"/>
        <w:rPr>
          <w:highlight w:val="yellow"/>
        </w:rPr>
      </w:pPr>
    </w:p>
    <w:p w:rsidR="00534C63" w:rsidRDefault="00534C63" w:rsidP="00534C63">
      <w:pPr>
        <w:pStyle w:val="whp20100506"/>
        <w:tabs>
          <w:tab w:val="left" w:pos="450"/>
        </w:tabs>
      </w:pPr>
    </w:p>
    <w:p w:rsidR="00694F60" w:rsidRDefault="00694F60">
      <w:pPr>
        <w:spacing w:after="200" w:line="276" w:lineRule="auto"/>
        <w:rPr>
          <w:rFonts w:ascii="Times New Roman" w:hAnsi="Times New Roman"/>
          <w:b/>
          <w:sz w:val="24"/>
        </w:rPr>
      </w:pPr>
      <w:r>
        <w:rPr>
          <w:b/>
        </w:rPr>
        <w:br w:type="page"/>
      </w:r>
    </w:p>
    <w:p w:rsidR="00534C63" w:rsidRDefault="00832A5D" w:rsidP="00386CAB">
      <w:pPr>
        <w:pStyle w:val="whp20100506"/>
        <w:numPr>
          <w:ilvl w:val="1"/>
          <w:numId w:val="37"/>
        </w:numPr>
        <w:tabs>
          <w:tab w:val="left" w:pos="450"/>
        </w:tabs>
        <w:rPr>
          <w:b/>
        </w:rPr>
      </w:pPr>
      <w:r>
        <w:rPr>
          <w:b/>
        </w:rPr>
        <w:lastRenderedPageBreak/>
        <w:t xml:space="preserve">NATIONAL TREASURY: </w:t>
      </w:r>
      <w:r w:rsidR="00534C63" w:rsidRPr="007369DD">
        <w:rPr>
          <w:b/>
        </w:rPr>
        <w:t xml:space="preserve">REGULATORY ENVIRONMENT </w:t>
      </w:r>
    </w:p>
    <w:p w:rsidR="00534C63" w:rsidRDefault="00534C63" w:rsidP="00534C63">
      <w:pPr>
        <w:pStyle w:val="whp20100506"/>
        <w:tabs>
          <w:tab w:val="left" w:pos="450"/>
        </w:tabs>
        <w:rPr>
          <w:b/>
        </w:rPr>
      </w:pPr>
    </w:p>
    <w:p w:rsidR="00534C63" w:rsidRPr="006E44B3" w:rsidRDefault="00534C63" w:rsidP="00386CAB">
      <w:pPr>
        <w:pStyle w:val="whp20100506"/>
        <w:numPr>
          <w:ilvl w:val="2"/>
          <w:numId w:val="37"/>
        </w:numPr>
        <w:tabs>
          <w:tab w:val="left" w:pos="450"/>
        </w:tabs>
        <w:rPr>
          <w:b/>
        </w:rPr>
      </w:pPr>
      <w:r w:rsidRPr="006E44B3">
        <w:rPr>
          <w:b/>
        </w:rPr>
        <w:t>ORGANISATIONAL RULES</w:t>
      </w:r>
    </w:p>
    <w:p w:rsidR="00534C63" w:rsidRPr="00124B8E" w:rsidRDefault="00534C63" w:rsidP="00534C63">
      <w:pPr>
        <w:pStyle w:val="whp20100506"/>
        <w:rPr>
          <w:highlight w:val="yellow"/>
        </w:rPr>
      </w:pPr>
    </w:p>
    <w:tbl>
      <w:tblPr>
        <w:tblW w:w="9180" w:type="dxa"/>
        <w:tblInd w:w="108"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Look w:val="04A0"/>
      </w:tblPr>
      <w:tblGrid>
        <w:gridCol w:w="450"/>
        <w:gridCol w:w="8730"/>
      </w:tblGrid>
      <w:tr w:rsidR="00534C63" w:rsidRPr="00937281" w:rsidTr="00A8691C">
        <w:trPr>
          <w:trHeight w:val="300"/>
        </w:trPr>
        <w:tc>
          <w:tcPr>
            <w:tcW w:w="9180" w:type="dxa"/>
            <w:gridSpan w:val="2"/>
            <w:shd w:val="clear" w:color="auto" w:fill="F2F2F2" w:themeFill="background1" w:themeFillShade="F2"/>
            <w:noWrap/>
            <w:vAlign w:val="bottom"/>
            <w:hideMark/>
          </w:tcPr>
          <w:p w:rsidR="00534C63" w:rsidRPr="00701814" w:rsidRDefault="00534C63" w:rsidP="00684B0F">
            <w:pPr>
              <w:pStyle w:val="whp20100506"/>
              <w:rPr>
                <w:b/>
                <w:i/>
              </w:rPr>
            </w:pPr>
            <w:r w:rsidRPr="00701814">
              <w:rPr>
                <w:b/>
                <w:i/>
              </w:rPr>
              <w:t>National Treasury Proposal: Organisational Rules (National Treasury, 2007:9)</w:t>
            </w:r>
          </w:p>
          <w:p w:rsidR="00534C63" w:rsidRPr="00937281" w:rsidRDefault="00534C63" w:rsidP="00684B0F">
            <w:pPr>
              <w:pStyle w:val="whp20100506"/>
              <w:rPr>
                <w:i/>
              </w:rPr>
            </w:pPr>
          </w:p>
        </w:tc>
      </w:tr>
      <w:tr w:rsidR="00534C63" w:rsidRPr="00937281" w:rsidTr="00A8691C">
        <w:trPr>
          <w:trHeight w:val="300"/>
        </w:trPr>
        <w:tc>
          <w:tcPr>
            <w:tcW w:w="450" w:type="dxa"/>
            <w:shd w:val="clear" w:color="auto" w:fill="F2F2F2" w:themeFill="background1" w:themeFillShade="F2"/>
            <w:noWrap/>
            <w:hideMark/>
          </w:tcPr>
          <w:p w:rsidR="00534C63" w:rsidRPr="00937281" w:rsidRDefault="00534C63" w:rsidP="00684B0F">
            <w:pPr>
              <w:pStyle w:val="whp20100506"/>
              <w:rPr>
                <w:i/>
              </w:rPr>
            </w:pPr>
            <w:r w:rsidRPr="00937281">
              <w:rPr>
                <w:i/>
              </w:rPr>
              <w:t>*</w:t>
            </w:r>
          </w:p>
        </w:tc>
        <w:tc>
          <w:tcPr>
            <w:tcW w:w="8730" w:type="dxa"/>
            <w:shd w:val="clear" w:color="auto" w:fill="F2F2F2" w:themeFill="background1" w:themeFillShade="F2"/>
            <w:noWrap/>
            <w:hideMark/>
          </w:tcPr>
          <w:p w:rsidR="00534C63" w:rsidRPr="00937281" w:rsidRDefault="00534C63" w:rsidP="00684B0F">
            <w:pPr>
              <w:pStyle w:val="whp20100506"/>
              <w:rPr>
                <w:i/>
              </w:rPr>
            </w:pPr>
            <w:r w:rsidRPr="00937281">
              <w:rPr>
                <w:i/>
              </w:rPr>
              <w:t>The South Africa REIT will reside under the</w:t>
            </w:r>
            <w:r>
              <w:rPr>
                <w:i/>
              </w:rPr>
              <w:t xml:space="preserve"> control of the</w:t>
            </w:r>
            <w:r w:rsidRPr="00937281">
              <w:rPr>
                <w:i/>
              </w:rPr>
              <w:t xml:space="preserve"> Collective Investment Schemes Control Act </w:t>
            </w:r>
            <w:r>
              <w:rPr>
                <w:i/>
              </w:rPr>
              <w:t>(CISCA);</w:t>
            </w:r>
          </w:p>
          <w:p w:rsidR="00534C63" w:rsidRPr="00937281" w:rsidRDefault="00534C63" w:rsidP="00684B0F">
            <w:pPr>
              <w:pStyle w:val="whp20100506"/>
              <w:rPr>
                <w:i/>
              </w:rPr>
            </w:pPr>
          </w:p>
        </w:tc>
      </w:tr>
      <w:tr w:rsidR="00534C63" w:rsidRPr="00937281" w:rsidTr="00A8691C">
        <w:trPr>
          <w:trHeight w:val="300"/>
        </w:trPr>
        <w:tc>
          <w:tcPr>
            <w:tcW w:w="450" w:type="dxa"/>
            <w:shd w:val="clear" w:color="auto" w:fill="F2F2F2" w:themeFill="background1" w:themeFillShade="F2"/>
            <w:noWrap/>
            <w:hideMark/>
          </w:tcPr>
          <w:p w:rsidR="00534C63" w:rsidRPr="00937281" w:rsidRDefault="00534C63" w:rsidP="00684B0F">
            <w:pPr>
              <w:pStyle w:val="whp20100506"/>
              <w:rPr>
                <w:i/>
              </w:rPr>
            </w:pPr>
            <w:r w:rsidRPr="00937281">
              <w:rPr>
                <w:i/>
              </w:rPr>
              <w:t>*</w:t>
            </w:r>
          </w:p>
        </w:tc>
        <w:tc>
          <w:tcPr>
            <w:tcW w:w="8730" w:type="dxa"/>
            <w:shd w:val="clear" w:color="auto" w:fill="F2F2F2" w:themeFill="background1" w:themeFillShade="F2"/>
            <w:noWrap/>
            <w:hideMark/>
          </w:tcPr>
          <w:p w:rsidR="00534C63" w:rsidRPr="00937281" w:rsidRDefault="00534C63" w:rsidP="00684B0F">
            <w:pPr>
              <w:pStyle w:val="whp20100506"/>
              <w:rPr>
                <w:i/>
              </w:rPr>
            </w:pPr>
            <w:r w:rsidRPr="00937281">
              <w:rPr>
                <w:i/>
              </w:rPr>
              <w:t>A REIT will be a public company or a trust</w:t>
            </w:r>
            <w:r>
              <w:rPr>
                <w:i/>
              </w:rPr>
              <w:t>;</w:t>
            </w:r>
          </w:p>
          <w:p w:rsidR="00534C63" w:rsidRPr="00937281" w:rsidRDefault="00534C63" w:rsidP="00684B0F">
            <w:pPr>
              <w:pStyle w:val="whp20100506"/>
              <w:rPr>
                <w:i/>
              </w:rPr>
            </w:pPr>
          </w:p>
        </w:tc>
      </w:tr>
      <w:tr w:rsidR="00534C63" w:rsidRPr="00937281" w:rsidTr="00A8691C">
        <w:trPr>
          <w:trHeight w:val="300"/>
        </w:trPr>
        <w:tc>
          <w:tcPr>
            <w:tcW w:w="450" w:type="dxa"/>
            <w:shd w:val="clear" w:color="auto" w:fill="F2F2F2" w:themeFill="background1" w:themeFillShade="F2"/>
            <w:noWrap/>
            <w:hideMark/>
          </w:tcPr>
          <w:p w:rsidR="00534C63" w:rsidRPr="00937281" w:rsidRDefault="00534C63" w:rsidP="00684B0F">
            <w:pPr>
              <w:pStyle w:val="whp20100506"/>
              <w:rPr>
                <w:i/>
              </w:rPr>
            </w:pPr>
            <w:r w:rsidRPr="00937281">
              <w:rPr>
                <w:i/>
              </w:rPr>
              <w:t>*</w:t>
            </w:r>
          </w:p>
        </w:tc>
        <w:tc>
          <w:tcPr>
            <w:tcW w:w="8730" w:type="dxa"/>
            <w:shd w:val="clear" w:color="auto" w:fill="F2F2F2" w:themeFill="background1" w:themeFillShade="F2"/>
            <w:noWrap/>
            <w:hideMark/>
          </w:tcPr>
          <w:p w:rsidR="00534C63" w:rsidRPr="00937281" w:rsidRDefault="00534C63" w:rsidP="00684B0F">
            <w:pPr>
              <w:pStyle w:val="whp20100506"/>
              <w:rPr>
                <w:i/>
              </w:rPr>
            </w:pPr>
            <w:r w:rsidRPr="00937281">
              <w:rPr>
                <w:i/>
              </w:rPr>
              <w:t>A REIT must be listed on a South Africa licensed exchange. Exceptions for single investors in REIT will be made or where direct investment is not offered to the public</w:t>
            </w:r>
            <w:r>
              <w:rPr>
                <w:i/>
              </w:rPr>
              <w:t>;</w:t>
            </w:r>
          </w:p>
          <w:p w:rsidR="00534C63" w:rsidRPr="00937281" w:rsidRDefault="00534C63" w:rsidP="00684B0F">
            <w:pPr>
              <w:pStyle w:val="whp20100506"/>
              <w:rPr>
                <w:i/>
              </w:rPr>
            </w:pPr>
          </w:p>
        </w:tc>
      </w:tr>
      <w:tr w:rsidR="00534C63" w:rsidRPr="00937281" w:rsidTr="00A8691C">
        <w:trPr>
          <w:trHeight w:val="300"/>
        </w:trPr>
        <w:tc>
          <w:tcPr>
            <w:tcW w:w="450" w:type="dxa"/>
            <w:shd w:val="clear" w:color="auto" w:fill="F2F2F2" w:themeFill="background1" w:themeFillShade="F2"/>
            <w:noWrap/>
            <w:hideMark/>
          </w:tcPr>
          <w:p w:rsidR="00534C63" w:rsidRPr="00937281" w:rsidRDefault="00534C63" w:rsidP="00684B0F">
            <w:pPr>
              <w:pStyle w:val="whp20100506"/>
              <w:rPr>
                <w:i/>
              </w:rPr>
            </w:pPr>
            <w:r w:rsidRPr="00937281">
              <w:rPr>
                <w:i/>
              </w:rPr>
              <w:t>*</w:t>
            </w:r>
          </w:p>
        </w:tc>
        <w:tc>
          <w:tcPr>
            <w:tcW w:w="8730" w:type="dxa"/>
            <w:shd w:val="clear" w:color="auto" w:fill="F2F2F2" w:themeFill="background1" w:themeFillShade="F2"/>
            <w:noWrap/>
            <w:hideMark/>
          </w:tcPr>
          <w:p w:rsidR="00534C63" w:rsidRPr="00937281" w:rsidRDefault="00534C63" w:rsidP="00684B0F">
            <w:pPr>
              <w:pStyle w:val="whp20100506"/>
              <w:rPr>
                <w:i/>
              </w:rPr>
            </w:pPr>
            <w:r w:rsidRPr="00937281">
              <w:rPr>
                <w:i/>
              </w:rPr>
              <w:t>Unit holders in the REIT must be represented by elected trustees or directors</w:t>
            </w:r>
            <w:r>
              <w:rPr>
                <w:i/>
              </w:rPr>
              <w:t>;</w:t>
            </w:r>
          </w:p>
          <w:p w:rsidR="00534C63" w:rsidRPr="00937281" w:rsidRDefault="00534C63" w:rsidP="00684B0F">
            <w:pPr>
              <w:pStyle w:val="whp20100506"/>
              <w:rPr>
                <w:i/>
              </w:rPr>
            </w:pPr>
          </w:p>
        </w:tc>
      </w:tr>
      <w:tr w:rsidR="00534C63" w:rsidRPr="00937281" w:rsidTr="00A8691C">
        <w:trPr>
          <w:trHeight w:val="300"/>
        </w:trPr>
        <w:tc>
          <w:tcPr>
            <w:tcW w:w="450" w:type="dxa"/>
            <w:shd w:val="clear" w:color="auto" w:fill="F2F2F2" w:themeFill="background1" w:themeFillShade="F2"/>
            <w:noWrap/>
            <w:hideMark/>
          </w:tcPr>
          <w:p w:rsidR="00534C63" w:rsidRPr="00937281" w:rsidRDefault="00534C63" w:rsidP="00684B0F">
            <w:pPr>
              <w:pStyle w:val="whp20100506"/>
              <w:rPr>
                <w:i/>
              </w:rPr>
            </w:pPr>
            <w:r w:rsidRPr="00937281">
              <w:rPr>
                <w:i/>
              </w:rPr>
              <w:t>*</w:t>
            </w:r>
          </w:p>
        </w:tc>
        <w:tc>
          <w:tcPr>
            <w:tcW w:w="8730" w:type="dxa"/>
            <w:shd w:val="clear" w:color="auto" w:fill="F2F2F2" w:themeFill="background1" w:themeFillShade="F2"/>
            <w:noWrap/>
            <w:hideMark/>
          </w:tcPr>
          <w:p w:rsidR="00534C63" w:rsidRPr="00937281" w:rsidRDefault="00534C63" w:rsidP="00684B0F">
            <w:pPr>
              <w:pStyle w:val="whp20100506"/>
              <w:rPr>
                <w:i/>
              </w:rPr>
            </w:pPr>
            <w:r w:rsidRPr="00937281">
              <w:rPr>
                <w:i/>
              </w:rPr>
              <w:t>No minimum or maximum investment parameter limits</w:t>
            </w:r>
            <w:r>
              <w:rPr>
                <w:i/>
              </w:rPr>
              <w:t>;</w:t>
            </w:r>
          </w:p>
          <w:p w:rsidR="00534C63" w:rsidRPr="00937281" w:rsidRDefault="00534C63" w:rsidP="00684B0F">
            <w:pPr>
              <w:pStyle w:val="whp20100506"/>
              <w:rPr>
                <w:i/>
              </w:rPr>
            </w:pPr>
          </w:p>
        </w:tc>
      </w:tr>
      <w:tr w:rsidR="00534C63" w:rsidRPr="00937281" w:rsidTr="00A8691C">
        <w:trPr>
          <w:trHeight w:val="300"/>
        </w:trPr>
        <w:tc>
          <w:tcPr>
            <w:tcW w:w="450" w:type="dxa"/>
            <w:shd w:val="clear" w:color="auto" w:fill="F2F2F2" w:themeFill="background1" w:themeFillShade="F2"/>
            <w:noWrap/>
            <w:hideMark/>
          </w:tcPr>
          <w:p w:rsidR="00534C63" w:rsidRPr="00937281" w:rsidRDefault="00534C63" w:rsidP="00684B0F">
            <w:pPr>
              <w:pStyle w:val="whp20100506"/>
              <w:rPr>
                <w:i/>
              </w:rPr>
            </w:pPr>
            <w:r w:rsidRPr="00937281">
              <w:rPr>
                <w:i/>
              </w:rPr>
              <w:t>*</w:t>
            </w:r>
          </w:p>
        </w:tc>
        <w:tc>
          <w:tcPr>
            <w:tcW w:w="8730" w:type="dxa"/>
            <w:shd w:val="clear" w:color="auto" w:fill="F2F2F2" w:themeFill="background1" w:themeFillShade="F2"/>
            <w:noWrap/>
            <w:hideMark/>
          </w:tcPr>
          <w:p w:rsidR="00534C63" w:rsidRPr="00937281" w:rsidRDefault="00534C63" w:rsidP="00684B0F">
            <w:pPr>
              <w:pStyle w:val="whp20100506"/>
              <w:rPr>
                <w:i/>
              </w:rPr>
            </w:pPr>
            <w:r>
              <w:rPr>
                <w:i/>
              </w:rPr>
              <w:t>CISPs</w:t>
            </w:r>
            <w:r w:rsidRPr="00937281">
              <w:rPr>
                <w:i/>
              </w:rPr>
              <w:t xml:space="preserve"> will automatically convert to REIT. PLS companies will have to apply for REIT status</w:t>
            </w:r>
          </w:p>
          <w:p w:rsidR="00534C63" w:rsidRPr="00937281" w:rsidRDefault="00534C63" w:rsidP="00684B0F">
            <w:pPr>
              <w:pStyle w:val="whp20100506"/>
              <w:jc w:val="right"/>
              <w:rPr>
                <w:i/>
              </w:rPr>
            </w:pPr>
          </w:p>
        </w:tc>
      </w:tr>
    </w:tbl>
    <w:p w:rsidR="00534C63" w:rsidRPr="00C7460C" w:rsidRDefault="00534C63" w:rsidP="00534C63">
      <w:pPr>
        <w:pStyle w:val="whp20100506"/>
      </w:pPr>
    </w:p>
    <w:p w:rsidR="00534C63" w:rsidRDefault="00534C63" w:rsidP="00534C63">
      <w:pPr>
        <w:pStyle w:val="whp20100506"/>
      </w:pPr>
      <w:r w:rsidRPr="0090579E">
        <w:t xml:space="preserve">The prevailing objective of the National Treasury for the organisational rules of </w:t>
      </w:r>
      <w:r w:rsidR="00194F2A">
        <w:t>REITS</w:t>
      </w:r>
      <w:r w:rsidRPr="0090579E">
        <w:t xml:space="preserve"> is to create a regulatory framework that safeguards the interests of REIT investors and to protect the reputation and standing of the South African listed property sector </w:t>
      </w:r>
      <w:r w:rsidR="00AE3C25">
        <w:t>(National Treasury, 2007: 12).</w:t>
      </w:r>
      <w:r w:rsidR="00F0106F">
        <w:t xml:space="preserve"> </w:t>
      </w:r>
      <w:r w:rsidRPr="0090579E">
        <w:t>These interests must of course be furthered in a backdrop which is to create a framework that allows for competitive flexibility in order to provide maximum returns to the investors.</w:t>
      </w:r>
    </w:p>
    <w:p w:rsidR="00F0106F" w:rsidRDefault="00F0106F" w:rsidP="00534C63">
      <w:pPr>
        <w:pStyle w:val="whp20100506"/>
      </w:pPr>
    </w:p>
    <w:p w:rsidR="00F0106F" w:rsidRPr="0090579E" w:rsidRDefault="00F0106F" w:rsidP="00534C63">
      <w:pPr>
        <w:pStyle w:val="whp20100506"/>
      </w:pPr>
      <w:r w:rsidRPr="00974000">
        <w:t>The policy objectives of the National Treasury will have to guard against contributing factors which would jeopardise these goals, which could potentially result in a loss of shareholder value in consequence of creating a restrictive framework either through the changes faced by CISPS investors, or generally making the REITS an unattractive investment option due to onerous rules.</w:t>
      </w:r>
    </w:p>
    <w:p w:rsidR="00534C63" w:rsidRDefault="00534C63" w:rsidP="00534C63">
      <w:pPr>
        <w:pStyle w:val="whp20100506"/>
      </w:pPr>
    </w:p>
    <w:p w:rsidR="00534C63" w:rsidRPr="00C7460C" w:rsidRDefault="00534C63" w:rsidP="00534C63">
      <w:pPr>
        <w:pStyle w:val="whp20100506"/>
        <w:rPr>
          <w:b/>
          <w:i/>
        </w:rPr>
      </w:pPr>
      <w:r w:rsidRPr="00FE403B">
        <w:rPr>
          <w:b/>
          <w:i/>
          <w:u w:val="single"/>
        </w:rPr>
        <w:t>Comment 1:</w:t>
      </w:r>
      <w:r>
        <w:rPr>
          <w:b/>
          <w:i/>
        </w:rPr>
        <w:t xml:space="preserve"> the role of the FSB, as a regulatory of </w:t>
      </w:r>
      <w:r w:rsidR="00194F2A">
        <w:rPr>
          <w:b/>
          <w:i/>
        </w:rPr>
        <w:t>REITS</w:t>
      </w:r>
      <w:r>
        <w:rPr>
          <w:b/>
          <w:i/>
        </w:rPr>
        <w:t>, will be overly restrictive and burdensome, in light of the presence of inter alia the Registrar of Companies and JSE sponsors et al.</w:t>
      </w:r>
    </w:p>
    <w:p w:rsidR="00534C63" w:rsidRDefault="00534C63" w:rsidP="00534C63">
      <w:pPr>
        <w:pStyle w:val="whp20100506"/>
      </w:pPr>
    </w:p>
    <w:p w:rsidR="00534C63" w:rsidRPr="0090579E" w:rsidRDefault="00534C63" w:rsidP="00534C63">
      <w:pPr>
        <w:pStyle w:val="whp20100506"/>
      </w:pPr>
      <w:r w:rsidRPr="0090579E">
        <w:t>One of the prevailing differences between PLS and CISPs is that the latter falls under the jurisdiction of the Financial Services Board with it as their registrar</w:t>
      </w:r>
      <w:r>
        <w:rPr>
          <w:rStyle w:val="FootnoteReference"/>
        </w:rPr>
        <w:footnoteReference w:id="34"/>
      </w:r>
      <w:r>
        <w:t>.</w:t>
      </w:r>
      <w:r w:rsidRPr="0090579E">
        <w:t xml:space="preserve"> This in operation allows for a great deal less onerous compliance for the PLS entity than the CISP, which attests to the partly regulated nature of the existing environment. The recommendation of the National Treasury that </w:t>
      </w:r>
      <w:r w:rsidR="00194F2A">
        <w:t>REITS</w:t>
      </w:r>
      <w:r w:rsidRPr="0090579E">
        <w:t xml:space="preserve"> be housed under the legislative control of CISCA means that all </w:t>
      </w:r>
      <w:r w:rsidR="00194F2A">
        <w:t>REITS</w:t>
      </w:r>
      <w:r w:rsidRPr="0090579E">
        <w:t xml:space="preserve"> must comply with the requirements of the FSB, including the PLS sector when it converts to </w:t>
      </w:r>
      <w:r w:rsidR="00194F2A">
        <w:t>REITS</w:t>
      </w:r>
      <w:r w:rsidRPr="0090579E">
        <w:t>.</w:t>
      </w:r>
    </w:p>
    <w:p w:rsidR="00534C63" w:rsidRPr="0090579E" w:rsidRDefault="00534C63" w:rsidP="00534C63">
      <w:pPr>
        <w:pStyle w:val="whp20100506"/>
      </w:pPr>
    </w:p>
    <w:p w:rsidR="00534C63" w:rsidRPr="007E1EBC" w:rsidRDefault="00534C63" w:rsidP="00534C63">
      <w:pPr>
        <w:pStyle w:val="whp20100506"/>
      </w:pPr>
      <w:r w:rsidRPr="0090579E">
        <w:t>James Templeton as the head of Emira</w:t>
      </w:r>
      <w:r>
        <w:rPr>
          <w:rStyle w:val="FootnoteReference"/>
        </w:rPr>
        <w:footnoteReference w:id="35"/>
      </w:r>
      <w:r w:rsidRPr="0090579E">
        <w:t xml:space="preserve"> agrees that the legal entity for the South Africa REIT should be permitted to be either in the form of a company or a trust but that there are adequate regulatory controls in place to cater for these legal forms without the need for the FSB, which includes the Registrar of companies and the JSE listing requirements</w:t>
      </w:r>
      <w:r w:rsidRPr="007E1EBC">
        <w:t xml:space="preserve">. He adds that local industry wants the overriding regulator to be the Collective Investment Schemes Act as a blanket authority to which all </w:t>
      </w:r>
      <w:r w:rsidR="00194F2A">
        <w:t>REITS</w:t>
      </w:r>
      <w:r w:rsidRPr="007E1EBC">
        <w:t xml:space="preserve"> will comply with, which as </w:t>
      </w:r>
      <w:r w:rsidR="00A678E2" w:rsidRPr="007E1EBC">
        <w:t>an</w:t>
      </w:r>
      <w:r w:rsidRPr="007E1EBC">
        <w:t xml:space="preserve"> umbrella authority, CISCA should merely be amended to reflect the new investment regime. Naturally, the Companies Act will also be applicable to the juristic entity which adds to regulatory supervision and protection of the investor’s interests. Finally he points out that should a specific REIT seek listing, then the JSE listing requirements must be met and complied with. </w:t>
      </w:r>
    </w:p>
    <w:p w:rsidR="00534C63" w:rsidRPr="007E1EBC" w:rsidRDefault="00534C63" w:rsidP="00534C63">
      <w:pPr>
        <w:pStyle w:val="whp20100506"/>
      </w:pPr>
    </w:p>
    <w:p w:rsidR="00534C63" w:rsidRPr="007E1EBC" w:rsidRDefault="00534C63" w:rsidP="00534C63">
      <w:pPr>
        <w:pStyle w:val="whp20100506"/>
      </w:pPr>
      <w:r w:rsidRPr="007E1EBC">
        <w:t xml:space="preserve">Mr John Rainier from Standard Bank is of the opinion that there should be no intervention from the FSB (Questionnaire, 2010, May). He generally prefers an unrestricted playing field for </w:t>
      </w:r>
      <w:r w:rsidR="00194F2A">
        <w:t>REITS</w:t>
      </w:r>
      <w:r w:rsidRPr="007E1EBC">
        <w:t xml:space="preserve"> with very little regulatory restrictions. As far as the National Treasury’s recommendations are concerned, he feels that the overall nature of the proposed framework is too restrictive compared to those adopted by international jurisdictions and would prefer to see a REIT environment in South African that is more market driven.</w:t>
      </w:r>
    </w:p>
    <w:p w:rsidR="00534C63" w:rsidRPr="007E1EBC" w:rsidRDefault="00534C63" w:rsidP="00534C63">
      <w:pPr>
        <w:pStyle w:val="whp20100506"/>
      </w:pPr>
    </w:p>
    <w:p w:rsidR="00534C63" w:rsidRPr="007E1EBC" w:rsidRDefault="00534C63" w:rsidP="00534C63">
      <w:pPr>
        <w:pStyle w:val="whp20100506"/>
      </w:pPr>
      <w:r w:rsidRPr="007E1EBC">
        <w:t xml:space="preserve">Mr Craig Hallowes from Pangbourne Properties is of the view that </w:t>
      </w:r>
      <w:r w:rsidR="00194F2A">
        <w:t>REITS</w:t>
      </w:r>
      <w:r w:rsidRPr="007E1EBC">
        <w:t xml:space="preserve"> will be a highly </w:t>
      </w:r>
      <w:r w:rsidRPr="007E1EBC">
        <w:lastRenderedPageBreak/>
        <w:t xml:space="preserve">regulated vehicle as it will be subject to the rules of the JSE, the Companies Act, the auditing profession and the FSB (Questionnaire, 2010, May). He goes further by saying that the proposal that the National Treasury should consider is to have a complaints based system rather than a compliance base system as a regulatory method. He feels the value lies in minimising the burden of compliance. </w:t>
      </w:r>
    </w:p>
    <w:p w:rsidR="00534C63" w:rsidRPr="007E1EBC" w:rsidRDefault="00534C63" w:rsidP="00534C63">
      <w:pPr>
        <w:pStyle w:val="whp20100506"/>
      </w:pPr>
      <w:r w:rsidRPr="007E1EBC">
        <w:t>Java Capital as the head Steering Committee representing local industry advised that the FSB should rather take the role of an investor protection agency that steps in only when and if the auditor of a REIT fails to confirm that a REIT has complied with all the regulations and requirements set out for it (Java Capital, 2009, March).</w:t>
      </w:r>
    </w:p>
    <w:p w:rsidR="00534C63" w:rsidRPr="007E1EBC" w:rsidRDefault="00534C63" w:rsidP="00534C63">
      <w:pPr>
        <w:pStyle w:val="whp20100506"/>
      </w:pPr>
    </w:p>
    <w:p w:rsidR="00534C63" w:rsidRPr="007E1EBC" w:rsidRDefault="00534C63" w:rsidP="00534C63">
      <w:pPr>
        <w:pStyle w:val="whp20100506"/>
      </w:pPr>
      <w:r w:rsidRPr="007E1EBC">
        <w:t>It is interesting if one refers to international standards, one realises the magnitude of regulatory supervision that some REIT countries have in contrast to the recommendations of the National Treasury. As an example, the regulation of Australian REIT (LPT) is housed in their Corporations Act 2001, which must also comply with the listing requirements of their stock exchange</w:t>
      </w:r>
      <w:r w:rsidRPr="007E1EBC">
        <w:rPr>
          <w:rStyle w:val="FootnoteReference"/>
        </w:rPr>
        <w:footnoteReference w:id="36"/>
      </w:r>
      <w:r w:rsidRPr="007E1EBC">
        <w:t xml:space="preserve">. Furthermore, their LPS must also adhere to the general law of trusts whilst falling under the jurisdiction of their Australian Securities and Investments Commission (ASIC) as the regulator, which is the equivalent of the South African FSB (Sullivan, September 2007). </w:t>
      </w:r>
    </w:p>
    <w:p w:rsidR="00534C63" w:rsidRPr="007E1EBC" w:rsidRDefault="00534C63" w:rsidP="00534C63">
      <w:pPr>
        <w:pStyle w:val="whp20100506"/>
      </w:pPr>
    </w:p>
    <w:p w:rsidR="00534C63" w:rsidRPr="007E1EBC" w:rsidRDefault="00534C63" w:rsidP="00534C63">
      <w:pPr>
        <w:pStyle w:val="whp20100506"/>
      </w:pPr>
      <w:r w:rsidRPr="007E1EBC">
        <w:t>It is apparent that the LPT are heavily regulated and must comply with a cumbersome list of requirements inter alia: the appointment of a responsible legal juristic entity; secure an Australian Financial Services License; lodge with the ASIC a constitution containing the rules of the REIT scheme; establish a compliance committee if internally managed; act in a fiduciary duty for the shareholders in accordance with their Corporations Act which requires acting in the best interest of the investor, giving priority to investor’s interests, acting for a proper purpose.</w:t>
      </w:r>
    </w:p>
    <w:p w:rsidR="00534C63" w:rsidRDefault="00534C63" w:rsidP="00534C63">
      <w:pPr>
        <w:pStyle w:val="whp20100506"/>
      </w:pPr>
    </w:p>
    <w:p w:rsidR="00694F60" w:rsidRPr="00F0106F" w:rsidRDefault="00534C63" w:rsidP="00F0106F">
      <w:pPr>
        <w:pStyle w:val="whp20100506"/>
      </w:pPr>
      <w:r>
        <w:t xml:space="preserve">If one considers international trends, the more established REIT countries have an inordinate amount of regulatory oversight, which has been refined over the years in order to streamline the operations of </w:t>
      </w:r>
      <w:r w:rsidR="00194F2A">
        <w:t>REITS</w:t>
      </w:r>
      <w:r>
        <w:t xml:space="preserve">. The USA prescribes to the Real Estate Investment Trust Act, the Internal Revenue Code, the Securities Act and the Securities Exchange Act. Australian </w:t>
      </w:r>
      <w:r w:rsidR="00194F2A">
        <w:t>REITS</w:t>
      </w:r>
      <w:r>
        <w:t xml:space="preserve"> fall under the jurisdiction of their Corporations Law, the listing rules, compliance </w:t>
      </w:r>
      <w:r>
        <w:lastRenderedPageBreak/>
        <w:t xml:space="preserve">plans and trust constitutions of the ASX; the policy, general trust law and tax law of the Australian Securities &amp; Investment Commission; compliance to dealer licensing and real estate agent licensing requirements. </w:t>
      </w:r>
      <w:r w:rsidRPr="0090579E">
        <w:br/>
      </w:r>
    </w:p>
    <w:p w:rsidR="00534C63" w:rsidRPr="000F71E8" w:rsidRDefault="00534C63" w:rsidP="00534C63">
      <w:pPr>
        <w:pStyle w:val="whp20100506"/>
        <w:rPr>
          <w:b/>
          <w:i/>
        </w:rPr>
      </w:pPr>
      <w:r w:rsidRPr="000F71E8">
        <w:rPr>
          <w:b/>
          <w:i/>
        </w:rPr>
        <w:t>Conclusion</w:t>
      </w:r>
      <w:r>
        <w:rPr>
          <w:b/>
          <w:i/>
        </w:rPr>
        <w:t>:</w:t>
      </w:r>
    </w:p>
    <w:p w:rsidR="00534C63" w:rsidRDefault="00534C63" w:rsidP="00534C63">
      <w:pPr>
        <w:pStyle w:val="whp20100506"/>
      </w:pPr>
    </w:p>
    <w:p w:rsidR="00534C63" w:rsidRDefault="00534C63" w:rsidP="00534C63">
      <w:pPr>
        <w:pStyle w:val="whp20100506"/>
      </w:pPr>
      <w:r w:rsidRPr="0090579E">
        <w:t>The National Treasury</w:t>
      </w:r>
      <w:r>
        <w:t xml:space="preserve"> has not adequately clarified the role of supervision of regulatory bodies for </w:t>
      </w:r>
      <w:r w:rsidR="00194F2A">
        <w:t>REITS</w:t>
      </w:r>
      <w:r>
        <w:t xml:space="preserve"> to the market especially in terms of convincing the market that they have adequately considered the most accommodating structures in light of existing regulatory watch dogs. </w:t>
      </w:r>
    </w:p>
    <w:p w:rsidR="00534C63" w:rsidRDefault="00534C63" w:rsidP="00534C63">
      <w:pPr>
        <w:pStyle w:val="whp20100506"/>
      </w:pPr>
    </w:p>
    <w:p w:rsidR="00534C63" w:rsidRDefault="00534C63" w:rsidP="00534C63">
      <w:pPr>
        <w:pStyle w:val="whp20100506"/>
      </w:pPr>
      <w:r>
        <w:t>The National Treasury m</w:t>
      </w:r>
      <w:r w:rsidRPr="0090579E">
        <w:t xml:space="preserve">ust set out a uniform set of rules that applies to </w:t>
      </w:r>
      <w:r w:rsidR="00194F2A">
        <w:t>REITS</w:t>
      </w:r>
      <w:r w:rsidRPr="0090579E">
        <w:t xml:space="preserve"> as a whole, irrespective of the underlying investment vehicle or the history thereof</w:t>
      </w:r>
      <w:r>
        <w:t xml:space="preserve">. </w:t>
      </w:r>
      <w:r w:rsidRPr="0090579E">
        <w:t xml:space="preserve">Whether </w:t>
      </w:r>
      <w:r>
        <w:t>a</w:t>
      </w:r>
      <w:r w:rsidRPr="0090579E">
        <w:t xml:space="preserve"> REIT </w:t>
      </w:r>
      <w:r>
        <w:t xml:space="preserve">fund </w:t>
      </w:r>
      <w:r w:rsidRPr="0090579E">
        <w:t>is in the form of a trust or a company</w:t>
      </w:r>
      <w:r>
        <w:t>,</w:t>
      </w:r>
      <w:r w:rsidRPr="0090579E">
        <w:t xml:space="preserve"> it must prescribe to the same set of rules</w:t>
      </w:r>
      <w:r>
        <w:t xml:space="preserve"> for both which is over and above their respective trust deeds and articles of association. Whilst it is clear that t</w:t>
      </w:r>
      <w:r w:rsidRPr="0090579E">
        <w:t xml:space="preserve">he overriding intentions of the National Treasury is investor protection, </w:t>
      </w:r>
      <w:r>
        <w:t xml:space="preserve">which it feels will be best served through </w:t>
      </w:r>
      <w:r w:rsidRPr="0090579E">
        <w:t>the full scrutiny of the FSB</w:t>
      </w:r>
      <w:r>
        <w:t xml:space="preserve"> by including both PLS and CISPs under CISCA, it has however not addressed the roles of other regulatory bodies that adequately fulfil supervisory roles in the South Africa financial sector, which include entities and legislation such as the Department of Trade and Industry (DTI), the South Africa Institute of Chartered Accountants (</w:t>
      </w:r>
      <w:r w:rsidRPr="00596EC1">
        <w:t>SAICA</w:t>
      </w:r>
      <w:r>
        <w:t>) and the Financial Advisory and Intermediary Services Act (FAIS).</w:t>
      </w:r>
    </w:p>
    <w:p w:rsidR="00534C63" w:rsidRDefault="00534C63" w:rsidP="00534C63">
      <w:pPr>
        <w:pStyle w:val="whp20100506"/>
      </w:pPr>
    </w:p>
    <w:p w:rsidR="00534C63" w:rsidRDefault="00534C63" w:rsidP="00534C63">
      <w:pPr>
        <w:pStyle w:val="whp20100506"/>
      </w:pPr>
      <w:r>
        <w:t xml:space="preserve">Meeting the requirements of the new REIT dispensation will be a daunting task for PLS companies, who previously as a PLS company escape the scrutiny of the FSB. The concerns and comments are particularly weary of the scrutinising eyes of the FSB; however the arrival of stricter compliance requirements is an inescapable inevitability that is a necessity for the creation of a healthy REIT regime and in keeping with international trends. </w:t>
      </w:r>
    </w:p>
    <w:p w:rsidR="00534C63" w:rsidRDefault="00534C63" w:rsidP="00534C63">
      <w:pPr>
        <w:pStyle w:val="whp20100506"/>
      </w:pPr>
    </w:p>
    <w:p w:rsidR="00534C63" w:rsidRDefault="00534C63" w:rsidP="00534C63">
      <w:pPr>
        <w:pStyle w:val="whp20100506"/>
        <w:rPr>
          <w:color w:val="FF0000"/>
        </w:rPr>
      </w:pPr>
      <w:r>
        <w:t xml:space="preserve">The National Treasury has fallen short merely by not considering the roles of other regulatory bodies in the South Africa along with motivating and exploring cost efficiencies in these requirements of regulatory compliance. </w:t>
      </w:r>
    </w:p>
    <w:p w:rsidR="00534C63" w:rsidRDefault="00534C63" w:rsidP="00534C63">
      <w:pPr>
        <w:pStyle w:val="whp20100506"/>
        <w:rPr>
          <w:i/>
        </w:rPr>
      </w:pPr>
    </w:p>
    <w:p w:rsidR="00534C63" w:rsidRPr="00C7460C" w:rsidRDefault="00534C63" w:rsidP="00534C63">
      <w:pPr>
        <w:pStyle w:val="whp20100506"/>
        <w:rPr>
          <w:b/>
          <w:i/>
        </w:rPr>
      </w:pPr>
      <w:r w:rsidRPr="00FE403B">
        <w:rPr>
          <w:b/>
          <w:i/>
          <w:u w:val="single"/>
        </w:rPr>
        <w:t>Comment 2</w:t>
      </w:r>
      <w:r w:rsidRPr="00C7460C">
        <w:rPr>
          <w:b/>
          <w:i/>
        </w:rPr>
        <w:t xml:space="preserve">: No Provision has been made for Companies with Substantial Property </w:t>
      </w:r>
      <w:r w:rsidRPr="00C7460C">
        <w:rPr>
          <w:b/>
          <w:i/>
        </w:rPr>
        <w:lastRenderedPageBreak/>
        <w:t>Portfolio’s</w:t>
      </w:r>
      <w:r>
        <w:rPr>
          <w:b/>
          <w:i/>
        </w:rPr>
        <w:t>.</w:t>
      </w:r>
    </w:p>
    <w:p w:rsidR="00534C63" w:rsidRPr="0090579E" w:rsidRDefault="00534C63" w:rsidP="00534C63">
      <w:pPr>
        <w:pStyle w:val="whp20100506"/>
      </w:pPr>
    </w:p>
    <w:p w:rsidR="00534C63" w:rsidRPr="0090579E" w:rsidRDefault="00534C63" w:rsidP="00534C63">
      <w:pPr>
        <w:pStyle w:val="whp20100506"/>
      </w:pPr>
      <w:r w:rsidRPr="0090579E">
        <w:t>In its Discussion Document, the National Treasury made reference to the listed property investment sector only which at the time were five listed CISPs and nineteen listed PLS companies on the JSE</w:t>
      </w:r>
      <w:r>
        <w:rPr>
          <w:rStyle w:val="FootnoteReference"/>
        </w:rPr>
        <w:footnoteReference w:id="37"/>
      </w:r>
      <w:r w:rsidRPr="0090579E">
        <w:t>. The National Treasury did not make reference in its provisions for the unlisted sector</w:t>
      </w:r>
      <w:r>
        <w:t>,</w:t>
      </w:r>
      <w:r w:rsidRPr="0090579E">
        <w:t xml:space="preserve"> which resulted in request for clarification as to the status and opportunities for unlisted property investment vehicles. </w:t>
      </w:r>
    </w:p>
    <w:p w:rsidR="00534C63" w:rsidRPr="0090579E" w:rsidRDefault="00534C63" w:rsidP="00534C63">
      <w:pPr>
        <w:pStyle w:val="whp20100506"/>
      </w:pPr>
    </w:p>
    <w:p w:rsidR="00534C63" w:rsidRPr="0090579E" w:rsidRDefault="00534C63" w:rsidP="00534C63">
      <w:pPr>
        <w:pStyle w:val="whp20100506"/>
      </w:pPr>
      <w:r w:rsidRPr="0090579E">
        <w:t xml:space="preserve">Java Capital feel that unlisted investment property vehicles qualify by way of the requirements set forth for </w:t>
      </w:r>
      <w:r w:rsidR="00194F2A">
        <w:t>REITS</w:t>
      </w:r>
      <w:r w:rsidRPr="0090579E">
        <w:t>, they should have the same opportunities as a REIT whether it is listed or unlisted (Java Capital, 2008: 2). Java Capital indicated to the sufficient protection mechanisms in place by way of the Companies Act.</w:t>
      </w:r>
    </w:p>
    <w:p w:rsidR="00534C63" w:rsidRPr="0090579E" w:rsidRDefault="00534C63" w:rsidP="00534C63">
      <w:pPr>
        <w:pStyle w:val="whp20100506"/>
      </w:pPr>
    </w:p>
    <w:p w:rsidR="00534C63" w:rsidRDefault="00534C63" w:rsidP="00534C63">
      <w:pPr>
        <w:pStyle w:val="whp20100506"/>
        <w:rPr>
          <w:b/>
          <w:i/>
        </w:rPr>
      </w:pPr>
      <w:r>
        <w:rPr>
          <w:b/>
          <w:i/>
        </w:rPr>
        <w:t>Conclusion</w:t>
      </w:r>
    </w:p>
    <w:p w:rsidR="00534C63" w:rsidRDefault="00534C63" w:rsidP="00534C63">
      <w:pPr>
        <w:pStyle w:val="whp20100506"/>
      </w:pPr>
    </w:p>
    <w:p w:rsidR="00534C63" w:rsidRDefault="00534C63" w:rsidP="00534C63">
      <w:pPr>
        <w:pStyle w:val="whp20100506"/>
        <w:rPr>
          <w:color w:val="FF0000"/>
        </w:rPr>
      </w:pPr>
      <w:r>
        <w:t xml:space="preserve">The National Treasury has not considered the role of unlisted </w:t>
      </w:r>
      <w:r w:rsidR="00194F2A">
        <w:t>REITS</w:t>
      </w:r>
      <w:r>
        <w:t xml:space="preserve"> in South Africa in terms of accommodating for them in their recommendations. The National Treasury should therefore cater for this category of </w:t>
      </w:r>
      <w:r w:rsidR="00194F2A">
        <w:t>REITS</w:t>
      </w:r>
      <w:r>
        <w:t xml:space="preserve"> by way of a set of transitional rules and minimum relevant REIT requirements.</w:t>
      </w:r>
    </w:p>
    <w:p w:rsidR="00534C63" w:rsidRDefault="00534C63" w:rsidP="00534C63">
      <w:pPr>
        <w:pStyle w:val="whp20100506"/>
      </w:pPr>
    </w:p>
    <w:p w:rsidR="00534C63" w:rsidRDefault="00534C63" w:rsidP="00534C63">
      <w:pPr>
        <w:pStyle w:val="whp20100506"/>
        <w:rPr>
          <w:b/>
          <w:i/>
        </w:rPr>
      </w:pPr>
      <w:r w:rsidRPr="00FE403B">
        <w:rPr>
          <w:b/>
          <w:i/>
          <w:u w:val="single"/>
        </w:rPr>
        <w:t>Comment 3</w:t>
      </w:r>
      <w:r w:rsidRPr="00C7460C">
        <w:rPr>
          <w:b/>
          <w:i/>
        </w:rPr>
        <w:t xml:space="preserve">: </w:t>
      </w:r>
      <w:r>
        <w:rPr>
          <w:b/>
          <w:i/>
        </w:rPr>
        <w:t xml:space="preserve">Will </w:t>
      </w:r>
      <w:r w:rsidRPr="00C7460C">
        <w:rPr>
          <w:b/>
          <w:i/>
        </w:rPr>
        <w:t xml:space="preserve">Internal </w:t>
      </w:r>
      <w:r>
        <w:rPr>
          <w:b/>
          <w:i/>
        </w:rPr>
        <w:t>and</w:t>
      </w:r>
      <w:r w:rsidRPr="00C7460C">
        <w:rPr>
          <w:b/>
          <w:i/>
        </w:rPr>
        <w:t xml:space="preserve"> External Management Companie</w:t>
      </w:r>
      <w:r>
        <w:rPr>
          <w:b/>
          <w:i/>
        </w:rPr>
        <w:t xml:space="preserve">s is permitted for </w:t>
      </w:r>
      <w:r w:rsidR="00194F2A">
        <w:rPr>
          <w:b/>
          <w:i/>
        </w:rPr>
        <w:t>REITS</w:t>
      </w:r>
      <w:r>
        <w:rPr>
          <w:b/>
          <w:i/>
        </w:rPr>
        <w:t>?</w:t>
      </w:r>
    </w:p>
    <w:p w:rsidR="00534C63" w:rsidRPr="0090579E" w:rsidRDefault="00534C63" w:rsidP="00534C63">
      <w:pPr>
        <w:pStyle w:val="whp20100506"/>
      </w:pPr>
      <w:r w:rsidRPr="00124B8E">
        <w:br/>
      </w:r>
      <w:r w:rsidRPr="0090579E">
        <w:t xml:space="preserve">Whilst the majority of all REIT companies will have an internal management company, legislation should allow for either internal or external management companies, as is the trend internationally.   </w:t>
      </w:r>
    </w:p>
    <w:p w:rsidR="00534C63" w:rsidRPr="0090579E" w:rsidRDefault="00534C63" w:rsidP="00534C63">
      <w:pPr>
        <w:pStyle w:val="whp20100506"/>
      </w:pPr>
    </w:p>
    <w:p w:rsidR="00534C63" w:rsidRPr="0090579E" w:rsidRDefault="00534C63" w:rsidP="00534C63">
      <w:pPr>
        <w:pStyle w:val="whp20100506"/>
      </w:pPr>
      <w:r w:rsidRPr="0090579E">
        <w:t xml:space="preserve">Zahd Sulaiman from Catalyst Asset Management feels that there is a concern with regards to the management contracts applicable to CISPs, in particular those which are set out in perpetuity and would have a detrimental impact upon investors who have no input into the fixing of terms, in particular lucrative commissions and fees that may have prejudicial long term consequences for the fund (Questionnaire 2010, May). </w:t>
      </w:r>
    </w:p>
    <w:p w:rsidR="00534C63" w:rsidRDefault="00534C63" w:rsidP="00534C63">
      <w:pPr>
        <w:pStyle w:val="whp20100506"/>
      </w:pPr>
    </w:p>
    <w:p w:rsidR="00534C63" w:rsidRPr="00414188" w:rsidRDefault="00534C63" w:rsidP="00534C63">
      <w:pPr>
        <w:pStyle w:val="whp20100506"/>
        <w:rPr>
          <w:b/>
          <w:i/>
        </w:rPr>
      </w:pPr>
      <w:r w:rsidRPr="00414188">
        <w:rPr>
          <w:b/>
          <w:i/>
        </w:rPr>
        <w:lastRenderedPageBreak/>
        <w:t>Conclusion:</w:t>
      </w:r>
    </w:p>
    <w:p w:rsidR="00534C63" w:rsidRPr="0090579E" w:rsidRDefault="00534C63" w:rsidP="00534C63">
      <w:pPr>
        <w:pStyle w:val="whp20100506"/>
      </w:pPr>
    </w:p>
    <w:p w:rsidR="00534C63" w:rsidRDefault="00534C63" w:rsidP="00534C63">
      <w:pPr>
        <w:pStyle w:val="whp20100506"/>
      </w:pPr>
      <w:r w:rsidRPr="0090579E">
        <w:t>It appears that most PLS companies have the management of the underlying assets don</w:t>
      </w:r>
      <w:r>
        <w:t xml:space="preserve">e internally whilst CISPs </w:t>
      </w:r>
      <w:r w:rsidRPr="0090579E">
        <w:t>have th</w:t>
      </w:r>
      <w:r>
        <w:t xml:space="preserve">eir management done externally. The trend internationally is for the utilisation of internal management companies which is based on a natural evolution of REIT funds and the pursuit of efficiencies. </w:t>
      </w:r>
    </w:p>
    <w:p w:rsidR="00534C63" w:rsidRDefault="00534C63" w:rsidP="00534C63">
      <w:pPr>
        <w:pStyle w:val="whp20100506"/>
      </w:pPr>
    </w:p>
    <w:p w:rsidR="00534C63" w:rsidRDefault="00534C63" w:rsidP="00534C63">
      <w:pPr>
        <w:pStyle w:val="whp20100506"/>
      </w:pPr>
      <w:r w:rsidRPr="0090579E">
        <w:t xml:space="preserve">The National Treasury has indicated that there </w:t>
      </w:r>
      <w:r>
        <w:t>are</w:t>
      </w:r>
      <w:r w:rsidRPr="0090579E">
        <w:t xml:space="preserve"> significant concerns over the severe misaligned interests between management and the managed interests on behalf of investors in particular to the payment of fees (National Treasury, 2008: 10)</w:t>
      </w:r>
      <w:r>
        <w:t xml:space="preserve"> however it has failed to address in this its discussion document in a comprehensive manner</w:t>
      </w:r>
      <w:r w:rsidRPr="0090579E">
        <w:t xml:space="preserve">. </w:t>
      </w:r>
    </w:p>
    <w:p w:rsidR="00534C63" w:rsidRDefault="00534C63" w:rsidP="00534C63">
      <w:pPr>
        <w:pStyle w:val="whp20100506"/>
      </w:pPr>
    </w:p>
    <w:p w:rsidR="00534C63" w:rsidRPr="00C7460C" w:rsidRDefault="00534C63" w:rsidP="00534C63">
      <w:pPr>
        <w:pStyle w:val="whp20100506"/>
        <w:rPr>
          <w:b/>
          <w:i/>
        </w:rPr>
      </w:pPr>
      <w:r w:rsidRPr="00FE403B">
        <w:rPr>
          <w:b/>
          <w:i/>
          <w:u w:val="single"/>
        </w:rPr>
        <w:t>Comment 4</w:t>
      </w:r>
      <w:r w:rsidRPr="00C7460C">
        <w:rPr>
          <w:b/>
          <w:i/>
        </w:rPr>
        <w:t xml:space="preserve">: Window Period to Conversion to </w:t>
      </w:r>
      <w:r w:rsidR="00194F2A">
        <w:rPr>
          <w:b/>
          <w:i/>
        </w:rPr>
        <w:t>REITS</w:t>
      </w:r>
      <w:r w:rsidRPr="00C7460C">
        <w:rPr>
          <w:b/>
          <w:i/>
        </w:rPr>
        <w:t xml:space="preserve"> </w:t>
      </w:r>
    </w:p>
    <w:p w:rsidR="00534C63" w:rsidRPr="0090579E" w:rsidRDefault="00534C63" w:rsidP="00534C63">
      <w:pPr>
        <w:pStyle w:val="whp20100506"/>
      </w:pPr>
    </w:p>
    <w:p w:rsidR="00534C63" w:rsidRDefault="00534C63" w:rsidP="00534C63">
      <w:pPr>
        <w:pStyle w:val="whp20100506"/>
      </w:pPr>
      <w:r w:rsidRPr="0090579E">
        <w:t xml:space="preserve">The National Treasury has indicated that CISPs will automatically convert to </w:t>
      </w:r>
      <w:r w:rsidR="00194F2A">
        <w:t>REITS</w:t>
      </w:r>
      <w:r w:rsidRPr="0090579E">
        <w:t xml:space="preserve"> whilst PLS companies must apply for REIT status. </w:t>
      </w:r>
    </w:p>
    <w:p w:rsidR="00534C63" w:rsidRDefault="00534C63" w:rsidP="00534C63">
      <w:pPr>
        <w:pStyle w:val="whp20100506"/>
      </w:pPr>
    </w:p>
    <w:p w:rsidR="00534C63" w:rsidRPr="0090579E" w:rsidRDefault="00534C63" w:rsidP="00534C63">
      <w:pPr>
        <w:pStyle w:val="whp20100506"/>
      </w:pPr>
      <w:r w:rsidRPr="0090579E">
        <w:t xml:space="preserve">The overriding concern for PLS organizations </w:t>
      </w:r>
      <w:r>
        <w:t xml:space="preserve">to response to the National Treasury’s recommendations, </w:t>
      </w:r>
      <w:r w:rsidRPr="0090579E">
        <w:t xml:space="preserve">has been the uncertainty with regards to the possibility of a tax charge for conversion to </w:t>
      </w:r>
      <w:r w:rsidR="00194F2A">
        <w:t>REITS</w:t>
      </w:r>
      <w:r w:rsidRPr="0090579E">
        <w:t xml:space="preserve"> which would be a major deterrent for these companies to embrace </w:t>
      </w:r>
      <w:r w:rsidR="00194F2A">
        <w:t>REITS</w:t>
      </w:r>
      <w:r w:rsidRPr="0090579E">
        <w:t xml:space="preserve"> and to convert (</w:t>
      </w:r>
      <w:r>
        <w:t xml:space="preserve">interview with </w:t>
      </w:r>
      <w:r w:rsidRPr="0090579E">
        <w:t>Paul Theodosius, 2009, December).</w:t>
      </w:r>
    </w:p>
    <w:p w:rsidR="00534C63" w:rsidRPr="0090579E" w:rsidRDefault="00534C63" w:rsidP="00534C63">
      <w:pPr>
        <w:pStyle w:val="whp20100506"/>
      </w:pPr>
    </w:p>
    <w:p w:rsidR="00534C63" w:rsidRPr="0090579E" w:rsidRDefault="00534C63" w:rsidP="00534C63">
      <w:pPr>
        <w:pStyle w:val="whp20100506"/>
      </w:pPr>
      <w:r w:rsidRPr="0090579E">
        <w:t>Java Capital has requested that the National Treasury rather consider a window period similar to the one in the United Kingdom for the conversion process</w:t>
      </w:r>
      <w:r>
        <w:t xml:space="preserve"> (Java Capital: 2009:1)</w:t>
      </w:r>
      <w:r w:rsidRPr="0090579E">
        <w:t>. This would be done in a manner that will act as an incentive for companies to elect to take on the form of a REIT and would entail an incentive in the form of a window period of 12 months with an additional 6 months to execute the qualification</w:t>
      </w:r>
      <w:r>
        <w:t xml:space="preserve">. </w:t>
      </w:r>
      <w:r w:rsidRPr="0090579E">
        <w:t xml:space="preserve">After the expiration of the window period, all companies that elect to adopt REIT status will then pay an entry fee of 5% (payable over 4 years) based on the Capital Gains Tax that would have been payable on the qualification date if that entity chose to dispose of all its assets.  </w:t>
      </w:r>
    </w:p>
    <w:p w:rsidR="00534C63" w:rsidRPr="0090579E" w:rsidRDefault="00534C63" w:rsidP="00534C63">
      <w:pPr>
        <w:pStyle w:val="whp20100506"/>
      </w:pPr>
    </w:p>
    <w:p w:rsidR="00534C63" w:rsidRDefault="00534C63" w:rsidP="00534C63">
      <w:pPr>
        <w:pStyle w:val="whp20100506"/>
      </w:pPr>
      <w:r w:rsidRPr="0090579E">
        <w:t xml:space="preserve">As far as an entry charge is concerned, </w:t>
      </w:r>
      <w:r>
        <w:t>the UK has a similar entry fee which the REIT can either pay in the first year (2% of the market value of the assets) or elect to structure the payment of the fee over four years in four instalments.</w:t>
      </w:r>
    </w:p>
    <w:p w:rsidR="00534C63" w:rsidRDefault="00534C63" w:rsidP="00534C63">
      <w:pPr>
        <w:pStyle w:val="whp20100506"/>
      </w:pPr>
    </w:p>
    <w:p w:rsidR="00534C63" w:rsidRDefault="00534C63" w:rsidP="00534C63">
      <w:pPr>
        <w:pStyle w:val="whp20100506"/>
      </w:pPr>
      <w:r>
        <w:t>T</w:t>
      </w:r>
      <w:r w:rsidRPr="0090579E">
        <w:t>he French regime stipulates that upon the granting of REIT status, an immediate capital gains tax at a special rate of 16.5% is due on the latent capital gains of qualifying assets (Geursen &amp; Derouin, June 2003). The CGT is calculated by deducting the book value of the assets from the market value at the time that the company is granted REIT or SIIC status. This entry tax is payable in four equal instalments over four years on a fixed date being the 15th of December every year. Any assets that do not qualify as a REIT asset benefit from a roll over relief.</w:t>
      </w:r>
    </w:p>
    <w:p w:rsidR="00534C63" w:rsidRDefault="00534C63" w:rsidP="00534C63">
      <w:pPr>
        <w:pStyle w:val="whp20100506"/>
      </w:pPr>
    </w:p>
    <w:p w:rsidR="00534C63" w:rsidRPr="00822468" w:rsidRDefault="00534C63" w:rsidP="00534C63">
      <w:pPr>
        <w:pStyle w:val="whp20100506"/>
        <w:rPr>
          <w:b/>
          <w:i/>
        </w:rPr>
      </w:pPr>
      <w:r w:rsidRPr="00822468">
        <w:rPr>
          <w:b/>
          <w:i/>
        </w:rPr>
        <w:t>Conclusion</w:t>
      </w:r>
    </w:p>
    <w:p w:rsidR="00534C63" w:rsidRDefault="00534C63" w:rsidP="00534C63">
      <w:pPr>
        <w:pStyle w:val="whp20100506"/>
      </w:pPr>
    </w:p>
    <w:p w:rsidR="00534C63" w:rsidRDefault="00534C63" w:rsidP="00534C63">
      <w:pPr>
        <w:pStyle w:val="whp20100506"/>
      </w:pPr>
      <w:r>
        <w:t xml:space="preserve">If the existing market is to embrace the adoption of </w:t>
      </w:r>
      <w:r w:rsidR="00194F2A">
        <w:t>REITS</w:t>
      </w:r>
      <w:r>
        <w:t xml:space="preserve"> as an inevitable reality, the urgency of conversion to REIT will most certainly be a function of calculating the financial cost to the shareholders in complying with the regulatory requirements. </w:t>
      </w:r>
    </w:p>
    <w:p w:rsidR="00534C63" w:rsidRDefault="00534C63" w:rsidP="00534C63">
      <w:pPr>
        <w:pStyle w:val="whp20100506"/>
      </w:pPr>
    </w:p>
    <w:p w:rsidR="00534C63" w:rsidRDefault="00534C63" w:rsidP="00534C63">
      <w:pPr>
        <w:pStyle w:val="whp20100506"/>
      </w:pPr>
      <w:r>
        <w:t xml:space="preserve">What is more, in terms of the likely situation of CISPs being granted automatic REIT status and PLS companies having to apply for REIT status, it would be prudent for the National Treasury to consider a window period as a method of encouraging the urgency to adopt the REIT structures amongst the PLS sector along with the practical nature of adopting new regimes. This would be best served by way of the recommendations that a tax free window period be created followed by the implementation of an entry tax. </w:t>
      </w:r>
    </w:p>
    <w:p w:rsidR="00534C63" w:rsidRDefault="00534C63" w:rsidP="00534C63">
      <w:pPr>
        <w:pStyle w:val="whp20100506"/>
      </w:pPr>
    </w:p>
    <w:p w:rsidR="00534C63" w:rsidRPr="0090579E" w:rsidRDefault="00534C63" w:rsidP="00534C63">
      <w:pPr>
        <w:pStyle w:val="whp20100506"/>
      </w:pPr>
      <w:r>
        <w:t xml:space="preserve">As such the National Treasury has fallen short of creating an innovative ‘sweetener’ for the market to embrace the conversion to </w:t>
      </w:r>
      <w:r w:rsidR="00194F2A">
        <w:t>REITS</w:t>
      </w:r>
      <w:r>
        <w:t xml:space="preserve"> with urgency.</w:t>
      </w:r>
    </w:p>
    <w:p w:rsidR="00534C63" w:rsidRPr="0090579E" w:rsidRDefault="00534C63" w:rsidP="00534C63">
      <w:pPr>
        <w:pStyle w:val="whp20100506"/>
      </w:pPr>
    </w:p>
    <w:p w:rsidR="00534C63" w:rsidRPr="0090579E" w:rsidRDefault="00534C63" w:rsidP="00534C63">
      <w:pPr>
        <w:pStyle w:val="whp20100506"/>
      </w:pPr>
      <w:r w:rsidRPr="00FE403B">
        <w:rPr>
          <w:b/>
          <w:i/>
          <w:u w:val="single"/>
        </w:rPr>
        <w:t>Comment 5</w:t>
      </w:r>
      <w:r w:rsidRPr="00C7460C">
        <w:rPr>
          <w:b/>
          <w:i/>
        </w:rPr>
        <w:t>: Exceptions to Listing Requirements</w:t>
      </w:r>
      <w:r>
        <w:rPr>
          <w:i/>
        </w:rPr>
        <w:t xml:space="preserve"> </w:t>
      </w:r>
      <w:r w:rsidRPr="00124B8E">
        <w:br/>
      </w:r>
      <w:r w:rsidRPr="0090579E">
        <w:br/>
        <w:t xml:space="preserve">The National Treasury wants all </w:t>
      </w:r>
      <w:r w:rsidR="00194F2A">
        <w:t>REITS</w:t>
      </w:r>
      <w:r w:rsidRPr="0090579E">
        <w:t xml:space="preserve"> to be listed on the JSE. However </w:t>
      </w:r>
      <w:r>
        <w:t>comments</w:t>
      </w:r>
      <w:r w:rsidRPr="0090579E">
        <w:t xml:space="preserve"> have been made </w:t>
      </w:r>
      <w:r>
        <w:t>by</w:t>
      </w:r>
      <w:r w:rsidRPr="0090579E">
        <w:t xml:space="preserve"> local industry that exemptions </w:t>
      </w:r>
      <w:r>
        <w:t xml:space="preserve">should </w:t>
      </w:r>
      <w:r w:rsidRPr="0090579E">
        <w:t xml:space="preserve">cater for various situations </w:t>
      </w:r>
      <w:r>
        <w:t>which mostly</w:t>
      </w:r>
      <w:r w:rsidRPr="0090579E">
        <w:t xml:space="preserve"> would make it impractical for the REIT to be listed. </w:t>
      </w:r>
    </w:p>
    <w:p w:rsidR="00534C63" w:rsidRPr="0090579E" w:rsidRDefault="00534C63" w:rsidP="00534C63">
      <w:pPr>
        <w:pStyle w:val="whp20100506"/>
      </w:pPr>
    </w:p>
    <w:p w:rsidR="00534C63" w:rsidRPr="0090579E" w:rsidRDefault="00534C63" w:rsidP="00534C63">
      <w:pPr>
        <w:pStyle w:val="whp20100506"/>
      </w:pPr>
      <w:r w:rsidRPr="0090579E">
        <w:t xml:space="preserve">Zahd Sulaimen from Catalyst Asset Management proposed that the exemptions should include </w:t>
      </w:r>
      <w:r w:rsidR="00194F2A">
        <w:t>REITS</w:t>
      </w:r>
      <w:r w:rsidRPr="0090579E">
        <w:t xml:space="preserve"> where direct investment is not offered to the retail market in general or where the investors of the REIT are financial organisations that are already regulated by the FSB </w:t>
      </w:r>
      <w:r w:rsidRPr="0090579E">
        <w:lastRenderedPageBreak/>
        <w:t xml:space="preserve">(questionnaire interview 2010 May). </w:t>
      </w:r>
    </w:p>
    <w:p w:rsidR="00534C63" w:rsidRPr="0090579E" w:rsidRDefault="00534C63" w:rsidP="00534C63">
      <w:pPr>
        <w:pStyle w:val="whp20100506"/>
      </w:pPr>
    </w:p>
    <w:p w:rsidR="00534C63" w:rsidRPr="0090579E" w:rsidRDefault="00534C63" w:rsidP="00534C63">
      <w:pPr>
        <w:pStyle w:val="whp20100506"/>
      </w:pPr>
      <w:r w:rsidRPr="0090579E">
        <w:t xml:space="preserve">Java Capital supported the notion that exemptions should be considered especially for the unlisted investment property vehicles who choose not to be a </w:t>
      </w:r>
      <w:r>
        <w:t xml:space="preserve">REIT (Java Capital, 2009). The unlisted REIT company must as a natural consequence follow the rules and regulations of the Companies Act and therefore any offers of shares to the public, must be made in accordance with the prospectus requirements which will provide adequate protection to the investor. </w:t>
      </w:r>
    </w:p>
    <w:p w:rsidR="00534C63" w:rsidRPr="0090579E" w:rsidRDefault="00534C63" w:rsidP="00534C63">
      <w:pPr>
        <w:pStyle w:val="whp20100506"/>
      </w:pPr>
    </w:p>
    <w:p w:rsidR="00534C63" w:rsidRPr="0090579E" w:rsidRDefault="00534C63" w:rsidP="00534C63">
      <w:pPr>
        <w:pStyle w:val="whp20100506"/>
      </w:pPr>
      <w:r w:rsidRPr="0090579E">
        <w:t xml:space="preserve">NAREIT agrees with that all REIT should be listed companies on the JSE with an exception only where investment in the REIT is not offered to the retail sector (i.e. long-term insurers). However, </w:t>
      </w:r>
      <w:r>
        <w:t>NAREIT</w:t>
      </w:r>
      <w:r>
        <w:rPr>
          <w:color w:val="FF0000"/>
        </w:rPr>
        <w:t xml:space="preserve"> </w:t>
      </w:r>
      <w:r w:rsidRPr="0090579E">
        <w:t xml:space="preserve">indicated that in the event of smaller start up </w:t>
      </w:r>
      <w:r w:rsidR="00194F2A">
        <w:t>REITS</w:t>
      </w:r>
      <w:r w:rsidRPr="0090579E">
        <w:t>, a period of grace would be afforded whilst it is still in infancy stage of growth but with the view to eventually list (Nareit, 2008</w:t>
      </w:r>
      <w:r>
        <w:t>: 4</w:t>
      </w:r>
      <w:r w:rsidRPr="0090579E">
        <w:t>).</w:t>
      </w:r>
    </w:p>
    <w:p w:rsidR="00534C63" w:rsidRPr="0090579E" w:rsidRDefault="00534C63" w:rsidP="00534C63">
      <w:pPr>
        <w:pStyle w:val="whp20100506"/>
      </w:pPr>
    </w:p>
    <w:p w:rsidR="00534C63" w:rsidRDefault="00694F60" w:rsidP="00534C63">
      <w:pPr>
        <w:pStyle w:val="whp20100506"/>
        <w:rPr>
          <w:b/>
          <w:i/>
        </w:rPr>
      </w:pPr>
      <w:r>
        <w:rPr>
          <w:b/>
          <w:i/>
        </w:rPr>
        <w:t>Conclusion</w:t>
      </w:r>
    </w:p>
    <w:p w:rsidR="00534C63" w:rsidRDefault="00534C63" w:rsidP="00534C63">
      <w:pPr>
        <w:pStyle w:val="whp20100506"/>
        <w:rPr>
          <w:b/>
          <w:i/>
        </w:rPr>
      </w:pPr>
    </w:p>
    <w:p w:rsidR="00534C63" w:rsidRDefault="00534C63" w:rsidP="00534C63">
      <w:pPr>
        <w:pStyle w:val="whp20100506"/>
      </w:pPr>
      <w:r>
        <w:t xml:space="preserve">The National Treasury has not adequately considered the practical consequences of requiring all </w:t>
      </w:r>
      <w:r w:rsidR="00194F2A">
        <w:t>REITS</w:t>
      </w:r>
      <w:r>
        <w:t xml:space="preserve"> to be listed and therefore should consider making exceptions. </w:t>
      </w:r>
      <w:r w:rsidRPr="0090579E">
        <w:t xml:space="preserve">The list of exceptions for listing on the JSE, as per the recommendations of local industry </w:t>
      </w:r>
      <w:r>
        <w:t xml:space="preserve">should be based on the practical reality of the South Africa landscape seeking a smooth transition over time to embrace </w:t>
      </w:r>
      <w:r w:rsidR="00194F2A">
        <w:t>REITS</w:t>
      </w:r>
      <w:r>
        <w:t xml:space="preserve">. These scenarios would include </w:t>
      </w:r>
      <w:r w:rsidRPr="0090579E">
        <w:t>the following</w:t>
      </w:r>
      <w:r>
        <w:t>:</w:t>
      </w:r>
    </w:p>
    <w:p w:rsidR="00534C63" w:rsidRDefault="00534C63" w:rsidP="00534C63">
      <w:pPr>
        <w:pStyle w:val="whp20100506"/>
      </w:pPr>
    </w:p>
    <w:p w:rsidR="00534C63" w:rsidRDefault="00534C63" w:rsidP="00534C63">
      <w:pPr>
        <w:pStyle w:val="whp20100506"/>
        <w:numPr>
          <w:ilvl w:val="0"/>
          <w:numId w:val="25"/>
        </w:numPr>
        <w:ind w:left="426"/>
      </w:pPr>
      <w:r w:rsidRPr="0090579E">
        <w:t xml:space="preserve">an incubator </w:t>
      </w:r>
      <w:r>
        <w:t>REIT that creates a track record for itself but has a business plan with the view to list in the future;</w:t>
      </w:r>
      <w:r>
        <w:br/>
      </w:r>
    </w:p>
    <w:p w:rsidR="00534C63" w:rsidRDefault="00534C63" w:rsidP="00534C63">
      <w:pPr>
        <w:pStyle w:val="whp20100506"/>
        <w:numPr>
          <w:ilvl w:val="0"/>
          <w:numId w:val="25"/>
        </w:numPr>
        <w:ind w:left="426"/>
      </w:pPr>
      <w:r>
        <w:t>S</w:t>
      </w:r>
      <w:r w:rsidRPr="0090579E">
        <w:t xml:space="preserve">ubsidiaries of </w:t>
      </w:r>
      <w:r>
        <w:t>REIT that are 100% owned by the REIT;</w:t>
      </w:r>
    </w:p>
    <w:p w:rsidR="00534C63" w:rsidRDefault="00534C63" w:rsidP="00534C63">
      <w:pPr>
        <w:pStyle w:val="whp20100506"/>
        <w:ind w:left="426"/>
      </w:pPr>
    </w:p>
    <w:p w:rsidR="00534C63" w:rsidRDefault="00534C63" w:rsidP="00534C63">
      <w:pPr>
        <w:pStyle w:val="whp20100506"/>
        <w:numPr>
          <w:ilvl w:val="0"/>
          <w:numId w:val="25"/>
        </w:numPr>
        <w:ind w:left="426"/>
      </w:pPr>
      <w:r>
        <w:t>I</w:t>
      </w:r>
      <w:r w:rsidRPr="0090579E">
        <w:t>nvestment</w:t>
      </w:r>
      <w:r>
        <w:t xml:space="preserve"> entities</w:t>
      </w:r>
      <w:r w:rsidRPr="0090579E">
        <w:t xml:space="preserve"> where more than 50% </w:t>
      </w:r>
      <w:r>
        <w:t xml:space="preserve">is owned </w:t>
      </w:r>
      <w:r w:rsidRPr="0090579E">
        <w:t xml:space="preserve">by </w:t>
      </w:r>
      <w:r>
        <w:t>entities that are</w:t>
      </w:r>
      <w:r w:rsidRPr="0090579E">
        <w:t xml:space="preserve"> regulated by the </w:t>
      </w:r>
      <w:r>
        <w:t>either the FSB or a recognised supervisory body;</w:t>
      </w:r>
      <w:r w:rsidRPr="0090579E">
        <w:t xml:space="preserve"> </w:t>
      </w:r>
    </w:p>
    <w:p w:rsidR="00534C63" w:rsidRDefault="00534C63" w:rsidP="00534C63">
      <w:pPr>
        <w:pStyle w:val="whp20100506"/>
        <w:ind w:left="426"/>
      </w:pPr>
    </w:p>
    <w:p w:rsidR="00534C63" w:rsidRDefault="00534C63" w:rsidP="00534C63">
      <w:pPr>
        <w:pStyle w:val="whp20100506"/>
        <w:numPr>
          <w:ilvl w:val="0"/>
          <w:numId w:val="25"/>
        </w:numPr>
        <w:ind w:left="426"/>
      </w:pPr>
      <w:r>
        <w:t>U</w:t>
      </w:r>
      <w:r w:rsidRPr="0090579E">
        <w:t xml:space="preserve">nlisted entities </w:t>
      </w:r>
      <w:r>
        <w:t xml:space="preserve">that exist </w:t>
      </w:r>
      <w:r w:rsidRPr="0090579E">
        <w:t>on</w:t>
      </w:r>
      <w:r>
        <w:t xml:space="preserve"> the</w:t>
      </w:r>
      <w:r w:rsidRPr="0090579E">
        <w:t xml:space="preserve"> date </w:t>
      </w:r>
      <w:r>
        <w:t xml:space="preserve">that the </w:t>
      </w:r>
      <w:r w:rsidRPr="0090579E">
        <w:t xml:space="preserve">REIT </w:t>
      </w:r>
      <w:r>
        <w:t>legislation is proclaimed,</w:t>
      </w:r>
      <w:r w:rsidRPr="0090579E">
        <w:t xml:space="preserve"> provided they</w:t>
      </w:r>
      <w:r>
        <w:t xml:space="preserve"> list within reasonable period (say 12 months);</w:t>
      </w:r>
    </w:p>
    <w:p w:rsidR="00534C63" w:rsidRDefault="00534C63" w:rsidP="00534C63">
      <w:pPr>
        <w:pStyle w:val="whp20100506"/>
        <w:ind w:left="426"/>
      </w:pPr>
    </w:p>
    <w:p w:rsidR="00534C63" w:rsidRDefault="00534C63" w:rsidP="00534C63">
      <w:pPr>
        <w:pStyle w:val="whp20100506"/>
        <w:numPr>
          <w:ilvl w:val="0"/>
          <w:numId w:val="25"/>
        </w:numPr>
        <w:ind w:left="426"/>
      </w:pPr>
      <w:r>
        <w:lastRenderedPageBreak/>
        <w:t>T</w:t>
      </w:r>
      <w:r w:rsidRPr="0090579E">
        <w:t>emporary delisted entities du</w:t>
      </w:r>
      <w:r>
        <w:t>e to corporate re-organisation;</w:t>
      </w:r>
    </w:p>
    <w:p w:rsidR="00534C63" w:rsidRDefault="00534C63" w:rsidP="00534C63">
      <w:pPr>
        <w:pStyle w:val="whp20100506"/>
        <w:ind w:left="426"/>
      </w:pPr>
    </w:p>
    <w:p w:rsidR="00534C63" w:rsidRPr="0090579E" w:rsidRDefault="00534C63" w:rsidP="00534C63">
      <w:pPr>
        <w:pStyle w:val="whp20100506"/>
        <w:numPr>
          <w:ilvl w:val="0"/>
          <w:numId w:val="25"/>
        </w:numPr>
        <w:ind w:left="426"/>
      </w:pPr>
      <w:r>
        <w:t>En</w:t>
      </w:r>
      <w:r w:rsidRPr="0090579E">
        <w:t>tities exempted from the listing requirements by the FSB</w:t>
      </w:r>
      <w:r>
        <w:t>.</w:t>
      </w:r>
    </w:p>
    <w:p w:rsidR="00534C63" w:rsidRDefault="00534C63" w:rsidP="00534C63">
      <w:pPr>
        <w:pStyle w:val="whp20100506"/>
      </w:pPr>
    </w:p>
    <w:p w:rsidR="00534C63" w:rsidRPr="003F36E8" w:rsidRDefault="00534C63" w:rsidP="00534C63">
      <w:pPr>
        <w:pStyle w:val="whp20100506"/>
        <w:rPr>
          <w:b/>
        </w:rPr>
      </w:pPr>
      <w:r>
        <w:t xml:space="preserve">The only issue that would be left open under the aforementioned exemptions is whether the National Treasury feels that the lack of listing requirements is adequately covered by the regulatory requirements and provisions as contained in the Companies Act (i.e. for example whether the prospectus requirements provides adequate investor protection). As a further issue the National Treasury also needs to assert the situations pertaining to the instances whether there are overlapping regulatory requirements for unlisted entities (i.e. between the REIT dispensations, the FSB requirements, the JSE requirements) and instances which allude again to the anomalies of regulating dual juristic entities. </w:t>
      </w:r>
    </w:p>
    <w:p w:rsidR="00534C63" w:rsidRPr="003F36E8" w:rsidRDefault="00534C63" w:rsidP="00534C63">
      <w:pPr>
        <w:pStyle w:val="whp20100506"/>
        <w:rPr>
          <w:b/>
        </w:rPr>
      </w:pPr>
    </w:p>
    <w:p w:rsidR="00694F60" w:rsidRDefault="00694F60">
      <w:pPr>
        <w:spacing w:after="200" w:line="276" w:lineRule="auto"/>
        <w:rPr>
          <w:rFonts w:ascii="Times New Roman" w:hAnsi="Times New Roman"/>
          <w:b/>
          <w:sz w:val="24"/>
        </w:rPr>
      </w:pPr>
      <w:r>
        <w:rPr>
          <w:b/>
        </w:rPr>
        <w:br w:type="page"/>
      </w:r>
    </w:p>
    <w:p w:rsidR="00534C63" w:rsidRPr="003F36E8" w:rsidRDefault="00534C63" w:rsidP="00386CAB">
      <w:pPr>
        <w:pStyle w:val="whp20100506"/>
        <w:numPr>
          <w:ilvl w:val="2"/>
          <w:numId w:val="37"/>
        </w:numPr>
        <w:rPr>
          <w:b/>
        </w:rPr>
      </w:pPr>
      <w:r>
        <w:rPr>
          <w:b/>
        </w:rPr>
        <w:lastRenderedPageBreak/>
        <w:t>I</w:t>
      </w:r>
      <w:r w:rsidRPr="0025448C">
        <w:rPr>
          <w:b/>
        </w:rPr>
        <w:t>NCOME AND ASSET RULES</w:t>
      </w:r>
    </w:p>
    <w:p w:rsidR="00534C63" w:rsidRPr="00124B8E" w:rsidRDefault="00534C63" w:rsidP="00534C63">
      <w:pPr>
        <w:pStyle w:val="whp20100506"/>
        <w:rPr>
          <w:highlight w:val="yellow"/>
        </w:rPr>
      </w:pPr>
    </w:p>
    <w:tbl>
      <w:tblPr>
        <w:tblW w:w="9090" w:type="dxa"/>
        <w:tblInd w:w="198"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Look w:val="04A0"/>
      </w:tblPr>
      <w:tblGrid>
        <w:gridCol w:w="540"/>
        <w:gridCol w:w="8550"/>
      </w:tblGrid>
      <w:tr w:rsidR="00534C63" w:rsidRPr="0025448C" w:rsidTr="00A8691C">
        <w:trPr>
          <w:trHeight w:val="300"/>
        </w:trPr>
        <w:tc>
          <w:tcPr>
            <w:tcW w:w="9090" w:type="dxa"/>
            <w:gridSpan w:val="2"/>
            <w:shd w:val="clear" w:color="auto" w:fill="F2F2F2" w:themeFill="background1" w:themeFillShade="F2"/>
            <w:noWrap/>
            <w:vAlign w:val="bottom"/>
            <w:hideMark/>
          </w:tcPr>
          <w:p w:rsidR="00534C63" w:rsidRPr="00733508" w:rsidRDefault="00534C63" w:rsidP="00684B0F">
            <w:pPr>
              <w:pStyle w:val="whp20100506"/>
              <w:rPr>
                <w:b/>
                <w:i/>
              </w:rPr>
            </w:pPr>
            <w:r w:rsidRPr="00733508">
              <w:rPr>
                <w:b/>
                <w:i/>
              </w:rPr>
              <w:t>National Treasury Proposal: Income and Asset Rules</w:t>
            </w:r>
          </w:p>
          <w:p w:rsidR="00534C63" w:rsidRPr="0025448C" w:rsidRDefault="00534C63" w:rsidP="00684B0F">
            <w:pPr>
              <w:pStyle w:val="whp20100506"/>
              <w:rPr>
                <w:i/>
              </w:rPr>
            </w:pPr>
          </w:p>
        </w:tc>
      </w:tr>
      <w:tr w:rsidR="00534C63" w:rsidRPr="0025448C" w:rsidTr="00A8691C">
        <w:trPr>
          <w:trHeight w:val="300"/>
        </w:trPr>
        <w:tc>
          <w:tcPr>
            <w:tcW w:w="540" w:type="dxa"/>
            <w:shd w:val="clear" w:color="auto" w:fill="F2F2F2" w:themeFill="background1" w:themeFillShade="F2"/>
            <w:noWrap/>
            <w:hideMark/>
          </w:tcPr>
          <w:p w:rsidR="00534C63" w:rsidRPr="0025448C" w:rsidRDefault="00534C63" w:rsidP="00684B0F">
            <w:pPr>
              <w:pStyle w:val="whp20100506"/>
              <w:rPr>
                <w:i/>
              </w:rPr>
            </w:pPr>
            <w:r w:rsidRPr="0025448C">
              <w:rPr>
                <w:i/>
              </w:rPr>
              <w:t>*</w:t>
            </w:r>
          </w:p>
        </w:tc>
        <w:tc>
          <w:tcPr>
            <w:tcW w:w="8550" w:type="dxa"/>
            <w:shd w:val="clear" w:color="auto" w:fill="F2F2F2" w:themeFill="background1" w:themeFillShade="F2"/>
            <w:noWrap/>
            <w:hideMark/>
          </w:tcPr>
          <w:p w:rsidR="00534C63" w:rsidRPr="0025448C" w:rsidRDefault="00534C63" w:rsidP="00684B0F">
            <w:pPr>
              <w:pStyle w:val="whp20100506"/>
              <w:rPr>
                <w:i/>
              </w:rPr>
            </w:pPr>
            <w:r w:rsidRPr="0025448C">
              <w:rPr>
                <w:i/>
              </w:rPr>
              <w:t>Corporate layering will be limited to two REIT layers per indirect investment. The layers will be split between a first layer (the primary Investment REIT) and a second layer (the Property REIT)</w:t>
            </w:r>
          </w:p>
          <w:p w:rsidR="00534C63" w:rsidRPr="0025448C" w:rsidRDefault="00534C63" w:rsidP="00684B0F">
            <w:pPr>
              <w:pStyle w:val="whp20100506"/>
              <w:rPr>
                <w:i/>
              </w:rPr>
            </w:pPr>
          </w:p>
        </w:tc>
      </w:tr>
      <w:tr w:rsidR="00534C63" w:rsidRPr="0025448C" w:rsidTr="00A8691C">
        <w:trPr>
          <w:trHeight w:val="300"/>
        </w:trPr>
        <w:tc>
          <w:tcPr>
            <w:tcW w:w="540" w:type="dxa"/>
            <w:shd w:val="clear" w:color="auto" w:fill="F2F2F2" w:themeFill="background1" w:themeFillShade="F2"/>
            <w:noWrap/>
            <w:hideMark/>
          </w:tcPr>
          <w:p w:rsidR="00534C63" w:rsidRPr="0025448C" w:rsidRDefault="00534C63" w:rsidP="00684B0F">
            <w:pPr>
              <w:pStyle w:val="whp20100506"/>
              <w:rPr>
                <w:i/>
              </w:rPr>
            </w:pPr>
            <w:r w:rsidRPr="0025448C">
              <w:rPr>
                <w:i/>
              </w:rPr>
              <w:t>*</w:t>
            </w:r>
          </w:p>
        </w:tc>
        <w:tc>
          <w:tcPr>
            <w:tcW w:w="8550" w:type="dxa"/>
            <w:shd w:val="clear" w:color="auto" w:fill="F2F2F2" w:themeFill="background1" w:themeFillShade="F2"/>
            <w:noWrap/>
            <w:hideMark/>
          </w:tcPr>
          <w:p w:rsidR="00534C63" w:rsidRPr="0025448C" w:rsidRDefault="00534C63" w:rsidP="00684B0F">
            <w:pPr>
              <w:pStyle w:val="whp20100506"/>
              <w:rPr>
                <w:i/>
              </w:rPr>
            </w:pPr>
            <w:r w:rsidRPr="0025448C">
              <w:rPr>
                <w:i/>
              </w:rPr>
              <w:t>A REIT will be able to invest directly into immovable property situated in South Africa or internationally. International property investment will be further limited to property situated in a foreign country that has a sovereign rating provided by a ratings agency</w:t>
            </w:r>
          </w:p>
          <w:p w:rsidR="00534C63" w:rsidRPr="0025448C" w:rsidRDefault="00534C63" w:rsidP="00684B0F">
            <w:pPr>
              <w:pStyle w:val="whp20100506"/>
              <w:rPr>
                <w:i/>
              </w:rPr>
            </w:pPr>
          </w:p>
        </w:tc>
      </w:tr>
      <w:tr w:rsidR="00534C63" w:rsidRPr="0025448C" w:rsidTr="00A8691C">
        <w:trPr>
          <w:trHeight w:val="300"/>
        </w:trPr>
        <w:tc>
          <w:tcPr>
            <w:tcW w:w="540" w:type="dxa"/>
            <w:shd w:val="clear" w:color="auto" w:fill="F2F2F2" w:themeFill="background1" w:themeFillShade="F2"/>
            <w:noWrap/>
            <w:hideMark/>
          </w:tcPr>
          <w:p w:rsidR="00534C63" w:rsidRPr="0025448C" w:rsidRDefault="00534C63" w:rsidP="00684B0F">
            <w:pPr>
              <w:pStyle w:val="whp20100506"/>
              <w:rPr>
                <w:i/>
              </w:rPr>
            </w:pPr>
            <w:r w:rsidRPr="0025448C">
              <w:rPr>
                <w:i/>
              </w:rPr>
              <w:t>*</w:t>
            </w:r>
          </w:p>
        </w:tc>
        <w:tc>
          <w:tcPr>
            <w:tcW w:w="8550" w:type="dxa"/>
            <w:shd w:val="clear" w:color="auto" w:fill="F2F2F2" w:themeFill="background1" w:themeFillShade="F2"/>
            <w:noWrap/>
            <w:hideMark/>
          </w:tcPr>
          <w:p w:rsidR="00534C63" w:rsidRPr="0025448C" w:rsidRDefault="00534C63" w:rsidP="00684B0F">
            <w:pPr>
              <w:pStyle w:val="whp20100506"/>
              <w:rPr>
                <w:i/>
              </w:rPr>
            </w:pPr>
            <w:r w:rsidRPr="0025448C">
              <w:rPr>
                <w:i/>
              </w:rPr>
              <w:t>There will be no restrictions on the types of immovable properties permitted to be owned by a REIT</w:t>
            </w:r>
          </w:p>
          <w:p w:rsidR="00534C63" w:rsidRPr="0025448C" w:rsidRDefault="00534C63" w:rsidP="00684B0F">
            <w:pPr>
              <w:pStyle w:val="whp20100506"/>
              <w:rPr>
                <w:i/>
              </w:rPr>
            </w:pPr>
          </w:p>
        </w:tc>
      </w:tr>
      <w:tr w:rsidR="00534C63" w:rsidRPr="0025448C" w:rsidTr="00A8691C">
        <w:trPr>
          <w:trHeight w:val="300"/>
        </w:trPr>
        <w:tc>
          <w:tcPr>
            <w:tcW w:w="540" w:type="dxa"/>
            <w:shd w:val="clear" w:color="auto" w:fill="F2F2F2" w:themeFill="background1" w:themeFillShade="F2"/>
            <w:noWrap/>
            <w:hideMark/>
          </w:tcPr>
          <w:p w:rsidR="00534C63" w:rsidRPr="0025448C" w:rsidRDefault="00534C63" w:rsidP="00684B0F">
            <w:pPr>
              <w:pStyle w:val="whp20100506"/>
              <w:rPr>
                <w:i/>
              </w:rPr>
            </w:pPr>
            <w:r w:rsidRPr="0025448C">
              <w:rPr>
                <w:i/>
              </w:rPr>
              <w:t>*</w:t>
            </w:r>
          </w:p>
        </w:tc>
        <w:tc>
          <w:tcPr>
            <w:tcW w:w="8550" w:type="dxa"/>
            <w:shd w:val="clear" w:color="auto" w:fill="F2F2F2" w:themeFill="background1" w:themeFillShade="F2"/>
            <w:noWrap/>
            <w:hideMark/>
          </w:tcPr>
          <w:p w:rsidR="00534C63" w:rsidRPr="0025448C" w:rsidRDefault="00534C63" w:rsidP="00684B0F">
            <w:pPr>
              <w:pStyle w:val="whp20100506"/>
              <w:rPr>
                <w:i/>
              </w:rPr>
            </w:pPr>
            <w:r w:rsidRPr="0025448C">
              <w:rPr>
                <w:i/>
              </w:rPr>
              <w:t>At least 75% of total income must be generated from rental income derived from immovable property</w:t>
            </w:r>
          </w:p>
          <w:p w:rsidR="00534C63" w:rsidRPr="0025448C" w:rsidRDefault="00534C63" w:rsidP="00684B0F">
            <w:pPr>
              <w:pStyle w:val="whp20100506"/>
              <w:rPr>
                <w:i/>
              </w:rPr>
            </w:pPr>
          </w:p>
        </w:tc>
      </w:tr>
      <w:tr w:rsidR="00534C63" w:rsidRPr="0025448C" w:rsidTr="00A8691C">
        <w:trPr>
          <w:trHeight w:val="300"/>
        </w:trPr>
        <w:tc>
          <w:tcPr>
            <w:tcW w:w="540" w:type="dxa"/>
            <w:shd w:val="clear" w:color="auto" w:fill="F2F2F2" w:themeFill="background1" w:themeFillShade="F2"/>
            <w:noWrap/>
            <w:hideMark/>
          </w:tcPr>
          <w:p w:rsidR="00534C63" w:rsidRPr="0025448C" w:rsidRDefault="00534C63" w:rsidP="00684B0F">
            <w:pPr>
              <w:pStyle w:val="whp20100506"/>
              <w:rPr>
                <w:i/>
              </w:rPr>
            </w:pPr>
            <w:r w:rsidRPr="0025448C">
              <w:rPr>
                <w:i/>
              </w:rPr>
              <w:t>*</w:t>
            </w:r>
          </w:p>
        </w:tc>
        <w:tc>
          <w:tcPr>
            <w:tcW w:w="8550" w:type="dxa"/>
            <w:shd w:val="clear" w:color="auto" w:fill="F2F2F2" w:themeFill="background1" w:themeFillShade="F2"/>
            <w:noWrap/>
            <w:hideMark/>
          </w:tcPr>
          <w:p w:rsidR="00534C63" w:rsidRPr="0025448C" w:rsidRDefault="00534C63" w:rsidP="00684B0F">
            <w:pPr>
              <w:pStyle w:val="whp20100506"/>
              <w:rPr>
                <w:i/>
              </w:rPr>
            </w:pPr>
            <w:r w:rsidRPr="0025448C">
              <w:rPr>
                <w:i/>
              </w:rPr>
              <w:t>Direct and indirect development activities will be permitted provided the purpose is for letting and retain the property for at least three years. A REIT should investment in immovable property for the long term rather than trade and speculate in the short term</w:t>
            </w:r>
          </w:p>
          <w:p w:rsidR="00534C63" w:rsidRPr="0025448C" w:rsidRDefault="00534C63" w:rsidP="00684B0F">
            <w:pPr>
              <w:pStyle w:val="whp20100506"/>
              <w:rPr>
                <w:i/>
              </w:rPr>
            </w:pPr>
          </w:p>
        </w:tc>
      </w:tr>
      <w:tr w:rsidR="00534C63" w:rsidRPr="0025448C" w:rsidTr="00A8691C">
        <w:trPr>
          <w:trHeight w:val="300"/>
        </w:trPr>
        <w:tc>
          <w:tcPr>
            <w:tcW w:w="540" w:type="dxa"/>
            <w:shd w:val="clear" w:color="auto" w:fill="F2F2F2" w:themeFill="background1" w:themeFillShade="F2"/>
            <w:noWrap/>
            <w:hideMark/>
          </w:tcPr>
          <w:p w:rsidR="00534C63" w:rsidRPr="0025448C" w:rsidRDefault="00534C63" w:rsidP="00684B0F">
            <w:pPr>
              <w:pStyle w:val="whp20100506"/>
              <w:rPr>
                <w:i/>
              </w:rPr>
            </w:pPr>
            <w:r w:rsidRPr="0025448C">
              <w:rPr>
                <w:i/>
              </w:rPr>
              <w:t>*</w:t>
            </w:r>
          </w:p>
        </w:tc>
        <w:tc>
          <w:tcPr>
            <w:tcW w:w="8550" w:type="dxa"/>
            <w:shd w:val="clear" w:color="auto" w:fill="F2F2F2" w:themeFill="background1" w:themeFillShade="F2"/>
            <w:noWrap/>
            <w:hideMark/>
          </w:tcPr>
          <w:p w:rsidR="00534C63" w:rsidRPr="0025448C" w:rsidRDefault="00534C63" w:rsidP="00684B0F">
            <w:pPr>
              <w:pStyle w:val="whp20100506"/>
              <w:rPr>
                <w:i/>
              </w:rPr>
            </w:pPr>
            <w:r w:rsidRPr="0025448C">
              <w:rPr>
                <w:i/>
              </w:rPr>
              <w:t>A REIT must have at least three properties in its portfolio throughout all accounting periods with a maximum proportion of any one property being 40% of the total fixed asset value</w:t>
            </w:r>
          </w:p>
          <w:p w:rsidR="00534C63" w:rsidRPr="0025448C" w:rsidRDefault="00534C63" w:rsidP="00684B0F">
            <w:pPr>
              <w:pStyle w:val="whp20100506"/>
              <w:rPr>
                <w:i/>
              </w:rPr>
            </w:pPr>
          </w:p>
        </w:tc>
      </w:tr>
      <w:tr w:rsidR="00534C63" w:rsidRPr="0025448C" w:rsidTr="00A8691C">
        <w:trPr>
          <w:trHeight w:val="300"/>
        </w:trPr>
        <w:tc>
          <w:tcPr>
            <w:tcW w:w="540" w:type="dxa"/>
            <w:shd w:val="clear" w:color="auto" w:fill="F2F2F2" w:themeFill="background1" w:themeFillShade="F2"/>
            <w:noWrap/>
            <w:hideMark/>
          </w:tcPr>
          <w:p w:rsidR="00534C63" w:rsidRPr="0025448C" w:rsidRDefault="00534C63" w:rsidP="00684B0F">
            <w:pPr>
              <w:pStyle w:val="whp20100506"/>
              <w:rPr>
                <w:i/>
              </w:rPr>
            </w:pPr>
            <w:r w:rsidRPr="0025448C">
              <w:rPr>
                <w:i/>
              </w:rPr>
              <w:t>*</w:t>
            </w:r>
          </w:p>
        </w:tc>
        <w:tc>
          <w:tcPr>
            <w:tcW w:w="8550" w:type="dxa"/>
            <w:shd w:val="clear" w:color="auto" w:fill="F2F2F2" w:themeFill="background1" w:themeFillShade="F2"/>
            <w:noWrap/>
            <w:hideMark/>
          </w:tcPr>
          <w:p w:rsidR="00534C63" w:rsidRPr="0025448C" w:rsidRDefault="00534C63" w:rsidP="00684B0F">
            <w:pPr>
              <w:pStyle w:val="whp20100506"/>
              <w:rPr>
                <w:i/>
              </w:rPr>
            </w:pPr>
            <w:r w:rsidRPr="0025448C">
              <w:rPr>
                <w:i/>
              </w:rPr>
              <w:t>A REIT value must constitute at least 75% of immovable property. A REIT can also invest in cash, money market instruments and government securities</w:t>
            </w:r>
          </w:p>
          <w:p w:rsidR="00534C63" w:rsidRPr="0025448C" w:rsidRDefault="00534C63" w:rsidP="00684B0F">
            <w:pPr>
              <w:pStyle w:val="whp20100506"/>
              <w:rPr>
                <w:i/>
              </w:rPr>
            </w:pPr>
          </w:p>
        </w:tc>
      </w:tr>
    </w:tbl>
    <w:p w:rsidR="00694F60" w:rsidRDefault="00694F60" w:rsidP="00534C63">
      <w:pPr>
        <w:pStyle w:val="whp20100506"/>
      </w:pPr>
    </w:p>
    <w:p w:rsidR="00534C63" w:rsidRPr="00974000" w:rsidRDefault="00534C63" w:rsidP="00534C63">
      <w:pPr>
        <w:pStyle w:val="whp20100506"/>
      </w:pPr>
      <w:r w:rsidRPr="0090579E">
        <w:t xml:space="preserve">The National Treasury’s policy objectives are to create a competitive environment which would attract and promote investment into the South African listed real estate sector by </w:t>
      </w:r>
      <w:r w:rsidRPr="0090579E">
        <w:lastRenderedPageBreak/>
        <w:t xml:space="preserve">moderating the corporate layers through efficient and well organised structures within the regulatory framework of REIT which clearly defines the assets and income structures </w:t>
      </w:r>
      <w:r w:rsidRPr="00974000">
        <w:t xml:space="preserve">permitted in a REIT (National Treasury, 2007: 12). </w:t>
      </w:r>
    </w:p>
    <w:p w:rsidR="00534C63" w:rsidRPr="00974000" w:rsidRDefault="00534C63" w:rsidP="00534C63">
      <w:pPr>
        <w:pStyle w:val="whp20100506"/>
      </w:pPr>
    </w:p>
    <w:p w:rsidR="00F0106F" w:rsidRPr="00974000" w:rsidRDefault="00CA55A8" w:rsidP="00534C63">
      <w:pPr>
        <w:pStyle w:val="whp20100506"/>
      </w:pPr>
      <w:r w:rsidRPr="00974000">
        <w:t xml:space="preserve">Factors that could jeopardise the National Treasury’s objectives include an onerous and encumbersome regulatory framework that would be inflexible and in so doing prevent the REIT managers to maximise business opportunities as a result of these restrictions. </w:t>
      </w:r>
    </w:p>
    <w:p w:rsidR="00F0106F" w:rsidRPr="00974000" w:rsidRDefault="00F0106F" w:rsidP="00534C63">
      <w:pPr>
        <w:pStyle w:val="whp20100506"/>
      </w:pPr>
    </w:p>
    <w:p w:rsidR="00534C63" w:rsidRPr="00C7460C" w:rsidRDefault="00534C63" w:rsidP="00534C63">
      <w:pPr>
        <w:pStyle w:val="whp20100506"/>
        <w:rPr>
          <w:b/>
          <w:i/>
        </w:rPr>
      </w:pPr>
      <w:r w:rsidRPr="00974000">
        <w:rPr>
          <w:b/>
          <w:i/>
          <w:u w:val="single"/>
        </w:rPr>
        <w:t>Comment 1:</w:t>
      </w:r>
      <w:r w:rsidRPr="00974000">
        <w:rPr>
          <w:b/>
          <w:i/>
        </w:rPr>
        <w:t xml:space="preserve"> Limiting investment layering to two layers and unbundling indirect investments will</w:t>
      </w:r>
      <w:r>
        <w:rPr>
          <w:b/>
          <w:i/>
        </w:rPr>
        <w:t xml:space="preserve"> result in significant value for shareholders. </w:t>
      </w:r>
    </w:p>
    <w:p w:rsidR="00534C63" w:rsidRPr="0090579E" w:rsidRDefault="00534C63" w:rsidP="00534C63">
      <w:pPr>
        <w:pStyle w:val="whp20100506"/>
      </w:pPr>
    </w:p>
    <w:p w:rsidR="00534C63" w:rsidRPr="0090579E" w:rsidRDefault="00534C63" w:rsidP="00534C63">
      <w:pPr>
        <w:pStyle w:val="whp20100506"/>
      </w:pPr>
      <w:r>
        <w:t xml:space="preserve">The first part of this comment relates to the </w:t>
      </w:r>
      <w:r w:rsidRPr="0090579E">
        <w:t>National Treasury</w:t>
      </w:r>
      <w:r>
        <w:t>’s</w:t>
      </w:r>
      <w:r w:rsidRPr="0090579E">
        <w:t xml:space="preserve"> </w:t>
      </w:r>
      <w:r>
        <w:t>proposal</w:t>
      </w:r>
      <w:r w:rsidRPr="0090579E">
        <w:t xml:space="preserve"> that corporate layering must be streamlined by limiting the indirect investment in other property investment structures to two layers.  The proposal goes further by saying that all property companies will either have to register as a REIT or unbundle or liquidated (National Treasury, 2007: 12). The unintended consequence of this proposal has created a firestorm of concern by the local investment community. </w:t>
      </w:r>
    </w:p>
    <w:p w:rsidR="00534C63" w:rsidRPr="0090579E" w:rsidRDefault="00534C63" w:rsidP="00534C63">
      <w:pPr>
        <w:pStyle w:val="whp20100506"/>
      </w:pPr>
    </w:p>
    <w:p w:rsidR="00534C63" w:rsidRDefault="00534C63" w:rsidP="00534C63">
      <w:pPr>
        <w:pStyle w:val="whp20100506"/>
      </w:pPr>
      <w:r w:rsidRPr="0090579E">
        <w:t xml:space="preserve">It appears </w:t>
      </w:r>
      <w:r>
        <w:t xml:space="preserve">from the concerns of local industry </w:t>
      </w:r>
      <w:r w:rsidRPr="0090579E">
        <w:t>that there are a number of companies that invest in property opportunities via a number of property investment vehicl</w:t>
      </w:r>
      <w:r>
        <w:t>es in the underlying property. P</w:t>
      </w:r>
      <w:r w:rsidRPr="0090579E">
        <w:t>rohibit</w:t>
      </w:r>
      <w:r>
        <w:t>ing</w:t>
      </w:r>
      <w:r w:rsidRPr="0090579E">
        <w:t xml:space="preserve"> this practice would require an unbundling of these investments</w:t>
      </w:r>
      <w:r>
        <w:t>,</w:t>
      </w:r>
      <w:r w:rsidRPr="0090579E">
        <w:t xml:space="preserve"> which would result in the loss of value. </w:t>
      </w:r>
    </w:p>
    <w:p w:rsidR="00534C63" w:rsidRDefault="00534C63" w:rsidP="00534C63">
      <w:pPr>
        <w:pStyle w:val="whp20100506"/>
      </w:pPr>
    </w:p>
    <w:p w:rsidR="00534C63" w:rsidRPr="0090579E" w:rsidRDefault="00534C63" w:rsidP="00534C63">
      <w:pPr>
        <w:pStyle w:val="whp20100506"/>
      </w:pPr>
      <w:r w:rsidRPr="0090579E">
        <w:t xml:space="preserve">Java Capital has indicated that the two layering ruling would be wholly incongruent for the local property investment industry because most of the existing PLS companies have committed property acquisitions that hold shares and units in many different crossholding structures and that any limitation to say two layers, would not be workable within the industry as it currently stands (Java Capital, 2008: 2). What is more, </w:t>
      </w:r>
      <w:r>
        <w:t>they</w:t>
      </w:r>
      <w:r w:rsidRPr="0090579E">
        <w:t xml:space="preserve"> </w:t>
      </w:r>
      <w:r>
        <w:t>feel</w:t>
      </w:r>
      <w:r w:rsidRPr="0090579E">
        <w:t xml:space="preserve"> that the National Treasury has not proved the benefit of a two layered limitation nor the purpose thereof in the wider context of the REIT dispensation. </w:t>
      </w:r>
    </w:p>
    <w:p w:rsidR="00534C63" w:rsidRDefault="00534C63" w:rsidP="00534C63">
      <w:pPr>
        <w:pStyle w:val="whp20100506"/>
      </w:pPr>
    </w:p>
    <w:p w:rsidR="00534C63" w:rsidRPr="0090579E" w:rsidRDefault="00534C63" w:rsidP="00534C63">
      <w:pPr>
        <w:pStyle w:val="whp20100506"/>
      </w:pPr>
      <w:r w:rsidRPr="0090579E">
        <w:t xml:space="preserve">Mr John Rainier from Standard Bank is of the opinion that the market should decide the number of layers that a property company can or cannot have (Questionnaire, 2010, May). He feels that the only limit should be a JSE listing requirement that no less than 50% of the </w:t>
      </w:r>
      <w:r w:rsidRPr="0090579E">
        <w:lastRenderedPageBreak/>
        <w:t xml:space="preserve">assets must be actively managed, which should in his opinion be adequate protection. This is also a sentiment shared by Mr Craig Hallowes from Pangbourne Properties, who sees the restrictions as unnecessary. </w:t>
      </w:r>
    </w:p>
    <w:p w:rsidR="00534C63" w:rsidRPr="0090579E" w:rsidRDefault="00534C63" w:rsidP="00534C63">
      <w:pPr>
        <w:pStyle w:val="whp20100506"/>
      </w:pPr>
    </w:p>
    <w:p w:rsidR="00534C63" w:rsidRPr="0090579E" w:rsidRDefault="00534C63" w:rsidP="00534C63">
      <w:pPr>
        <w:pStyle w:val="whp20100506"/>
      </w:pPr>
      <w:r>
        <w:t xml:space="preserve">NAREIT’s </w:t>
      </w:r>
      <w:r w:rsidRPr="0090579E">
        <w:t>response document to the National Treasury concurs that layering must be limited to two layers in that one REIT may only invest in another REIT if the investee REIT invests directly in the property. T</w:t>
      </w:r>
      <w:r>
        <w:t>hey feel that t</w:t>
      </w:r>
      <w:r w:rsidRPr="0090579E">
        <w:t>his will ensure investment into South Africa by foreign funding sources (Nareit, January 2008). As an authority representing the USA, the NAREIT recommendations do not deviate significantly from the Discussion Document of the National Treasury and therefore does not add any new findings to the concerns surrounding layering.</w:t>
      </w:r>
    </w:p>
    <w:p w:rsidR="00534C63" w:rsidRDefault="00534C63" w:rsidP="00534C63">
      <w:pPr>
        <w:pStyle w:val="whp20100506"/>
      </w:pPr>
    </w:p>
    <w:p w:rsidR="00534C63" w:rsidRPr="0090579E" w:rsidRDefault="00534C63" w:rsidP="00534C63">
      <w:pPr>
        <w:pStyle w:val="whp20100506"/>
      </w:pPr>
      <w:r>
        <w:t>The argument goes further that t</w:t>
      </w:r>
      <w:r w:rsidRPr="0090579E">
        <w:t xml:space="preserve">he holding company that invests in </w:t>
      </w:r>
      <w:r>
        <w:t xml:space="preserve">an auxiliary </w:t>
      </w:r>
      <w:r w:rsidRPr="0090579E">
        <w:t xml:space="preserve">property </w:t>
      </w:r>
      <w:r>
        <w:t>entity</w:t>
      </w:r>
      <w:r w:rsidRPr="0090579E">
        <w:t xml:space="preserve"> does not</w:t>
      </w:r>
      <w:r>
        <w:t xml:space="preserve"> necessary</w:t>
      </w:r>
      <w:r w:rsidRPr="0090579E">
        <w:t xml:space="preserve"> always have any control over the investment decisions of the property company </w:t>
      </w:r>
      <w:r>
        <w:t xml:space="preserve">let alone knowledge thereof </w:t>
      </w:r>
      <w:r w:rsidRPr="0090579E">
        <w:t xml:space="preserve">and therefore may inadvertently be in breach of the regulations of </w:t>
      </w:r>
      <w:r w:rsidR="00194F2A">
        <w:t>REITS</w:t>
      </w:r>
      <w:r w:rsidRPr="0090579E">
        <w:t xml:space="preserve"> without </w:t>
      </w:r>
      <w:r>
        <w:t>deliberate awareness</w:t>
      </w:r>
      <w:r w:rsidRPr="0090579E">
        <w:t xml:space="preserve"> thereof (National Treasury, 2008: 6). </w:t>
      </w:r>
    </w:p>
    <w:p w:rsidR="00534C63" w:rsidRPr="0090579E" w:rsidRDefault="00534C63" w:rsidP="00534C63">
      <w:pPr>
        <w:pStyle w:val="whp20100506"/>
      </w:pPr>
    </w:p>
    <w:p w:rsidR="00534C63" w:rsidRPr="0090579E" w:rsidRDefault="00534C63" w:rsidP="00534C63">
      <w:pPr>
        <w:pStyle w:val="whp20100506"/>
      </w:pPr>
      <w:r w:rsidRPr="0090579E">
        <w:t>In response to the concerns raised regarding the limiting the layering of indirect investment, the National Treasury proposed and considered alternative limitations inter alia a proposed cap on the rental income that can be generated indirectly by fixed property; increasing the chain of layers; and a proposed percentage restriction on the indirect investments (National Treasury, 2008: 6).</w:t>
      </w:r>
    </w:p>
    <w:p w:rsidR="00534C63" w:rsidRPr="0090579E" w:rsidRDefault="00534C63" w:rsidP="00534C63">
      <w:pPr>
        <w:pStyle w:val="whp20100506"/>
      </w:pPr>
    </w:p>
    <w:p w:rsidR="00534C63" w:rsidRPr="0090579E" w:rsidRDefault="00534C63" w:rsidP="00534C63">
      <w:pPr>
        <w:pStyle w:val="whp20100506"/>
      </w:pPr>
      <w:r>
        <w:t>The second part of this comment pertains to the recommendation from the</w:t>
      </w:r>
      <w:r w:rsidRPr="0090579E">
        <w:t xml:space="preserve"> Nat</w:t>
      </w:r>
      <w:r>
        <w:t xml:space="preserve">ional Treasury </w:t>
      </w:r>
      <w:r w:rsidRPr="0090579E">
        <w:t xml:space="preserve">that the bundling of corporate owned assets into a special purpose vehicle for the purpose of financing will not be deemed a REIT. Instead this will be regarded as merely a conduit (National Treasury 2007: 12). </w:t>
      </w:r>
    </w:p>
    <w:p w:rsidR="00534C63" w:rsidRPr="0090579E" w:rsidRDefault="00534C63" w:rsidP="00534C63">
      <w:pPr>
        <w:pStyle w:val="whp20100506"/>
      </w:pPr>
    </w:p>
    <w:p w:rsidR="00534C63" w:rsidRPr="0090579E" w:rsidRDefault="00534C63" w:rsidP="00534C63">
      <w:pPr>
        <w:pStyle w:val="whp20100506"/>
      </w:pPr>
      <w:r w:rsidRPr="0090579E">
        <w:t>The uncertainty that arose from this provision pertained to whether the National Treasury intended to restrict the use of these forms of structures for the purposes of prohibiting securitisation transactions as it is a conventional means applied within the industry and is closely linked to the current comment above (National Treasury, 2008:7).</w:t>
      </w:r>
    </w:p>
    <w:p w:rsidR="00534C63" w:rsidRPr="0090579E" w:rsidRDefault="00534C63" w:rsidP="00534C63">
      <w:pPr>
        <w:pStyle w:val="whp20100506"/>
      </w:pPr>
    </w:p>
    <w:p w:rsidR="00534C63" w:rsidRPr="0090579E" w:rsidRDefault="00534C63" w:rsidP="00534C63">
      <w:pPr>
        <w:pStyle w:val="whp20100506"/>
      </w:pPr>
      <w:r>
        <w:lastRenderedPageBreak/>
        <w:t xml:space="preserve">In </w:t>
      </w:r>
      <w:r w:rsidRPr="0090579E">
        <w:t xml:space="preserve">its basic form the </w:t>
      </w:r>
      <w:r>
        <w:t>confusion pertains</w:t>
      </w:r>
      <w:r w:rsidRPr="0090579E">
        <w:t xml:space="preserve"> to the National Treasury’s intended structures, which pertains to a primary REIT using its investments in an auxiliary REIT to secure funding activities elsewhere. In its response document the National Treasury refers to an investment REIT and a property REIT (National Treasury, 2008:7) in its explanation where in the event that a property (auxiliary) REIT owns property assets passively (i.e. it is not an actively run property management company), then the latter REIT will not be seen as a separate entity for the purposes of taxation but still being a two layered REIT structure. </w:t>
      </w:r>
    </w:p>
    <w:p w:rsidR="00534C63" w:rsidRPr="0090579E" w:rsidRDefault="00534C63" w:rsidP="00534C63">
      <w:pPr>
        <w:pStyle w:val="whp20100506"/>
      </w:pPr>
    </w:p>
    <w:p w:rsidR="00534C63" w:rsidRPr="000F71E8" w:rsidRDefault="00534C63" w:rsidP="00534C63">
      <w:pPr>
        <w:pStyle w:val="whp20100506"/>
        <w:rPr>
          <w:b/>
          <w:i/>
        </w:rPr>
      </w:pPr>
      <w:r w:rsidRPr="000F71E8">
        <w:rPr>
          <w:b/>
          <w:i/>
        </w:rPr>
        <w:t>Conclusion</w:t>
      </w:r>
    </w:p>
    <w:p w:rsidR="00534C63" w:rsidRPr="0090579E" w:rsidRDefault="00534C63" w:rsidP="00534C63">
      <w:pPr>
        <w:pStyle w:val="whp20100506"/>
      </w:pPr>
    </w:p>
    <w:p w:rsidR="00534C63" w:rsidRPr="0090579E" w:rsidRDefault="00534C63" w:rsidP="00534C63">
      <w:pPr>
        <w:pStyle w:val="whp20100506"/>
      </w:pPr>
      <w:r w:rsidRPr="0090579E">
        <w:t xml:space="preserve">The limitation would not serve any particular benefit especially in light of how pronounced the practice of cross pollination in indirect property investment has become over recent years. Any statutory limitation would only intervene with the operation flexibility of the property sector. </w:t>
      </w:r>
    </w:p>
    <w:p w:rsidR="00534C63" w:rsidRPr="0090579E" w:rsidRDefault="00534C63" w:rsidP="00534C63">
      <w:pPr>
        <w:pStyle w:val="whp20100506"/>
      </w:pPr>
    </w:p>
    <w:p w:rsidR="00534C63" w:rsidRPr="0090579E" w:rsidRDefault="00534C63" w:rsidP="00534C63">
      <w:pPr>
        <w:pStyle w:val="whp20100506"/>
      </w:pPr>
      <w:r w:rsidRPr="0090579E">
        <w:t xml:space="preserve">It is clear that the National Treasury wishes to uphold the interests of the investor at hand and that there is merit in the National Treasury’s proposal in terms of preventing loss of value for investors by limiting the paying of fees on fees through multiple indirect investment layers however Java Capital have correctly indicated that it would essentially be a decision that would lie with the investor to make. </w:t>
      </w:r>
    </w:p>
    <w:p w:rsidR="00534C63" w:rsidRPr="0090579E" w:rsidRDefault="00534C63" w:rsidP="00534C63">
      <w:pPr>
        <w:pStyle w:val="whp20100506"/>
      </w:pPr>
    </w:p>
    <w:p w:rsidR="00534C63" w:rsidRPr="0090579E" w:rsidRDefault="00534C63" w:rsidP="00534C63">
      <w:pPr>
        <w:pStyle w:val="whp20100506"/>
      </w:pPr>
      <w:r w:rsidRPr="0090579E">
        <w:t xml:space="preserve">The prevalence of market cycles in the property industry warrant different investment strategies albeit between direct or indirect investment and therefore the best protection that the National Treasury would provide is a disclosure requirement upon the </w:t>
      </w:r>
      <w:r w:rsidR="00194F2A">
        <w:t>REITS</w:t>
      </w:r>
      <w:r w:rsidRPr="0090579E">
        <w:t xml:space="preserve"> to provide information to the investor about the layering along with the fees paid thereon in order to determine for themselves the merits of whether there is a loss of value in the structure. </w:t>
      </w:r>
    </w:p>
    <w:p w:rsidR="00534C63" w:rsidRPr="0090579E" w:rsidRDefault="00534C63" w:rsidP="00534C63">
      <w:pPr>
        <w:pStyle w:val="whp20100506"/>
      </w:pPr>
    </w:p>
    <w:p w:rsidR="00534C63" w:rsidRDefault="00534C63" w:rsidP="00534C63">
      <w:pPr>
        <w:pStyle w:val="whp20100506"/>
      </w:pPr>
      <w:r w:rsidRPr="0090579E">
        <w:t>The National Treasury has suggested the possibility of a ‘prudential REIT’ and a ‘non-prudential REIT’ which would give the investor adequate information regarding the geographical location of the REIT and therefore act as an indicator of risk.  The idea being that the prudential risk complies with all traditional REIT requirements whilst the non</w:t>
      </w:r>
      <w:r>
        <w:t>-</w:t>
      </w:r>
      <w:r w:rsidRPr="0090579E">
        <w:t xml:space="preserve">prudential REIT has greater risk exposure. </w:t>
      </w:r>
    </w:p>
    <w:p w:rsidR="00534C63" w:rsidRDefault="00534C63" w:rsidP="00534C63">
      <w:pPr>
        <w:pStyle w:val="whp20100506"/>
      </w:pPr>
    </w:p>
    <w:p w:rsidR="00534C63" w:rsidRDefault="00534C63" w:rsidP="00534C63">
      <w:pPr>
        <w:pStyle w:val="whp20100506"/>
      </w:pPr>
      <w:r w:rsidRPr="0090579E">
        <w:t xml:space="preserve">The only potential backlash of implementing the prudential REIT / non prudential REIT is </w:t>
      </w:r>
      <w:r w:rsidRPr="0090579E">
        <w:lastRenderedPageBreak/>
        <w:t>that the simplicity and straightforwardness of REIT in South Africa may become too complex and complicated and thus not find favour with local industry. Sullivan noted in his overview of the Australian REIT market that a number of LPT’s use ‘stapled structures’ which comprise of two or more entities where their securities are jointly quoted on the ASX</w:t>
      </w:r>
      <w:r w:rsidRPr="0090579E">
        <w:rPr>
          <w:rStyle w:val="FootnoteReference"/>
          <w:vertAlign w:val="baseline"/>
        </w:rPr>
        <w:footnoteReference w:id="38"/>
      </w:r>
      <w:r w:rsidRPr="0090579E">
        <w:t xml:space="preserve"> and may not be traded separately (Sullivan, September 2007). The advantage of this structure is that it allows investors with the benefits of a pass-through property vehicle by investing in a unit trust for tax purposes, while the non-eligible activities are undertaken by a separate entity which is stapled to the unit trust. The only down side being that the stapled structure requires two regulated regimes which are similar in policy but different in detail. It may be a possible avenue for the National Treasury to consider. </w:t>
      </w:r>
    </w:p>
    <w:p w:rsidR="00534C63" w:rsidRDefault="00534C63" w:rsidP="00534C63">
      <w:pPr>
        <w:pStyle w:val="whp20100506"/>
      </w:pPr>
    </w:p>
    <w:p w:rsidR="00534C63" w:rsidRPr="0090579E" w:rsidRDefault="00534C63" w:rsidP="00534C63">
      <w:pPr>
        <w:pStyle w:val="whp20100506"/>
      </w:pPr>
      <w:r>
        <w:t>In conclusion the National Treasury should revise its layering suggestions and consider alternative options especially those pertaining to disclosure requirements as a mechanism to protect the investor.</w:t>
      </w:r>
    </w:p>
    <w:p w:rsidR="00534C63" w:rsidRDefault="00534C63" w:rsidP="00534C63">
      <w:pPr>
        <w:pStyle w:val="whp20100506"/>
      </w:pPr>
    </w:p>
    <w:p w:rsidR="00534C63" w:rsidRPr="00C7460C" w:rsidRDefault="00534C63" w:rsidP="00534C63">
      <w:pPr>
        <w:pStyle w:val="whp20100506"/>
        <w:rPr>
          <w:b/>
          <w:i/>
        </w:rPr>
      </w:pPr>
      <w:r w:rsidRPr="00FE403B">
        <w:rPr>
          <w:b/>
          <w:i/>
          <w:u w:val="single"/>
        </w:rPr>
        <w:t>Comment 2</w:t>
      </w:r>
      <w:r w:rsidRPr="00C7460C">
        <w:rPr>
          <w:b/>
          <w:i/>
        </w:rPr>
        <w:t>: Limiting Offshore Investment to Countries with Sovereign Ratings</w:t>
      </w:r>
    </w:p>
    <w:p w:rsidR="00534C63" w:rsidRPr="0090579E" w:rsidRDefault="00534C63" w:rsidP="00534C63">
      <w:pPr>
        <w:pStyle w:val="whp20100506"/>
      </w:pPr>
    </w:p>
    <w:p w:rsidR="00534C63" w:rsidRPr="0090579E" w:rsidRDefault="00534C63" w:rsidP="00534C63">
      <w:pPr>
        <w:pStyle w:val="whp20100506"/>
      </w:pPr>
      <w:r w:rsidRPr="0090579E">
        <w:t xml:space="preserve">The National Treasury wants the South African </w:t>
      </w:r>
      <w:r w:rsidR="00194F2A">
        <w:t>REITS</w:t>
      </w:r>
      <w:r w:rsidRPr="0090579E">
        <w:t xml:space="preserve"> to invest only in countries that have a sovereign rating which it feels would safeguard the investor. </w:t>
      </w:r>
    </w:p>
    <w:p w:rsidR="00534C63" w:rsidRPr="0090579E" w:rsidRDefault="00534C63" w:rsidP="00534C63">
      <w:pPr>
        <w:pStyle w:val="whp20100506"/>
      </w:pPr>
    </w:p>
    <w:p w:rsidR="00534C63" w:rsidRPr="0090579E" w:rsidRDefault="00534C63" w:rsidP="00534C63">
      <w:pPr>
        <w:pStyle w:val="whp20100506"/>
      </w:pPr>
      <w:r w:rsidRPr="0090579E">
        <w:t>Local industry feel that would have a significantly negative impact upon asset swapping activities in light of conducting such activities under current South African asset swap rules and regulations, which already have provided extensive investor protection through onerous legislative requirements (</w:t>
      </w:r>
      <w:r w:rsidR="0036052C">
        <w:t>James Templeton, Interview 2009</w:t>
      </w:r>
      <w:r w:rsidRPr="0090579E">
        <w:t xml:space="preserve">).  </w:t>
      </w:r>
    </w:p>
    <w:p w:rsidR="00534C63" w:rsidRPr="0090579E" w:rsidRDefault="00534C63" w:rsidP="00534C63">
      <w:pPr>
        <w:pStyle w:val="whp20100506"/>
      </w:pPr>
    </w:p>
    <w:p w:rsidR="00534C63" w:rsidRPr="0090579E" w:rsidRDefault="00534C63" w:rsidP="00534C63">
      <w:pPr>
        <w:pStyle w:val="whp20100506"/>
      </w:pPr>
      <w:r w:rsidRPr="0090579E">
        <w:t>He feels that the problem with benchmarking sovereign ratings as the definitive criteria, is that ratings change from one country to the next due to political reasons and other related factors whilst the business fundamentals for property investment remains solid in that region. Despite the solid fundamentals, the REIT could then be penalised for its investment in a country which losses its sovereign status after the acquisition of the asset. The situation is compounded by the illiquid nature of the property investment and the lack of ability to sell in</w:t>
      </w:r>
      <w:r>
        <w:t xml:space="preserve"> </w:t>
      </w:r>
      <w:r w:rsidRPr="0090579E">
        <w:t xml:space="preserve">the event of breaching the sovereign rating criteria. A further negative effect of sovereign </w:t>
      </w:r>
      <w:r w:rsidRPr="0090579E">
        <w:lastRenderedPageBreak/>
        <w:t xml:space="preserve">ratings is that opportunities in Africa will be missed since most African countries do not have a sovereign rating. </w:t>
      </w:r>
    </w:p>
    <w:p w:rsidR="00534C63" w:rsidRPr="0090579E" w:rsidRDefault="00534C63" w:rsidP="00534C63">
      <w:pPr>
        <w:pStyle w:val="whp20100506"/>
      </w:pPr>
    </w:p>
    <w:p w:rsidR="00534C63" w:rsidRPr="0090579E" w:rsidRDefault="00534C63" w:rsidP="00534C63">
      <w:pPr>
        <w:pStyle w:val="whp20100506"/>
      </w:pPr>
      <w:r w:rsidRPr="0090579E">
        <w:t xml:space="preserve">Java Capital has recommended that the emphasis should rather be on allowing for South African investment into countries that are recognised as having REIT status (Java Capital, March 2009). They feel that will provide adequate investor protection knowing that the investment complies with internationally acceptable and uniform REIT regulations and structures. This in practice would provide more protection than a sovereign rating would on its own merits and thus should play a more prominent role in determining the geographical scope of international cross-border investment activity. </w:t>
      </w:r>
    </w:p>
    <w:p w:rsidR="00534C63" w:rsidRPr="0090579E" w:rsidRDefault="00534C63" w:rsidP="00534C63">
      <w:pPr>
        <w:pStyle w:val="whp20100506"/>
      </w:pPr>
    </w:p>
    <w:p w:rsidR="00534C63" w:rsidRPr="0090579E" w:rsidRDefault="00534C63" w:rsidP="00534C63">
      <w:pPr>
        <w:pStyle w:val="whp20100506"/>
      </w:pPr>
      <w:r w:rsidRPr="0090579E">
        <w:t>Zayd Sulaiman from Catalyst Asset Management says that the problem is twofold. Firstly the property yields in countries with a sovereign rating are often lower than local property yields, which makes non sovereign rated countries an attractive investment option. Secondly, there has been an increase in potential growth within in non sovereign rated countries where return is greater than what is initially envisaged by legislation and therefore unnecessarily impedes capitalising on these opportunities. He has an alternative suggested that the offshore limitation should be based on a percentage limitation of offshore revenue and assets to the total revenue and asset value of the REIT.</w:t>
      </w:r>
    </w:p>
    <w:p w:rsidR="00534C63" w:rsidRPr="0090579E" w:rsidRDefault="00534C63" w:rsidP="00534C63">
      <w:pPr>
        <w:pStyle w:val="whp20100506"/>
      </w:pPr>
    </w:p>
    <w:p w:rsidR="00534C63" w:rsidRPr="0090579E" w:rsidRDefault="00534C63" w:rsidP="00534C63">
      <w:pPr>
        <w:pStyle w:val="whp20100506"/>
      </w:pPr>
      <w:r w:rsidRPr="0090579E">
        <w:t xml:space="preserve">The National Treasury also proposed that as an alternative to two layers, South African </w:t>
      </w:r>
      <w:r w:rsidR="00194F2A">
        <w:t>REITS</w:t>
      </w:r>
      <w:r w:rsidRPr="0090579E">
        <w:t xml:space="preserve"> could be categorised as either being a Prudential REIT and a Non-Prudential REIT (National Treasury, 2008: 8). Prudential </w:t>
      </w:r>
      <w:r w:rsidR="00194F2A">
        <w:t>REITS</w:t>
      </w:r>
      <w:r w:rsidRPr="0090579E">
        <w:t xml:space="preserve"> would be investment in countries with a sovereign rating whilst Non-Prudential investments were in countries without sovereign ratings. The National Treasury justified this structure based upon a uniform umbrella REIT which would provide investors with sufficient knowledge of the risks involved with investing in non-sovereign countries. The proposal has been criticized as diluting the simplicity of </w:t>
      </w:r>
      <w:r w:rsidR="00194F2A">
        <w:t>REITS</w:t>
      </w:r>
      <w:r w:rsidRPr="0090579E">
        <w:t xml:space="preserve"> and would add to the complexity of interpreting the performances of </w:t>
      </w:r>
      <w:r w:rsidR="00194F2A">
        <w:t>REITS</w:t>
      </w:r>
      <w:r w:rsidRPr="0090579E">
        <w:t xml:space="preserve"> (Java Capital, 2008: 1).</w:t>
      </w:r>
    </w:p>
    <w:p w:rsidR="00534C63" w:rsidRDefault="00534C63" w:rsidP="00534C63">
      <w:pPr>
        <w:pStyle w:val="whp20100506"/>
      </w:pPr>
    </w:p>
    <w:p w:rsidR="00534C63" w:rsidRDefault="00534C63" w:rsidP="00534C63">
      <w:pPr>
        <w:pStyle w:val="whp20100506"/>
        <w:rPr>
          <w:b/>
          <w:i/>
        </w:rPr>
      </w:pPr>
      <w:r>
        <w:rPr>
          <w:b/>
          <w:i/>
        </w:rPr>
        <w:t>Conclusion</w:t>
      </w:r>
    </w:p>
    <w:p w:rsidR="00534C63" w:rsidRPr="0090579E" w:rsidRDefault="00534C63" w:rsidP="00534C63">
      <w:pPr>
        <w:pStyle w:val="whp20100506"/>
      </w:pPr>
    </w:p>
    <w:p w:rsidR="00534C63" w:rsidRDefault="00534C63" w:rsidP="00534C63">
      <w:pPr>
        <w:pStyle w:val="whp20100506"/>
      </w:pPr>
      <w:r w:rsidRPr="0090579E">
        <w:t xml:space="preserve">Simplicity should be the overriding objective and that creating different types of </w:t>
      </w:r>
      <w:r w:rsidR="00194F2A">
        <w:t>REITS</w:t>
      </w:r>
      <w:r w:rsidRPr="0090579E">
        <w:t xml:space="preserve"> would not only complicate the simplicity of applying the rules and regulations of </w:t>
      </w:r>
      <w:r w:rsidR="00194F2A">
        <w:t>REITS</w:t>
      </w:r>
      <w:r w:rsidRPr="0090579E">
        <w:t xml:space="preserve">, it </w:t>
      </w:r>
      <w:r w:rsidRPr="0090579E">
        <w:lastRenderedPageBreak/>
        <w:t xml:space="preserve">would make the business of comparing the performances of </w:t>
      </w:r>
      <w:r w:rsidR="00194F2A">
        <w:t>REITS</w:t>
      </w:r>
      <w:r w:rsidRPr="0090579E">
        <w:t xml:space="preserve"> near impossible. </w:t>
      </w:r>
    </w:p>
    <w:p w:rsidR="00534C63" w:rsidRDefault="00534C63" w:rsidP="00534C63">
      <w:pPr>
        <w:pStyle w:val="whp20100506"/>
      </w:pPr>
    </w:p>
    <w:p w:rsidR="00534C63" w:rsidRDefault="00534C63" w:rsidP="00534C63">
      <w:pPr>
        <w:pStyle w:val="whp20100506"/>
      </w:pPr>
      <w:r>
        <w:t>The National Treasury’s recommendation for sovereign ratings unduly restricts the flexibility options for South Africa and should rather consider a</w:t>
      </w:r>
      <w:r w:rsidRPr="0090579E">
        <w:t xml:space="preserve">llowing </w:t>
      </w:r>
      <w:r w:rsidR="00194F2A">
        <w:t>REITS</w:t>
      </w:r>
      <w:r w:rsidRPr="0090579E">
        <w:t xml:space="preserve"> to invest in a country that is recognized as </w:t>
      </w:r>
      <w:r>
        <w:t xml:space="preserve">a </w:t>
      </w:r>
      <w:r w:rsidR="00194F2A">
        <w:t>REITS</w:t>
      </w:r>
      <w:r w:rsidRPr="0090579E">
        <w:t xml:space="preserve"> compliance country by international authorities</w:t>
      </w:r>
      <w:r>
        <w:t xml:space="preserve">, which </w:t>
      </w:r>
      <w:r w:rsidRPr="0090579E">
        <w:t xml:space="preserve">should provide adequate protection for investors. </w:t>
      </w:r>
    </w:p>
    <w:p w:rsidR="00534C63" w:rsidRDefault="00534C63" w:rsidP="00534C63">
      <w:pPr>
        <w:pStyle w:val="whp20100506"/>
      </w:pPr>
    </w:p>
    <w:p w:rsidR="00534C63" w:rsidRPr="00C7460C" w:rsidRDefault="00534C63" w:rsidP="00534C63">
      <w:pPr>
        <w:pStyle w:val="whp20100506"/>
        <w:rPr>
          <w:b/>
          <w:i/>
        </w:rPr>
      </w:pPr>
      <w:r w:rsidRPr="00FE403B">
        <w:rPr>
          <w:b/>
          <w:i/>
          <w:u w:val="single"/>
        </w:rPr>
        <w:t>Comment 3:</w:t>
      </w:r>
      <w:r w:rsidRPr="00C7460C">
        <w:rPr>
          <w:b/>
          <w:i/>
        </w:rPr>
        <w:t xml:space="preserve"> The Definition of Rental Income </w:t>
      </w:r>
    </w:p>
    <w:p w:rsidR="00534C63" w:rsidRPr="0090579E" w:rsidRDefault="00534C63" w:rsidP="00534C63">
      <w:pPr>
        <w:pStyle w:val="whp20100506"/>
      </w:pPr>
    </w:p>
    <w:p w:rsidR="00534C63" w:rsidRPr="0090579E" w:rsidRDefault="00534C63" w:rsidP="00534C63">
      <w:pPr>
        <w:pStyle w:val="whp20100506"/>
      </w:pPr>
      <w:r w:rsidRPr="0090579E">
        <w:t xml:space="preserve">In response to clarify its initial proposal in terms of what the definition of rental income along with the sources of income, the National Treasury has indicated that income will include cash, money market instruments and government securities. It has also confirmed ‘rental income’ as all income earned for the physical use or occupation of immovable property for a particular period of time (National Treasury, 2008: 8). </w:t>
      </w:r>
    </w:p>
    <w:p w:rsidR="00534C63" w:rsidRPr="0090579E" w:rsidRDefault="00534C63" w:rsidP="00534C63">
      <w:pPr>
        <w:pStyle w:val="whp20100506"/>
      </w:pPr>
    </w:p>
    <w:p w:rsidR="00534C63" w:rsidRPr="0090579E" w:rsidRDefault="00534C63" w:rsidP="00534C63">
      <w:pPr>
        <w:pStyle w:val="whp20100506"/>
      </w:pPr>
      <w:r w:rsidRPr="0090579E">
        <w:t xml:space="preserve">Java Capital has warned careful attention should be paid to the definition of ‘rental income’ relative to the concept of ‘total income’ as there could be the danger of </w:t>
      </w:r>
      <w:r w:rsidR="00194F2A">
        <w:t>REITS</w:t>
      </w:r>
      <w:r w:rsidRPr="0090579E">
        <w:t xml:space="preserve"> trying to meet the 75% rental income threshold to total income, and therefore may decide to participate in development activities, trading, property services and other activities in order to source non-rental income (Java Capital, 2008: 3). </w:t>
      </w:r>
    </w:p>
    <w:p w:rsidR="00534C63" w:rsidRPr="0090579E" w:rsidRDefault="00534C63" w:rsidP="00534C63">
      <w:pPr>
        <w:pStyle w:val="whp20100506"/>
      </w:pPr>
    </w:p>
    <w:p w:rsidR="00534C63" w:rsidRPr="0090579E" w:rsidRDefault="00534C63" w:rsidP="00534C63">
      <w:pPr>
        <w:pStyle w:val="whp20100506"/>
      </w:pPr>
      <w:r w:rsidRPr="0090579E">
        <w:t>Vuyani Bekwa from Investec takes a different stance and weighs up the opportunities from short term property activities as opposed to only permitting rental income as the primary source (Questionnaire, 2010, May).  Generating revenue streams for shareholders from activities such as trading or development relative to the longer term returns is an attractive option. He feels that these activities generate vital revenue streams particularly from a balance sheet perspective and has therefore suggested that trading and development assets should be listed on a company’s balance sheet albeit as a minimum percentage of total assets whilst the sale of development activities should take place within 12 months of the completion date with the capital profits distributed to the participatory unit holders, on condition that this income is</w:t>
      </w:r>
      <w:r>
        <w:t xml:space="preserve"> </w:t>
      </w:r>
      <w:r w:rsidRPr="0090579E">
        <w:t>less than 25% of the total income in order to comply with the 75% rule.</w:t>
      </w:r>
    </w:p>
    <w:p w:rsidR="00534C63" w:rsidRPr="0090579E" w:rsidRDefault="00534C63" w:rsidP="00534C63">
      <w:pPr>
        <w:pStyle w:val="whp20100506"/>
      </w:pPr>
    </w:p>
    <w:p w:rsidR="00534C63" w:rsidRPr="0090579E" w:rsidRDefault="00534C63" w:rsidP="00534C63">
      <w:pPr>
        <w:pStyle w:val="whp20100506"/>
      </w:pPr>
      <w:r w:rsidRPr="0090579E">
        <w:t xml:space="preserve">There is the further notion of direct versus indirect investment and whether the revenue </w:t>
      </w:r>
      <w:r w:rsidRPr="0090579E">
        <w:lastRenderedPageBreak/>
        <w:t>generated by a REIT from an investment in another REIT is seen as part of the 75% rental income. Zayd Sulaiman from Catalyst takes the view that in this scenario the rental income falls outside and should be seen as part of the 25% non-rental income source (Questionnaire, 2010, May).</w:t>
      </w:r>
    </w:p>
    <w:p w:rsidR="00534C63" w:rsidRPr="0090579E" w:rsidRDefault="00534C63" w:rsidP="00534C63">
      <w:pPr>
        <w:pStyle w:val="whp20100506"/>
      </w:pPr>
    </w:p>
    <w:p w:rsidR="00534C63" w:rsidRPr="0090579E" w:rsidRDefault="00534C63" w:rsidP="00534C63">
      <w:pPr>
        <w:pStyle w:val="whp20100506"/>
      </w:pPr>
      <w:r w:rsidRPr="0090579E">
        <w:t xml:space="preserve">Mr John Rainier from Standard Bank says that income can only be deemed rental income if it has been sourced and earned from a lease (Questionnaire, 2010, May). </w:t>
      </w:r>
    </w:p>
    <w:p w:rsidR="00534C63" w:rsidRPr="0090579E" w:rsidRDefault="00534C63" w:rsidP="00534C63">
      <w:pPr>
        <w:pStyle w:val="whp20100506"/>
      </w:pPr>
    </w:p>
    <w:p w:rsidR="00534C63" w:rsidRPr="0090579E" w:rsidRDefault="00534C63" w:rsidP="00534C63">
      <w:pPr>
        <w:pStyle w:val="whp20100506"/>
      </w:pPr>
      <w:r w:rsidRPr="0090579E">
        <w:t xml:space="preserve">Mr Craig Hallowes is of the view that income should relate to annuity income from rental income which is sourced from rental, parking, signage and can include recoveries from tenants on expenses (Questionnaire, 2010, May). He adds that ad hoc income should also be considered by the National Treasury but obviously under certain limitations. </w:t>
      </w:r>
    </w:p>
    <w:p w:rsidR="00534C63" w:rsidRDefault="00534C63" w:rsidP="00534C63">
      <w:pPr>
        <w:pStyle w:val="whp20100506"/>
        <w:rPr>
          <w:b/>
          <w:i/>
        </w:rPr>
      </w:pPr>
    </w:p>
    <w:p w:rsidR="00534C63" w:rsidRPr="000F71E8" w:rsidRDefault="00534C63" w:rsidP="00534C63">
      <w:pPr>
        <w:pStyle w:val="whp20100506"/>
        <w:rPr>
          <w:b/>
          <w:i/>
        </w:rPr>
      </w:pPr>
      <w:r w:rsidRPr="000F71E8">
        <w:rPr>
          <w:b/>
          <w:i/>
        </w:rPr>
        <w:t>Conclusion</w:t>
      </w:r>
    </w:p>
    <w:p w:rsidR="00534C63" w:rsidRPr="0090579E" w:rsidRDefault="00534C63" w:rsidP="00534C63">
      <w:pPr>
        <w:pStyle w:val="whp20100506"/>
      </w:pPr>
    </w:p>
    <w:p w:rsidR="00534C63" w:rsidRPr="0090579E" w:rsidRDefault="00534C63" w:rsidP="00534C63">
      <w:pPr>
        <w:pStyle w:val="whp20100506"/>
      </w:pPr>
      <w:r>
        <w:t xml:space="preserve">The National Treasury has not adequately addressed the principles of income. </w:t>
      </w:r>
      <w:r w:rsidRPr="0090579E">
        <w:t xml:space="preserve">It is prudent to pursue a principle of allowing maximum flexibility for </w:t>
      </w:r>
      <w:r w:rsidR="00194F2A">
        <w:t>REITS</w:t>
      </w:r>
      <w:r w:rsidRPr="0090579E">
        <w:t xml:space="preserve"> as far as sourcing their revenue is concerned. Therefore little if no limitations should be placed on the type of properties that </w:t>
      </w:r>
      <w:r w:rsidR="00194F2A">
        <w:t>REITS</w:t>
      </w:r>
      <w:r w:rsidRPr="0090579E">
        <w:t xml:space="preserve"> may derive income from, as by its very nature </w:t>
      </w:r>
      <w:r w:rsidR="00194F2A">
        <w:t>REITS</w:t>
      </w:r>
      <w:r w:rsidRPr="0090579E">
        <w:t xml:space="preserve"> are property investment vehicles specializing in generating income from property. What is more property related activities such as asset management and property services should also be permitted as this will give rise to entrepreneurial enterprises and employment. </w:t>
      </w:r>
    </w:p>
    <w:p w:rsidR="00534C63" w:rsidRPr="0090579E" w:rsidRDefault="00534C63" w:rsidP="00534C63">
      <w:pPr>
        <w:pStyle w:val="whp20100506"/>
      </w:pPr>
    </w:p>
    <w:p w:rsidR="00534C63" w:rsidRPr="0090579E" w:rsidRDefault="00534C63" w:rsidP="00534C63">
      <w:pPr>
        <w:pStyle w:val="whp20100506"/>
      </w:pPr>
      <w:r w:rsidRPr="0090579E">
        <w:t xml:space="preserve">The notion that 75% of revenue must be generated from property rental business is sound. The concerns pertaining to income streams and the source of income must be defined liberally rather than restrictive in terms of permitting a wide range of property related activities. </w:t>
      </w:r>
    </w:p>
    <w:p w:rsidR="00534C63" w:rsidRDefault="00534C63" w:rsidP="00534C63">
      <w:pPr>
        <w:pStyle w:val="whp20100506"/>
      </w:pPr>
    </w:p>
    <w:p w:rsidR="00534C63" w:rsidRPr="0090579E" w:rsidRDefault="00534C63" w:rsidP="00534C63">
      <w:pPr>
        <w:pStyle w:val="whp20100506"/>
      </w:pPr>
      <w:r w:rsidRPr="0090579E">
        <w:t xml:space="preserve">Whilst the majority of income will be sourced from letting activity and will itself form the basis of the 75% income revenue, the expanding of property related activities would help cater for property cycles and provide consistency in earnings potential through having revenue generated from multiple sources. Other assets in the form of cash, money market instruments and government securities will form part of the remaining 25%. Rental Income should then relate to activities where income is only generated from the occupation of </w:t>
      </w:r>
      <w:r w:rsidRPr="0090579E">
        <w:lastRenderedPageBreak/>
        <w:t>property for a period of time and should include rental income generated from another REIT.</w:t>
      </w:r>
    </w:p>
    <w:p w:rsidR="00534C63" w:rsidRPr="0090579E" w:rsidRDefault="00534C63" w:rsidP="00534C63">
      <w:pPr>
        <w:pStyle w:val="whp20100506"/>
      </w:pPr>
    </w:p>
    <w:p w:rsidR="00534C63" w:rsidRPr="0090579E" w:rsidRDefault="00534C63" w:rsidP="00534C63">
      <w:pPr>
        <w:pStyle w:val="whp20100506"/>
      </w:pPr>
      <w:r w:rsidRPr="0090579E">
        <w:t xml:space="preserve">Total Income should be defined as income sourced from all assets which include cash, money market instruments and government securities. The Total Income will in turn form the 100% base from which the 75% base of Rental Income is measured against. </w:t>
      </w:r>
    </w:p>
    <w:p w:rsidR="00534C63" w:rsidRDefault="00534C63" w:rsidP="00534C63">
      <w:pPr>
        <w:pStyle w:val="whp20100506"/>
      </w:pPr>
    </w:p>
    <w:p w:rsidR="00534C63" w:rsidRPr="00C7460C" w:rsidRDefault="00534C63" w:rsidP="00534C63">
      <w:pPr>
        <w:pStyle w:val="whp20100506"/>
        <w:rPr>
          <w:b/>
          <w:i/>
        </w:rPr>
      </w:pPr>
      <w:r w:rsidRPr="00FE403B">
        <w:rPr>
          <w:b/>
          <w:i/>
          <w:u w:val="single"/>
        </w:rPr>
        <w:t>Comment 4:</w:t>
      </w:r>
      <w:r w:rsidRPr="00C7460C">
        <w:rPr>
          <w:b/>
          <w:i/>
        </w:rPr>
        <w:t xml:space="preserve"> Permitting Development Activities if Properties are retained </w:t>
      </w:r>
      <w:r>
        <w:rPr>
          <w:b/>
          <w:i/>
        </w:rPr>
        <w:t xml:space="preserve">for </w:t>
      </w:r>
      <w:r w:rsidRPr="00C7460C">
        <w:rPr>
          <w:b/>
          <w:i/>
        </w:rPr>
        <w:t>three years</w:t>
      </w:r>
    </w:p>
    <w:p w:rsidR="00534C63" w:rsidRDefault="00534C63" w:rsidP="00534C63">
      <w:pPr>
        <w:pStyle w:val="whp20100506"/>
      </w:pPr>
    </w:p>
    <w:p w:rsidR="00534C63" w:rsidRPr="0090579E" w:rsidRDefault="00534C63" w:rsidP="00534C63">
      <w:pPr>
        <w:pStyle w:val="whp20100506"/>
      </w:pPr>
      <w:r w:rsidRPr="0090579E">
        <w:t xml:space="preserve">One of the troublesome areas of </w:t>
      </w:r>
      <w:r w:rsidR="00194F2A">
        <w:t>REITS</w:t>
      </w:r>
      <w:r w:rsidRPr="0090579E">
        <w:t xml:space="preserve"> is to delimit the scope and ambit of property activities and sources of revenue in a way that not only permits flexibility but also encourages entrepreneurialism within the sector whilst ensuring the diversification of risk (National Treasury, 2007: 13). </w:t>
      </w:r>
    </w:p>
    <w:p w:rsidR="00534C63" w:rsidRPr="0090579E" w:rsidRDefault="00534C63" w:rsidP="00534C63">
      <w:pPr>
        <w:pStyle w:val="whp20100506"/>
      </w:pPr>
    </w:p>
    <w:p w:rsidR="00534C63" w:rsidRPr="0090579E" w:rsidRDefault="00534C63" w:rsidP="00534C63">
      <w:pPr>
        <w:pStyle w:val="whp20100506"/>
      </w:pPr>
      <w:r w:rsidRPr="0090579E">
        <w:t>Mr John Rainier from Standard Bank is of the opinion that all property and management activities should be permitted but not property development activities primarily aimed at third parties (Questionnaire, 2010, May).</w:t>
      </w:r>
    </w:p>
    <w:p w:rsidR="00534C63" w:rsidRPr="0090579E" w:rsidRDefault="00534C63" w:rsidP="00534C63">
      <w:pPr>
        <w:pStyle w:val="whp20100506"/>
      </w:pPr>
    </w:p>
    <w:p w:rsidR="00534C63" w:rsidRPr="0090579E" w:rsidRDefault="00534C63" w:rsidP="00534C63">
      <w:pPr>
        <w:pStyle w:val="whp20100506"/>
      </w:pPr>
      <w:r w:rsidRPr="0090579E">
        <w:t xml:space="preserve">Mr Craig Hallowes from Pangbourne Properties takes the view that there should be as few restrictions on SA </w:t>
      </w:r>
      <w:r w:rsidR="00194F2A">
        <w:t>REITS</w:t>
      </w:r>
      <w:r w:rsidRPr="0090579E">
        <w:t xml:space="preserve"> as possible because he feels that the market will price the risk and reflect such risk in the share price of the REIT (Questionnaire, 2010, May). As far as he is concerned the restrictions should pertain more on other areas which include gearing, prudential investment guidelines, payment of distributable income. </w:t>
      </w:r>
    </w:p>
    <w:p w:rsidR="00534C63" w:rsidRPr="0090579E" w:rsidRDefault="00534C63" w:rsidP="00534C63">
      <w:pPr>
        <w:pStyle w:val="whp20100506"/>
      </w:pPr>
    </w:p>
    <w:p w:rsidR="00534C63" w:rsidRPr="0090579E" w:rsidRDefault="00534C63" w:rsidP="00534C63">
      <w:pPr>
        <w:pStyle w:val="whp20100506"/>
      </w:pPr>
      <w:r w:rsidRPr="0090579E">
        <w:t>In pursuit of defining the realm of property activities, the National Treasury has included development activities within the ambit of permitted revenue generation activities. However</w:t>
      </w:r>
      <w:r>
        <w:t xml:space="preserve"> </w:t>
      </w:r>
      <w:r w:rsidRPr="0090579E">
        <w:t xml:space="preserve">in order to prevent </w:t>
      </w:r>
      <w:r w:rsidR="00194F2A">
        <w:t>REITS</w:t>
      </w:r>
      <w:r w:rsidRPr="0090579E">
        <w:t xml:space="preserve"> from becoming property traders (i.e. developing with the objective of selling upon completion of a particular building), the National Treasury wants the development to be held for a period of at least three years in order to retain a semblance of stability within the REIT portfolio (National Treasury, 2007: 13). </w:t>
      </w:r>
    </w:p>
    <w:p w:rsidR="00534C63" w:rsidRPr="0090579E" w:rsidRDefault="00534C63" w:rsidP="00534C63">
      <w:pPr>
        <w:pStyle w:val="whp20100506"/>
      </w:pPr>
    </w:p>
    <w:p w:rsidR="00534C63" w:rsidRPr="0090579E" w:rsidRDefault="00534C63" w:rsidP="00534C63">
      <w:pPr>
        <w:pStyle w:val="whp20100506"/>
      </w:pPr>
      <w:r w:rsidRPr="0090579E">
        <w:t xml:space="preserve">Internationally, the UK have the same provision regarding development activities and state that there will be tax implication if developed properties are sold within three years of completion. They have gone further by defining development activity as where the cost of the development is greater than 30% of the fair value of the property’s acquisition cost (Ernest &amp; </w:t>
      </w:r>
      <w:r w:rsidRPr="0090579E">
        <w:lastRenderedPageBreak/>
        <w:t xml:space="preserve">Young Global </w:t>
      </w:r>
      <w:r w:rsidR="00194F2A">
        <w:t>REITS</w:t>
      </w:r>
      <w:r w:rsidRPr="0090579E">
        <w:t xml:space="preserve"> Report 2010: 53)</w:t>
      </w:r>
    </w:p>
    <w:p w:rsidR="00534C63" w:rsidRPr="0090579E" w:rsidRDefault="00534C63" w:rsidP="00534C63">
      <w:pPr>
        <w:pStyle w:val="whp20100506"/>
      </w:pPr>
    </w:p>
    <w:p w:rsidR="00534C63" w:rsidRPr="0090579E" w:rsidRDefault="00534C63" w:rsidP="00534C63">
      <w:pPr>
        <w:pStyle w:val="whp20100506"/>
      </w:pPr>
      <w:r w:rsidRPr="0090579E">
        <w:t xml:space="preserve">The major concerns received from the industry in this regards is that development for sale should be permitted and that there would be sufficient room for a development </w:t>
      </w:r>
      <w:r w:rsidR="00194F2A">
        <w:t>REITS</w:t>
      </w:r>
      <w:r w:rsidRPr="0090579E">
        <w:t xml:space="preserve"> fund of sorts. An understanding of the determining the three periods was sought (National Treasury, 2008: 9). </w:t>
      </w:r>
    </w:p>
    <w:p w:rsidR="00534C63" w:rsidRPr="0090579E" w:rsidRDefault="00534C63" w:rsidP="00534C63">
      <w:pPr>
        <w:pStyle w:val="whp20100506"/>
      </w:pPr>
    </w:p>
    <w:p w:rsidR="00534C63" w:rsidRPr="0090579E" w:rsidRDefault="00534C63" w:rsidP="00534C63">
      <w:pPr>
        <w:pStyle w:val="whp20100506"/>
      </w:pPr>
      <w:r w:rsidRPr="0090579E">
        <w:t>The National Treasury responded to these concerns by confirming that development for sale activities had to be limited and as a compromise suggested that this could possibly be a revenue stream</w:t>
      </w:r>
      <w:r>
        <w:t>,</w:t>
      </w:r>
      <w:r w:rsidRPr="0090579E">
        <w:t xml:space="preserve"> however only as part of the 25% non-rental proponent; all amounts exceeding this limit will be subject to monetary penalties (National Treasury, 2008: 9). </w:t>
      </w:r>
    </w:p>
    <w:p w:rsidR="00534C63" w:rsidRPr="0090579E" w:rsidRDefault="00534C63" w:rsidP="00534C63">
      <w:pPr>
        <w:pStyle w:val="whp20100506"/>
      </w:pPr>
    </w:p>
    <w:p w:rsidR="00534C63" w:rsidRPr="0090579E" w:rsidRDefault="00534C63" w:rsidP="00534C63">
      <w:pPr>
        <w:pStyle w:val="whp20100506"/>
      </w:pPr>
      <w:r w:rsidRPr="0090579E">
        <w:t xml:space="preserve">What is more the National Treasury has acknowledged the need for low cost housing and that as an exception to the rule, income generated from the development of housing selling under R500 000 would be regarded as part of the 75% income proportion of the REIT (National Treasury, 2008:9).  </w:t>
      </w:r>
    </w:p>
    <w:p w:rsidR="00534C63" w:rsidRDefault="00534C63" w:rsidP="00534C63">
      <w:pPr>
        <w:pStyle w:val="whp20100506"/>
      </w:pPr>
    </w:p>
    <w:p w:rsidR="00534C63" w:rsidRPr="000F71E8" w:rsidRDefault="00534C63" w:rsidP="00534C63">
      <w:pPr>
        <w:pStyle w:val="whp20100506"/>
        <w:rPr>
          <w:b/>
          <w:i/>
        </w:rPr>
      </w:pPr>
      <w:r w:rsidRPr="000F71E8">
        <w:rPr>
          <w:b/>
          <w:i/>
        </w:rPr>
        <w:t>Conclusion</w:t>
      </w:r>
    </w:p>
    <w:p w:rsidR="00534C63" w:rsidRDefault="00534C63" w:rsidP="00534C63">
      <w:pPr>
        <w:pStyle w:val="whp20100506"/>
      </w:pPr>
    </w:p>
    <w:p w:rsidR="00534C63" w:rsidRPr="0090579E" w:rsidRDefault="00534C63" w:rsidP="00534C63">
      <w:pPr>
        <w:pStyle w:val="whp20100506"/>
      </w:pPr>
      <w:r>
        <w:t xml:space="preserve">The National Treasury needs to be more flexible. </w:t>
      </w:r>
      <w:r w:rsidRPr="0090579E">
        <w:t xml:space="preserve">The intention would be protect the interests of the investor from short term speculation and therefore development activities should be limited to development for lease, with revenue generated from this activity deemed as part of the 75% threshold. </w:t>
      </w:r>
      <w:r>
        <w:t>T</w:t>
      </w:r>
      <w:r w:rsidRPr="0090579E">
        <w:t xml:space="preserve">o simplify the process </w:t>
      </w:r>
      <w:r w:rsidR="00194F2A">
        <w:t>REITS</w:t>
      </w:r>
      <w:r w:rsidRPr="0090579E">
        <w:t xml:space="preserve"> should be permitted to engage in this activity however income generated from this must only form part of the 25% threshold, with penalties if exceeded.</w:t>
      </w:r>
    </w:p>
    <w:p w:rsidR="00534C63" w:rsidRDefault="00534C63" w:rsidP="00534C63">
      <w:pPr>
        <w:pStyle w:val="whp20100506"/>
      </w:pPr>
    </w:p>
    <w:p w:rsidR="00534C63" w:rsidRPr="003D4272" w:rsidRDefault="00534C63" w:rsidP="00534C63">
      <w:pPr>
        <w:pStyle w:val="whp20100506"/>
        <w:rPr>
          <w:b/>
          <w:i/>
        </w:rPr>
      </w:pPr>
      <w:r w:rsidRPr="00FE403B">
        <w:rPr>
          <w:b/>
          <w:i/>
          <w:u w:val="single"/>
        </w:rPr>
        <w:t>Comment 5:</w:t>
      </w:r>
      <w:r w:rsidRPr="00C7460C">
        <w:rPr>
          <w:b/>
          <w:i/>
        </w:rPr>
        <w:t xml:space="preserve"> </w:t>
      </w:r>
      <w:r>
        <w:rPr>
          <w:b/>
          <w:i/>
        </w:rPr>
        <w:t xml:space="preserve">Further Review of Creating </w:t>
      </w:r>
      <w:r w:rsidRPr="00C7460C">
        <w:rPr>
          <w:b/>
          <w:i/>
        </w:rPr>
        <w:t xml:space="preserve">Appropriate Risk Diversification Mechanisms for a REIT </w:t>
      </w:r>
    </w:p>
    <w:p w:rsidR="00534C63" w:rsidRDefault="00534C63" w:rsidP="00534C63">
      <w:pPr>
        <w:pStyle w:val="whp20100506"/>
      </w:pPr>
    </w:p>
    <w:p w:rsidR="00534C63" w:rsidRPr="0090579E" w:rsidRDefault="00534C63" w:rsidP="00534C63">
      <w:pPr>
        <w:pStyle w:val="whp20100506"/>
      </w:pPr>
      <w:r w:rsidRPr="0090579E">
        <w:t xml:space="preserve">The National Treasury has been severely criticized for its proposals to ensure adequate risk diversification within a </w:t>
      </w:r>
      <w:r w:rsidR="00194F2A">
        <w:t>REITS</w:t>
      </w:r>
      <w:r w:rsidRPr="0090579E">
        <w:t xml:space="preserve"> portfolio. It recommendation that a REIT must have a minimum of three buildings in its portfolio at all times during any accounting period with a maximum of 40% that any one building may have of the total fixed asset value of the portfolio (National Treasury 2007: 13). </w:t>
      </w:r>
    </w:p>
    <w:p w:rsidR="00534C63" w:rsidRPr="0090579E" w:rsidRDefault="00534C63" w:rsidP="00534C63">
      <w:pPr>
        <w:pStyle w:val="whp20100506"/>
      </w:pPr>
    </w:p>
    <w:p w:rsidR="00534C63" w:rsidRPr="0090579E" w:rsidRDefault="00534C63" w:rsidP="00534C63">
      <w:pPr>
        <w:pStyle w:val="whp20100506"/>
      </w:pPr>
      <w:r w:rsidRPr="0090579E">
        <w:t xml:space="preserve">Zayd Sulaiman from Catalyst Asset Management feels that this approach is too narrow and precludes a company that owns say one large property from attaining REIT status (Questionnaire, 2010, May). He uses the example of a company that owns a property such as the V&amp;A Waterfront as falling foul of this proposal whilst in reality the asset has an adequate mass and risk diversification in terms of its various component parts. </w:t>
      </w:r>
    </w:p>
    <w:p w:rsidR="00534C63" w:rsidRPr="0090579E" w:rsidRDefault="00534C63" w:rsidP="00534C63">
      <w:pPr>
        <w:pStyle w:val="whp20100506"/>
      </w:pPr>
    </w:p>
    <w:p w:rsidR="00534C63" w:rsidRPr="0090579E" w:rsidRDefault="00534C63" w:rsidP="00534C63">
      <w:pPr>
        <w:pStyle w:val="whp20100506"/>
      </w:pPr>
      <w:r w:rsidRPr="0090579E">
        <w:t xml:space="preserve">Vuyani Bekwa from Investec extrapolates on the anomalies of this proposal by pointing out that the 40% threshold would prevent growth opportunities of </w:t>
      </w:r>
      <w:r w:rsidR="00194F2A">
        <w:t>REITS</w:t>
      </w:r>
      <w:r w:rsidRPr="0090579E">
        <w:t xml:space="preserve"> (questionnaire, 2010, May). The example that he refers to was one of where Hyprop acquired Canal Shopping Centre (ref) through the mechanism of securitization of the assets in its portfolio. After the purchase, Hyprop was the biggest asset within the Hyprop portfolio and by far exceeded the 40% threshold of the groups fixed asset value.</w:t>
      </w:r>
    </w:p>
    <w:p w:rsidR="00534C63" w:rsidRPr="0090579E" w:rsidRDefault="00534C63" w:rsidP="00534C63">
      <w:pPr>
        <w:pStyle w:val="whp20100506"/>
      </w:pPr>
    </w:p>
    <w:p w:rsidR="00534C63" w:rsidRPr="0090579E" w:rsidRDefault="00534C63" w:rsidP="00534C63">
      <w:pPr>
        <w:pStyle w:val="whp20100506"/>
      </w:pPr>
      <w:r w:rsidRPr="0090579E">
        <w:t xml:space="preserve">In terms of international trends, the UK </w:t>
      </w:r>
      <w:r w:rsidR="00194F2A">
        <w:t>REITS</w:t>
      </w:r>
      <w:r w:rsidRPr="0090579E">
        <w:t xml:space="preserve"> legislation caters for the same restriction being that a </w:t>
      </w:r>
      <w:r w:rsidR="00194F2A">
        <w:t>REITS</w:t>
      </w:r>
      <w:r w:rsidRPr="0090579E">
        <w:t xml:space="preserve"> portfolio must contain a minimum of three buildings with no one being bigger than 40% of the total asset value of the portfolio (Earnest &amp; Young, Global </w:t>
      </w:r>
      <w:r w:rsidR="00194F2A">
        <w:t>REITS</w:t>
      </w:r>
      <w:r w:rsidRPr="0090579E">
        <w:t xml:space="preserve"> Report 2010: 53). The Belgium regulation stipulates that individual assets may not exceed 20% of the value of the property portfolio which is the same for Italian and French </w:t>
      </w:r>
      <w:r w:rsidR="00194F2A">
        <w:t>REITS</w:t>
      </w:r>
      <w:r w:rsidRPr="0090579E">
        <w:t xml:space="preserve">. </w:t>
      </w:r>
    </w:p>
    <w:p w:rsidR="00534C63" w:rsidRPr="0090579E" w:rsidRDefault="00534C63" w:rsidP="00534C63">
      <w:pPr>
        <w:pStyle w:val="whp20100506"/>
      </w:pPr>
    </w:p>
    <w:p w:rsidR="00534C63" w:rsidRDefault="00534C63" w:rsidP="00534C63">
      <w:pPr>
        <w:pStyle w:val="whp20100506"/>
      </w:pPr>
      <w:r w:rsidRPr="0090579E">
        <w:t xml:space="preserve">In response the National Treasury acknowledged that there are a number of key risk variables which would ensure risk diversification and included inter alia the number of properties held within a REIT; the geographical location of properties within a REIT; and the type of property classes (retail, industrial, residential, office </w:t>
      </w:r>
      <w:r>
        <w:t>and so forth</w:t>
      </w:r>
      <w:r w:rsidRPr="0090579E">
        <w:t>) within a REIT (National Treasury, 2008: 9). The National Treasury again referred to the use of prudential and non-prudential REIT funds as a solution to address the risk mitigation as protecting the interests of the investor, however as indicated previously, the presence of 2 broad based REIT categories based on risk will only confuse and blur the simplicity of a new listed property regime and therefore is not workable</w:t>
      </w:r>
      <w:r>
        <w:t xml:space="preserve">. </w:t>
      </w:r>
    </w:p>
    <w:p w:rsidR="00534C63" w:rsidRDefault="00534C63" w:rsidP="00534C63">
      <w:pPr>
        <w:pStyle w:val="whp20100506"/>
      </w:pPr>
    </w:p>
    <w:p w:rsidR="00534C63" w:rsidRPr="000F71E8" w:rsidRDefault="00534C63" w:rsidP="00534C63">
      <w:pPr>
        <w:pStyle w:val="whp20100506"/>
        <w:rPr>
          <w:b/>
          <w:i/>
        </w:rPr>
      </w:pPr>
      <w:r w:rsidRPr="000F71E8">
        <w:rPr>
          <w:b/>
          <w:i/>
        </w:rPr>
        <w:t>Conclusion</w:t>
      </w:r>
    </w:p>
    <w:p w:rsidR="00534C63" w:rsidRPr="0090579E" w:rsidRDefault="00534C63" w:rsidP="00534C63">
      <w:pPr>
        <w:pStyle w:val="whp20100506"/>
      </w:pPr>
    </w:p>
    <w:p w:rsidR="00534C63" w:rsidRPr="0090579E" w:rsidRDefault="00534C63" w:rsidP="00534C63">
      <w:pPr>
        <w:pStyle w:val="whp20100506"/>
      </w:pPr>
      <w:r w:rsidRPr="0090579E">
        <w:t xml:space="preserve">The issue is one of risk diversification or alternatively put, risk mitigation. If one considers the totality to the risk diversification proposals from the National Treasury, one becomes </w:t>
      </w:r>
      <w:r w:rsidRPr="0090579E">
        <w:lastRenderedPageBreak/>
        <w:t xml:space="preserve">aware of the sudden potential rigidity of the National Treasury’s recommendations, which as a prescriptive mandate may appear to the local industry players as being not too healthy for the property sector as a whole. </w:t>
      </w:r>
    </w:p>
    <w:p w:rsidR="00534C63" w:rsidRPr="0090579E" w:rsidRDefault="00534C63" w:rsidP="00534C63">
      <w:pPr>
        <w:pStyle w:val="whp20100506"/>
      </w:pPr>
      <w:r w:rsidRPr="0090579E">
        <w:t xml:space="preserve">The National Treasury’s recommendations have included a number of suggestions inter alia a minimum number of assets within a portfolio, capping the value of single assets within a REIT portfolio and therefore the income generating potential of single assets within a portfolio; limiting investment to sovereign rated countries and thus limiting integration with possible emerging markets; demarcating geographical spread; splitting property according to sector be it residential, commercial, retail, industrial lines </w:t>
      </w:r>
      <w:r>
        <w:t>and so forth</w:t>
      </w:r>
      <w:r w:rsidRPr="0090579E">
        <w:t xml:space="preserve">. The proposal of prudential and non-prudential </w:t>
      </w:r>
      <w:r w:rsidR="00194F2A">
        <w:t>REITS</w:t>
      </w:r>
      <w:r w:rsidRPr="0090579E">
        <w:t xml:space="preserve"> exemplifies the risk ideology of National Treasury as a risk control mechanism and includes further risk categories including the type of lease agreements, period of lease agreements, fixed versus floating interest rate loans (National Treasury, 2008: 21). </w:t>
      </w:r>
    </w:p>
    <w:p w:rsidR="00534C63" w:rsidRPr="0090579E" w:rsidRDefault="00534C63" w:rsidP="00534C63">
      <w:pPr>
        <w:pStyle w:val="whp20100506"/>
      </w:pPr>
    </w:p>
    <w:p w:rsidR="00534C63" w:rsidRPr="0090579E" w:rsidRDefault="00534C63" w:rsidP="00534C63">
      <w:pPr>
        <w:pStyle w:val="whp20100506"/>
      </w:pPr>
      <w:r w:rsidRPr="0090579E">
        <w:t xml:space="preserve">The simplicity and uncomplicated nature of </w:t>
      </w:r>
      <w:r w:rsidR="00194F2A">
        <w:t>REITS</w:t>
      </w:r>
      <w:r w:rsidRPr="0090579E">
        <w:t xml:space="preserve"> suddenly has a difficult and thorny persona, which may just complicate the investor’s decision making process along with the flexibility of managing a REIT and securing maximum return on investment for the shareholders. The resistance from the local industry must however be seen in the context of their current environment which is a loosely and partly regulated sector. It is this fragment industry that has motivated the introduction of </w:t>
      </w:r>
      <w:r w:rsidR="00194F2A">
        <w:t>REITS</w:t>
      </w:r>
      <w:r w:rsidRPr="0090579E">
        <w:t xml:space="preserve"> as a new regulated dispensation.</w:t>
      </w:r>
    </w:p>
    <w:p w:rsidR="00534C63" w:rsidRDefault="00534C63" w:rsidP="00534C63">
      <w:pPr>
        <w:pStyle w:val="whp20100506"/>
      </w:pPr>
    </w:p>
    <w:p w:rsidR="00534C63" w:rsidRPr="0090579E" w:rsidRDefault="00534C63" w:rsidP="00534C63">
      <w:pPr>
        <w:pStyle w:val="whp20100506"/>
      </w:pPr>
      <w:r w:rsidRPr="0090579E">
        <w:t xml:space="preserve">The National Treasury therefore intends to create a framework that protects the interests of the investor and relates to a policy of risk management and the creation of risk management guidelines that ensures adequate administration of </w:t>
      </w:r>
      <w:r w:rsidR="00194F2A">
        <w:t>REITS</w:t>
      </w:r>
      <w:r w:rsidRPr="0090579E">
        <w:t xml:space="preserve"> and sufficient disclosure to the investor. </w:t>
      </w:r>
    </w:p>
    <w:p w:rsidR="00534C63" w:rsidRPr="0090579E" w:rsidRDefault="00534C63" w:rsidP="00534C63">
      <w:pPr>
        <w:pStyle w:val="whp20100506"/>
      </w:pPr>
    </w:p>
    <w:p w:rsidR="00534C63" w:rsidRPr="0090579E" w:rsidRDefault="00534C63" w:rsidP="00534C63">
      <w:pPr>
        <w:pStyle w:val="whp20100506"/>
      </w:pPr>
      <w:r w:rsidRPr="0090579E">
        <w:t xml:space="preserve">However the National Treasury must be clear on its intention albeit either as a rules-based framework or a risk-based framework to protect the interests of the investor as this takes into consideration the critical mass of a particular REIT, the skill set of the management team of a particular REIT, the involvement of further regulatory bodies such as the Financial Services Board and most importantly the degree and level of disclosure to investors.  </w:t>
      </w:r>
    </w:p>
    <w:p w:rsidR="00534C63" w:rsidRPr="0090579E" w:rsidRDefault="00534C63" w:rsidP="00534C63">
      <w:pPr>
        <w:pStyle w:val="whp20100506"/>
      </w:pPr>
    </w:p>
    <w:p w:rsidR="00534C63" w:rsidRPr="00B87605" w:rsidRDefault="00534C63" w:rsidP="00534C63">
      <w:pPr>
        <w:pStyle w:val="whp20100506"/>
      </w:pPr>
      <w:r w:rsidRPr="0090579E">
        <w:t xml:space="preserve">The Australian </w:t>
      </w:r>
      <w:r w:rsidR="00194F2A">
        <w:t>REITS</w:t>
      </w:r>
      <w:r w:rsidRPr="0090579E">
        <w:t xml:space="preserve"> framework is possibly a good yardstick as understanding the National Treasury’s intention of protecting the investor’s interests.  John Sullivan’s provides a </w:t>
      </w:r>
      <w:r w:rsidRPr="00B87605">
        <w:lastRenderedPageBreak/>
        <w:t xml:space="preserve">comprehensive overview of the Listed Property Trusts (LPTs) in Australia and comments that while LPTs are highly regulated entities, the rules are fairly flexible relative to a number of other REIT jurisdictions such as Hong Kong and Singapore (Sullivan, 2007, September: 3). </w:t>
      </w:r>
    </w:p>
    <w:p w:rsidR="00534C63" w:rsidRPr="00B87605" w:rsidRDefault="00534C63" w:rsidP="00534C63">
      <w:pPr>
        <w:pStyle w:val="whp20100506"/>
      </w:pPr>
      <w:r w:rsidRPr="00B87605">
        <w:t>He notes the requirements for LPTs include prescribing to their Corporations Act; if listed the rules of the Australian Stock Exchange Limited (ASX); holding an Australian Financial Services License (AFSL); lodging with the Australian Securities and Investment Commission (ASIC) a constitution containing the rules of the scheme and a compliance plan; establishing a compliance committee to monitor the scheme; and holding the scheme on trust for the investors. The disclosure obligations of LPTs are intensive and are done by way of issuing a Product Disclosure Statement (PDS). This includes a list of specific content requirements of the LPT; a fee template; forecasts and historical information pertaining to financial information; and general content information. Any misleading or defective PDS is subject to prosecution for a criminal offence.  LPTs must also comply with spread tests, asset tests, disclosure of structures and operations and include further rules pertaining to disclosure of anti-dilution transactions, interests of directors, related party transactions and significant transactions. Sullivan concludes by saying: “there is a continuing dynamic developing of both listed and unlisted property funds in Australia with innovative structures and products constantly evolving. The relatively high level o regulation of the LPT market has not been an impediment to the establishment and ongoing liquidity of LPTs. In fact it might have been beneficial as it has contributed to the confidence of investors to invest in this type of vehicle” (Sullivan, 2007: 11).</w:t>
      </w:r>
    </w:p>
    <w:p w:rsidR="00534C63" w:rsidRPr="00B87605" w:rsidRDefault="00534C63" w:rsidP="00534C63">
      <w:pPr>
        <w:pStyle w:val="whp20100506"/>
      </w:pPr>
    </w:p>
    <w:p w:rsidR="00534C63" w:rsidRPr="00B87605" w:rsidRDefault="00534C63" w:rsidP="00534C63">
      <w:pPr>
        <w:pStyle w:val="whp20100506"/>
      </w:pPr>
      <w:r w:rsidRPr="00B87605">
        <w:t xml:space="preserve">Risk diversification is of paramount importance and also in line with the global objectives to protect the interests of the </w:t>
      </w:r>
      <w:r w:rsidR="00194F2A">
        <w:t>REITS</w:t>
      </w:r>
      <w:r w:rsidRPr="00B87605">
        <w:t xml:space="preserve"> investor.  It is unlikely that a single criterion of say three buildings is adequate protection and therefore the National Treasury should endorse the notion to extrapolate to include a wider ambit of criteria to include geographical regions, property classes but not to stymie the flexibility of the overall strategies of the fund.</w:t>
      </w:r>
      <w:r>
        <w:t xml:space="preserve"> </w:t>
      </w:r>
      <w:r w:rsidRPr="00B87605">
        <w:t xml:space="preserve">Risk diversification for </w:t>
      </w:r>
      <w:r w:rsidR="00194F2A">
        <w:t>REITS</w:t>
      </w:r>
      <w:r w:rsidRPr="00B87605">
        <w:t xml:space="preserve"> considering listing must meet a minimum net asset value of say R1 billion rand at the time of listing. This is the recommendation of the local industry workshop</w:t>
      </w:r>
      <w:r w:rsidRPr="00B87605">
        <w:rPr>
          <w:noProof/>
        </w:rPr>
        <w:t xml:space="preserve"> (Java Capital, March 2009)</w:t>
      </w:r>
      <w:r w:rsidRPr="00B87605">
        <w:t>. The rationale being to avoid risk where a property portfolio which intends to list is very small in monetary terms and is say wholly dependent upon one anchor tenant. A sizeable portfolio of R1 billion will ensure a healthy and solid tenant mix by its own natural consequence which is not exposed to one or a few neither selected tenants nor exposure to a particular geographical region.</w:t>
      </w:r>
    </w:p>
    <w:p w:rsidR="00534C63" w:rsidRPr="00EF75E9" w:rsidRDefault="00534C63" w:rsidP="00386CAB">
      <w:pPr>
        <w:pStyle w:val="whp20100506"/>
        <w:numPr>
          <w:ilvl w:val="2"/>
          <w:numId w:val="37"/>
        </w:numPr>
        <w:rPr>
          <w:b/>
        </w:rPr>
      </w:pPr>
      <w:r w:rsidRPr="00EF75E9">
        <w:rPr>
          <w:b/>
        </w:rPr>
        <w:lastRenderedPageBreak/>
        <w:t xml:space="preserve"> DISTRIBUTION RULES</w:t>
      </w:r>
    </w:p>
    <w:p w:rsidR="00534C63" w:rsidRPr="00E67127" w:rsidRDefault="00534C63" w:rsidP="00534C63">
      <w:pPr>
        <w:pStyle w:val="whp20100506"/>
        <w:rPr>
          <w:b/>
          <w:highlight w:val="yellow"/>
        </w:rPr>
      </w:pPr>
    </w:p>
    <w:tbl>
      <w:tblPr>
        <w:tblW w:w="9270" w:type="dxa"/>
        <w:tblInd w:w="108"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Look w:val="04A0"/>
      </w:tblPr>
      <w:tblGrid>
        <w:gridCol w:w="360"/>
        <w:gridCol w:w="8910"/>
      </w:tblGrid>
      <w:tr w:rsidR="00534C63" w:rsidRPr="00925AE5" w:rsidTr="00A8691C">
        <w:trPr>
          <w:trHeight w:val="300"/>
        </w:trPr>
        <w:tc>
          <w:tcPr>
            <w:tcW w:w="9270" w:type="dxa"/>
            <w:gridSpan w:val="2"/>
            <w:shd w:val="clear" w:color="auto" w:fill="F2F2F2" w:themeFill="background1" w:themeFillShade="F2"/>
            <w:noWrap/>
            <w:vAlign w:val="bottom"/>
            <w:hideMark/>
          </w:tcPr>
          <w:p w:rsidR="00534C63" w:rsidRPr="00206089" w:rsidRDefault="00534C63" w:rsidP="00684B0F">
            <w:pPr>
              <w:pStyle w:val="whp20100506"/>
              <w:rPr>
                <w:b/>
                <w:i/>
              </w:rPr>
            </w:pPr>
            <w:r w:rsidRPr="00206089">
              <w:rPr>
                <w:b/>
                <w:i/>
              </w:rPr>
              <w:t>National Treasury Proposal: Distribution Rules</w:t>
            </w:r>
          </w:p>
          <w:p w:rsidR="00534C63" w:rsidRPr="00925AE5" w:rsidRDefault="00534C63" w:rsidP="00684B0F">
            <w:pPr>
              <w:pStyle w:val="whp20100506"/>
              <w:rPr>
                <w:i/>
              </w:rPr>
            </w:pPr>
          </w:p>
        </w:tc>
      </w:tr>
      <w:tr w:rsidR="00534C63" w:rsidRPr="00925AE5" w:rsidTr="00A8691C">
        <w:trPr>
          <w:trHeight w:val="300"/>
        </w:trPr>
        <w:tc>
          <w:tcPr>
            <w:tcW w:w="360" w:type="dxa"/>
            <w:shd w:val="clear" w:color="auto" w:fill="F2F2F2" w:themeFill="background1" w:themeFillShade="F2"/>
            <w:noWrap/>
            <w:hideMark/>
          </w:tcPr>
          <w:p w:rsidR="00534C63" w:rsidRPr="00925AE5" w:rsidRDefault="00534C63" w:rsidP="00684B0F">
            <w:pPr>
              <w:pStyle w:val="whp20100506"/>
              <w:rPr>
                <w:i/>
              </w:rPr>
            </w:pPr>
            <w:r w:rsidRPr="00925AE5">
              <w:rPr>
                <w:i/>
              </w:rPr>
              <w:t>*</w:t>
            </w:r>
          </w:p>
        </w:tc>
        <w:tc>
          <w:tcPr>
            <w:tcW w:w="8910" w:type="dxa"/>
            <w:shd w:val="clear" w:color="auto" w:fill="F2F2F2" w:themeFill="background1" w:themeFillShade="F2"/>
            <w:noWrap/>
            <w:hideMark/>
          </w:tcPr>
          <w:p w:rsidR="00534C63" w:rsidRPr="00925AE5" w:rsidRDefault="00534C63" w:rsidP="00684B0F">
            <w:pPr>
              <w:pStyle w:val="whp20100506"/>
              <w:rPr>
                <w:i/>
              </w:rPr>
            </w:pPr>
            <w:r w:rsidRPr="00925AE5">
              <w:rPr>
                <w:i/>
              </w:rPr>
              <w:t>A REIT must distribute at least 90% of accounting profits on an annual basis</w:t>
            </w:r>
          </w:p>
          <w:p w:rsidR="00534C63" w:rsidRPr="00925AE5" w:rsidRDefault="00534C63" w:rsidP="00684B0F">
            <w:pPr>
              <w:pStyle w:val="whp20100506"/>
              <w:rPr>
                <w:i/>
              </w:rPr>
            </w:pPr>
          </w:p>
        </w:tc>
      </w:tr>
      <w:tr w:rsidR="00534C63" w:rsidRPr="00925AE5" w:rsidTr="00A8691C">
        <w:trPr>
          <w:trHeight w:val="300"/>
        </w:trPr>
        <w:tc>
          <w:tcPr>
            <w:tcW w:w="360" w:type="dxa"/>
            <w:shd w:val="clear" w:color="auto" w:fill="F2F2F2" w:themeFill="background1" w:themeFillShade="F2"/>
            <w:noWrap/>
            <w:hideMark/>
          </w:tcPr>
          <w:p w:rsidR="00534C63" w:rsidRPr="00925AE5" w:rsidRDefault="00534C63" w:rsidP="00684B0F">
            <w:pPr>
              <w:pStyle w:val="whp20100506"/>
              <w:rPr>
                <w:i/>
              </w:rPr>
            </w:pPr>
            <w:r w:rsidRPr="00925AE5">
              <w:rPr>
                <w:i/>
              </w:rPr>
              <w:t>*</w:t>
            </w:r>
          </w:p>
        </w:tc>
        <w:tc>
          <w:tcPr>
            <w:tcW w:w="8910" w:type="dxa"/>
            <w:shd w:val="clear" w:color="auto" w:fill="F2F2F2" w:themeFill="background1" w:themeFillShade="F2"/>
            <w:noWrap/>
            <w:hideMark/>
          </w:tcPr>
          <w:p w:rsidR="00534C63" w:rsidRPr="00925AE5" w:rsidRDefault="00534C63" w:rsidP="00684B0F">
            <w:pPr>
              <w:pStyle w:val="whp20100506"/>
              <w:rPr>
                <w:i/>
              </w:rPr>
            </w:pPr>
            <w:r w:rsidRPr="00925AE5">
              <w:rPr>
                <w:i/>
              </w:rPr>
              <w:t>A level of regulation of expenses will ensure that the beneficial tax status of a REIT do not subsidise the cost of service providers to the REIT</w:t>
            </w:r>
          </w:p>
          <w:p w:rsidR="00534C63" w:rsidRPr="00925AE5" w:rsidRDefault="00534C63" w:rsidP="00684B0F">
            <w:pPr>
              <w:pStyle w:val="whp20100506"/>
              <w:rPr>
                <w:i/>
              </w:rPr>
            </w:pPr>
          </w:p>
        </w:tc>
      </w:tr>
      <w:tr w:rsidR="00534C63" w:rsidRPr="00925AE5" w:rsidTr="00A8691C">
        <w:trPr>
          <w:trHeight w:val="300"/>
        </w:trPr>
        <w:tc>
          <w:tcPr>
            <w:tcW w:w="360" w:type="dxa"/>
            <w:shd w:val="clear" w:color="auto" w:fill="F2F2F2" w:themeFill="background1" w:themeFillShade="F2"/>
            <w:noWrap/>
            <w:hideMark/>
          </w:tcPr>
          <w:p w:rsidR="00534C63" w:rsidRPr="00925AE5" w:rsidRDefault="00534C63" w:rsidP="00684B0F">
            <w:pPr>
              <w:pStyle w:val="whp20100506"/>
              <w:rPr>
                <w:i/>
              </w:rPr>
            </w:pPr>
            <w:r w:rsidRPr="00925AE5">
              <w:rPr>
                <w:i/>
              </w:rPr>
              <w:t>*</w:t>
            </w:r>
          </w:p>
        </w:tc>
        <w:tc>
          <w:tcPr>
            <w:tcW w:w="8910" w:type="dxa"/>
            <w:shd w:val="clear" w:color="auto" w:fill="F2F2F2" w:themeFill="background1" w:themeFillShade="F2"/>
            <w:noWrap/>
            <w:hideMark/>
          </w:tcPr>
          <w:p w:rsidR="00534C63" w:rsidRPr="00925AE5" w:rsidRDefault="00534C63" w:rsidP="00684B0F">
            <w:pPr>
              <w:pStyle w:val="whp20100506"/>
              <w:rPr>
                <w:i/>
              </w:rPr>
            </w:pPr>
            <w:r w:rsidRPr="00925AE5">
              <w:rPr>
                <w:i/>
              </w:rPr>
              <w:t>Proceeds realised on the sale of assets must be re-invested within 12 months from the date of the realised gain and may not be distributed to unit holders.</w:t>
            </w:r>
          </w:p>
          <w:p w:rsidR="00534C63" w:rsidRPr="00925AE5" w:rsidRDefault="00534C63" w:rsidP="00684B0F">
            <w:pPr>
              <w:pStyle w:val="whp20100506"/>
              <w:rPr>
                <w:i/>
              </w:rPr>
            </w:pPr>
          </w:p>
        </w:tc>
      </w:tr>
    </w:tbl>
    <w:p w:rsidR="00534C63" w:rsidRDefault="00534C63" w:rsidP="00534C63">
      <w:pPr>
        <w:pStyle w:val="whp20100506"/>
      </w:pPr>
    </w:p>
    <w:p w:rsidR="00534C63" w:rsidRPr="00974000" w:rsidRDefault="00534C63" w:rsidP="00534C63">
      <w:pPr>
        <w:pStyle w:val="whp20100506"/>
      </w:pPr>
      <w:r>
        <w:t xml:space="preserve">The objectives of the National Treasury </w:t>
      </w:r>
      <w:r w:rsidRPr="00974000">
        <w:t>is to create a practical yet efficient and well regulated savings investment vehicle whilst at the same time limiting tax losses to the fiscus (National Treasury, 2007: 10).</w:t>
      </w:r>
    </w:p>
    <w:p w:rsidR="00CA55A8" w:rsidRPr="00974000" w:rsidRDefault="00CA55A8" w:rsidP="00534C63">
      <w:pPr>
        <w:pStyle w:val="whp20100506"/>
      </w:pPr>
    </w:p>
    <w:p w:rsidR="00CA55A8" w:rsidRPr="00124B8E" w:rsidRDefault="00CA55A8" w:rsidP="00534C63">
      <w:pPr>
        <w:pStyle w:val="whp20100506"/>
      </w:pPr>
      <w:r w:rsidRPr="00974000">
        <w:t>Factors that could jeopardise the National Treasury’s objectives include extraordinary events such as recessions, economic down swings, interest rate fluctuations, natural disasters etc</w:t>
      </w:r>
      <w:r w:rsidR="00931436" w:rsidRPr="00974000">
        <w:t xml:space="preserve"> which would unfairly prejudice or penalise the REIT by way of exogenous factors that were unforeseeable at the time of meeting their obligations.</w:t>
      </w:r>
    </w:p>
    <w:p w:rsidR="00534C63" w:rsidRDefault="00534C63" w:rsidP="00534C63">
      <w:pPr>
        <w:pStyle w:val="whp20100506"/>
      </w:pPr>
    </w:p>
    <w:p w:rsidR="00534C63" w:rsidRPr="00C7460C" w:rsidRDefault="00534C63" w:rsidP="00534C63">
      <w:pPr>
        <w:pStyle w:val="whp20100506"/>
        <w:rPr>
          <w:b/>
          <w:i/>
        </w:rPr>
      </w:pPr>
      <w:r w:rsidRPr="00FE403B">
        <w:rPr>
          <w:b/>
          <w:i/>
          <w:u w:val="single"/>
        </w:rPr>
        <w:t>Comment 1:</w:t>
      </w:r>
      <w:r w:rsidRPr="00C7460C">
        <w:rPr>
          <w:b/>
          <w:i/>
        </w:rPr>
        <w:t xml:space="preserve"> Clarification of the Term ‘Accounting Profit’</w:t>
      </w:r>
    </w:p>
    <w:p w:rsidR="00534C63" w:rsidRDefault="00534C63" w:rsidP="00534C63">
      <w:pPr>
        <w:pStyle w:val="whp20100506"/>
      </w:pPr>
    </w:p>
    <w:p w:rsidR="00534C63" w:rsidRPr="0090579E" w:rsidRDefault="00534C63" w:rsidP="00534C63">
      <w:pPr>
        <w:pStyle w:val="whp20100506"/>
      </w:pPr>
      <w:r w:rsidRPr="0090579E">
        <w:t xml:space="preserve">The term ‘accounting profit’ has been scrutinised by the local industry both in terms of the appropriateness of this as a distribution rule and also the exact definition thereof. The argument goes go further in terms of whether unrealised gains particular to capital should be included in the definition of profit. </w:t>
      </w:r>
    </w:p>
    <w:p w:rsidR="00534C63" w:rsidRPr="0090579E" w:rsidRDefault="00534C63" w:rsidP="00534C63">
      <w:pPr>
        <w:pStyle w:val="whp20100506"/>
      </w:pPr>
    </w:p>
    <w:p w:rsidR="00534C63" w:rsidRPr="0090579E" w:rsidRDefault="00534C63" w:rsidP="00534C63">
      <w:pPr>
        <w:pStyle w:val="whp20100506"/>
      </w:pPr>
      <w:r w:rsidRPr="0090579E">
        <w:t xml:space="preserve">In response to this, the National Treasury accepted that ‘accounting profits’ are not an appropriate yardstick and instead should be replaced with the term ‘distributable profit’, upon which the 90% distribution will be based (National Treasury, 2008: 10). The concession of changing the terminology also alludes to the need for the National Treasury to seek facilitated interaction with accounting authorities and local industry to better understanding the holistic </w:t>
      </w:r>
      <w:r w:rsidRPr="0090579E">
        <w:lastRenderedPageBreak/>
        <w:t xml:space="preserve">implications of property investment jargon. </w:t>
      </w:r>
    </w:p>
    <w:p w:rsidR="00534C63" w:rsidRDefault="00534C63" w:rsidP="00534C63">
      <w:pPr>
        <w:pStyle w:val="whp20100506"/>
      </w:pPr>
    </w:p>
    <w:p w:rsidR="00534C63" w:rsidRDefault="00534C63" w:rsidP="00534C63">
      <w:pPr>
        <w:pStyle w:val="whp20100506"/>
      </w:pPr>
      <w:r w:rsidRPr="009B5CA4">
        <w:t>Java Capital (2009: 4) regard</w:t>
      </w:r>
      <w:r>
        <w:t>s</w:t>
      </w:r>
      <w:r w:rsidRPr="009B5CA4">
        <w:t xml:space="preserve"> distributable profits as the amount that is transferrable to unit holders and is seen as a close</w:t>
      </w:r>
      <w:r w:rsidRPr="0090579E">
        <w:t xml:space="preserve"> estimate of the true economic value of a property company. This is the measure of cash generated by operations which is available for distribution.</w:t>
      </w:r>
      <w:r w:rsidRPr="00C3353D">
        <w:t xml:space="preserve"> </w:t>
      </w:r>
    </w:p>
    <w:p w:rsidR="00534C63" w:rsidRPr="0090579E" w:rsidRDefault="00534C63" w:rsidP="00534C63">
      <w:pPr>
        <w:pStyle w:val="whp20100506"/>
      </w:pPr>
      <w:r w:rsidRPr="0090579E">
        <w:t xml:space="preserve">Zayd Sulaiman from Catalyst Asset Management however agrees with the sentiments of the National Treasury that capital gains cannot be distributed but says that further provision must be made for a REIT to buy back its shares with the proceeds of a sale (Questionnaire, 2010 May). The buy-back of shares is also supported by Java Capital (Draft Discussion, 2009 March: 4). </w:t>
      </w:r>
    </w:p>
    <w:p w:rsidR="00534C63" w:rsidRPr="0090579E" w:rsidRDefault="00534C63" w:rsidP="00534C63">
      <w:pPr>
        <w:pStyle w:val="whp20100506"/>
      </w:pPr>
    </w:p>
    <w:p w:rsidR="00534C63" w:rsidRPr="0090579E" w:rsidRDefault="00534C63" w:rsidP="00534C63">
      <w:pPr>
        <w:pStyle w:val="whp20100506"/>
      </w:pPr>
      <w:r w:rsidRPr="0090579E">
        <w:t xml:space="preserve">Vuyani Bekwa from Investec extrapolates on this area in that the objective of investing one’s money in any particular property investment is the growth of income and value of the underlying property through the escalations rates within the lease agreements (Questionnaire, 2010 May). He feels that if the proceeds that are realised on the sale of the assets are not paid out and instead must be reinvested into the fund, then as a compromise the minimum pay-out ratios need to increase. Not all investors retain their investments for the long run and change their allocation depending upon the market conditions and their investment strategy and thus should enjoy the short term benefit which will only be done if the minimum pay-out ratio increases to say 95%. </w:t>
      </w:r>
    </w:p>
    <w:p w:rsidR="00534C63" w:rsidRPr="0090579E" w:rsidRDefault="00534C63" w:rsidP="00534C63">
      <w:pPr>
        <w:pStyle w:val="whp20100506"/>
      </w:pPr>
    </w:p>
    <w:p w:rsidR="00534C63" w:rsidRPr="00AC72F8" w:rsidRDefault="00534C63" w:rsidP="00534C63">
      <w:pPr>
        <w:pStyle w:val="whp20100506"/>
        <w:rPr>
          <w:b/>
          <w:i/>
        </w:rPr>
      </w:pPr>
      <w:r w:rsidRPr="00AC72F8">
        <w:rPr>
          <w:b/>
          <w:i/>
        </w:rPr>
        <w:t>Conclusion</w:t>
      </w:r>
    </w:p>
    <w:p w:rsidR="00534C63" w:rsidRDefault="00534C63" w:rsidP="00534C63">
      <w:pPr>
        <w:pStyle w:val="whp20100506"/>
        <w:rPr>
          <w:b/>
        </w:rPr>
      </w:pPr>
    </w:p>
    <w:p w:rsidR="00534C63" w:rsidRPr="0090579E" w:rsidRDefault="00534C63" w:rsidP="00534C63">
      <w:pPr>
        <w:pStyle w:val="whp20100506"/>
      </w:pPr>
      <w:r w:rsidRPr="0090579E">
        <w:t xml:space="preserve">In its basic form, </w:t>
      </w:r>
      <w:r w:rsidR="00194F2A">
        <w:t>REITS</w:t>
      </w:r>
      <w:r w:rsidRPr="0090579E">
        <w:t xml:space="preserve"> should distribute 90% of their distributable income to shareholders on an annual basis. 90% as a minimum is within the global trends as reflected in the rules of Japan, Singapore, UK, USA and Germany (Ernest &amp; Young, Global </w:t>
      </w:r>
      <w:r w:rsidR="00194F2A">
        <w:t>REITS</w:t>
      </w:r>
      <w:r w:rsidRPr="0090579E">
        <w:t xml:space="preserve"> Report 2010). Any amounts retained within the fund must be taxed at that entities corporate tax rate. </w:t>
      </w:r>
    </w:p>
    <w:p w:rsidR="00534C63" w:rsidRPr="0090579E" w:rsidRDefault="00534C63" w:rsidP="00534C63">
      <w:pPr>
        <w:pStyle w:val="whp20100506"/>
      </w:pPr>
    </w:p>
    <w:p w:rsidR="00534C63" w:rsidRPr="0090579E" w:rsidRDefault="00694F60" w:rsidP="00534C63">
      <w:pPr>
        <w:pStyle w:val="whp20100506"/>
      </w:pPr>
      <w:r>
        <w:t>The Ernest &amp; Young</w:t>
      </w:r>
      <w:r w:rsidR="00534C63" w:rsidRPr="0090579E">
        <w:t xml:space="preserve"> reports have summarised global REIT which help understand the parameters that the National Treasury should take note of when defining the parameters of regulating the flow of revenue. </w:t>
      </w:r>
      <w:r w:rsidR="003C1984">
        <w:t xml:space="preserve">For an overview, see Table </w:t>
      </w:r>
      <w:r w:rsidR="00E6310C">
        <w:t>5</w:t>
      </w:r>
      <w:r w:rsidR="003C1984">
        <w:t xml:space="preserve"> below.</w:t>
      </w:r>
    </w:p>
    <w:p w:rsidR="00534C63" w:rsidRDefault="00534C63" w:rsidP="00534C63">
      <w:pPr>
        <w:pStyle w:val="whp20100506"/>
        <w:ind w:left="720"/>
        <w:rPr>
          <w:noProof/>
        </w:rPr>
      </w:pPr>
    </w:p>
    <w:p w:rsidR="005C373B" w:rsidRDefault="005C373B" w:rsidP="00534C63">
      <w:pPr>
        <w:pStyle w:val="whp20100506"/>
        <w:ind w:left="720"/>
        <w:rPr>
          <w:noProof/>
        </w:rPr>
      </w:pPr>
    </w:p>
    <w:p w:rsidR="005C373B" w:rsidRDefault="005C373B" w:rsidP="00534C63">
      <w:pPr>
        <w:pStyle w:val="whp20100506"/>
        <w:ind w:left="720"/>
        <w:rPr>
          <w:noProof/>
        </w:rPr>
      </w:pPr>
    </w:p>
    <w:p w:rsidR="00CD064E" w:rsidRDefault="00CD064E" w:rsidP="00364C0C">
      <w:pPr>
        <w:pStyle w:val="whp20100506"/>
        <w:jc w:val="center"/>
        <w:rPr>
          <w:rFonts w:asciiTheme="minorHAnsi" w:hAnsiTheme="minorHAnsi"/>
          <w:b/>
          <w:sz w:val="18"/>
          <w:szCs w:val="18"/>
        </w:rPr>
      </w:pPr>
      <w:bookmarkStart w:id="23" w:name="_Toc250743937"/>
      <w:bookmarkStart w:id="24" w:name="_Toc261371871"/>
      <w:bookmarkStart w:id="25" w:name="_Toc263675838"/>
      <w:bookmarkStart w:id="26" w:name="_Toc267930717"/>
    </w:p>
    <w:p w:rsidR="00364C0C" w:rsidRPr="00A90F31" w:rsidRDefault="00364C0C" w:rsidP="00364C0C">
      <w:pPr>
        <w:pStyle w:val="whp20100506"/>
        <w:jc w:val="center"/>
        <w:rPr>
          <w:rFonts w:asciiTheme="minorHAnsi" w:hAnsiTheme="minorHAnsi"/>
          <w:b/>
          <w:sz w:val="18"/>
          <w:szCs w:val="18"/>
          <w:lang w:eastAsia="en-ZA"/>
        </w:rPr>
      </w:pPr>
      <w:r w:rsidRPr="00A90F31">
        <w:rPr>
          <w:rFonts w:asciiTheme="minorHAnsi" w:hAnsiTheme="minorHAnsi"/>
          <w:b/>
          <w:sz w:val="18"/>
          <w:szCs w:val="18"/>
        </w:rPr>
        <w:t xml:space="preserve">Table </w:t>
      </w:r>
      <w:r>
        <w:rPr>
          <w:rFonts w:asciiTheme="minorHAnsi" w:hAnsiTheme="minorHAnsi"/>
          <w:b/>
          <w:sz w:val="18"/>
          <w:szCs w:val="18"/>
        </w:rPr>
        <w:t>5</w:t>
      </w:r>
      <w:r w:rsidRPr="00A90F31">
        <w:rPr>
          <w:rFonts w:asciiTheme="minorHAnsi" w:hAnsiTheme="minorHAnsi"/>
          <w:b/>
          <w:sz w:val="18"/>
          <w:szCs w:val="18"/>
        </w:rPr>
        <w:t xml:space="preserve"> REIT Income Distribution Rules 2008</w:t>
      </w:r>
      <w:bookmarkEnd w:id="23"/>
      <w:bookmarkEnd w:id="24"/>
      <w:bookmarkEnd w:id="25"/>
      <w:r w:rsidRPr="00A90F31">
        <w:rPr>
          <w:rFonts w:asciiTheme="minorHAnsi" w:hAnsiTheme="minorHAnsi"/>
          <w:b/>
          <w:sz w:val="18"/>
          <w:szCs w:val="18"/>
        </w:rPr>
        <w:t xml:space="preserve"> (Ernest &amp; Young 2010)</w:t>
      </w:r>
      <w:bookmarkEnd w:id="26"/>
    </w:p>
    <w:tbl>
      <w:tblPr>
        <w:tblW w:w="0" w:type="auto"/>
        <w:jc w:val="center"/>
        <w:tblInd w:w="-14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016"/>
        <w:gridCol w:w="1997"/>
        <w:gridCol w:w="2831"/>
      </w:tblGrid>
      <w:tr w:rsidR="00534C63" w:rsidRPr="00AE0A25" w:rsidTr="00A8691C">
        <w:trPr>
          <w:trHeight w:val="414"/>
          <w:jc w:val="center"/>
        </w:trPr>
        <w:tc>
          <w:tcPr>
            <w:tcW w:w="2016" w:type="dxa"/>
            <w:vMerge w:val="restart"/>
            <w:shd w:val="clear" w:color="auto" w:fill="F2F2F2" w:themeFill="background1" w:themeFillShade="F2"/>
            <w:noWrap/>
            <w:vAlign w:val="center"/>
            <w:hideMark/>
          </w:tcPr>
          <w:p w:rsidR="00534C63" w:rsidRPr="00701814" w:rsidRDefault="00534C63" w:rsidP="00701814">
            <w:pPr>
              <w:pStyle w:val="whp20100506"/>
              <w:jc w:val="center"/>
              <w:rPr>
                <w:b/>
              </w:rPr>
            </w:pPr>
            <w:r w:rsidRPr="00701814">
              <w:rPr>
                <w:b/>
              </w:rPr>
              <w:t>Region</w:t>
            </w:r>
          </w:p>
        </w:tc>
        <w:tc>
          <w:tcPr>
            <w:tcW w:w="1997" w:type="dxa"/>
            <w:vMerge w:val="restart"/>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Country</w:t>
            </w:r>
          </w:p>
        </w:tc>
        <w:tc>
          <w:tcPr>
            <w:tcW w:w="2831" w:type="dxa"/>
            <w:vMerge w:val="restart"/>
            <w:shd w:val="clear" w:color="auto" w:fill="F2F2F2" w:themeFill="background1" w:themeFillShade="F2"/>
            <w:noWrap/>
            <w:vAlign w:val="center"/>
            <w:hideMark/>
          </w:tcPr>
          <w:p w:rsidR="00534C63" w:rsidRPr="00701814" w:rsidRDefault="00534C63" w:rsidP="00684B0F">
            <w:pPr>
              <w:pStyle w:val="whp20100506"/>
              <w:jc w:val="center"/>
              <w:rPr>
                <w:b/>
              </w:rPr>
            </w:pPr>
            <w:r w:rsidRPr="00701814">
              <w:rPr>
                <w:b/>
              </w:rPr>
              <w:t>Distribution Req's</w:t>
            </w:r>
          </w:p>
        </w:tc>
      </w:tr>
      <w:tr w:rsidR="00534C63" w:rsidRPr="00AE0A25" w:rsidTr="00A8691C">
        <w:trPr>
          <w:trHeight w:val="414"/>
          <w:jc w:val="center"/>
        </w:trPr>
        <w:tc>
          <w:tcPr>
            <w:tcW w:w="2016" w:type="dxa"/>
            <w:vMerge/>
            <w:shd w:val="clear" w:color="auto" w:fill="F2F2F2" w:themeFill="background1" w:themeFillShade="F2"/>
            <w:vAlign w:val="center"/>
            <w:hideMark/>
          </w:tcPr>
          <w:p w:rsidR="00534C63" w:rsidRPr="00AE0A25" w:rsidRDefault="00534C63" w:rsidP="00701814">
            <w:pPr>
              <w:pStyle w:val="whp20100506"/>
              <w:jc w:val="center"/>
            </w:pPr>
          </w:p>
        </w:tc>
        <w:tc>
          <w:tcPr>
            <w:tcW w:w="1997" w:type="dxa"/>
            <w:vMerge/>
            <w:shd w:val="clear" w:color="auto" w:fill="D9D9D9" w:themeFill="background1" w:themeFillShade="D9"/>
            <w:vAlign w:val="center"/>
            <w:hideMark/>
          </w:tcPr>
          <w:p w:rsidR="00534C63" w:rsidRPr="00AE0A25" w:rsidRDefault="00534C63" w:rsidP="00684B0F">
            <w:pPr>
              <w:pStyle w:val="whp20100506"/>
              <w:jc w:val="center"/>
            </w:pPr>
          </w:p>
        </w:tc>
        <w:tc>
          <w:tcPr>
            <w:tcW w:w="2831" w:type="dxa"/>
            <w:vMerge/>
            <w:shd w:val="clear" w:color="auto" w:fill="D9D9D9" w:themeFill="background1" w:themeFillShade="D9"/>
            <w:vAlign w:val="center"/>
            <w:hideMark/>
          </w:tcPr>
          <w:p w:rsidR="00534C63" w:rsidRPr="00AE0A25" w:rsidRDefault="00534C63" w:rsidP="00684B0F">
            <w:pPr>
              <w:pStyle w:val="whp20100506"/>
              <w:jc w:val="center"/>
            </w:pPr>
          </w:p>
        </w:tc>
      </w:tr>
      <w:tr w:rsidR="00534C63" w:rsidRPr="00AE0A25" w:rsidTr="00A8691C">
        <w:trPr>
          <w:trHeight w:val="216"/>
          <w:jc w:val="center"/>
        </w:trPr>
        <w:tc>
          <w:tcPr>
            <w:tcW w:w="2016" w:type="dxa"/>
            <w:vMerge w:val="restart"/>
            <w:shd w:val="clear" w:color="auto" w:fill="F2F2F2" w:themeFill="background1" w:themeFillShade="F2"/>
            <w:noWrap/>
            <w:vAlign w:val="center"/>
            <w:hideMark/>
          </w:tcPr>
          <w:p w:rsidR="00534C63" w:rsidRPr="00701814" w:rsidRDefault="00534C63" w:rsidP="00701814">
            <w:pPr>
              <w:pStyle w:val="whp20100506"/>
              <w:jc w:val="center"/>
              <w:rPr>
                <w:b/>
              </w:rPr>
            </w:pPr>
            <w:r w:rsidRPr="00701814">
              <w:rPr>
                <w:b/>
              </w:rPr>
              <w:t>North America</w:t>
            </w:r>
          </w:p>
        </w:tc>
        <w:tc>
          <w:tcPr>
            <w:tcW w:w="1997" w:type="dxa"/>
            <w:shd w:val="clear" w:color="auto" w:fill="auto"/>
            <w:noWrap/>
            <w:vAlign w:val="bottom"/>
            <w:hideMark/>
          </w:tcPr>
          <w:p w:rsidR="00534C63" w:rsidRPr="00AE0A25" w:rsidRDefault="00534C63" w:rsidP="00701814">
            <w:pPr>
              <w:pStyle w:val="whp20100506"/>
              <w:jc w:val="center"/>
            </w:pPr>
            <w:r>
              <w:t>USA</w:t>
            </w:r>
          </w:p>
        </w:tc>
        <w:tc>
          <w:tcPr>
            <w:tcW w:w="2831" w:type="dxa"/>
            <w:shd w:val="clear" w:color="auto" w:fill="auto"/>
            <w:noWrap/>
            <w:vAlign w:val="bottom"/>
            <w:hideMark/>
          </w:tcPr>
          <w:p w:rsidR="00534C63" w:rsidRPr="00AE0A25" w:rsidRDefault="00534C63" w:rsidP="00701814">
            <w:pPr>
              <w:pStyle w:val="whp20100506"/>
              <w:jc w:val="center"/>
            </w:pPr>
            <w:r>
              <w:t>90%</w:t>
            </w:r>
          </w:p>
        </w:tc>
      </w:tr>
      <w:tr w:rsidR="00534C63" w:rsidRPr="00AE0A25" w:rsidTr="00A8691C">
        <w:trPr>
          <w:trHeight w:val="226"/>
          <w:jc w:val="center"/>
        </w:trPr>
        <w:tc>
          <w:tcPr>
            <w:tcW w:w="2016" w:type="dxa"/>
            <w:vMerge/>
            <w:shd w:val="clear" w:color="auto" w:fill="F2F2F2" w:themeFill="background1" w:themeFillShade="F2"/>
            <w:vAlign w:val="center"/>
            <w:hideMark/>
          </w:tcPr>
          <w:p w:rsidR="00534C63" w:rsidRPr="00701814" w:rsidRDefault="00534C63" w:rsidP="00701814">
            <w:pPr>
              <w:pStyle w:val="whp20100506"/>
              <w:jc w:val="center"/>
              <w:rPr>
                <w:b/>
              </w:rPr>
            </w:pPr>
          </w:p>
        </w:tc>
        <w:tc>
          <w:tcPr>
            <w:tcW w:w="1997" w:type="dxa"/>
            <w:shd w:val="clear" w:color="auto" w:fill="auto"/>
            <w:noWrap/>
            <w:vAlign w:val="bottom"/>
            <w:hideMark/>
          </w:tcPr>
          <w:p w:rsidR="00534C63" w:rsidRPr="00AE0A25" w:rsidRDefault="00534C63" w:rsidP="00701814">
            <w:pPr>
              <w:pStyle w:val="whp20100506"/>
              <w:jc w:val="center"/>
            </w:pPr>
            <w:r>
              <w:t>Canada</w:t>
            </w:r>
          </w:p>
        </w:tc>
        <w:tc>
          <w:tcPr>
            <w:tcW w:w="2831" w:type="dxa"/>
            <w:shd w:val="clear" w:color="auto" w:fill="auto"/>
            <w:noWrap/>
            <w:vAlign w:val="bottom"/>
            <w:hideMark/>
          </w:tcPr>
          <w:p w:rsidR="00534C63" w:rsidRPr="00AE0A25" w:rsidRDefault="00534C63" w:rsidP="00701814">
            <w:pPr>
              <w:pStyle w:val="whp20100506"/>
              <w:jc w:val="center"/>
            </w:pPr>
            <w:r>
              <w:t>no minimum</w:t>
            </w:r>
          </w:p>
        </w:tc>
      </w:tr>
      <w:tr w:rsidR="00534C63" w:rsidRPr="00AE0A25" w:rsidTr="00A8691C">
        <w:trPr>
          <w:trHeight w:val="216"/>
          <w:jc w:val="center"/>
        </w:trPr>
        <w:tc>
          <w:tcPr>
            <w:tcW w:w="2016" w:type="dxa"/>
            <w:vMerge w:val="restart"/>
            <w:shd w:val="clear" w:color="auto" w:fill="F2F2F2" w:themeFill="background1" w:themeFillShade="F2"/>
            <w:noWrap/>
            <w:vAlign w:val="center"/>
            <w:hideMark/>
          </w:tcPr>
          <w:p w:rsidR="00534C63" w:rsidRPr="00701814" w:rsidRDefault="00534C63" w:rsidP="00701814">
            <w:pPr>
              <w:pStyle w:val="whp20100506"/>
              <w:jc w:val="center"/>
              <w:rPr>
                <w:b/>
              </w:rPr>
            </w:pPr>
            <w:r w:rsidRPr="00701814">
              <w:rPr>
                <w:b/>
              </w:rPr>
              <w:t>Asia</w:t>
            </w:r>
          </w:p>
        </w:tc>
        <w:tc>
          <w:tcPr>
            <w:tcW w:w="1997" w:type="dxa"/>
            <w:shd w:val="clear" w:color="auto" w:fill="auto"/>
            <w:noWrap/>
            <w:vAlign w:val="bottom"/>
            <w:hideMark/>
          </w:tcPr>
          <w:p w:rsidR="00534C63" w:rsidRPr="00AE0A25" w:rsidRDefault="00534C63" w:rsidP="00701814">
            <w:pPr>
              <w:pStyle w:val="whp20100506"/>
              <w:jc w:val="center"/>
            </w:pPr>
            <w:r>
              <w:t>Malaysia</w:t>
            </w:r>
          </w:p>
        </w:tc>
        <w:tc>
          <w:tcPr>
            <w:tcW w:w="2831" w:type="dxa"/>
            <w:shd w:val="clear" w:color="auto" w:fill="auto"/>
            <w:noWrap/>
            <w:vAlign w:val="bottom"/>
            <w:hideMark/>
          </w:tcPr>
          <w:p w:rsidR="00534C63" w:rsidRPr="00AE0A25" w:rsidRDefault="00534C63" w:rsidP="00701814">
            <w:pPr>
              <w:pStyle w:val="whp20100506"/>
              <w:jc w:val="center"/>
            </w:pPr>
            <w:r>
              <w:t>90%</w:t>
            </w:r>
          </w:p>
        </w:tc>
      </w:tr>
      <w:tr w:rsidR="00534C63" w:rsidRPr="00AE0A25" w:rsidTr="00A8691C">
        <w:trPr>
          <w:trHeight w:val="216"/>
          <w:jc w:val="center"/>
        </w:trPr>
        <w:tc>
          <w:tcPr>
            <w:tcW w:w="2016" w:type="dxa"/>
            <w:vMerge/>
            <w:shd w:val="clear" w:color="auto" w:fill="F2F2F2" w:themeFill="background1" w:themeFillShade="F2"/>
            <w:vAlign w:val="center"/>
            <w:hideMark/>
          </w:tcPr>
          <w:p w:rsidR="00534C63" w:rsidRPr="00701814" w:rsidRDefault="00534C63" w:rsidP="00701814">
            <w:pPr>
              <w:pStyle w:val="whp20100506"/>
              <w:jc w:val="center"/>
              <w:rPr>
                <w:b/>
              </w:rPr>
            </w:pPr>
          </w:p>
        </w:tc>
        <w:tc>
          <w:tcPr>
            <w:tcW w:w="1997" w:type="dxa"/>
            <w:shd w:val="clear" w:color="auto" w:fill="auto"/>
            <w:noWrap/>
            <w:vAlign w:val="bottom"/>
            <w:hideMark/>
          </w:tcPr>
          <w:p w:rsidR="00534C63" w:rsidRPr="00AE0A25" w:rsidRDefault="00534C63" w:rsidP="00701814">
            <w:pPr>
              <w:pStyle w:val="whp20100506"/>
              <w:jc w:val="center"/>
            </w:pPr>
            <w:r>
              <w:t>Japan</w:t>
            </w:r>
          </w:p>
        </w:tc>
        <w:tc>
          <w:tcPr>
            <w:tcW w:w="2831" w:type="dxa"/>
            <w:shd w:val="clear" w:color="auto" w:fill="auto"/>
            <w:noWrap/>
            <w:vAlign w:val="bottom"/>
            <w:hideMark/>
          </w:tcPr>
          <w:p w:rsidR="00534C63" w:rsidRPr="00AE0A25" w:rsidRDefault="00534C63" w:rsidP="00701814">
            <w:pPr>
              <w:pStyle w:val="whp20100506"/>
              <w:jc w:val="center"/>
            </w:pPr>
            <w:r>
              <w:t>90%</w:t>
            </w:r>
          </w:p>
        </w:tc>
      </w:tr>
      <w:tr w:rsidR="00534C63" w:rsidRPr="00AE0A25" w:rsidTr="00A8691C">
        <w:trPr>
          <w:trHeight w:val="216"/>
          <w:jc w:val="center"/>
        </w:trPr>
        <w:tc>
          <w:tcPr>
            <w:tcW w:w="2016" w:type="dxa"/>
            <w:vMerge/>
            <w:shd w:val="clear" w:color="auto" w:fill="F2F2F2" w:themeFill="background1" w:themeFillShade="F2"/>
            <w:vAlign w:val="center"/>
            <w:hideMark/>
          </w:tcPr>
          <w:p w:rsidR="00534C63" w:rsidRPr="00701814" w:rsidRDefault="00534C63" w:rsidP="00701814">
            <w:pPr>
              <w:pStyle w:val="whp20100506"/>
              <w:jc w:val="center"/>
              <w:rPr>
                <w:b/>
              </w:rPr>
            </w:pPr>
          </w:p>
        </w:tc>
        <w:tc>
          <w:tcPr>
            <w:tcW w:w="1997" w:type="dxa"/>
            <w:shd w:val="clear" w:color="auto" w:fill="auto"/>
            <w:noWrap/>
            <w:vAlign w:val="bottom"/>
            <w:hideMark/>
          </w:tcPr>
          <w:p w:rsidR="00534C63" w:rsidRPr="00AE0A25" w:rsidRDefault="00534C63" w:rsidP="00701814">
            <w:pPr>
              <w:pStyle w:val="whp20100506"/>
              <w:jc w:val="center"/>
            </w:pPr>
            <w:r>
              <w:t>South Korea</w:t>
            </w:r>
          </w:p>
        </w:tc>
        <w:tc>
          <w:tcPr>
            <w:tcW w:w="2831" w:type="dxa"/>
            <w:shd w:val="clear" w:color="auto" w:fill="auto"/>
            <w:noWrap/>
            <w:vAlign w:val="bottom"/>
            <w:hideMark/>
          </w:tcPr>
          <w:p w:rsidR="00534C63" w:rsidRPr="00AE0A25" w:rsidRDefault="00534C63" w:rsidP="00701814">
            <w:pPr>
              <w:pStyle w:val="whp20100506"/>
              <w:jc w:val="center"/>
            </w:pPr>
            <w:r>
              <w:t>90%</w:t>
            </w:r>
          </w:p>
        </w:tc>
      </w:tr>
      <w:tr w:rsidR="00534C63" w:rsidRPr="00AE0A25" w:rsidTr="00A8691C">
        <w:trPr>
          <w:trHeight w:val="216"/>
          <w:jc w:val="center"/>
        </w:trPr>
        <w:tc>
          <w:tcPr>
            <w:tcW w:w="2016" w:type="dxa"/>
            <w:vMerge/>
            <w:shd w:val="clear" w:color="auto" w:fill="F2F2F2" w:themeFill="background1" w:themeFillShade="F2"/>
            <w:vAlign w:val="center"/>
            <w:hideMark/>
          </w:tcPr>
          <w:p w:rsidR="00534C63" w:rsidRPr="00701814" w:rsidRDefault="00534C63" w:rsidP="00701814">
            <w:pPr>
              <w:pStyle w:val="whp20100506"/>
              <w:jc w:val="center"/>
              <w:rPr>
                <w:b/>
              </w:rPr>
            </w:pPr>
          </w:p>
        </w:tc>
        <w:tc>
          <w:tcPr>
            <w:tcW w:w="1997" w:type="dxa"/>
            <w:shd w:val="clear" w:color="auto" w:fill="auto"/>
            <w:noWrap/>
            <w:vAlign w:val="bottom"/>
            <w:hideMark/>
          </w:tcPr>
          <w:p w:rsidR="00534C63" w:rsidRPr="00AE0A25" w:rsidRDefault="00534C63" w:rsidP="00701814">
            <w:pPr>
              <w:pStyle w:val="whp20100506"/>
              <w:jc w:val="center"/>
            </w:pPr>
            <w:r>
              <w:t>Hong Kong</w:t>
            </w:r>
          </w:p>
        </w:tc>
        <w:tc>
          <w:tcPr>
            <w:tcW w:w="2831" w:type="dxa"/>
            <w:shd w:val="clear" w:color="auto" w:fill="auto"/>
            <w:noWrap/>
            <w:vAlign w:val="bottom"/>
            <w:hideMark/>
          </w:tcPr>
          <w:p w:rsidR="00534C63" w:rsidRPr="00AE0A25" w:rsidRDefault="00534C63" w:rsidP="00701814">
            <w:pPr>
              <w:pStyle w:val="whp20100506"/>
              <w:jc w:val="center"/>
            </w:pPr>
            <w:r>
              <w:t>90%</w:t>
            </w:r>
          </w:p>
        </w:tc>
      </w:tr>
      <w:tr w:rsidR="00534C63" w:rsidRPr="00AE0A25" w:rsidTr="00A8691C">
        <w:trPr>
          <w:trHeight w:val="226"/>
          <w:jc w:val="center"/>
        </w:trPr>
        <w:tc>
          <w:tcPr>
            <w:tcW w:w="2016" w:type="dxa"/>
            <w:vMerge/>
            <w:shd w:val="clear" w:color="auto" w:fill="F2F2F2" w:themeFill="background1" w:themeFillShade="F2"/>
            <w:vAlign w:val="center"/>
            <w:hideMark/>
          </w:tcPr>
          <w:p w:rsidR="00534C63" w:rsidRPr="00701814" w:rsidRDefault="00534C63" w:rsidP="00701814">
            <w:pPr>
              <w:pStyle w:val="whp20100506"/>
              <w:jc w:val="center"/>
              <w:rPr>
                <w:b/>
              </w:rPr>
            </w:pPr>
          </w:p>
        </w:tc>
        <w:tc>
          <w:tcPr>
            <w:tcW w:w="1997" w:type="dxa"/>
            <w:shd w:val="clear" w:color="auto" w:fill="auto"/>
            <w:noWrap/>
            <w:vAlign w:val="bottom"/>
            <w:hideMark/>
          </w:tcPr>
          <w:p w:rsidR="00534C63" w:rsidRPr="00AE0A25" w:rsidRDefault="00534C63" w:rsidP="00701814">
            <w:pPr>
              <w:pStyle w:val="whp20100506"/>
              <w:jc w:val="center"/>
            </w:pPr>
            <w:r>
              <w:t>Singapore</w:t>
            </w:r>
          </w:p>
        </w:tc>
        <w:tc>
          <w:tcPr>
            <w:tcW w:w="2831" w:type="dxa"/>
            <w:shd w:val="clear" w:color="auto" w:fill="auto"/>
            <w:noWrap/>
            <w:vAlign w:val="bottom"/>
            <w:hideMark/>
          </w:tcPr>
          <w:p w:rsidR="00534C63" w:rsidRPr="00AE0A25" w:rsidRDefault="00534C63" w:rsidP="00701814">
            <w:pPr>
              <w:pStyle w:val="whp20100506"/>
              <w:jc w:val="center"/>
            </w:pPr>
            <w:r>
              <w:t>90%</w:t>
            </w:r>
          </w:p>
        </w:tc>
      </w:tr>
      <w:tr w:rsidR="00534C63" w:rsidRPr="00AE0A25" w:rsidTr="00A8691C">
        <w:trPr>
          <w:trHeight w:val="216"/>
          <w:jc w:val="center"/>
        </w:trPr>
        <w:tc>
          <w:tcPr>
            <w:tcW w:w="2016" w:type="dxa"/>
            <w:vMerge w:val="restart"/>
            <w:shd w:val="clear" w:color="auto" w:fill="F2F2F2" w:themeFill="background1" w:themeFillShade="F2"/>
            <w:noWrap/>
            <w:vAlign w:val="center"/>
            <w:hideMark/>
          </w:tcPr>
          <w:p w:rsidR="00534C63" w:rsidRPr="00701814" w:rsidRDefault="00534C63" w:rsidP="00701814">
            <w:pPr>
              <w:pStyle w:val="whp20100506"/>
              <w:jc w:val="center"/>
              <w:rPr>
                <w:b/>
              </w:rPr>
            </w:pPr>
            <w:r w:rsidRPr="00701814">
              <w:rPr>
                <w:b/>
              </w:rPr>
              <w:t>Pacific</w:t>
            </w:r>
          </w:p>
        </w:tc>
        <w:tc>
          <w:tcPr>
            <w:tcW w:w="1997" w:type="dxa"/>
            <w:shd w:val="clear" w:color="auto" w:fill="auto"/>
            <w:noWrap/>
            <w:vAlign w:val="bottom"/>
            <w:hideMark/>
          </w:tcPr>
          <w:p w:rsidR="00534C63" w:rsidRPr="00AE0A25" w:rsidRDefault="00534C63" w:rsidP="00701814">
            <w:pPr>
              <w:pStyle w:val="whp20100506"/>
              <w:jc w:val="center"/>
            </w:pPr>
            <w:r>
              <w:t>Australia</w:t>
            </w:r>
          </w:p>
        </w:tc>
        <w:tc>
          <w:tcPr>
            <w:tcW w:w="2831" w:type="dxa"/>
            <w:shd w:val="clear" w:color="auto" w:fill="auto"/>
            <w:noWrap/>
            <w:vAlign w:val="bottom"/>
            <w:hideMark/>
          </w:tcPr>
          <w:p w:rsidR="00534C63" w:rsidRPr="00AE0A25" w:rsidRDefault="00534C63" w:rsidP="00701814">
            <w:pPr>
              <w:pStyle w:val="whp20100506"/>
              <w:jc w:val="center"/>
            </w:pPr>
            <w:r>
              <w:t>100%</w:t>
            </w:r>
          </w:p>
        </w:tc>
      </w:tr>
      <w:tr w:rsidR="00534C63" w:rsidRPr="00AE0A25" w:rsidTr="00A8691C">
        <w:trPr>
          <w:trHeight w:val="226"/>
          <w:jc w:val="center"/>
        </w:trPr>
        <w:tc>
          <w:tcPr>
            <w:tcW w:w="2016" w:type="dxa"/>
            <w:vMerge/>
            <w:shd w:val="clear" w:color="auto" w:fill="F2F2F2" w:themeFill="background1" w:themeFillShade="F2"/>
            <w:vAlign w:val="center"/>
            <w:hideMark/>
          </w:tcPr>
          <w:p w:rsidR="00534C63" w:rsidRPr="00701814" w:rsidRDefault="00534C63" w:rsidP="00701814">
            <w:pPr>
              <w:pStyle w:val="whp20100506"/>
              <w:jc w:val="center"/>
              <w:rPr>
                <w:b/>
              </w:rPr>
            </w:pPr>
          </w:p>
        </w:tc>
        <w:tc>
          <w:tcPr>
            <w:tcW w:w="1997" w:type="dxa"/>
            <w:shd w:val="clear" w:color="auto" w:fill="auto"/>
            <w:noWrap/>
            <w:vAlign w:val="bottom"/>
            <w:hideMark/>
          </w:tcPr>
          <w:p w:rsidR="00534C63" w:rsidRPr="00AE0A25" w:rsidRDefault="00534C63" w:rsidP="00701814">
            <w:pPr>
              <w:pStyle w:val="whp20100506"/>
              <w:jc w:val="center"/>
            </w:pPr>
            <w:r>
              <w:t>New Zealand</w:t>
            </w:r>
          </w:p>
        </w:tc>
        <w:tc>
          <w:tcPr>
            <w:tcW w:w="2831" w:type="dxa"/>
            <w:shd w:val="clear" w:color="auto" w:fill="auto"/>
            <w:noWrap/>
            <w:vAlign w:val="bottom"/>
            <w:hideMark/>
          </w:tcPr>
          <w:p w:rsidR="00534C63" w:rsidRPr="00AE0A25" w:rsidRDefault="00534C63" w:rsidP="00701814">
            <w:pPr>
              <w:pStyle w:val="whp20100506"/>
              <w:jc w:val="center"/>
            </w:pPr>
            <w:r>
              <w:t>no minimum</w:t>
            </w:r>
          </w:p>
        </w:tc>
      </w:tr>
      <w:tr w:rsidR="00534C63" w:rsidRPr="00AE0A25" w:rsidTr="00A8691C">
        <w:trPr>
          <w:trHeight w:val="216"/>
          <w:jc w:val="center"/>
        </w:trPr>
        <w:tc>
          <w:tcPr>
            <w:tcW w:w="2016" w:type="dxa"/>
            <w:vMerge w:val="restart"/>
            <w:shd w:val="clear" w:color="auto" w:fill="F2F2F2" w:themeFill="background1" w:themeFillShade="F2"/>
            <w:noWrap/>
            <w:vAlign w:val="center"/>
            <w:hideMark/>
          </w:tcPr>
          <w:p w:rsidR="00534C63" w:rsidRPr="00701814" w:rsidRDefault="00534C63" w:rsidP="00701814">
            <w:pPr>
              <w:pStyle w:val="whp20100506"/>
              <w:jc w:val="center"/>
              <w:rPr>
                <w:b/>
              </w:rPr>
            </w:pPr>
            <w:r w:rsidRPr="00701814">
              <w:rPr>
                <w:b/>
              </w:rPr>
              <w:t>EMEIA</w:t>
            </w:r>
          </w:p>
        </w:tc>
        <w:tc>
          <w:tcPr>
            <w:tcW w:w="1997" w:type="dxa"/>
            <w:shd w:val="clear" w:color="auto" w:fill="auto"/>
            <w:noWrap/>
            <w:vAlign w:val="bottom"/>
            <w:hideMark/>
          </w:tcPr>
          <w:p w:rsidR="00534C63" w:rsidRPr="00AE0A25" w:rsidRDefault="00534C63" w:rsidP="00701814">
            <w:pPr>
              <w:pStyle w:val="whp20100506"/>
              <w:jc w:val="center"/>
            </w:pPr>
            <w:r>
              <w:t>Netherlands</w:t>
            </w:r>
          </w:p>
        </w:tc>
        <w:tc>
          <w:tcPr>
            <w:tcW w:w="2831" w:type="dxa"/>
            <w:shd w:val="clear" w:color="auto" w:fill="auto"/>
            <w:noWrap/>
            <w:vAlign w:val="bottom"/>
            <w:hideMark/>
          </w:tcPr>
          <w:p w:rsidR="00534C63" w:rsidRPr="00AE0A25" w:rsidRDefault="00534C63" w:rsidP="00701814">
            <w:pPr>
              <w:pStyle w:val="whp20100506"/>
              <w:jc w:val="center"/>
            </w:pPr>
            <w:r>
              <w:t>100%</w:t>
            </w:r>
          </w:p>
        </w:tc>
      </w:tr>
      <w:tr w:rsidR="00534C63" w:rsidRPr="00AE0A25" w:rsidTr="00A8691C">
        <w:trPr>
          <w:trHeight w:val="216"/>
          <w:jc w:val="center"/>
        </w:trPr>
        <w:tc>
          <w:tcPr>
            <w:tcW w:w="2016" w:type="dxa"/>
            <w:vMerge/>
            <w:shd w:val="clear" w:color="auto" w:fill="F2F2F2" w:themeFill="background1" w:themeFillShade="F2"/>
            <w:vAlign w:val="center"/>
            <w:hideMark/>
          </w:tcPr>
          <w:p w:rsidR="00534C63" w:rsidRPr="00AE0A25" w:rsidRDefault="00534C63" w:rsidP="00684B0F">
            <w:pPr>
              <w:pStyle w:val="whp20100506"/>
            </w:pPr>
          </w:p>
        </w:tc>
        <w:tc>
          <w:tcPr>
            <w:tcW w:w="1997" w:type="dxa"/>
            <w:shd w:val="clear" w:color="auto" w:fill="auto"/>
            <w:noWrap/>
            <w:vAlign w:val="bottom"/>
            <w:hideMark/>
          </w:tcPr>
          <w:p w:rsidR="00534C63" w:rsidRPr="00AE0A25" w:rsidRDefault="00534C63" w:rsidP="00701814">
            <w:pPr>
              <w:pStyle w:val="whp20100506"/>
              <w:jc w:val="center"/>
            </w:pPr>
            <w:r>
              <w:t>UK</w:t>
            </w:r>
          </w:p>
        </w:tc>
        <w:tc>
          <w:tcPr>
            <w:tcW w:w="2831" w:type="dxa"/>
            <w:shd w:val="clear" w:color="auto" w:fill="auto"/>
            <w:noWrap/>
            <w:vAlign w:val="bottom"/>
            <w:hideMark/>
          </w:tcPr>
          <w:p w:rsidR="00534C63" w:rsidRPr="00AE0A25" w:rsidRDefault="00534C63" w:rsidP="00701814">
            <w:pPr>
              <w:pStyle w:val="whp20100506"/>
              <w:jc w:val="center"/>
            </w:pPr>
            <w:r>
              <w:t>90%</w:t>
            </w:r>
          </w:p>
        </w:tc>
      </w:tr>
      <w:tr w:rsidR="00534C63" w:rsidRPr="00AE0A25" w:rsidTr="00A8691C">
        <w:trPr>
          <w:trHeight w:val="216"/>
          <w:jc w:val="center"/>
        </w:trPr>
        <w:tc>
          <w:tcPr>
            <w:tcW w:w="2016" w:type="dxa"/>
            <w:vMerge/>
            <w:shd w:val="clear" w:color="auto" w:fill="F2F2F2" w:themeFill="background1" w:themeFillShade="F2"/>
            <w:vAlign w:val="center"/>
            <w:hideMark/>
          </w:tcPr>
          <w:p w:rsidR="00534C63" w:rsidRPr="00AE0A25" w:rsidRDefault="00534C63" w:rsidP="00684B0F">
            <w:pPr>
              <w:pStyle w:val="whp20100506"/>
            </w:pPr>
          </w:p>
        </w:tc>
        <w:tc>
          <w:tcPr>
            <w:tcW w:w="1997" w:type="dxa"/>
            <w:shd w:val="clear" w:color="auto" w:fill="auto"/>
            <w:noWrap/>
            <w:vAlign w:val="bottom"/>
            <w:hideMark/>
          </w:tcPr>
          <w:p w:rsidR="00534C63" w:rsidRPr="00AE0A25" w:rsidRDefault="00534C63" w:rsidP="00701814">
            <w:pPr>
              <w:pStyle w:val="whp20100506"/>
              <w:jc w:val="center"/>
            </w:pPr>
            <w:r>
              <w:t>Belgium</w:t>
            </w:r>
          </w:p>
        </w:tc>
        <w:tc>
          <w:tcPr>
            <w:tcW w:w="2831" w:type="dxa"/>
            <w:shd w:val="clear" w:color="auto" w:fill="auto"/>
            <w:noWrap/>
            <w:vAlign w:val="bottom"/>
            <w:hideMark/>
          </w:tcPr>
          <w:p w:rsidR="00534C63" w:rsidRPr="00AE0A25" w:rsidRDefault="00534C63" w:rsidP="00701814">
            <w:pPr>
              <w:pStyle w:val="whp20100506"/>
              <w:jc w:val="center"/>
            </w:pPr>
            <w:r>
              <w:t>80%</w:t>
            </w:r>
          </w:p>
        </w:tc>
      </w:tr>
      <w:tr w:rsidR="00534C63" w:rsidRPr="00AE0A25" w:rsidTr="00A8691C">
        <w:trPr>
          <w:trHeight w:val="216"/>
          <w:jc w:val="center"/>
        </w:trPr>
        <w:tc>
          <w:tcPr>
            <w:tcW w:w="2016" w:type="dxa"/>
            <w:vMerge/>
            <w:shd w:val="clear" w:color="auto" w:fill="F2F2F2" w:themeFill="background1" w:themeFillShade="F2"/>
            <w:vAlign w:val="center"/>
            <w:hideMark/>
          </w:tcPr>
          <w:p w:rsidR="00534C63" w:rsidRPr="00AE0A25" w:rsidRDefault="00534C63" w:rsidP="00684B0F">
            <w:pPr>
              <w:pStyle w:val="whp20100506"/>
            </w:pPr>
          </w:p>
        </w:tc>
        <w:tc>
          <w:tcPr>
            <w:tcW w:w="1997" w:type="dxa"/>
            <w:shd w:val="clear" w:color="auto" w:fill="auto"/>
            <w:noWrap/>
            <w:vAlign w:val="bottom"/>
            <w:hideMark/>
          </w:tcPr>
          <w:p w:rsidR="00534C63" w:rsidRPr="00AE0A25" w:rsidRDefault="00534C63" w:rsidP="00701814">
            <w:pPr>
              <w:pStyle w:val="whp20100506"/>
              <w:jc w:val="center"/>
            </w:pPr>
            <w:r>
              <w:t>France</w:t>
            </w:r>
          </w:p>
        </w:tc>
        <w:tc>
          <w:tcPr>
            <w:tcW w:w="2831" w:type="dxa"/>
            <w:shd w:val="clear" w:color="auto" w:fill="auto"/>
            <w:noWrap/>
            <w:vAlign w:val="bottom"/>
            <w:hideMark/>
          </w:tcPr>
          <w:p w:rsidR="00534C63" w:rsidRPr="00AE0A25" w:rsidRDefault="00534C63" w:rsidP="00701814">
            <w:pPr>
              <w:pStyle w:val="whp20100506"/>
              <w:jc w:val="center"/>
            </w:pPr>
            <w:r>
              <w:t>85%</w:t>
            </w:r>
          </w:p>
        </w:tc>
      </w:tr>
      <w:tr w:rsidR="00534C63" w:rsidRPr="00AE0A25" w:rsidTr="00A8691C">
        <w:trPr>
          <w:trHeight w:val="216"/>
          <w:jc w:val="center"/>
        </w:trPr>
        <w:tc>
          <w:tcPr>
            <w:tcW w:w="2016" w:type="dxa"/>
            <w:vMerge/>
            <w:shd w:val="clear" w:color="auto" w:fill="F2F2F2" w:themeFill="background1" w:themeFillShade="F2"/>
            <w:vAlign w:val="center"/>
            <w:hideMark/>
          </w:tcPr>
          <w:p w:rsidR="00534C63" w:rsidRPr="00AE0A25" w:rsidRDefault="00534C63" w:rsidP="00684B0F">
            <w:pPr>
              <w:pStyle w:val="whp20100506"/>
            </w:pPr>
          </w:p>
        </w:tc>
        <w:tc>
          <w:tcPr>
            <w:tcW w:w="1997" w:type="dxa"/>
            <w:shd w:val="clear" w:color="auto" w:fill="auto"/>
            <w:noWrap/>
            <w:vAlign w:val="bottom"/>
            <w:hideMark/>
          </w:tcPr>
          <w:p w:rsidR="00534C63" w:rsidRPr="00AE0A25" w:rsidRDefault="00534C63" w:rsidP="00701814">
            <w:pPr>
              <w:pStyle w:val="whp20100506"/>
              <w:jc w:val="center"/>
            </w:pPr>
            <w:r>
              <w:t>South Africa</w:t>
            </w:r>
          </w:p>
        </w:tc>
        <w:tc>
          <w:tcPr>
            <w:tcW w:w="2831" w:type="dxa"/>
            <w:shd w:val="clear" w:color="auto" w:fill="auto"/>
            <w:noWrap/>
            <w:vAlign w:val="bottom"/>
            <w:hideMark/>
          </w:tcPr>
          <w:p w:rsidR="00534C63" w:rsidRPr="00AE0A25" w:rsidRDefault="00534C63" w:rsidP="00701814">
            <w:pPr>
              <w:pStyle w:val="whp20100506"/>
              <w:jc w:val="center"/>
            </w:pPr>
            <w:r>
              <w:t>no minimum</w:t>
            </w:r>
          </w:p>
        </w:tc>
      </w:tr>
      <w:tr w:rsidR="00534C63" w:rsidRPr="00AE0A25" w:rsidTr="00A8691C">
        <w:trPr>
          <w:trHeight w:val="216"/>
          <w:jc w:val="center"/>
        </w:trPr>
        <w:tc>
          <w:tcPr>
            <w:tcW w:w="2016" w:type="dxa"/>
            <w:vMerge/>
            <w:shd w:val="clear" w:color="auto" w:fill="F2F2F2" w:themeFill="background1" w:themeFillShade="F2"/>
            <w:vAlign w:val="center"/>
            <w:hideMark/>
          </w:tcPr>
          <w:p w:rsidR="00534C63" w:rsidRPr="00AE0A25" w:rsidRDefault="00534C63" w:rsidP="00684B0F">
            <w:pPr>
              <w:pStyle w:val="whp20100506"/>
            </w:pPr>
          </w:p>
        </w:tc>
        <w:tc>
          <w:tcPr>
            <w:tcW w:w="1997" w:type="dxa"/>
            <w:shd w:val="clear" w:color="auto" w:fill="auto"/>
            <w:noWrap/>
            <w:vAlign w:val="bottom"/>
            <w:hideMark/>
          </w:tcPr>
          <w:p w:rsidR="00534C63" w:rsidRPr="00AE0A25" w:rsidRDefault="00534C63" w:rsidP="00701814">
            <w:pPr>
              <w:pStyle w:val="whp20100506"/>
              <w:jc w:val="center"/>
            </w:pPr>
            <w:r>
              <w:t>Turkey</w:t>
            </w:r>
          </w:p>
        </w:tc>
        <w:tc>
          <w:tcPr>
            <w:tcW w:w="2831" w:type="dxa"/>
            <w:shd w:val="clear" w:color="auto" w:fill="auto"/>
            <w:noWrap/>
            <w:vAlign w:val="bottom"/>
            <w:hideMark/>
          </w:tcPr>
          <w:p w:rsidR="00534C63" w:rsidRPr="00AE0A25" w:rsidRDefault="00534C63" w:rsidP="00701814">
            <w:pPr>
              <w:pStyle w:val="whp20100506"/>
              <w:jc w:val="center"/>
            </w:pPr>
            <w:r>
              <w:t>20%</w:t>
            </w:r>
          </w:p>
        </w:tc>
      </w:tr>
      <w:tr w:rsidR="00534C63" w:rsidRPr="00AE0A25" w:rsidTr="00A8691C">
        <w:trPr>
          <w:trHeight w:val="60"/>
          <w:jc w:val="center"/>
        </w:trPr>
        <w:tc>
          <w:tcPr>
            <w:tcW w:w="2016" w:type="dxa"/>
            <w:vMerge/>
            <w:shd w:val="clear" w:color="auto" w:fill="F2F2F2" w:themeFill="background1" w:themeFillShade="F2"/>
            <w:vAlign w:val="center"/>
            <w:hideMark/>
          </w:tcPr>
          <w:p w:rsidR="00534C63" w:rsidRPr="00AE0A25" w:rsidRDefault="00534C63" w:rsidP="00684B0F">
            <w:pPr>
              <w:pStyle w:val="whp20100506"/>
            </w:pPr>
          </w:p>
        </w:tc>
        <w:tc>
          <w:tcPr>
            <w:tcW w:w="1997" w:type="dxa"/>
            <w:shd w:val="clear" w:color="auto" w:fill="auto"/>
            <w:noWrap/>
            <w:vAlign w:val="bottom"/>
            <w:hideMark/>
          </w:tcPr>
          <w:p w:rsidR="00534C63" w:rsidRPr="00AE0A25" w:rsidRDefault="00534C63" w:rsidP="00701814">
            <w:pPr>
              <w:pStyle w:val="whp20100506"/>
              <w:jc w:val="center"/>
            </w:pPr>
            <w:r>
              <w:t>Germany</w:t>
            </w:r>
          </w:p>
        </w:tc>
        <w:tc>
          <w:tcPr>
            <w:tcW w:w="2831" w:type="dxa"/>
            <w:shd w:val="clear" w:color="auto" w:fill="auto"/>
            <w:noWrap/>
            <w:vAlign w:val="bottom"/>
            <w:hideMark/>
          </w:tcPr>
          <w:p w:rsidR="00534C63" w:rsidRPr="00AE0A25" w:rsidRDefault="00534C63" w:rsidP="00701814">
            <w:pPr>
              <w:pStyle w:val="whp20100506"/>
              <w:jc w:val="center"/>
            </w:pPr>
            <w:r>
              <w:t>90%</w:t>
            </w:r>
          </w:p>
        </w:tc>
      </w:tr>
    </w:tbl>
    <w:p w:rsidR="00534C63" w:rsidRPr="00124B8E" w:rsidRDefault="00534C63" w:rsidP="00534C63">
      <w:pPr>
        <w:pStyle w:val="whp20100506"/>
        <w:rPr>
          <w:bCs/>
          <w:szCs w:val="20"/>
        </w:rPr>
      </w:pPr>
      <w:bookmarkStart w:id="27" w:name="_Ref246669346"/>
    </w:p>
    <w:bookmarkEnd w:id="27"/>
    <w:p w:rsidR="00534C63" w:rsidRPr="0090579E" w:rsidRDefault="00534C63" w:rsidP="00534C63">
      <w:pPr>
        <w:pStyle w:val="whp20100506"/>
      </w:pPr>
      <w:r w:rsidRPr="0090579E">
        <w:t>In line with the National Treasury’s intention to protect the interests of the shareholder, the gains received from the sale of assets cannot be distributed to investors. The reason being that it will artificially inflate the performance of the REIT in the short run, whilst harming longer term investors. The proceeds must be reinvested in the REIT by acquiring further assets. The payment must take place within a period of say 3 months after the financial year end of the REIT in order to ensure punctuality in payment.</w:t>
      </w:r>
    </w:p>
    <w:p w:rsidR="00534C63" w:rsidRPr="0090579E" w:rsidRDefault="00534C63" w:rsidP="00534C63">
      <w:pPr>
        <w:pStyle w:val="whp20100506"/>
      </w:pPr>
    </w:p>
    <w:p w:rsidR="00534C63" w:rsidRPr="0090579E" w:rsidRDefault="00534C63" w:rsidP="00534C63">
      <w:pPr>
        <w:pStyle w:val="whp20100506"/>
      </w:pPr>
      <w:r w:rsidRPr="0090579E">
        <w:t xml:space="preserve">Whilst there is unanimous support for the reinvestment of realised gains on capital, the National Treasury should incorporate flexibility in their definition of reinvestment. It must allow </w:t>
      </w:r>
      <w:r w:rsidR="00194F2A">
        <w:t>REITS</w:t>
      </w:r>
      <w:r w:rsidRPr="0090579E">
        <w:t xml:space="preserve"> to buy back their own shares as a tool in their strategic arsenal but must also be realistic of market conditions and fluctuations. Purchasing of additional assets may not always be in the best interests of the shareholders and for this reason reinvestment should </w:t>
      </w:r>
      <w:r w:rsidRPr="0090579E">
        <w:lastRenderedPageBreak/>
        <w:t xml:space="preserve">also include other activities such as refurbishment of existing buildings, settling of existing debt, upgrading of existing properties. </w:t>
      </w:r>
    </w:p>
    <w:p w:rsidR="00534C63" w:rsidRPr="0090579E" w:rsidRDefault="00534C63" w:rsidP="00534C63">
      <w:pPr>
        <w:pStyle w:val="whp20100506"/>
      </w:pPr>
    </w:p>
    <w:p w:rsidR="00534C63" w:rsidRPr="0090579E" w:rsidRDefault="00534C63" w:rsidP="00534C63">
      <w:pPr>
        <w:pStyle w:val="whp20100506"/>
      </w:pPr>
      <w:r w:rsidRPr="0090579E">
        <w:t xml:space="preserve">This is of particular importance as </w:t>
      </w:r>
      <w:r w:rsidR="00194F2A">
        <w:t>REITS</w:t>
      </w:r>
      <w:r w:rsidRPr="0090579E">
        <w:t xml:space="preserve"> must have a prescriptive time period to reinvest these funds within a period of time whether it is within a 6 or 12 month period. </w:t>
      </w:r>
    </w:p>
    <w:p w:rsidR="00534C63" w:rsidRDefault="00534C63" w:rsidP="00534C63">
      <w:pPr>
        <w:pStyle w:val="whp20100506"/>
      </w:pPr>
    </w:p>
    <w:p w:rsidR="00534C63" w:rsidRPr="00C7460C" w:rsidRDefault="00534C63" w:rsidP="00534C63">
      <w:pPr>
        <w:pStyle w:val="whp20100506"/>
        <w:rPr>
          <w:b/>
          <w:i/>
        </w:rPr>
      </w:pPr>
      <w:r w:rsidRPr="00FE403B">
        <w:rPr>
          <w:b/>
          <w:i/>
          <w:u w:val="single"/>
        </w:rPr>
        <w:t>Comment 2:</w:t>
      </w:r>
      <w:r w:rsidRPr="00C7460C">
        <w:rPr>
          <w:b/>
          <w:i/>
        </w:rPr>
        <w:t xml:space="preserve"> Clarification of the Regulation of Expense</w:t>
      </w:r>
    </w:p>
    <w:p w:rsidR="00534C63" w:rsidRPr="0090579E" w:rsidRDefault="00534C63" w:rsidP="00534C63">
      <w:pPr>
        <w:pStyle w:val="whp20100506"/>
      </w:pPr>
    </w:p>
    <w:p w:rsidR="00534C63" w:rsidRPr="0090579E" w:rsidRDefault="00534C63" w:rsidP="00534C63">
      <w:pPr>
        <w:pStyle w:val="whp20100506"/>
      </w:pPr>
      <w:r w:rsidRPr="0090579E">
        <w:t xml:space="preserve">In pursuit of its policy objective to protect the interests of investors, the National Treasury has alluded to the introduction of regulatory control over the payment of expenses to service providers, who would benefit from the beneficial tax status of </w:t>
      </w:r>
      <w:r w:rsidR="00194F2A">
        <w:t>REITS</w:t>
      </w:r>
      <w:r w:rsidRPr="0090579E">
        <w:t xml:space="preserve">. </w:t>
      </w:r>
    </w:p>
    <w:p w:rsidR="00534C63" w:rsidRPr="0090579E" w:rsidRDefault="00534C63" w:rsidP="00534C63">
      <w:pPr>
        <w:pStyle w:val="whp20100506"/>
      </w:pPr>
    </w:p>
    <w:p w:rsidR="00534C63" w:rsidRPr="0090579E" w:rsidRDefault="00534C63" w:rsidP="00534C63">
      <w:pPr>
        <w:pStyle w:val="whp20100506"/>
      </w:pPr>
      <w:r w:rsidRPr="0090579E">
        <w:t xml:space="preserve">In clarification of this provision, the National Treasury has indicated that regulatory control will only be introduced where investors do not have control over the negotiation of fee and expenses for service providers to </w:t>
      </w:r>
      <w:r w:rsidR="00194F2A">
        <w:t>REITS</w:t>
      </w:r>
      <w:r w:rsidRPr="0090579E">
        <w:t xml:space="preserve">. Naturally if the investors can facilitate such discussion, regulation would not be required. </w:t>
      </w:r>
    </w:p>
    <w:p w:rsidR="00534C63" w:rsidRPr="0090579E" w:rsidRDefault="00534C63" w:rsidP="00534C63">
      <w:pPr>
        <w:pStyle w:val="whp20100506"/>
      </w:pPr>
    </w:p>
    <w:p w:rsidR="00534C63" w:rsidRPr="00B70C79" w:rsidRDefault="00534C63" w:rsidP="00534C63">
      <w:pPr>
        <w:pStyle w:val="whp20100506"/>
        <w:rPr>
          <w:b/>
          <w:i/>
        </w:rPr>
      </w:pPr>
      <w:r w:rsidRPr="00B70C79">
        <w:rPr>
          <w:b/>
          <w:i/>
        </w:rPr>
        <w:t>Conclusion</w:t>
      </w:r>
    </w:p>
    <w:p w:rsidR="00534C63" w:rsidRPr="0090579E" w:rsidRDefault="00534C63" w:rsidP="00534C63">
      <w:pPr>
        <w:pStyle w:val="whp20100506"/>
      </w:pPr>
    </w:p>
    <w:p w:rsidR="00534C63" w:rsidRPr="0090579E" w:rsidRDefault="00534C63" w:rsidP="00534C63">
      <w:pPr>
        <w:pStyle w:val="whp20100506"/>
      </w:pPr>
      <w:r w:rsidRPr="0090579E">
        <w:t xml:space="preserve">This provision is one of a hypothetical scenario and will most likely evolve over time once </w:t>
      </w:r>
      <w:r w:rsidR="00194F2A">
        <w:t>REITS</w:t>
      </w:r>
      <w:r w:rsidRPr="0090579E">
        <w:t xml:space="preserve"> are in operation in South Africa. </w:t>
      </w:r>
      <w:r>
        <w:t>It is therefore something the National Treasury will be required to review once the REIT legislation finds traction in South Africa.</w:t>
      </w:r>
      <w:r w:rsidRPr="0090579E">
        <w:t xml:space="preserve"> It is envisaged that regulatory control will be implemented where wide spread abuse of excessive fee payments to service providers is used as a tactic to dilute distributable profits to shareholders. It really is one of being assessed on an ad hoc basis but should correctly be taken cognisance of as a warning to the industry.</w:t>
      </w:r>
    </w:p>
    <w:p w:rsidR="00534C63" w:rsidRPr="00925AE5" w:rsidRDefault="00534C63" w:rsidP="00386CAB">
      <w:pPr>
        <w:pStyle w:val="whp20100506"/>
        <w:numPr>
          <w:ilvl w:val="2"/>
          <w:numId w:val="37"/>
        </w:numPr>
        <w:rPr>
          <w:b/>
        </w:rPr>
      </w:pPr>
      <w:r w:rsidRPr="00925AE5">
        <w:rPr>
          <w:b/>
        </w:rPr>
        <w:br w:type="page"/>
      </w:r>
      <w:r w:rsidRPr="00925AE5">
        <w:rPr>
          <w:b/>
        </w:rPr>
        <w:lastRenderedPageBreak/>
        <w:t>GEARING RULES</w:t>
      </w:r>
    </w:p>
    <w:p w:rsidR="00534C63" w:rsidRPr="00E67127" w:rsidRDefault="00534C63" w:rsidP="00534C63">
      <w:pPr>
        <w:pStyle w:val="whp20100506"/>
        <w:rPr>
          <w:b/>
        </w:rPr>
      </w:pPr>
    </w:p>
    <w:tbl>
      <w:tblPr>
        <w:tblW w:w="9090" w:type="dxa"/>
        <w:tblInd w:w="108"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Look w:val="04A0"/>
      </w:tblPr>
      <w:tblGrid>
        <w:gridCol w:w="336"/>
        <w:gridCol w:w="8754"/>
      </w:tblGrid>
      <w:tr w:rsidR="00534C63" w:rsidRPr="00925AE5" w:rsidTr="00A8691C">
        <w:trPr>
          <w:trHeight w:val="300"/>
        </w:trPr>
        <w:tc>
          <w:tcPr>
            <w:tcW w:w="9090" w:type="dxa"/>
            <w:gridSpan w:val="2"/>
            <w:shd w:val="clear" w:color="auto" w:fill="F2F2F2" w:themeFill="background1" w:themeFillShade="F2"/>
            <w:noWrap/>
            <w:vAlign w:val="bottom"/>
            <w:hideMark/>
          </w:tcPr>
          <w:p w:rsidR="00534C63" w:rsidRPr="00206089" w:rsidRDefault="00534C63" w:rsidP="00684B0F">
            <w:pPr>
              <w:pStyle w:val="whp20100506"/>
              <w:rPr>
                <w:b/>
                <w:i/>
                <w:lang w:eastAsia="en-ZA"/>
              </w:rPr>
            </w:pPr>
            <w:r w:rsidRPr="00206089">
              <w:rPr>
                <w:b/>
                <w:i/>
                <w:lang w:eastAsia="en-ZA"/>
              </w:rPr>
              <w:t>National Treasury Proposal: Gearing Rules</w:t>
            </w:r>
          </w:p>
          <w:p w:rsidR="00534C63" w:rsidRPr="00925AE5" w:rsidRDefault="00534C63" w:rsidP="00684B0F">
            <w:pPr>
              <w:pStyle w:val="whp20100506"/>
              <w:rPr>
                <w:i/>
                <w:lang w:eastAsia="en-ZA"/>
              </w:rPr>
            </w:pPr>
          </w:p>
        </w:tc>
      </w:tr>
      <w:tr w:rsidR="00534C63" w:rsidRPr="00925AE5" w:rsidTr="00A8691C">
        <w:trPr>
          <w:trHeight w:val="300"/>
        </w:trPr>
        <w:tc>
          <w:tcPr>
            <w:tcW w:w="336" w:type="dxa"/>
            <w:shd w:val="clear" w:color="auto" w:fill="F2F2F2" w:themeFill="background1" w:themeFillShade="F2"/>
            <w:noWrap/>
            <w:hideMark/>
          </w:tcPr>
          <w:p w:rsidR="00534C63" w:rsidRPr="00925AE5" w:rsidRDefault="00534C63" w:rsidP="00684B0F">
            <w:pPr>
              <w:pStyle w:val="whp20100506"/>
              <w:rPr>
                <w:i/>
                <w:lang w:eastAsia="en-ZA"/>
              </w:rPr>
            </w:pPr>
            <w:r w:rsidRPr="00925AE5">
              <w:rPr>
                <w:i/>
                <w:lang w:eastAsia="en-ZA"/>
              </w:rPr>
              <w:t>*</w:t>
            </w:r>
          </w:p>
        </w:tc>
        <w:tc>
          <w:tcPr>
            <w:tcW w:w="8754" w:type="dxa"/>
            <w:shd w:val="clear" w:color="auto" w:fill="F2F2F2" w:themeFill="background1" w:themeFillShade="F2"/>
            <w:noWrap/>
            <w:hideMark/>
          </w:tcPr>
          <w:p w:rsidR="00534C63" w:rsidRPr="00925AE5" w:rsidRDefault="00534C63" w:rsidP="00684B0F">
            <w:pPr>
              <w:pStyle w:val="whp20100506"/>
              <w:rPr>
                <w:i/>
                <w:lang w:eastAsia="en-ZA"/>
              </w:rPr>
            </w:pPr>
            <w:r w:rsidRPr="00925AE5">
              <w:rPr>
                <w:i/>
                <w:lang w:eastAsia="en-ZA"/>
              </w:rPr>
              <w:t xml:space="preserve">The value of gearing is to be limited to 70% </w:t>
            </w:r>
          </w:p>
          <w:p w:rsidR="00534C63" w:rsidRPr="00925AE5" w:rsidRDefault="00534C63" w:rsidP="00684B0F">
            <w:pPr>
              <w:pStyle w:val="whp20100506"/>
              <w:rPr>
                <w:i/>
                <w:lang w:eastAsia="en-ZA"/>
              </w:rPr>
            </w:pPr>
          </w:p>
        </w:tc>
      </w:tr>
      <w:tr w:rsidR="00534C63" w:rsidRPr="00925AE5" w:rsidTr="00A8691C">
        <w:trPr>
          <w:trHeight w:val="300"/>
        </w:trPr>
        <w:tc>
          <w:tcPr>
            <w:tcW w:w="336" w:type="dxa"/>
            <w:shd w:val="clear" w:color="auto" w:fill="F2F2F2" w:themeFill="background1" w:themeFillShade="F2"/>
            <w:noWrap/>
            <w:hideMark/>
          </w:tcPr>
          <w:p w:rsidR="00534C63" w:rsidRPr="00925AE5" w:rsidRDefault="00534C63" w:rsidP="00684B0F">
            <w:pPr>
              <w:pStyle w:val="whp20100506"/>
              <w:rPr>
                <w:i/>
                <w:lang w:eastAsia="en-ZA"/>
              </w:rPr>
            </w:pPr>
            <w:r w:rsidRPr="00925AE5">
              <w:rPr>
                <w:i/>
                <w:lang w:eastAsia="en-ZA"/>
              </w:rPr>
              <w:t>*</w:t>
            </w:r>
          </w:p>
        </w:tc>
        <w:tc>
          <w:tcPr>
            <w:tcW w:w="8754" w:type="dxa"/>
            <w:shd w:val="clear" w:color="auto" w:fill="F2F2F2" w:themeFill="background1" w:themeFillShade="F2"/>
            <w:noWrap/>
            <w:hideMark/>
          </w:tcPr>
          <w:p w:rsidR="00534C63" w:rsidRDefault="00534C63" w:rsidP="00684B0F">
            <w:pPr>
              <w:pStyle w:val="whp20100506"/>
              <w:rPr>
                <w:i/>
                <w:lang w:eastAsia="en-ZA"/>
              </w:rPr>
            </w:pPr>
            <w:r w:rsidRPr="00925AE5">
              <w:rPr>
                <w:i/>
                <w:lang w:eastAsia="en-ZA"/>
              </w:rPr>
              <w:t>The calculation of gearing will be assessed on the base value of the fixed assets as reflected in the last financial statements</w:t>
            </w:r>
          </w:p>
          <w:p w:rsidR="00534C63" w:rsidRPr="00925AE5" w:rsidRDefault="00534C63" w:rsidP="00684B0F">
            <w:pPr>
              <w:pStyle w:val="whp20100506"/>
              <w:rPr>
                <w:i/>
                <w:lang w:eastAsia="en-ZA"/>
              </w:rPr>
            </w:pPr>
          </w:p>
        </w:tc>
      </w:tr>
    </w:tbl>
    <w:p w:rsidR="00534C63" w:rsidRPr="00124B8E" w:rsidRDefault="00534C63" w:rsidP="00534C63">
      <w:pPr>
        <w:pStyle w:val="whp20100506"/>
        <w:ind w:left="720"/>
      </w:pPr>
    </w:p>
    <w:p w:rsidR="00534C63" w:rsidRPr="00974000" w:rsidRDefault="00534C63" w:rsidP="00534C63">
      <w:pPr>
        <w:pStyle w:val="whp20100506"/>
      </w:pPr>
      <w:r w:rsidRPr="0090579E">
        <w:t xml:space="preserve">The objective of </w:t>
      </w:r>
      <w:r w:rsidRPr="00974000">
        <w:t xml:space="preserve">the National Treasury is to protect the interests of the investor, mostly from capital loss within the REIT. At the same time the National Treasury wants to allow the REIT to operate at efficient levels through the practise of gearing in order to optimise returns for the investor (National Treasury, 2007:16). </w:t>
      </w:r>
    </w:p>
    <w:p w:rsidR="00931436" w:rsidRPr="00974000" w:rsidRDefault="00931436" w:rsidP="00534C63">
      <w:pPr>
        <w:pStyle w:val="whp20100506"/>
      </w:pPr>
    </w:p>
    <w:p w:rsidR="00931436" w:rsidRPr="00974000" w:rsidRDefault="00931436" w:rsidP="00534C63">
      <w:pPr>
        <w:pStyle w:val="whp20100506"/>
      </w:pPr>
      <w:r w:rsidRPr="00974000">
        <w:t xml:space="preserve">The National Treasury must be alive to exogenous market factors and cycles that could jeopardise the National Treasury’s objectives which are fundamentally linked to economic down swings, recessions etc which would drastically impact the REIT by way of the incurring substantial monetary penalties or loss of REIT status. These factors should be built in over time in order to prevent volatility in the REIT’s performance.  </w:t>
      </w:r>
    </w:p>
    <w:p w:rsidR="00534C63" w:rsidRPr="00974000" w:rsidRDefault="00534C63" w:rsidP="00534C63">
      <w:pPr>
        <w:pStyle w:val="whp20100506"/>
      </w:pPr>
    </w:p>
    <w:p w:rsidR="00534C63" w:rsidRPr="0090579E" w:rsidRDefault="00534C63" w:rsidP="00534C63">
      <w:pPr>
        <w:pStyle w:val="whp20100506"/>
      </w:pPr>
      <w:r w:rsidRPr="00974000">
        <w:t>In order to understand the National Treasury’s policy</w:t>
      </w:r>
      <w:r w:rsidRPr="0090579E">
        <w:t xml:space="preserve"> a full appreciation of gearing is required. Gearing quite simply is the practise of borrowing money and is a term synonymous with REIT as an instrument to further growth strategies through funding merger and acquisition activities. The greater the gearing the greater the risk to cash flow and consequent returns to shareholder. </w:t>
      </w:r>
    </w:p>
    <w:p w:rsidR="00534C63" w:rsidRPr="0090579E" w:rsidRDefault="00534C63" w:rsidP="00534C63">
      <w:pPr>
        <w:pStyle w:val="whp20100506"/>
      </w:pPr>
    </w:p>
    <w:p w:rsidR="00534C63" w:rsidRPr="00F13C22" w:rsidRDefault="00534C63" w:rsidP="00534C63">
      <w:pPr>
        <w:pStyle w:val="whp20100506"/>
        <w:rPr>
          <w:noProof/>
          <w:color w:val="FF0000"/>
        </w:rPr>
      </w:pPr>
      <w:r w:rsidRPr="0090579E">
        <w:t>Degrees of leverage between various REIT entities and REIT countries vary considerably and therefore gearing is used to gauge the levels of risk employed by fund managers. The levels vary due to various reasons and include factors such as the percentage gearing permitted in that particular country, the basis upon which gearing is calculated in that particular country, and the asset management strategies adopted by the particular REIT fund</w:t>
      </w:r>
      <w:r w:rsidRPr="00D408E3">
        <w:rPr>
          <w:noProof/>
        </w:rPr>
        <w:t>.</w:t>
      </w:r>
      <w:r w:rsidR="00386CAB">
        <w:rPr>
          <w:noProof/>
          <w:color w:val="FF0000"/>
        </w:rPr>
        <w:t xml:space="preserve"> </w:t>
      </w:r>
    </w:p>
    <w:p w:rsidR="00534C63" w:rsidRDefault="00534C63" w:rsidP="00534C63">
      <w:pPr>
        <w:pStyle w:val="whp20100506"/>
        <w:ind w:left="720"/>
        <w:rPr>
          <w:noProof/>
        </w:rPr>
      </w:pPr>
    </w:p>
    <w:p w:rsidR="00534C63" w:rsidRDefault="00534C63" w:rsidP="00534C63">
      <w:pPr>
        <w:pStyle w:val="whp20100506"/>
      </w:pPr>
      <w:r w:rsidRPr="0090579E">
        <w:t xml:space="preserve">REIT and property rely heavily on the use of debt and leverage when funding the activities </w:t>
      </w:r>
      <w:r w:rsidRPr="0090579E">
        <w:lastRenderedPageBreak/>
        <w:t>related to mergers and acquisitions. As such there is a huge reliance on debt instruments included interest rate hedging using derivatives and swaps</w:t>
      </w:r>
      <w:r w:rsidR="00386CAB">
        <w:rPr>
          <w:color w:val="FF0000"/>
        </w:rPr>
        <w:t>.</w:t>
      </w:r>
    </w:p>
    <w:p w:rsidR="00534C63" w:rsidRPr="00F13C22" w:rsidRDefault="00534C63" w:rsidP="00534C63">
      <w:pPr>
        <w:pStyle w:val="whp20100506"/>
        <w:ind w:left="720"/>
        <w:rPr>
          <w:color w:val="FF0000"/>
        </w:rPr>
      </w:pPr>
    </w:p>
    <w:p w:rsidR="00534C63" w:rsidRPr="0090579E" w:rsidRDefault="00534C63" w:rsidP="00534C63">
      <w:pPr>
        <w:pStyle w:val="whp20100506"/>
      </w:pPr>
      <w:r w:rsidRPr="0090579E">
        <w:t xml:space="preserve">The initial draft recommendations of National Treasury stipulated that REIT in South Africa may only rely upon bank sourced funding, which has been regarded as being too restrictive with calls for a lenient and more dynamic approach to the sources of funding and the method of determining the extent of being geared (see below). </w:t>
      </w:r>
    </w:p>
    <w:p w:rsidR="00534C63" w:rsidRPr="00D408E3" w:rsidRDefault="00534C63" w:rsidP="00534C63">
      <w:pPr>
        <w:pStyle w:val="whp20100506"/>
        <w:ind w:left="720"/>
      </w:pPr>
    </w:p>
    <w:p w:rsidR="00534C63" w:rsidRPr="0090579E" w:rsidRDefault="00534C63" w:rsidP="00534C63">
      <w:pPr>
        <w:pStyle w:val="whp20100506"/>
      </w:pPr>
      <w:r w:rsidRPr="00D408E3">
        <w:rPr>
          <w:noProof/>
        </w:rPr>
        <w:t xml:space="preserve">James Templeton from Emira says that it is an interesting outcome that most REIT companies do not actually gear themselves to the maxium amount </w:t>
      </w:r>
      <w:r w:rsidRPr="00F62502">
        <w:rPr>
          <w:noProof/>
        </w:rPr>
        <w:t>permitted</w:t>
      </w:r>
      <w:r w:rsidR="00F62502" w:rsidRPr="00F62502">
        <w:rPr>
          <w:noProof/>
        </w:rPr>
        <w:t xml:space="preserve">. </w:t>
      </w:r>
      <w:r w:rsidRPr="00F62502">
        <w:t>This was confirmed by the National Treasury that the internationally average gearing only stood at between 28% and 38%</w:t>
      </w:r>
      <w:r w:rsidRPr="00F62502">
        <w:rPr>
          <w:rStyle w:val="FootnoteReference"/>
          <w:vertAlign w:val="baseline"/>
        </w:rPr>
        <w:footnoteReference w:id="39"/>
      </w:r>
      <w:r w:rsidRPr="00F62502">
        <w:t xml:space="preserve">. Canada had the highest average gearing at 56% whilst </w:t>
      </w:r>
      <w:r w:rsidRPr="0090579E">
        <w:t xml:space="preserve">South Africa scored the lowest gearing the </w:t>
      </w:r>
      <w:r w:rsidR="00BC3055">
        <w:t>Ernest &amp; Young</w:t>
      </w:r>
      <w:r w:rsidR="00BC3055" w:rsidRPr="0090579E">
        <w:t xml:space="preserve"> </w:t>
      </w:r>
      <w:r w:rsidRPr="0090579E">
        <w:t>report in 2008 at 13%.</w:t>
      </w:r>
    </w:p>
    <w:p w:rsidR="00534C63" w:rsidRPr="0090579E" w:rsidRDefault="00534C63" w:rsidP="00534C63">
      <w:pPr>
        <w:pStyle w:val="whp20100506"/>
      </w:pPr>
    </w:p>
    <w:p w:rsidR="00534C63" w:rsidRPr="0090579E" w:rsidRDefault="00534C63" w:rsidP="00534C63">
      <w:pPr>
        <w:pStyle w:val="whp20100506"/>
      </w:pPr>
      <w:r w:rsidRPr="0090579E">
        <w:t xml:space="preserve">Mr John Rainier from Standard Bank is of the view that there should be no limits to the amount of gearing that a REIT can incur as this should essentially be determined by the market (Questionnaire, 2010, May). </w:t>
      </w:r>
    </w:p>
    <w:p w:rsidR="00534C63" w:rsidRPr="0090579E" w:rsidRDefault="00534C63" w:rsidP="00534C63">
      <w:pPr>
        <w:pStyle w:val="whp20100506"/>
      </w:pPr>
    </w:p>
    <w:p w:rsidR="00534C63" w:rsidRPr="0090579E" w:rsidRDefault="00534C63" w:rsidP="00534C63">
      <w:pPr>
        <w:pStyle w:val="whp20100506"/>
      </w:pPr>
      <w:r w:rsidRPr="0090579E">
        <w:t>Similarly Mr Craig Hallowes feels that gearing should include sources that include securitisation as well as hedging strategies that ensure interest rates do not become a factor for a REIT (Questionnaire, 2010, May).</w:t>
      </w:r>
    </w:p>
    <w:p w:rsidR="00534C63" w:rsidRPr="0090579E" w:rsidRDefault="00534C63" w:rsidP="00534C63">
      <w:pPr>
        <w:pStyle w:val="whp20100506"/>
      </w:pPr>
    </w:p>
    <w:p w:rsidR="00534C63" w:rsidRPr="009E5D93" w:rsidRDefault="00534C63" w:rsidP="00534C63">
      <w:pPr>
        <w:pStyle w:val="whp20100506"/>
        <w:rPr>
          <w:noProof/>
        </w:rPr>
      </w:pPr>
      <w:r w:rsidRPr="0090579E">
        <w:t>In terms of assessing the methodology of gearing amongst the various countries there are a number of practises adopted internationally as rules to control and regulate gearing. The following gearing structures are the most popular</w:t>
      </w:r>
      <w:r w:rsidRPr="0090579E">
        <w:rPr>
          <w:rStyle w:val="FootnoteReference"/>
          <w:vertAlign w:val="baseline"/>
        </w:rPr>
        <w:footnoteReference w:id="40"/>
      </w:r>
      <w:r w:rsidRPr="0090579E">
        <w:t xml:space="preserve"> amongst the 16 REIT countries analysed</w:t>
      </w:r>
      <w:r w:rsidRPr="009E5D93">
        <w:rPr>
          <w:noProof/>
        </w:rPr>
        <w:t>:</w:t>
      </w:r>
    </w:p>
    <w:p w:rsidR="00534C63" w:rsidRPr="009E5D93" w:rsidRDefault="00534C63" w:rsidP="00534C63">
      <w:pPr>
        <w:pStyle w:val="whp20100506"/>
        <w:ind w:left="720"/>
        <w:rPr>
          <w:noProof/>
        </w:rPr>
      </w:pPr>
    </w:p>
    <w:p w:rsidR="00534C63" w:rsidRDefault="00534C63" w:rsidP="00534C63">
      <w:pPr>
        <w:pStyle w:val="whp20100506"/>
        <w:numPr>
          <w:ilvl w:val="0"/>
          <w:numId w:val="7"/>
        </w:numPr>
        <w:tabs>
          <w:tab w:val="left" w:pos="450"/>
        </w:tabs>
        <w:ind w:left="270" w:hanging="270"/>
        <w:rPr>
          <w:noProof/>
        </w:rPr>
      </w:pPr>
      <w:r w:rsidRPr="009E5D93">
        <w:rPr>
          <w:noProof/>
        </w:rPr>
        <w:t>Gearing based on thin capitalisation rules</w:t>
      </w:r>
      <w:r w:rsidRPr="009E5D93">
        <w:rPr>
          <w:rStyle w:val="FootnoteReference"/>
          <w:noProof/>
        </w:rPr>
        <w:footnoteReference w:id="41"/>
      </w:r>
    </w:p>
    <w:p w:rsidR="00534C63" w:rsidRDefault="00534C63" w:rsidP="00534C63">
      <w:pPr>
        <w:pStyle w:val="whp20100506"/>
        <w:tabs>
          <w:tab w:val="left" w:pos="450"/>
        </w:tabs>
        <w:ind w:left="270"/>
        <w:rPr>
          <w:noProof/>
        </w:rPr>
      </w:pPr>
    </w:p>
    <w:p w:rsidR="00534C63" w:rsidRDefault="00534C63" w:rsidP="00534C63">
      <w:pPr>
        <w:pStyle w:val="whp20100506"/>
        <w:numPr>
          <w:ilvl w:val="0"/>
          <w:numId w:val="7"/>
        </w:numPr>
        <w:tabs>
          <w:tab w:val="left" w:pos="450"/>
        </w:tabs>
        <w:ind w:left="270" w:hanging="270"/>
        <w:rPr>
          <w:noProof/>
        </w:rPr>
      </w:pPr>
      <w:r w:rsidRPr="009E5D93">
        <w:rPr>
          <w:noProof/>
        </w:rPr>
        <w:t>Gearing</w:t>
      </w:r>
      <w:r>
        <w:rPr>
          <w:noProof/>
        </w:rPr>
        <w:t xml:space="preserve"> based on a debt / equity ratio</w:t>
      </w:r>
    </w:p>
    <w:p w:rsidR="00534C63" w:rsidRDefault="00534C63" w:rsidP="00534C63">
      <w:pPr>
        <w:pStyle w:val="whp20100506"/>
        <w:tabs>
          <w:tab w:val="left" w:pos="450"/>
        </w:tabs>
        <w:ind w:left="270"/>
        <w:rPr>
          <w:noProof/>
        </w:rPr>
      </w:pPr>
    </w:p>
    <w:p w:rsidR="00534C63" w:rsidRPr="009E5D93" w:rsidRDefault="00534C63" w:rsidP="00534C63">
      <w:pPr>
        <w:pStyle w:val="whp20100506"/>
        <w:numPr>
          <w:ilvl w:val="0"/>
          <w:numId w:val="7"/>
        </w:numPr>
        <w:tabs>
          <w:tab w:val="left" w:pos="450"/>
        </w:tabs>
        <w:ind w:left="270" w:hanging="270"/>
        <w:rPr>
          <w:noProof/>
        </w:rPr>
      </w:pPr>
      <w:r w:rsidRPr="009E5D93">
        <w:rPr>
          <w:noProof/>
        </w:rPr>
        <w:t xml:space="preserve">Gearing based on a percentage of gross asset value </w:t>
      </w:r>
    </w:p>
    <w:p w:rsidR="00534C63" w:rsidRDefault="00534C63" w:rsidP="00534C63">
      <w:pPr>
        <w:pStyle w:val="whp20100506"/>
        <w:tabs>
          <w:tab w:val="left" w:pos="450"/>
        </w:tabs>
        <w:ind w:left="270"/>
        <w:rPr>
          <w:noProof/>
        </w:rPr>
      </w:pPr>
    </w:p>
    <w:p w:rsidR="00534C63" w:rsidRPr="009E5D93" w:rsidRDefault="00534C63" w:rsidP="00534C63">
      <w:pPr>
        <w:pStyle w:val="whp20100506"/>
        <w:numPr>
          <w:ilvl w:val="0"/>
          <w:numId w:val="7"/>
        </w:numPr>
        <w:tabs>
          <w:tab w:val="left" w:pos="450"/>
        </w:tabs>
        <w:ind w:left="270" w:hanging="270"/>
        <w:rPr>
          <w:noProof/>
        </w:rPr>
      </w:pPr>
      <w:r w:rsidRPr="009E5D93">
        <w:rPr>
          <w:noProof/>
        </w:rPr>
        <w:t>Gearing based on a percentage of net asset value</w:t>
      </w:r>
    </w:p>
    <w:p w:rsidR="00534C63" w:rsidRDefault="00534C63" w:rsidP="00534C63">
      <w:pPr>
        <w:pStyle w:val="whp20100506"/>
        <w:tabs>
          <w:tab w:val="left" w:pos="450"/>
        </w:tabs>
        <w:ind w:left="270"/>
        <w:rPr>
          <w:noProof/>
        </w:rPr>
      </w:pPr>
    </w:p>
    <w:p w:rsidR="00534C63" w:rsidRPr="009E5D93" w:rsidRDefault="00534C63" w:rsidP="00534C63">
      <w:pPr>
        <w:pStyle w:val="whp20100506"/>
        <w:numPr>
          <w:ilvl w:val="0"/>
          <w:numId w:val="7"/>
        </w:numPr>
        <w:tabs>
          <w:tab w:val="left" w:pos="450"/>
        </w:tabs>
        <w:ind w:left="270" w:hanging="270"/>
        <w:rPr>
          <w:noProof/>
        </w:rPr>
      </w:pPr>
      <w:r w:rsidRPr="009E5D93">
        <w:rPr>
          <w:noProof/>
        </w:rPr>
        <w:t>Gearing based on a percentage of deposited property</w:t>
      </w:r>
    </w:p>
    <w:p w:rsidR="00534C63" w:rsidRDefault="00534C63" w:rsidP="00534C63">
      <w:pPr>
        <w:pStyle w:val="whp20100506"/>
        <w:tabs>
          <w:tab w:val="left" w:pos="450"/>
        </w:tabs>
        <w:ind w:left="270"/>
        <w:rPr>
          <w:noProof/>
        </w:rPr>
      </w:pPr>
    </w:p>
    <w:p w:rsidR="00534C63" w:rsidRDefault="00534C63" w:rsidP="00534C63">
      <w:pPr>
        <w:pStyle w:val="whp20100506"/>
        <w:numPr>
          <w:ilvl w:val="0"/>
          <w:numId w:val="7"/>
        </w:numPr>
        <w:tabs>
          <w:tab w:val="left" w:pos="450"/>
        </w:tabs>
        <w:ind w:left="270" w:hanging="270"/>
        <w:rPr>
          <w:noProof/>
        </w:rPr>
      </w:pPr>
      <w:r w:rsidRPr="009E5D93">
        <w:rPr>
          <w:noProof/>
        </w:rPr>
        <w:t>Gearing based on an interest-cover test (i.e. profits before test divided by finance costs)</w:t>
      </w:r>
    </w:p>
    <w:p w:rsidR="00534C63" w:rsidRDefault="00534C63" w:rsidP="00534C63">
      <w:pPr>
        <w:pStyle w:val="whp20100506"/>
        <w:tabs>
          <w:tab w:val="left" w:pos="450"/>
        </w:tabs>
        <w:ind w:left="270"/>
        <w:rPr>
          <w:noProof/>
        </w:rPr>
      </w:pPr>
    </w:p>
    <w:p w:rsidR="00534C63" w:rsidRPr="009E5D93" w:rsidRDefault="00534C63" w:rsidP="00534C63">
      <w:pPr>
        <w:pStyle w:val="whp20100506"/>
        <w:numPr>
          <w:ilvl w:val="0"/>
          <w:numId w:val="7"/>
        </w:numPr>
        <w:tabs>
          <w:tab w:val="left" w:pos="450"/>
        </w:tabs>
        <w:ind w:left="270" w:hanging="270"/>
        <w:rPr>
          <w:noProof/>
        </w:rPr>
      </w:pPr>
      <w:r w:rsidRPr="009E5D93">
        <w:rPr>
          <w:noProof/>
        </w:rPr>
        <w:t>Some countries do not impose any gearing restrictions</w:t>
      </w:r>
    </w:p>
    <w:p w:rsidR="00534C63" w:rsidRPr="0090579E" w:rsidRDefault="00534C63" w:rsidP="00534C63">
      <w:pPr>
        <w:pStyle w:val="whp20100506"/>
      </w:pPr>
    </w:p>
    <w:p w:rsidR="00534C63" w:rsidRPr="0090579E" w:rsidRDefault="00534C63" w:rsidP="00534C63">
      <w:pPr>
        <w:pStyle w:val="whp20100506"/>
      </w:pPr>
      <w:r w:rsidRPr="0090579E">
        <w:t xml:space="preserve">As far as the regulatory limitations imposed by the respective REIT countries are concerned, there is no general trend between these geographies. Some countries adopt a fairly flexible approach towards borrow with moderate and somewhat free reign of gearing whilst other countries have adopted more rigid and conservative approach to </w:t>
      </w:r>
      <w:r>
        <w:t xml:space="preserve">minimise industry risk. </w:t>
      </w:r>
      <w:r w:rsidR="005C373B">
        <w:t xml:space="preserve">Table </w:t>
      </w:r>
      <w:r w:rsidR="003C1984">
        <w:t>5</w:t>
      </w:r>
      <w:r w:rsidRPr="0090579E">
        <w:t xml:space="preserve"> illustrates the general approach internationally (see </w:t>
      </w:r>
      <w:r w:rsidR="00E6310C">
        <w:t>Table 6</w:t>
      </w:r>
      <w:r w:rsidRPr="0090579E">
        <w:t xml:space="preserve">below). </w:t>
      </w:r>
    </w:p>
    <w:p w:rsidR="00534C63" w:rsidRPr="0090579E" w:rsidRDefault="00534C63" w:rsidP="00534C63">
      <w:pPr>
        <w:pStyle w:val="whp20100506"/>
      </w:pPr>
    </w:p>
    <w:tbl>
      <w:tblPr>
        <w:tblpPr w:leftFromText="180" w:rightFromText="180" w:vertAnchor="text" w:horzAnchor="margin" w:tblpX="558" w:tblpY="258"/>
        <w:tblW w:w="833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244"/>
        <w:gridCol w:w="2409"/>
        <w:gridCol w:w="3686"/>
      </w:tblGrid>
      <w:tr w:rsidR="00ED480B" w:rsidRPr="003848A5" w:rsidTr="00ED480B">
        <w:trPr>
          <w:trHeight w:val="414"/>
        </w:trPr>
        <w:tc>
          <w:tcPr>
            <w:tcW w:w="8339" w:type="dxa"/>
            <w:gridSpan w:val="3"/>
            <w:tcBorders>
              <w:top w:val="nil"/>
              <w:left w:val="nil"/>
              <w:bottom w:val="double" w:sz="4" w:space="0" w:color="auto"/>
              <w:right w:val="nil"/>
            </w:tcBorders>
            <w:shd w:val="clear" w:color="auto" w:fill="auto"/>
            <w:noWrap/>
            <w:vAlign w:val="center"/>
            <w:hideMark/>
          </w:tcPr>
          <w:p w:rsidR="00ED480B" w:rsidRPr="00701814" w:rsidRDefault="00ED480B" w:rsidP="00ED480B">
            <w:pPr>
              <w:pStyle w:val="whp20100506"/>
              <w:jc w:val="center"/>
              <w:rPr>
                <w:b/>
              </w:rPr>
            </w:pPr>
            <w:bookmarkStart w:id="28" w:name="_Toc267930718"/>
            <w:r w:rsidRPr="00A90F31">
              <w:rPr>
                <w:rFonts w:asciiTheme="minorHAnsi" w:hAnsiTheme="minorHAnsi"/>
                <w:b/>
                <w:sz w:val="18"/>
                <w:szCs w:val="18"/>
              </w:rPr>
              <w:t>Table</w:t>
            </w:r>
            <w:r>
              <w:rPr>
                <w:rFonts w:asciiTheme="minorHAnsi" w:hAnsiTheme="minorHAnsi"/>
                <w:b/>
                <w:sz w:val="18"/>
                <w:szCs w:val="18"/>
              </w:rPr>
              <w:t xml:space="preserve"> 6</w:t>
            </w:r>
            <w:r w:rsidRPr="00A90F31">
              <w:rPr>
                <w:rFonts w:asciiTheme="minorHAnsi" w:hAnsiTheme="minorHAnsi"/>
                <w:b/>
                <w:sz w:val="18"/>
                <w:szCs w:val="18"/>
              </w:rPr>
              <w:t xml:space="preserve"> REIT Global Gearing Restrictions</w:t>
            </w:r>
            <w:bookmarkEnd w:id="28"/>
          </w:p>
        </w:tc>
      </w:tr>
      <w:tr w:rsidR="00534C63" w:rsidRPr="003848A5" w:rsidTr="00ED480B">
        <w:trPr>
          <w:trHeight w:val="414"/>
        </w:trPr>
        <w:tc>
          <w:tcPr>
            <w:tcW w:w="2244" w:type="dxa"/>
            <w:vMerge w:val="restart"/>
            <w:tcBorders>
              <w:top w:val="double" w:sz="4" w:space="0" w:color="auto"/>
            </w:tcBorders>
            <w:shd w:val="clear" w:color="auto" w:fill="F2F2F2" w:themeFill="background1" w:themeFillShade="F2"/>
            <w:noWrap/>
            <w:vAlign w:val="center"/>
            <w:hideMark/>
          </w:tcPr>
          <w:p w:rsidR="00534C63" w:rsidRPr="00701814" w:rsidRDefault="00534C63" w:rsidP="00701814">
            <w:pPr>
              <w:pStyle w:val="whp20100506"/>
              <w:jc w:val="center"/>
              <w:rPr>
                <w:b/>
              </w:rPr>
            </w:pPr>
            <w:bookmarkStart w:id="29" w:name="_Ref246669369"/>
            <w:bookmarkStart w:id="30" w:name="_Toc250743938"/>
            <w:bookmarkStart w:id="31" w:name="_Toc261371872"/>
            <w:bookmarkStart w:id="32" w:name="_Toc263675839"/>
            <w:r w:rsidRPr="00701814">
              <w:rPr>
                <w:b/>
              </w:rPr>
              <w:t>Region</w:t>
            </w:r>
          </w:p>
        </w:tc>
        <w:tc>
          <w:tcPr>
            <w:tcW w:w="2409" w:type="dxa"/>
            <w:vMerge w:val="restart"/>
            <w:tcBorders>
              <w:top w:val="double" w:sz="4" w:space="0" w:color="auto"/>
            </w:tcBorders>
            <w:shd w:val="clear" w:color="auto" w:fill="F2F2F2" w:themeFill="background1" w:themeFillShade="F2"/>
            <w:noWrap/>
            <w:vAlign w:val="center"/>
            <w:hideMark/>
          </w:tcPr>
          <w:p w:rsidR="00534C63" w:rsidRPr="00701814" w:rsidRDefault="00534C63" w:rsidP="00701814">
            <w:pPr>
              <w:pStyle w:val="whp20100506"/>
              <w:jc w:val="center"/>
              <w:rPr>
                <w:b/>
              </w:rPr>
            </w:pPr>
            <w:r w:rsidRPr="00701814">
              <w:rPr>
                <w:b/>
              </w:rPr>
              <w:t>Country</w:t>
            </w:r>
          </w:p>
        </w:tc>
        <w:tc>
          <w:tcPr>
            <w:tcW w:w="3686" w:type="dxa"/>
            <w:vMerge w:val="restart"/>
            <w:tcBorders>
              <w:top w:val="double" w:sz="4" w:space="0" w:color="auto"/>
            </w:tcBorders>
            <w:shd w:val="clear" w:color="auto" w:fill="F2F2F2" w:themeFill="background1" w:themeFillShade="F2"/>
            <w:vAlign w:val="center"/>
            <w:hideMark/>
          </w:tcPr>
          <w:p w:rsidR="00534C63" w:rsidRPr="00701814" w:rsidRDefault="00534C63" w:rsidP="00701814">
            <w:pPr>
              <w:pStyle w:val="whp20100506"/>
              <w:jc w:val="center"/>
              <w:rPr>
                <w:b/>
              </w:rPr>
            </w:pPr>
            <w:r w:rsidRPr="00701814">
              <w:rPr>
                <w:b/>
              </w:rPr>
              <w:t>Gearing Restrictions (to Net Asset Value)</w:t>
            </w:r>
          </w:p>
        </w:tc>
      </w:tr>
      <w:tr w:rsidR="00534C63" w:rsidRPr="003848A5" w:rsidTr="00701814">
        <w:trPr>
          <w:trHeight w:val="414"/>
        </w:trPr>
        <w:tc>
          <w:tcPr>
            <w:tcW w:w="2244" w:type="dxa"/>
            <w:vMerge/>
            <w:shd w:val="clear" w:color="auto" w:fill="D9D9D9" w:themeFill="background1" w:themeFillShade="D9"/>
            <w:vAlign w:val="center"/>
            <w:hideMark/>
          </w:tcPr>
          <w:p w:rsidR="00534C63" w:rsidRPr="003848A5" w:rsidRDefault="00534C63" w:rsidP="00684B0F">
            <w:pPr>
              <w:pStyle w:val="whp20100506"/>
            </w:pPr>
          </w:p>
        </w:tc>
        <w:tc>
          <w:tcPr>
            <w:tcW w:w="2409" w:type="dxa"/>
            <w:vMerge/>
            <w:shd w:val="clear" w:color="auto" w:fill="D9D9D9" w:themeFill="background1" w:themeFillShade="D9"/>
            <w:vAlign w:val="center"/>
            <w:hideMark/>
          </w:tcPr>
          <w:p w:rsidR="00534C63" w:rsidRPr="003848A5" w:rsidRDefault="00534C63" w:rsidP="00684B0F">
            <w:pPr>
              <w:pStyle w:val="whp20100506"/>
            </w:pPr>
          </w:p>
        </w:tc>
        <w:tc>
          <w:tcPr>
            <w:tcW w:w="3686" w:type="dxa"/>
            <w:vMerge/>
            <w:shd w:val="clear" w:color="auto" w:fill="D9D9D9" w:themeFill="background1" w:themeFillShade="D9"/>
            <w:vAlign w:val="center"/>
            <w:hideMark/>
          </w:tcPr>
          <w:p w:rsidR="00534C63" w:rsidRPr="003848A5" w:rsidRDefault="00534C63" w:rsidP="00684B0F">
            <w:pPr>
              <w:pStyle w:val="whp20100506"/>
            </w:pPr>
          </w:p>
        </w:tc>
      </w:tr>
      <w:tr w:rsidR="00534C63" w:rsidRPr="003848A5" w:rsidTr="00A8691C">
        <w:trPr>
          <w:trHeight w:val="300"/>
        </w:trPr>
        <w:tc>
          <w:tcPr>
            <w:tcW w:w="2244" w:type="dxa"/>
            <w:vMerge w:val="restart"/>
            <w:shd w:val="clear" w:color="auto" w:fill="F2F2F2" w:themeFill="background1" w:themeFillShade="F2"/>
            <w:noWrap/>
            <w:vAlign w:val="center"/>
            <w:hideMark/>
          </w:tcPr>
          <w:p w:rsidR="00534C63" w:rsidRPr="00701814" w:rsidRDefault="00534C63" w:rsidP="00701814">
            <w:pPr>
              <w:pStyle w:val="whp20100506"/>
              <w:jc w:val="center"/>
              <w:rPr>
                <w:b/>
              </w:rPr>
            </w:pPr>
            <w:r w:rsidRPr="00701814">
              <w:rPr>
                <w:b/>
              </w:rPr>
              <w:t>North America</w:t>
            </w:r>
          </w:p>
        </w:tc>
        <w:tc>
          <w:tcPr>
            <w:tcW w:w="2409" w:type="dxa"/>
            <w:shd w:val="clear" w:color="auto" w:fill="auto"/>
            <w:noWrap/>
            <w:vAlign w:val="center"/>
            <w:hideMark/>
          </w:tcPr>
          <w:p w:rsidR="00534C63" w:rsidRPr="003848A5" w:rsidRDefault="00534C63" w:rsidP="00701814">
            <w:pPr>
              <w:pStyle w:val="whp20100506"/>
              <w:jc w:val="center"/>
            </w:pPr>
            <w:r w:rsidRPr="003848A5">
              <w:t>USA</w:t>
            </w:r>
          </w:p>
        </w:tc>
        <w:tc>
          <w:tcPr>
            <w:tcW w:w="3686" w:type="dxa"/>
            <w:shd w:val="clear" w:color="auto" w:fill="auto"/>
            <w:noWrap/>
            <w:vAlign w:val="center"/>
            <w:hideMark/>
          </w:tcPr>
          <w:p w:rsidR="00534C63" w:rsidRPr="003848A5" w:rsidRDefault="00534C63" w:rsidP="00701814">
            <w:pPr>
              <w:pStyle w:val="whp20100506"/>
              <w:jc w:val="center"/>
            </w:pPr>
            <w:r w:rsidRPr="003848A5">
              <w:t>None</w:t>
            </w:r>
          </w:p>
        </w:tc>
      </w:tr>
      <w:tr w:rsidR="00534C63" w:rsidRPr="003848A5" w:rsidTr="00A8691C">
        <w:trPr>
          <w:trHeight w:val="315"/>
        </w:trPr>
        <w:tc>
          <w:tcPr>
            <w:tcW w:w="2244" w:type="dxa"/>
            <w:vMerge/>
            <w:shd w:val="clear" w:color="auto" w:fill="F2F2F2" w:themeFill="background1" w:themeFillShade="F2"/>
            <w:vAlign w:val="center"/>
            <w:hideMark/>
          </w:tcPr>
          <w:p w:rsidR="00534C63" w:rsidRPr="00701814" w:rsidRDefault="00534C63" w:rsidP="00701814">
            <w:pPr>
              <w:pStyle w:val="whp20100506"/>
              <w:jc w:val="center"/>
              <w:rPr>
                <w:b/>
              </w:rPr>
            </w:pPr>
          </w:p>
        </w:tc>
        <w:tc>
          <w:tcPr>
            <w:tcW w:w="2409" w:type="dxa"/>
            <w:shd w:val="clear" w:color="auto" w:fill="auto"/>
            <w:noWrap/>
            <w:vAlign w:val="center"/>
            <w:hideMark/>
          </w:tcPr>
          <w:p w:rsidR="00534C63" w:rsidRPr="003848A5" w:rsidRDefault="00534C63" w:rsidP="00701814">
            <w:pPr>
              <w:pStyle w:val="whp20100506"/>
              <w:jc w:val="center"/>
            </w:pPr>
            <w:r w:rsidRPr="003848A5">
              <w:t>Canada</w:t>
            </w:r>
          </w:p>
        </w:tc>
        <w:tc>
          <w:tcPr>
            <w:tcW w:w="3686" w:type="dxa"/>
            <w:shd w:val="clear" w:color="auto" w:fill="auto"/>
            <w:noWrap/>
            <w:vAlign w:val="center"/>
            <w:hideMark/>
          </w:tcPr>
          <w:p w:rsidR="00534C63" w:rsidRPr="003848A5" w:rsidRDefault="00534C63" w:rsidP="00701814">
            <w:pPr>
              <w:pStyle w:val="whp20100506"/>
              <w:jc w:val="center"/>
            </w:pPr>
            <w:r w:rsidRPr="003848A5">
              <w:t>None</w:t>
            </w:r>
          </w:p>
        </w:tc>
      </w:tr>
      <w:tr w:rsidR="00534C63" w:rsidRPr="003848A5" w:rsidTr="00A8691C">
        <w:trPr>
          <w:trHeight w:val="300"/>
        </w:trPr>
        <w:tc>
          <w:tcPr>
            <w:tcW w:w="2244" w:type="dxa"/>
            <w:vMerge w:val="restart"/>
            <w:shd w:val="clear" w:color="auto" w:fill="F2F2F2" w:themeFill="background1" w:themeFillShade="F2"/>
            <w:noWrap/>
            <w:vAlign w:val="center"/>
            <w:hideMark/>
          </w:tcPr>
          <w:p w:rsidR="00534C63" w:rsidRPr="00701814" w:rsidRDefault="00534C63" w:rsidP="00701814">
            <w:pPr>
              <w:pStyle w:val="whp20100506"/>
              <w:jc w:val="center"/>
              <w:rPr>
                <w:b/>
              </w:rPr>
            </w:pPr>
            <w:r w:rsidRPr="00701814">
              <w:rPr>
                <w:b/>
              </w:rPr>
              <w:t>Asia</w:t>
            </w:r>
          </w:p>
        </w:tc>
        <w:tc>
          <w:tcPr>
            <w:tcW w:w="2409" w:type="dxa"/>
            <w:shd w:val="clear" w:color="auto" w:fill="auto"/>
            <w:noWrap/>
            <w:vAlign w:val="center"/>
            <w:hideMark/>
          </w:tcPr>
          <w:p w:rsidR="00534C63" w:rsidRPr="003848A5" w:rsidRDefault="00534C63" w:rsidP="00701814">
            <w:pPr>
              <w:pStyle w:val="whp20100506"/>
              <w:jc w:val="center"/>
            </w:pPr>
            <w:r w:rsidRPr="003848A5">
              <w:t>Malaysia</w:t>
            </w:r>
          </w:p>
        </w:tc>
        <w:tc>
          <w:tcPr>
            <w:tcW w:w="3686" w:type="dxa"/>
            <w:shd w:val="clear" w:color="auto" w:fill="auto"/>
            <w:noWrap/>
            <w:vAlign w:val="center"/>
            <w:hideMark/>
          </w:tcPr>
          <w:p w:rsidR="00534C63" w:rsidRPr="003848A5" w:rsidRDefault="00534C63" w:rsidP="00701814">
            <w:pPr>
              <w:pStyle w:val="whp20100506"/>
              <w:jc w:val="center"/>
            </w:pPr>
            <w:r w:rsidRPr="003848A5">
              <w:t>35%</w:t>
            </w:r>
          </w:p>
        </w:tc>
      </w:tr>
      <w:tr w:rsidR="00534C63" w:rsidRPr="003848A5" w:rsidTr="00A8691C">
        <w:trPr>
          <w:trHeight w:val="300"/>
        </w:trPr>
        <w:tc>
          <w:tcPr>
            <w:tcW w:w="2244" w:type="dxa"/>
            <w:vMerge/>
            <w:shd w:val="clear" w:color="auto" w:fill="F2F2F2" w:themeFill="background1" w:themeFillShade="F2"/>
            <w:vAlign w:val="center"/>
            <w:hideMark/>
          </w:tcPr>
          <w:p w:rsidR="00534C63" w:rsidRPr="00701814" w:rsidRDefault="00534C63" w:rsidP="00701814">
            <w:pPr>
              <w:pStyle w:val="whp20100506"/>
              <w:jc w:val="center"/>
              <w:rPr>
                <w:b/>
              </w:rPr>
            </w:pPr>
          </w:p>
        </w:tc>
        <w:tc>
          <w:tcPr>
            <w:tcW w:w="2409" w:type="dxa"/>
            <w:shd w:val="clear" w:color="auto" w:fill="auto"/>
            <w:noWrap/>
            <w:vAlign w:val="center"/>
            <w:hideMark/>
          </w:tcPr>
          <w:p w:rsidR="00534C63" w:rsidRPr="003848A5" w:rsidRDefault="00534C63" w:rsidP="00701814">
            <w:pPr>
              <w:pStyle w:val="whp20100506"/>
              <w:jc w:val="center"/>
            </w:pPr>
            <w:r w:rsidRPr="003848A5">
              <w:t>Japan</w:t>
            </w:r>
          </w:p>
        </w:tc>
        <w:tc>
          <w:tcPr>
            <w:tcW w:w="3686" w:type="dxa"/>
            <w:shd w:val="clear" w:color="auto" w:fill="auto"/>
            <w:noWrap/>
            <w:vAlign w:val="center"/>
            <w:hideMark/>
          </w:tcPr>
          <w:p w:rsidR="00534C63" w:rsidRPr="003848A5" w:rsidRDefault="00534C63" w:rsidP="00701814">
            <w:pPr>
              <w:pStyle w:val="whp20100506"/>
              <w:jc w:val="center"/>
            </w:pPr>
            <w:r w:rsidRPr="003848A5">
              <w:t>None</w:t>
            </w:r>
          </w:p>
        </w:tc>
      </w:tr>
      <w:tr w:rsidR="00534C63" w:rsidRPr="003848A5" w:rsidTr="00A8691C">
        <w:trPr>
          <w:trHeight w:val="300"/>
        </w:trPr>
        <w:tc>
          <w:tcPr>
            <w:tcW w:w="2244" w:type="dxa"/>
            <w:vMerge/>
            <w:shd w:val="clear" w:color="auto" w:fill="F2F2F2" w:themeFill="background1" w:themeFillShade="F2"/>
            <w:vAlign w:val="center"/>
            <w:hideMark/>
          </w:tcPr>
          <w:p w:rsidR="00534C63" w:rsidRPr="00701814" w:rsidRDefault="00534C63" w:rsidP="00701814">
            <w:pPr>
              <w:pStyle w:val="whp20100506"/>
              <w:jc w:val="center"/>
              <w:rPr>
                <w:b/>
              </w:rPr>
            </w:pPr>
          </w:p>
        </w:tc>
        <w:tc>
          <w:tcPr>
            <w:tcW w:w="2409" w:type="dxa"/>
            <w:shd w:val="clear" w:color="auto" w:fill="auto"/>
            <w:noWrap/>
            <w:vAlign w:val="center"/>
            <w:hideMark/>
          </w:tcPr>
          <w:p w:rsidR="00534C63" w:rsidRPr="003848A5" w:rsidRDefault="00534C63" w:rsidP="00701814">
            <w:pPr>
              <w:pStyle w:val="whp20100506"/>
              <w:jc w:val="center"/>
            </w:pPr>
            <w:r w:rsidRPr="003848A5">
              <w:t>South Korea</w:t>
            </w:r>
          </w:p>
        </w:tc>
        <w:tc>
          <w:tcPr>
            <w:tcW w:w="3686" w:type="dxa"/>
            <w:shd w:val="clear" w:color="auto" w:fill="auto"/>
            <w:noWrap/>
            <w:vAlign w:val="center"/>
            <w:hideMark/>
          </w:tcPr>
          <w:p w:rsidR="00534C63" w:rsidRPr="003848A5" w:rsidRDefault="00534C63" w:rsidP="00701814">
            <w:pPr>
              <w:pStyle w:val="whp20100506"/>
              <w:jc w:val="center"/>
            </w:pPr>
            <w:r w:rsidRPr="003848A5">
              <w:t>Less than 2 x Net Equity</w:t>
            </w:r>
          </w:p>
        </w:tc>
      </w:tr>
      <w:tr w:rsidR="00534C63" w:rsidRPr="003848A5" w:rsidTr="00A8691C">
        <w:trPr>
          <w:trHeight w:val="300"/>
        </w:trPr>
        <w:tc>
          <w:tcPr>
            <w:tcW w:w="2244" w:type="dxa"/>
            <w:vMerge/>
            <w:shd w:val="clear" w:color="auto" w:fill="F2F2F2" w:themeFill="background1" w:themeFillShade="F2"/>
            <w:vAlign w:val="center"/>
            <w:hideMark/>
          </w:tcPr>
          <w:p w:rsidR="00534C63" w:rsidRPr="00701814" w:rsidRDefault="00534C63" w:rsidP="00701814">
            <w:pPr>
              <w:pStyle w:val="whp20100506"/>
              <w:jc w:val="center"/>
              <w:rPr>
                <w:b/>
              </w:rPr>
            </w:pPr>
          </w:p>
        </w:tc>
        <w:tc>
          <w:tcPr>
            <w:tcW w:w="2409" w:type="dxa"/>
            <w:shd w:val="clear" w:color="auto" w:fill="auto"/>
            <w:noWrap/>
            <w:vAlign w:val="center"/>
            <w:hideMark/>
          </w:tcPr>
          <w:p w:rsidR="00534C63" w:rsidRPr="003848A5" w:rsidRDefault="00534C63" w:rsidP="00701814">
            <w:pPr>
              <w:pStyle w:val="whp20100506"/>
              <w:jc w:val="center"/>
            </w:pPr>
            <w:r w:rsidRPr="003848A5">
              <w:t>Hong Kong</w:t>
            </w:r>
          </w:p>
        </w:tc>
        <w:tc>
          <w:tcPr>
            <w:tcW w:w="3686" w:type="dxa"/>
            <w:shd w:val="clear" w:color="auto" w:fill="auto"/>
            <w:noWrap/>
            <w:vAlign w:val="center"/>
            <w:hideMark/>
          </w:tcPr>
          <w:p w:rsidR="00534C63" w:rsidRPr="003848A5" w:rsidRDefault="00534C63" w:rsidP="00701814">
            <w:pPr>
              <w:pStyle w:val="whp20100506"/>
              <w:jc w:val="center"/>
            </w:pPr>
            <w:r w:rsidRPr="003848A5">
              <w:t>45%</w:t>
            </w:r>
          </w:p>
        </w:tc>
      </w:tr>
      <w:tr w:rsidR="00534C63" w:rsidRPr="003848A5" w:rsidTr="00A8691C">
        <w:trPr>
          <w:trHeight w:val="315"/>
        </w:trPr>
        <w:tc>
          <w:tcPr>
            <w:tcW w:w="2244" w:type="dxa"/>
            <w:vMerge/>
            <w:shd w:val="clear" w:color="auto" w:fill="F2F2F2" w:themeFill="background1" w:themeFillShade="F2"/>
            <w:vAlign w:val="center"/>
            <w:hideMark/>
          </w:tcPr>
          <w:p w:rsidR="00534C63" w:rsidRPr="00701814" w:rsidRDefault="00534C63" w:rsidP="00701814">
            <w:pPr>
              <w:pStyle w:val="whp20100506"/>
              <w:jc w:val="center"/>
              <w:rPr>
                <w:b/>
              </w:rPr>
            </w:pPr>
          </w:p>
        </w:tc>
        <w:tc>
          <w:tcPr>
            <w:tcW w:w="2409" w:type="dxa"/>
            <w:shd w:val="clear" w:color="auto" w:fill="auto"/>
            <w:noWrap/>
            <w:vAlign w:val="center"/>
            <w:hideMark/>
          </w:tcPr>
          <w:p w:rsidR="00534C63" w:rsidRPr="003848A5" w:rsidRDefault="00534C63" w:rsidP="00701814">
            <w:pPr>
              <w:pStyle w:val="whp20100506"/>
              <w:jc w:val="center"/>
            </w:pPr>
            <w:r w:rsidRPr="003848A5">
              <w:t>Singapore</w:t>
            </w:r>
          </w:p>
        </w:tc>
        <w:tc>
          <w:tcPr>
            <w:tcW w:w="3686" w:type="dxa"/>
            <w:shd w:val="clear" w:color="auto" w:fill="auto"/>
            <w:noWrap/>
            <w:vAlign w:val="center"/>
            <w:hideMark/>
          </w:tcPr>
          <w:p w:rsidR="00534C63" w:rsidRPr="003848A5" w:rsidRDefault="00534C63" w:rsidP="00701814">
            <w:pPr>
              <w:pStyle w:val="whp20100506"/>
              <w:jc w:val="center"/>
            </w:pPr>
            <w:r w:rsidRPr="003848A5">
              <w:t>35% - 60%</w:t>
            </w:r>
          </w:p>
        </w:tc>
      </w:tr>
      <w:tr w:rsidR="00534C63" w:rsidRPr="003848A5" w:rsidTr="00A8691C">
        <w:trPr>
          <w:trHeight w:val="300"/>
        </w:trPr>
        <w:tc>
          <w:tcPr>
            <w:tcW w:w="2244" w:type="dxa"/>
            <w:vMerge w:val="restart"/>
            <w:shd w:val="clear" w:color="auto" w:fill="F2F2F2" w:themeFill="background1" w:themeFillShade="F2"/>
            <w:noWrap/>
            <w:vAlign w:val="center"/>
            <w:hideMark/>
          </w:tcPr>
          <w:p w:rsidR="00534C63" w:rsidRPr="00701814" w:rsidRDefault="00534C63" w:rsidP="00701814">
            <w:pPr>
              <w:pStyle w:val="whp20100506"/>
              <w:jc w:val="center"/>
              <w:rPr>
                <w:b/>
              </w:rPr>
            </w:pPr>
            <w:r w:rsidRPr="00701814">
              <w:rPr>
                <w:b/>
              </w:rPr>
              <w:t>Pacific</w:t>
            </w:r>
          </w:p>
        </w:tc>
        <w:tc>
          <w:tcPr>
            <w:tcW w:w="2409" w:type="dxa"/>
            <w:shd w:val="clear" w:color="auto" w:fill="auto"/>
            <w:noWrap/>
            <w:vAlign w:val="center"/>
            <w:hideMark/>
          </w:tcPr>
          <w:p w:rsidR="00534C63" w:rsidRPr="003848A5" w:rsidRDefault="00534C63" w:rsidP="00701814">
            <w:pPr>
              <w:pStyle w:val="whp20100506"/>
              <w:jc w:val="center"/>
            </w:pPr>
            <w:r w:rsidRPr="003848A5">
              <w:t>Australia</w:t>
            </w:r>
          </w:p>
        </w:tc>
        <w:tc>
          <w:tcPr>
            <w:tcW w:w="3686" w:type="dxa"/>
            <w:shd w:val="clear" w:color="auto" w:fill="auto"/>
            <w:noWrap/>
            <w:vAlign w:val="center"/>
            <w:hideMark/>
          </w:tcPr>
          <w:p w:rsidR="00534C63" w:rsidRPr="003848A5" w:rsidRDefault="00534C63" w:rsidP="00701814">
            <w:pPr>
              <w:pStyle w:val="whp20100506"/>
              <w:jc w:val="center"/>
            </w:pPr>
            <w:r w:rsidRPr="003848A5">
              <w:t>None</w:t>
            </w:r>
          </w:p>
        </w:tc>
      </w:tr>
      <w:tr w:rsidR="00534C63" w:rsidRPr="003848A5" w:rsidTr="00A8691C">
        <w:trPr>
          <w:trHeight w:val="315"/>
        </w:trPr>
        <w:tc>
          <w:tcPr>
            <w:tcW w:w="2244" w:type="dxa"/>
            <w:vMerge/>
            <w:shd w:val="clear" w:color="auto" w:fill="F2F2F2" w:themeFill="background1" w:themeFillShade="F2"/>
            <w:vAlign w:val="center"/>
            <w:hideMark/>
          </w:tcPr>
          <w:p w:rsidR="00534C63" w:rsidRPr="00701814" w:rsidRDefault="00534C63" w:rsidP="00701814">
            <w:pPr>
              <w:pStyle w:val="whp20100506"/>
              <w:jc w:val="center"/>
              <w:rPr>
                <w:b/>
              </w:rPr>
            </w:pPr>
          </w:p>
        </w:tc>
        <w:tc>
          <w:tcPr>
            <w:tcW w:w="2409" w:type="dxa"/>
            <w:shd w:val="clear" w:color="auto" w:fill="auto"/>
            <w:noWrap/>
            <w:vAlign w:val="center"/>
            <w:hideMark/>
          </w:tcPr>
          <w:p w:rsidR="00534C63" w:rsidRPr="003848A5" w:rsidRDefault="00534C63" w:rsidP="00701814">
            <w:pPr>
              <w:pStyle w:val="whp20100506"/>
              <w:jc w:val="center"/>
            </w:pPr>
            <w:r w:rsidRPr="003848A5">
              <w:t>New Zealand</w:t>
            </w:r>
          </w:p>
        </w:tc>
        <w:tc>
          <w:tcPr>
            <w:tcW w:w="3686" w:type="dxa"/>
            <w:shd w:val="clear" w:color="auto" w:fill="auto"/>
            <w:noWrap/>
            <w:vAlign w:val="center"/>
            <w:hideMark/>
          </w:tcPr>
          <w:p w:rsidR="00534C63" w:rsidRPr="003848A5" w:rsidRDefault="00534C63" w:rsidP="00701814">
            <w:pPr>
              <w:pStyle w:val="whp20100506"/>
              <w:jc w:val="center"/>
            </w:pPr>
            <w:r w:rsidRPr="003848A5">
              <w:t>None</w:t>
            </w:r>
          </w:p>
        </w:tc>
      </w:tr>
      <w:tr w:rsidR="00534C63" w:rsidRPr="003848A5" w:rsidTr="00A8691C">
        <w:trPr>
          <w:trHeight w:val="300"/>
        </w:trPr>
        <w:tc>
          <w:tcPr>
            <w:tcW w:w="2244" w:type="dxa"/>
            <w:vMerge w:val="restart"/>
            <w:shd w:val="clear" w:color="auto" w:fill="F2F2F2" w:themeFill="background1" w:themeFillShade="F2"/>
            <w:noWrap/>
            <w:vAlign w:val="center"/>
            <w:hideMark/>
          </w:tcPr>
          <w:p w:rsidR="00534C63" w:rsidRPr="00701814" w:rsidRDefault="00534C63" w:rsidP="00701814">
            <w:pPr>
              <w:pStyle w:val="whp20100506"/>
              <w:jc w:val="center"/>
              <w:rPr>
                <w:b/>
              </w:rPr>
            </w:pPr>
            <w:r w:rsidRPr="00701814">
              <w:rPr>
                <w:b/>
              </w:rPr>
              <w:t>EMEIA</w:t>
            </w:r>
          </w:p>
        </w:tc>
        <w:tc>
          <w:tcPr>
            <w:tcW w:w="2409" w:type="dxa"/>
            <w:shd w:val="clear" w:color="auto" w:fill="auto"/>
            <w:noWrap/>
            <w:vAlign w:val="center"/>
            <w:hideMark/>
          </w:tcPr>
          <w:p w:rsidR="00534C63" w:rsidRPr="003848A5" w:rsidRDefault="00534C63" w:rsidP="00701814">
            <w:pPr>
              <w:pStyle w:val="whp20100506"/>
              <w:jc w:val="center"/>
            </w:pPr>
            <w:r w:rsidRPr="003848A5">
              <w:t>Netherlands</w:t>
            </w:r>
          </w:p>
        </w:tc>
        <w:tc>
          <w:tcPr>
            <w:tcW w:w="3686" w:type="dxa"/>
            <w:shd w:val="clear" w:color="auto" w:fill="auto"/>
            <w:noWrap/>
            <w:vAlign w:val="center"/>
            <w:hideMark/>
          </w:tcPr>
          <w:p w:rsidR="00534C63" w:rsidRPr="003848A5" w:rsidRDefault="00534C63" w:rsidP="00701814">
            <w:pPr>
              <w:pStyle w:val="whp20100506"/>
              <w:jc w:val="center"/>
            </w:pPr>
            <w:r w:rsidRPr="003848A5">
              <w:t>20% Non Real Estate + 60% Real Estate</w:t>
            </w:r>
          </w:p>
        </w:tc>
      </w:tr>
      <w:tr w:rsidR="00534C63" w:rsidRPr="003848A5" w:rsidTr="00A8691C">
        <w:trPr>
          <w:trHeight w:val="300"/>
        </w:trPr>
        <w:tc>
          <w:tcPr>
            <w:tcW w:w="2244" w:type="dxa"/>
            <w:vMerge/>
            <w:shd w:val="clear" w:color="auto" w:fill="F2F2F2" w:themeFill="background1" w:themeFillShade="F2"/>
            <w:vAlign w:val="center"/>
            <w:hideMark/>
          </w:tcPr>
          <w:p w:rsidR="00534C63" w:rsidRPr="003848A5" w:rsidRDefault="00534C63" w:rsidP="00684B0F">
            <w:pPr>
              <w:pStyle w:val="whp20100506"/>
            </w:pPr>
          </w:p>
        </w:tc>
        <w:tc>
          <w:tcPr>
            <w:tcW w:w="2409" w:type="dxa"/>
            <w:shd w:val="clear" w:color="auto" w:fill="auto"/>
            <w:noWrap/>
            <w:vAlign w:val="center"/>
            <w:hideMark/>
          </w:tcPr>
          <w:p w:rsidR="00534C63" w:rsidRPr="003848A5" w:rsidRDefault="00534C63" w:rsidP="00701814">
            <w:pPr>
              <w:pStyle w:val="whp20100506"/>
              <w:jc w:val="center"/>
            </w:pPr>
            <w:r w:rsidRPr="003848A5">
              <w:t>UK</w:t>
            </w:r>
          </w:p>
        </w:tc>
        <w:tc>
          <w:tcPr>
            <w:tcW w:w="3686" w:type="dxa"/>
            <w:shd w:val="clear" w:color="auto" w:fill="auto"/>
            <w:noWrap/>
            <w:vAlign w:val="center"/>
            <w:hideMark/>
          </w:tcPr>
          <w:p w:rsidR="00534C63" w:rsidRPr="003848A5" w:rsidRDefault="00534C63" w:rsidP="00701814">
            <w:pPr>
              <w:pStyle w:val="whp20100506"/>
              <w:jc w:val="center"/>
            </w:pPr>
            <w:r w:rsidRPr="003848A5">
              <w:t>interest cover of 1.25x</w:t>
            </w:r>
          </w:p>
        </w:tc>
      </w:tr>
      <w:tr w:rsidR="00534C63" w:rsidRPr="003848A5" w:rsidTr="00A8691C">
        <w:trPr>
          <w:trHeight w:val="300"/>
        </w:trPr>
        <w:tc>
          <w:tcPr>
            <w:tcW w:w="2244" w:type="dxa"/>
            <w:vMerge/>
            <w:shd w:val="clear" w:color="auto" w:fill="F2F2F2" w:themeFill="background1" w:themeFillShade="F2"/>
            <w:vAlign w:val="center"/>
            <w:hideMark/>
          </w:tcPr>
          <w:p w:rsidR="00534C63" w:rsidRPr="003848A5" w:rsidRDefault="00534C63" w:rsidP="00684B0F">
            <w:pPr>
              <w:pStyle w:val="whp20100506"/>
            </w:pPr>
          </w:p>
        </w:tc>
        <w:tc>
          <w:tcPr>
            <w:tcW w:w="2409" w:type="dxa"/>
            <w:shd w:val="clear" w:color="auto" w:fill="auto"/>
            <w:noWrap/>
            <w:vAlign w:val="center"/>
            <w:hideMark/>
          </w:tcPr>
          <w:p w:rsidR="00534C63" w:rsidRPr="003848A5" w:rsidRDefault="00534C63" w:rsidP="00701814">
            <w:pPr>
              <w:pStyle w:val="whp20100506"/>
              <w:jc w:val="center"/>
            </w:pPr>
            <w:r w:rsidRPr="003848A5">
              <w:t>Belgium</w:t>
            </w:r>
          </w:p>
        </w:tc>
        <w:tc>
          <w:tcPr>
            <w:tcW w:w="3686" w:type="dxa"/>
            <w:shd w:val="clear" w:color="auto" w:fill="auto"/>
            <w:noWrap/>
            <w:vAlign w:val="center"/>
            <w:hideMark/>
          </w:tcPr>
          <w:p w:rsidR="00534C63" w:rsidRPr="003848A5" w:rsidRDefault="00534C63" w:rsidP="00701814">
            <w:pPr>
              <w:pStyle w:val="whp20100506"/>
              <w:jc w:val="center"/>
            </w:pPr>
            <w:r w:rsidRPr="003848A5">
              <w:t>Debt/Equity of 1:1</w:t>
            </w:r>
          </w:p>
        </w:tc>
      </w:tr>
      <w:tr w:rsidR="00534C63" w:rsidRPr="003848A5" w:rsidTr="00A8691C">
        <w:trPr>
          <w:trHeight w:val="300"/>
        </w:trPr>
        <w:tc>
          <w:tcPr>
            <w:tcW w:w="2244" w:type="dxa"/>
            <w:vMerge/>
            <w:shd w:val="clear" w:color="auto" w:fill="F2F2F2" w:themeFill="background1" w:themeFillShade="F2"/>
            <w:vAlign w:val="center"/>
            <w:hideMark/>
          </w:tcPr>
          <w:p w:rsidR="00534C63" w:rsidRPr="003848A5" w:rsidRDefault="00534C63" w:rsidP="00684B0F">
            <w:pPr>
              <w:pStyle w:val="whp20100506"/>
            </w:pPr>
          </w:p>
        </w:tc>
        <w:tc>
          <w:tcPr>
            <w:tcW w:w="2409" w:type="dxa"/>
            <w:shd w:val="clear" w:color="auto" w:fill="auto"/>
            <w:noWrap/>
            <w:vAlign w:val="center"/>
            <w:hideMark/>
          </w:tcPr>
          <w:p w:rsidR="00534C63" w:rsidRPr="003848A5" w:rsidRDefault="00534C63" w:rsidP="00701814">
            <w:pPr>
              <w:pStyle w:val="whp20100506"/>
              <w:jc w:val="center"/>
            </w:pPr>
            <w:r w:rsidRPr="003848A5">
              <w:t>France</w:t>
            </w:r>
          </w:p>
        </w:tc>
        <w:tc>
          <w:tcPr>
            <w:tcW w:w="3686" w:type="dxa"/>
            <w:shd w:val="clear" w:color="auto" w:fill="auto"/>
            <w:noWrap/>
            <w:vAlign w:val="center"/>
            <w:hideMark/>
          </w:tcPr>
          <w:p w:rsidR="00534C63" w:rsidRPr="003848A5" w:rsidRDefault="00534C63" w:rsidP="00701814">
            <w:pPr>
              <w:pStyle w:val="whp20100506"/>
              <w:jc w:val="center"/>
            </w:pPr>
            <w:r w:rsidRPr="003848A5">
              <w:t>none</w:t>
            </w:r>
          </w:p>
        </w:tc>
      </w:tr>
      <w:tr w:rsidR="00534C63" w:rsidRPr="003848A5" w:rsidTr="00A8691C">
        <w:trPr>
          <w:trHeight w:val="300"/>
        </w:trPr>
        <w:tc>
          <w:tcPr>
            <w:tcW w:w="2244" w:type="dxa"/>
            <w:vMerge/>
            <w:shd w:val="clear" w:color="auto" w:fill="F2F2F2" w:themeFill="background1" w:themeFillShade="F2"/>
            <w:vAlign w:val="center"/>
            <w:hideMark/>
          </w:tcPr>
          <w:p w:rsidR="00534C63" w:rsidRPr="003848A5" w:rsidRDefault="00534C63" w:rsidP="00684B0F">
            <w:pPr>
              <w:pStyle w:val="whp20100506"/>
            </w:pPr>
          </w:p>
        </w:tc>
        <w:tc>
          <w:tcPr>
            <w:tcW w:w="2409" w:type="dxa"/>
            <w:shd w:val="clear" w:color="auto" w:fill="auto"/>
            <w:noWrap/>
            <w:vAlign w:val="center"/>
            <w:hideMark/>
          </w:tcPr>
          <w:p w:rsidR="00534C63" w:rsidRPr="003848A5" w:rsidRDefault="00534C63" w:rsidP="00701814">
            <w:pPr>
              <w:pStyle w:val="whp20100506"/>
              <w:jc w:val="center"/>
            </w:pPr>
            <w:r w:rsidRPr="003848A5">
              <w:t>South Africa</w:t>
            </w:r>
          </w:p>
        </w:tc>
        <w:tc>
          <w:tcPr>
            <w:tcW w:w="3686" w:type="dxa"/>
            <w:shd w:val="clear" w:color="auto" w:fill="auto"/>
            <w:noWrap/>
            <w:vAlign w:val="center"/>
            <w:hideMark/>
          </w:tcPr>
          <w:p w:rsidR="00534C63" w:rsidRPr="003848A5" w:rsidRDefault="00534C63" w:rsidP="00701814">
            <w:pPr>
              <w:pStyle w:val="whp20100506"/>
              <w:jc w:val="center"/>
            </w:pPr>
            <w:r w:rsidRPr="003848A5">
              <w:t>30%</w:t>
            </w:r>
          </w:p>
        </w:tc>
      </w:tr>
      <w:tr w:rsidR="00534C63" w:rsidRPr="003848A5" w:rsidTr="00A8691C">
        <w:trPr>
          <w:trHeight w:val="300"/>
        </w:trPr>
        <w:tc>
          <w:tcPr>
            <w:tcW w:w="2244" w:type="dxa"/>
            <w:vMerge/>
            <w:shd w:val="clear" w:color="auto" w:fill="F2F2F2" w:themeFill="background1" w:themeFillShade="F2"/>
            <w:vAlign w:val="center"/>
            <w:hideMark/>
          </w:tcPr>
          <w:p w:rsidR="00534C63" w:rsidRPr="003848A5" w:rsidRDefault="00534C63" w:rsidP="00684B0F">
            <w:pPr>
              <w:pStyle w:val="whp20100506"/>
            </w:pPr>
          </w:p>
        </w:tc>
        <w:tc>
          <w:tcPr>
            <w:tcW w:w="2409" w:type="dxa"/>
            <w:shd w:val="clear" w:color="auto" w:fill="auto"/>
            <w:noWrap/>
            <w:vAlign w:val="center"/>
            <w:hideMark/>
          </w:tcPr>
          <w:p w:rsidR="00534C63" w:rsidRPr="003848A5" w:rsidRDefault="00534C63" w:rsidP="00701814">
            <w:pPr>
              <w:pStyle w:val="whp20100506"/>
              <w:jc w:val="center"/>
            </w:pPr>
            <w:r w:rsidRPr="003848A5">
              <w:t>Turkey</w:t>
            </w:r>
          </w:p>
        </w:tc>
        <w:tc>
          <w:tcPr>
            <w:tcW w:w="3686" w:type="dxa"/>
            <w:shd w:val="clear" w:color="auto" w:fill="auto"/>
            <w:noWrap/>
            <w:vAlign w:val="center"/>
            <w:hideMark/>
          </w:tcPr>
          <w:p w:rsidR="00534C63" w:rsidRPr="003848A5" w:rsidRDefault="00534C63" w:rsidP="00701814">
            <w:pPr>
              <w:pStyle w:val="whp20100506"/>
              <w:jc w:val="center"/>
            </w:pPr>
            <w:r w:rsidRPr="003848A5">
              <w:t>none</w:t>
            </w:r>
          </w:p>
        </w:tc>
      </w:tr>
      <w:tr w:rsidR="00534C63" w:rsidRPr="003848A5" w:rsidTr="00A8691C">
        <w:trPr>
          <w:trHeight w:val="315"/>
        </w:trPr>
        <w:tc>
          <w:tcPr>
            <w:tcW w:w="2244" w:type="dxa"/>
            <w:vMerge/>
            <w:shd w:val="clear" w:color="auto" w:fill="F2F2F2" w:themeFill="background1" w:themeFillShade="F2"/>
            <w:vAlign w:val="center"/>
            <w:hideMark/>
          </w:tcPr>
          <w:p w:rsidR="00534C63" w:rsidRPr="003848A5" w:rsidRDefault="00534C63" w:rsidP="00684B0F">
            <w:pPr>
              <w:pStyle w:val="whp20100506"/>
            </w:pPr>
          </w:p>
        </w:tc>
        <w:tc>
          <w:tcPr>
            <w:tcW w:w="2409" w:type="dxa"/>
            <w:shd w:val="clear" w:color="auto" w:fill="auto"/>
            <w:noWrap/>
            <w:vAlign w:val="center"/>
            <w:hideMark/>
          </w:tcPr>
          <w:p w:rsidR="00534C63" w:rsidRPr="003848A5" w:rsidRDefault="00534C63" w:rsidP="00701814">
            <w:pPr>
              <w:pStyle w:val="whp20100506"/>
              <w:jc w:val="center"/>
            </w:pPr>
            <w:r w:rsidRPr="003848A5">
              <w:t>Germany</w:t>
            </w:r>
          </w:p>
        </w:tc>
        <w:tc>
          <w:tcPr>
            <w:tcW w:w="3686" w:type="dxa"/>
            <w:shd w:val="clear" w:color="auto" w:fill="auto"/>
            <w:noWrap/>
            <w:vAlign w:val="center"/>
            <w:hideMark/>
          </w:tcPr>
          <w:p w:rsidR="00534C63" w:rsidRPr="003848A5" w:rsidRDefault="00534C63" w:rsidP="00701814">
            <w:pPr>
              <w:pStyle w:val="whp20100506"/>
              <w:jc w:val="center"/>
            </w:pPr>
            <w:r w:rsidRPr="003848A5">
              <w:t>55%</w:t>
            </w:r>
          </w:p>
        </w:tc>
      </w:tr>
    </w:tbl>
    <w:p w:rsidR="00534C63" w:rsidRDefault="00534C63" w:rsidP="00534C63">
      <w:pPr>
        <w:pStyle w:val="whp20100506"/>
        <w:jc w:val="center"/>
        <w:rPr>
          <w:u w:val="single"/>
        </w:rPr>
      </w:pPr>
    </w:p>
    <w:bookmarkEnd w:id="29"/>
    <w:bookmarkEnd w:id="30"/>
    <w:bookmarkEnd w:id="31"/>
    <w:bookmarkEnd w:id="32"/>
    <w:p w:rsidR="00534C63" w:rsidRDefault="00534C63" w:rsidP="00534C63">
      <w:pPr>
        <w:pStyle w:val="whp20100506"/>
      </w:pPr>
    </w:p>
    <w:p w:rsidR="00534C63" w:rsidRPr="009E5D93" w:rsidRDefault="00534C63" w:rsidP="00ED480B">
      <w:pPr>
        <w:pStyle w:val="whp20100506"/>
        <w:jc w:val="both"/>
      </w:pPr>
      <w:r w:rsidRPr="009E5D93">
        <w:t>In terms of the National Treasury’s recommendations, Gearing must be limited to 70% of total asset value alternatively NAREIT has proposed that the REIT gearing ratio be based on an interest coverage ratio</w:t>
      </w:r>
      <w:r w:rsidRPr="009E5D93">
        <w:rPr>
          <w:rStyle w:val="FootnoteReference"/>
        </w:rPr>
        <w:footnoteReference w:id="42"/>
      </w:r>
      <w:r w:rsidRPr="009E5D93">
        <w:t>.</w:t>
      </w:r>
    </w:p>
    <w:p w:rsidR="00534C63" w:rsidRPr="00F13C22" w:rsidRDefault="00534C63" w:rsidP="00534C63">
      <w:pPr>
        <w:pStyle w:val="whp20100506"/>
        <w:rPr>
          <w:color w:val="FF0000"/>
          <w:lang w:eastAsia="en-ZA"/>
        </w:rPr>
      </w:pPr>
    </w:p>
    <w:p w:rsidR="00534C63" w:rsidRPr="00C7460C" w:rsidRDefault="00534C63" w:rsidP="00534C63">
      <w:pPr>
        <w:pStyle w:val="whp20100506"/>
        <w:rPr>
          <w:b/>
          <w:i/>
        </w:rPr>
      </w:pPr>
      <w:r w:rsidRPr="00206089">
        <w:rPr>
          <w:b/>
          <w:i/>
          <w:u w:val="single"/>
        </w:rPr>
        <w:t>Comment 1:</w:t>
      </w:r>
      <w:r w:rsidRPr="00C7460C">
        <w:rPr>
          <w:b/>
          <w:i/>
        </w:rPr>
        <w:t xml:space="preserve"> What Assets are Included in the Term “Fixed Assets”?</w:t>
      </w:r>
    </w:p>
    <w:p w:rsidR="00534C63" w:rsidRPr="0090579E" w:rsidRDefault="00534C63" w:rsidP="00534C63">
      <w:pPr>
        <w:pStyle w:val="whp20100506"/>
      </w:pPr>
    </w:p>
    <w:p w:rsidR="00534C63" w:rsidRPr="0090579E" w:rsidRDefault="00534C63" w:rsidP="00534C63">
      <w:pPr>
        <w:pStyle w:val="whp20100506"/>
      </w:pPr>
      <w:r w:rsidRPr="0090579E">
        <w:t xml:space="preserve">The National Treasury responded to the comments by confirming that Fixed Assets will include immovable assets held directly by </w:t>
      </w:r>
      <w:r w:rsidR="00194F2A">
        <w:t>REITS</w:t>
      </w:r>
      <w:r w:rsidRPr="0090579E">
        <w:t xml:space="preserve"> and that the base should include all immovable property acquired during the relevant financial year, which will be included at the assets acquisition price (National Treasury 2008: 11). The base will also only include properties directly held by the REIT.  </w:t>
      </w:r>
    </w:p>
    <w:p w:rsidR="00534C63" w:rsidRPr="0090579E" w:rsidRDefault="00534C63" w:rsidP="00534C63">
      <w:pPr>
        <w:pStyle w:val="whp20100506"/>
      </w:pPr>
    </w:p>
    <w:p w:rsidR="00534C63" w:rsidRPr="0090579E" w:rsidRDefault="00534C63" w:rsidP="00534C63">
      <w:pPr>
        <w:pStyle w:val="whp20100506"/>
      </w:pPr>
      <w:r w:rsidRPr="0090579E">
        <w:t xml:space="preserve">Vuyani Bekwa from Investec has indicated that the gearing risk exposure of a REIT can be far greater than its direct exposure particularly if a primary REIT invests in an auxiliary REIT where the latter has extensive gearing exposure (Questionnaire 2010, May). He therefore recommends that the 2 REIT layer investment structure be limited to 25% of total assets in order to protect the integrity of the gearing levels of </w:t>
      </w:r>
      <w:r w:rsidR="00194F2A">
        <w:t>REITS</w:t>
      </w:r>
      <w:r w:rsidRPr="0090579E">
        <w:t xml:space="preserve">. </w:t>
      </w:r>
    </w:p>
    <w:p w:rsidR="00534C63" w:rsidRPr="0090579E" w:rsidRDefault="00534C63" w:rsidP="00534C63">
      <w:pPr>
        <w:pStyle w:val="whp20100506"/>
      </w:pPr>
    </w:p>
    <w:p w:rsidR="00534C63" w:rsidRPr="0090579E" w:rsidRDefault="00534C63" w:rsidP="00534C63">
      <w:pPr>
        <w:pStyle w:val="whp20100506"/>
      </w:pPr>
      <w:r w:rsidRPr="0090579E">
        <w:t>The principle is shared by Catalyst Asset Management in that the cross shareholding structures often result in a primary PLS company being exposed to the auxiliary companies and therefore the ‘see through’ gearing levels are significantly higher than what is reflected in the balance sheets (questionnaire 2010, May). They therefore suggest a gearing level based on directly held immovable assets only.</w:t>
      </w:r>
    </w:p>
    <w:p w:rsidR="00534C63" w:rsidRDefault="00534C63" w:rsidP="00534C63">
      <w:pPr>
        <w:pStyle w:val="whp20100506"/>
      </w:pPr>
      <w:r>
        <w:tab/>
      </w:r>
    </w:p>
    <w:p w:rsidR="00534C63" w:rsidRPr="009E5D93" w:rsidRDefault="00534C63" w:rsidP="00534C63">
      <w:pPr>
        <w:pStyle w:val="whp20100506"/>
        <w:rPr>
          <w:b/>
          <w:i/>
        </w:rPr>
      </w:pPr>
      <w:r w:rsidRPr="009E5D93">
        <w:rPr>
          <w:b/>
          <w:i/>
        </w:rPr>
        <w:t>Conclusion</w:t>
      </w:r>
    </w:p>
    <w:p w:rsidR="00534C63" w:rsidRDefault="00534C63" w:rsidP="00534C63">
      <w:pPr>
        <w:pStyle w:val="whp20100506"/>
      </w:pPr>
    </w:p>
    <w:p w:rsidR="00534C63" w:rsidRPr="0090579E" w:rsidRDefault="00534C63" w:rsidP="00534C63">
      <w:pPr>
        <w:pStyle w:val="whp20100506"/>
      </w:pPr>
      <w:r w:rsidRPr="0090579E">
        <w:lastRenderedPageBreak/>
        <w:t>Gearing should be based on the balance sheet and should include immoveable property only. The acquisition price of property bought in the current financial year should be applicable.</w:t>
      </w:r>
      <w:r>
        <w:t xml:space="preserve"> </w:t>
      </w:r>
      <w:r w:rsidRPr="0090579E">
        <w:t>The situation pertaining to gearing does however become far more complex in times of economic turbulence where increased interest rates and increase portfolio vacancy rates could result in a short fall in covering interest payments.  This in turn increases the gearing levels by default along with the loss of REIT status as a consequence and therefore concerted efforts should be included to protect shareholders from these systemic risks which have not been catered for in the National Treasury’s recommendations.</w:t>
      </w:r>
    </w:p>
    <w:p w:rsidR="00534C63" w:rsidRPr="0090579E" w:rsidRDefault="00534C63" w:rsidP="00534C63">
      <w:pPr>
        <w:pStyle w:val="whp20100506"/>
      </w:pPr>
      <w:r w:rsidRPr="0090579E">
        <w:t>The</w:t>
      </w:r>
      <w:r>
        <w:t xml:space="preserve"> National Treasury’s </w:t>
      </w:r>
      <w:r w:rsidRPr="0090579E">
        <w:t>recommendation of 70% does seem high and under the cloud of recent global economic turbulence a more realistic level of 60% should be considered.</w:t>
      </w:r>
    </w:p>
    <w:p w:rsidR="00534C63" w:rsidRDefault="00534C63" w:rsidP="00534C63">
      <w:pPr>
        <w:pStyle w:val="whp20100506"/>
      </w:pPr>
    </w:p>
    <w:p w:rsidR="00534C63" w:rsidRPr="00C7460C" w:rsidRDefault="00534C63" w:rsidP="00534C63">
      <w:pPr>
        <w:pStyle w:val="whp20100506"/>
        <w:rPr>
          <w:b/>
          <w:i/>
        </w:rPr>
      </w:pPr>
      <w:r w:rsidRPr="00206089">
        <w:rPr>
          <w:b/>
          <w:i/>
          <w:u w:val="single"/>
        </w:rPr>
        <w:t>Comment 2</w:t>
      </w:r>
      <w:r w:rsidRPr="00C7460C">
        <w:rPr>
          <w:b/>
          <w:i/>
        </w:rPr>
        <w:t>: Limiting Debt to Bank Sourced Debt Only</w:t>
      </w:r>
    </w:p>
    <w:p w:rsidR="00534C63" w:rsidRPr="0090579E" w:rsidRDefault="00534C63" w:rsidP="00534C63">
      <w:pPr>
        <w:pStyle w:val="whp20100506"/>
      </w:pPr>
    </w:p>
    <w:p w:rsidR="00534C63" w:rsidRPr="0090579E" w:rsidRDefault="00534C63" w:rsidP="00534C63">
      <w:pPr>
        <w:pStyle w:val="whp20100506"/>
      </w:pPr>
      <w:r w:rsidRPr="0090579E">
        <w:t xml:space="preserve">REIT funds access the debt markets by borrowing external funds in pursuit of the company’s strategy for acquisition and growth. The funds can be obtained from either traditional sourced typically being mortgage bonds from banks or they can secure funding from the commercial mortgage-backed securitisation market. </w:t>
      </w:r>
    </w:p>
    <w:p w:rsidR="00534C63" w:rsidRPr="0090579E" w:rsidRDefault="00534C63" w:rsidP="00534C63">
      <w:pPr>
        <w:pStyle w:val="whp20100506"/>
      </w:pPr>
    </w:p>
    <w:p w:rsidR="00534C63" w:rsidRPr="0090579E" w:rsidRDefault="00534C63" w:rsidP="00534C63">
      <w:pPr>
        <w:pStyle w:val="whp20100506"/>
      </w:pPr>
      <w:r w:rsidRPr="0090579E">
        <w:t xml:space="preserve">Mr John Rainier from Standard Bank favours the free hand of the economy and feels that any form of debt should be permitted so that it becomes a function of the market’s decision and requirements (Questionnaire, 2010, May). He favours as little intervention as possible in terms of restrictions to the operations of a REIT as the market will on its own merits find ways to finance debt rather than rely upon prescriptive parameters. </w:t>
      </w:r>
    </w:p>
    <w:p w:rsidR="00534C63" w:rsidRPr="0090579E" w:rsidRDefault="00534C63" w:rsidP="00534C63">
      <w:pPr>
        <w:pStyle w:val="whp20100506"/>
      </w:pPr>
    </w:p>
    <w:p w:rsidR="00534C63" w:rsidRDefault="00534C63" w:rsidP="00534C63">
      <w:pPr>
        <w:pStyle w:val="whp20100506"/>
      </w:pPr>
      <w:r w:rsidRPr="0090579E">
        <w:t>In response for a wide range of debt sources, the National Treasury agreed that it would be prudent for a flexible approach and recommended the following additional sources (National Treasury, 2008: 12)</w:t>
      </w:r>
      <w:r>
        <w:t>:</w:t>
      </w:r>
    </w:p>
    <w:p w:rsidR="00534C63" w:rsidRPr="0090579E" w:rsidRDefault="00534C63" w:rsidP="00534C63">
      <w:pPr>
        <w:pStyle w:val="whp20100506"/>
      </w:pPr>
    </w:p>
    <w:p w:rsidR="00534C63" w:rsidRDefault="00534C63" w:rsidP="00534C63">
      <w:pPr>
        <w:pStyle w:val="whp20100506"/>
        <w:numPr>
          <w:ilvl w:val="0"/>
          <w:numId w:val="8"/>
        </w:numPr>
        <w:tabs>
          <w:tab w:val="left" w:pos="450"/>
          <w:tab w:val="left" w:pos="1530"/>
        </w:tabs>
        <w:ind w:left="450" w:hanging="450"/>
      </w:pPr>
      <w:r>
        <w:t>Bank sourced debt (secured and unsecured)</w:t>
      </w:r>
    </w:p>
    <w:p w:rsidR="00534C63" w:rsidRDefault="00534C63" w:rsidP="00534C63">
      <w:pPr>
        <w:pStyle w:val="whp20100506"/>
        <w:tabs>
          <w:tab w:val="left" w:pos="450"/>
          <w:tab w:val="left" w:pos="1530"/>
        </w:tabs>
        <w:ind w:left="450"/>
      </w:pPr>
    </w:p>
    <w:p w:rsidR="00534C63" w:rsidRDefault="00534C63" w:rsidP="00534C63">
      <w:pPr>
        <w:pStyle w:val="whp20100506"/>
        <w:numPr>
          <w:ilvl w:val="0"/>
          <w:numId w:val="8"/>
        </w:numPr>
        <w:tabs>
          <w:tab w:val="left" w:pos="450"/>
          <w:tab w:val="left" w:pos="1530"/>
        </w:tabs>
        <w:ind w:left="450" w:hanging="450"/>
      </w:pPr>
      <w:r>
        <w:t>Certain commercial mortgage backed securities</w:t>
      </w:r>
    </w:p>
    <w:p w:rsidR="00534C63" w:rsidRDefault="00534C63" w:rsidP="00534C63">
      <w:pPr>
        <w:pStyle w:val="whp20100506"/>
        <w:tabs>
          <w:tab w:val="left" w:pos="450"/>
          <w:tab w:val="left" w:pos="1530"/>
        </w:tabs>
        <w:ind w:left="450"/>
      </w:pPr>
    </w:p>
    <w:p w:rsidR="00534C63" w:rsidRDefault="00534C63" w:rsidP="00534C63">
      <w:pPr>
        <w:pStyle w:val="whp20100506"/>
        <w:numPr>
          <w:ilvl w:val="0"/>
          <w:numId w:val="8"/>
        </w:numPr>
        <w:tabs>
          <w:tab w:val="left" w:pos="450"/>
          <w:tab w:val="left" w:pos="1530"/>
        </w:tabs>
        <w:ind w:left="450" w:hanging="450"/>
      </w:pPr>
      <w:r>
        <w:t>Bonds</w:t>
      </w:r>
    </w:p>
    <w:p w:rsidR="00534C63" w:rsidRDefault="00534C63" w:rsidP="00534C63">
      <w:pPr>
        <w:pStyle w:val="whp20100506"/>
        <w:tabs>
          <w:tab w:val="left" w:pos="450"/>
          <w:tab w:val="left" w:pos="1530"/>
        </w:tabs>
        <w:ind w:left="450"/>
      </w:pPr>
    </w:p>
    <w:p w:rsidR="00534C63" w:rsidRDefault="00534C63" w:rsidP="00534C63">
      <w:pPr>
        <w:pStyle w:val="whp20100506"/>
        <w:numPr>
          <w:ilvl w:val="0"/>
          <w:numId w:val="8"/>
        </w:numPr>
        <w:tabs>
          <w:tab w:val="left" w:pos="450"/>
          <w:tab w:val="left" w:pos="1530"/>
        </w:tabs>
        <w:ind w:left="450" w:hanging="450"/>
      </w:pPr>
      <w:r>
        <w:t>Converted debentures</w:t>
      </w:r>
    </w:p>
    <w:p w:rsidR="00534C63" w:rsidRDefault="00534C63" w:rsidP="00534C63">
      <w:pPr>
        <w:pStyle w:val="whp20100506"/>
        <w:tabs>
          <w:tab w:val="left" w:pos="450"/>
          <w:tab w:val="left" w:pos="1530"/>
        </w:tabs>
        <w:ind w:left="450"/>
      </w:pPr>
    </w:p>
    <w:p w:rsidR="00534C63" w:rsidRDefault="00534C63" w:rsidP="00534C63">
      <w:pPr>
        <w:pStyle w:val="whp20100506"/>
        <w:numPr>
          <w:ilvl w:val="0"/>
          <w:numId w:val="8"/>
        </w:numPr>
        <w:tabs>
          <w:tab w:val="left" w:pos="450"/>
          <w:tab w:val="left" w:pos="1530"/>
        </w:tabs>
        <w:ind w:left="450" w:hanging="450"/>
      </w:pPr>
      <w:r>
        <w:t>Specialised financed provided by certain regulated financial institutions</w:t>
      </w:r>
    </w:p>
    <w:p w:rsidR="00534C63" w:rsidRDefault="00534C63" w:rsidP="00534C63">
      <w:pPr>
        <w:pStyle w:val="whp20100506"/>
        <w:tabs>
          <w:tab w:val="left" w:pos="450"/>
          <w:tab w:val="left" w:pos="1530"/>
        </w:tabs>
        <w:ind w:left="450"/>
      </w:pPr>
    </w:p>
    <w:p w:rsidR="00534C63" w:rsidRDefault="00534C63" w:rsidP="00534C63">
      <w:pPr>
        <w:pStyle w:val="whp20100506"/>
        <w:numPr>
          <w:ilvl w:val="0"/>
          <w:numId w:val="8"/>
        </w:numPr>
        <w:tabs>
          <w:tab w:val="left" w:pos="450"/>
          <w:tab w:val="left" w:pos="1530"/>
        </w:tabs>
        <w:ind w:left="450" w:hanging="450"/>
      </w:pPr>
      <w:r>
        <w:t>The use of derivatives and swaps when hedging interest rates</w:t>
      </w:r>
    </w:p>
    <w:p w:rsidR="00534C63" w:rsidRDefault="00534C63" w:rsidP="00534C63">
      <w:pPr>
        <w:pStyle w:val="whp20100506"/>
        <w:ind w:left="360"/>
      </w:pPr>
    </w:p>
    <w:p w:rsidR="00694F60" w:rsidRDefault="00694F60" w:rsidP="00534C63">
      <w:pPr>
        <w:pStyle w:val="whp20100506"/>
        <w:ind w:left="360"/>
      </w:pPr>
    </w:p>
    <w:p w:rsidR="00534C63" w:rsidRPr="00A9418A" w:rsidRDefault="00534C63" w:rsidP="00534C63">
      <w:pPr>
        <w:pStyle w:val="whp20100506"/>
        <w:rPr>
          <w:b/>
          <w:i/>
          <w:noProof/>
        </w:rPr>
      </w:pPr>
      <w:r w:rsidRPr="00A9418A">
        <w:rPr>
          <w:b/>
          <w:i/>
          <w:noProof/>
        </w:rPr>
        <w:t>Conclusion</w:t>
      </w:r>
    </w:p>
    <w:p w:rsidR="00534C63" w:rsidRPr="0090579E" w:rsidRDefault="00534C63" w:rsidP="00534C63">
      <w:pPr>
        <w:pStyle w:val="whp20100506"/>
      </w:pPr>
    </w:p>
    <w:p w:rsidR="00534C63" w:rsidRPr="004C1ED0" w:rsidRDefault="00534C63" w:rsidP="00534C63">
      <w:pPr>
        <w:pStyle w:val="whp20100506"/>
      </w:pPr>
      <w:r w:rsidRPr="0090579E">
        <w:t>James Templeton correctly says South Africa has a sound financial banking syste</w:t>
      </w:r>
      <w:r w:rsidRPr="004C1ED0">
        <w:t xml:space="preserve">m which complies with very strong corporate governance particularly with the prevalence of the regulatory oversight of entities such as the FSB (Questionnaire, 2009, April). </w:t>
      </w:r>
    </w:p>
    <w:p w:rsidR="00534C63" w:rsidRPr="004C1ED0" w:rsidRDefault="00534C63" w:rsidP="00534C63">
      <w:pPr>
        <w:pStyle w:val="whp20100506"/>
      </w:pPr>
    </w:p>
    <w:p w:rsidR="00534C63" w:rsidRPr="0090579E" w:rsidRDefault="00534C63" w:rsidP="00534C63">
      <w:pPr>
        <w:pStyle w:val="whp20100506"/>
      </w:pPr>
      <w:r w:rsidRPr="004C1ED0">
        <w:t>What is more if one considers the environment that South African REIT will be c</w:t>
      </w:r>
      <w:r w:rsidRPr="0090579E">
        <w:t xml:space="preserve">ompeting in, being not only local and international markets but also within development and undeveloped markets, it would make sense to allow for flexibility in the use of complicated and novel debt instruments. </w:t>
      </w:r>
    </w:p>
    <w:p w:rsidR="00534C63" w:rsidRPr="0090579E" w:rsidRDefault="00534C63" w:rsidP="00534C63">
      <w:pPr>
        <w:pStyle w:val="whp20100506"/>
      </w:pPr>
    </w:p>
    <w:p w:rsidR="00534C63" w:rsidRPr="0090579E" w:rsidRDefault="00534C63" w:rsidP="00534C63">
      <w:pPr>
        <w:pStyle w:val="whp20100506"/>
      </w:pPr>
      <w:r w:rsidRPr="0090579E">
        <w:t xml:space="preserve">Generally a more elastic approach to gearing should be considered as being more prudent due to the sound banking fundamentals currently in place in South Africa, not to mention the advanced innovation in funding used by international competitors in terms of funding sources.  </w:t>
      </w:r>
      <w:r w:rsidR="00194F2A">
        <w:t>REITS</w:t>
      </w:r>
      <w:r w:rsidRPr="0090579E">
        <w:t xml:space="preserve"> should therefore borrow from entities that comply with FSB or South Africa Reserve Bank supervision and should include bank sourced debt, commercial mortgage backed securities, bonds, and convertible debentures. </w:t>
      </w:r>
    </w:p>
    <w:p w:rsidR="00534C63" w:rsidRPr="0090579E" w:rsidRDefault="00534C63" w:rsidP="00534C63">
      <w:pPr>
        <w:pStyle w:val="whp20100506"/>
      </w:pPr>
    </w:p>
    <w:p w:rsidR="00534C63" w:rsidRPr="0090579E" w:rsidRDefault="00534C63" w:rsidP="00534C63">
      <w:pPr>
        <w:pStyle w:val="whp20100506"/>
      </w:pPr>
      <w:r w:rsidRPr="0090579E">
        <w:t xml:space="preserve">All of these considerations impact upon the </w:t>
      </w:r>
      <w:r w:rsidR="00194F2A">
        <w:t>REITS</w:t>
      </w:r>
      <w:r w:rsidRPr="0090579E">
        <w:t xml:space="preserve"> profitability through allowing the fund managers to secure competitive loans through efficient finance costs. </w:t>
      </w:r>
    </w:p>
    <w:p w:rsidR="00534C63" w:rsidRDefault="00534C63" w:rsidP="00534C63">
      <w:pPr>
        <w:pStyle w:val="whp20100506"/>
        <w:rPr>
          <w:b/>
        </w:rPr>
      </w:pPr>
    </w:p>
    <w:p w:rsidR="00534C63" w:rsidRDefault="00534C63" w:rsidP="00534C63">
      <w:pPr>
        <w:pStyle w:val="whp20100506"/>
        <w:rPr>
          <w:b/>
        </w:rPr>
      </w:pPr>
      <w:r>
        <w:rPr>
          <w:b/>
        </w:rPr>
        <w:t>Post Script:</w:t>
      </w:r>
    </w:p>
    <w:p w:rsidR="00534C63" w:rsidRDefault="00534C63" w:rsidP="00534C63">
      <w:pPr>
        <w:pStyle w:val="whp20100506"/>
        <w:rPr>
          <w:b/>
        </w:rPr>
      </w:pPr>
    </w:p>
    <w:p w:rsidR="00534C63" w:rsidRPr="0090579E" w:rsidRDefault="00534C63" w:rsidP="00534C63">
      <w:pPr>
        <w:pStyle w:val="whp20100506"/>
      </w:pPr>
      <w:r w:rsidRPr="0090579E">
        <w:t xml:space="preserve">There are related activities linked to gearing that falls outside the realms of this dissertation due to the complex nature thereof and includes the practice of hedging interest rates and short </w:t>
      </w:r>
      <w:r w:rsidRPr="0090579E">
        <w:lastRenderedPageBreak/>
        <w:t xml:space="preserve">selling of REIT securities, both of which are a function of finance. </w:t>
      </w:r>
    </w:p>
    <w:p w:rsidR="00534C63" w:rsidRPr="0090579E" w:rsidRDefault="00534C63" w:rsidP="00534C63">
      <w:pPr>
        <w:pStyle w:val="whp20100506"/>
      </w:pPr>
    </w:p>
    <w:p w:rsidR="00534C63" w:rsidRPr="0090579E" w:rsidRDefault="00534C63" w:rsidP="00534C63">
      <w:pPr>
        <w:pStyle w:val="whp20100506"/>
      </w:pPr>
      <w:r w:rsidRPr="0090579E">
        <w:t xml:space="preserve">Whilst these items do impact upon </w:t>
      </w:r>
      <w:r w:rsidR="00194F2A">
        <w:t>REITS</w:t>
      </w:r>
      <w:r w:rsidRPr="0090579E">
        <w:t xml:space="preserve">, the in principle regulations detailed above are sufficient provided a conservative approach is adopted in defining the scope and ambit of the financial flexibility of the </w:t>
      </w:r>
      <w:r w:rsidR="00194F2A">
        <w:t>REITS</w:t>
      </w:r>
      <w:r w:rsidRPr="0090579E">
        <w:t xml:space="preserve"> framework. </w:t>
      </w:r>
    </w:p>
    <w:p w:rsidR="00534C63" w:rsidRPr="0090579E" w:rsidRDefault="00534C63" w:rsidP="00534C63">
      <w:pPr>
        <w:pStyle w:val="whp20100506"/>
      </w:pPr>
    </w:p>
    <w:p w:rsidR="00534C63" w:rsidRPr="0090579E" w:rsidRDefault="00534C63" w:rsidP="00534C63">
      <w:pPr>
        <w:pStyle w:val="whp20100506"/>
      </w:pPr>
      <w:r w:rsidRPr="0090579E">
        <w:t xml:space="preserve">The practise of interest rate hedging and short selling only become a systemic risk in the event that a REIT loses its focus as a primary property investment entity and shifts to trading of properties and derivatives. </w:t>
      </w:r>
    </w:p>
    <w:p w:rsidR="00534C63" w:rsidRPr="0090579E" w:rsidRDefault="00534C63" w:rsidP="00534C63">
      <w:pPr>
        <w:pStyle w:val="whp20100506"/>
      </w:pPr>
      <w:r w:rsidRPr="0090579E">
        <w:t>For purposes of retaining the intention of this</w:t>
      </w:r>
      <w:r>
        <w:t xml:space="preserve"> Research Report</w:t>
      </w:r>
      <w:r w:rsidRPr="0090579E">
        <w:t xml:space="preserve"> to </w:t>
      </w:r>
      <w:r>
        <w:t>review</w:t>
      </w:r>
      <w:r w:rsidRPr="0090579E">
        <w:t xml:space="preserve"> the National Treasury’s 2007 Discussion Paper, these items will be deemed to be linked to existing loans within the REIT only and all other permutations (as a business outside the true nature of a REIT) will be overlooked. </w:t>
      </w:r>
    </w:p>
    <w:p w:rsidR="00534C63" w:rsidRPr="00925AE5" w:rsidRDefault="00534C63" w:rsidP="00386CAB">
      <w:pPr>
        <w:pStyle w:val="whp20100506"/>
        <w:numPr>
          <w:ilvl w:val="2"/>
          <w:numId w:val="37"/>
        </w:numPr>
        <w:rPr>
          <w:b/>
        </w:rPr>
      </w:pPr>
      <w:r>
        <w:rPr>
          <w:b/>
        </w:rPr>
        <w:br w:type="page"/>
      </w:r>
      <w:r w:rsidRPr="00925AE5">
        <w:rPr>
          <w:b/>
        </w:rPr>
        <w:lastRenderedPageBreak/>
        <w:t xml:space="preserve">INVESTOR PROTECTION  </w:t>
      </w:r>
    </w:p>
    <w:p w:rsidR="00534C63" w:rsidRPr="00124B8E" w:rsidRDefault="00534C63" w:rsidP="00534C63">
      <w:pPr>
        <w:pStyle w:val="whp20100506"/>
        <w:rPr>
          <w:highlight w:val="yellow"/>
        </w:rPr>
      </w:pPr>
    </w:p>
    <w:tbl>
      <w:tblPr>
        <w:tblW w:w="9180" w:type="dxa"/>
        <w:tblInd w:w="108"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Look w:val="04A0"/>
      </w:tblPr>
      <w:tblGrid>
        <w:gridCol w:w="336"/>
        <w:gridCol w:w="8844"/>
      </w:tblGrid>
      <w:tr w:rsidR="00534C63" w:rsidRPr="00925AE5" w:rsidTr="00A8691C">
        <w:trPr>
          <w:trHeight w:val="300"/>
        </w:trPr>
        <w:tc>
          <w:tcPr>
            <w:tcW w:w="9180" w:type="dxa"/>
            <w:gridSpan w:val="2"/>
            <w:shd w:val="clear" w:color="auto" w:fill="F2F2F2" w:themeFill="background1" w:themeFillShade="F2"/>
            <w:noWrap/>
            <w:vAlign w:val="bottom"/>
            <w:hideMark/>
          </w:tcPr>
          <w:p w:rsidR="00534C63" w:rsidRPr="00206089" w:rsidRDefault="00534C63" w:rsidP="00684B0F">
            <w:pPr>
              <w:pStyle w:val="whp20100506"/>
              <w:rPr>
                <w:b/>
                <w:i/>
              </w:rPr>
            </w:pPr>
            <w:r w:rsidRPr="00206089">
              <w:rPr>
                <w:b/>
                <w:i/>
              </w:rPr>
              <w:t>National Treasury Proposal: Investor Protection</w:t>
            </w:r>
          </w:p>
          <w:p w:rsidR="00534C63" w:rsidRPr="00925AE5" w:rsidRDefault="00534C63" w:rsidP="00684B0F">
            <w:pPr>
              <w:pStyle w:val="whp20100506"/>
              <w:rPr>
                <w:i/>
              </w:rPr>
            </w:pPr>
          </w:p>
        </w:tc>
      </w:tr>
      <w:tr w:rsidR="00534C63" w:rsidRPr="00925AE5" w:rsidTr="00A8691C">
        <w:trPr>
          <w:trHeight w:val="300"/>
        </w:trPr>
        <w:tc>
          <w:tcPr>
            <w:tcW w:w="336" w:type="dxa"/>
            <w:shd w:val="clear" w:color="auto" w:fill="F2F2F2" w:themeFill="background1" w:themeFillShade="F2"/>
            <w:noWrap/>
            <w:hideMark/>
          </w:tcPr>
          <w:p w:rsidR="00534C63" w:rsidRPr="00925AE5" w:rsidRDefault="00534C63" w:rsidP="00684B0F">
            <w:pPr>
              <w:pStyle w:val="whp20100506"/>
              <w:rPr>
                <w:i/>
              </w:rPr>
            </w:pPr>
            <w:r w:rsidRPr="00925AE5">
              <w:rPr>
                <w:i/>
              </w:rPr>
              <w:t>*</w:t>
            </w:r>
          </w:p>
        </w:tc>
        <w:tc>
          <w:tcPr>
            <w:tcW w:w="8844" w:type="dxa"/>
            <w:shd w:val="clear" w:color="auto" w:fill="F2F2F2" w:themeFill="background1" w:themeFillShade="F2"/>
            <w:noWrap/>
            <w:hideMark/>
          </w:tcPr>
          <w:p w:rsidR="00534C63" w:rsidRPr="00925AE5" w:rsidRDefault="00534C63" w:rsidP="00684B0F">
            <w:pPr>
              <w:pStyle w:val="whp20100506"/>
              <w:rPr>
                <w:i/>
              </w:rPr>
            </w:pPr>
            <w:r w:rsidRPr="00925AE5">
              <w:rPr>
                <w:i/>
              </w:rPr>
              <w:t>Legislation and the founding document should address the roles and duties of trustees/directors to ensure that various legal forms can effectively be accommodated under CISCA</w:t>
            </w:r>
          </w:p>
          <w:p w:rsidR="00534C63" w:rsidRPr="00925AE5" w:rsidRDefault="00534C63" w:rsidP="00684B0F">
            <w:pPr>
              <w:pStyle w:val="whp20100506"/>
              <w:rPr>
                <w:i/>
              </w:rPr>
            </w:pPr>
          </w:p>
        </w:tc>
      </w:tr>
    </w:tbl>
    <w:p w:rsidR="00534C63" w:rsidRPr="00124B8E" w:rsidRDefault="00534C63" w:rsidP="00534C63">
      <w:pPr>
        <w:pStyle w:val="whp20100506"/>
        <w:ind w:left="720"/>
        <w:rPr>
          <w:highlight w:val="yellow"/>
        </w:rPr>
      </w:pPr>
    </w:p>
    <w:p w:rsidR="00534C63" w:rsidRPr="00A678E2" w:rsidRDefault="00534C63" w:rsidP="00534C63">
      <w:pPr>
        <w:pStyle w:val="whp20100506"/>
      </w:pPr>
      <w:r w:rsidRPr="0090579E">
        <w:t xml:space="preserve">The National Treasury’s objective is to create a REIT framework that ensures that the trustees and directors of REIT funds will at all times act in a manner that will be in the best interests of the property unit holders. The management of the REIT must therefore be held accountable for their actions but in order to seek the best returns for the investors, the trustees and directors must not be imposed with undue restrictive burdens that would prohibit the </w:t>
      </w:r>
      <w:r w:rsidRPr="00A678E2">
        <w:t>effective management of the REIT (National Treasury, 2007: 18).</w:t>
      </w:r>
    </w:p>
    <w:p w:rsidR="007E2C52" w:rsidRPr="00A678E2" w:rsidRDefault="007E2C52" w:rsidP="00534C63">
      <w:pPr>
        <w:pStyle w:val="whp20100506"/>
      </w:pPr>
    </w:p>
    <w:p w:rsidR="007E2C52" w:rsidRPr="00A678E2" w:rsidRDefault="007E2C52" w:rsidP="00534C63">
      <w:pPr>
        <w:pStyle w:val="whp20100506"/>
      </w:pPr>
      <w:r w:rsidRPr="00A678E2">
        <w:t xml:space="preserve">The policy objective is </w:t>
      </w:r>
      <w:r w:rsidR="003736A6" w:rsidRPr="00A678E2">
        <w:t>prudent;</w:t>
      </w:r>
      <w:r w:rsidRPr="00A678E2">
        <w:t xml:space="preserve"> however the National Treasury must consider the cyclical nature of the </w:t>
      </w:r>
      <w:r w:rsidR="00A678E2" w:rsidRPr="00A678E2">
        <w:t>industry</w:t>
      </w:r>
      <w:r w:rsidRPr="00A678E2">
        <w:t xml:space="preserve"> and the impact thereof on the performance of REITs. Investor protection is the ultimate objective however the rules must be flexible enough to attract foreign investment based on international REIT status, and also allowing REIT managers to maximise their business opportunities, and not jeopardising shareholder return.  </w:t>
      </w:r>
    </w:p>
    <w:p w:rsidR="00534C63" w:rsidRPr="00A678E2" w:rsidRDefault="00534C63" w:rsidP="00534C63">
      <w:pPr>
        <w:pStyle w:val="whp20100506"/>
      </w:pPr>
    </w:p>
    <w:p w:rsidR="00534C63" w:rsidRPr="0090579E" w:rsidRDefault="00534C63" w:rsidP="00534C63">
      <w:pPr>
        <w:pStyle w:val="whp20100506"/>
      </w:pPr>
      <w:r w:rsidRPr="00A678E2">
        <w:t>The National Treasury has clearly expressed its intention to draft a legislative framework for REIT that would first and foremost uphold the interests of the investor as its primary objective. The regulations pertaining to the running of REIT in the interests of the investor will therefore be contained in legislation and various pieces of regulations, all of which will be given effect to in the founding documentation of the REIT.</w:t>
      </w:r>
    </w:p>
    <w:p w:rsidR="00534C63" w:rsidRPr="0090579E" w:rsidRDefault="00534C63" w:rsidP="00534C63">
      <w:pPr>
        <w:pStyle w:val="whp20100506"/>
      </w:pPr>
    </w:p>
    <w:p w:rsidR="00534C63" w:rsidRPr="0090579E" w:rsidRDefault="00534C63" w:rsidP="00534C63">
      <w:pPr>
        <w:pStyle w:val="whp20100506"/>
      </w:pPr>
      <w:r w:rsidRPr="0090579E">
        <w:t xml:space="preserve">Much like the articles of association and memorandum of a company, </w:t>
      </w:r>
      <w:r w:rsidR="00194F2A">
        <w:t>REITS</w:t>
      </w:r>
      <w:r w:rsidRPr="0090579E">
        <w:t xml:space="preserve"> too will have founding documents, which will outline their objectives and mission statements. In terms of the proposed juristic personalities subscribed for REIT in South Africa, in all likelihood there will be two forms of generic founding documents being one for companies and one for trusts.</w:t>
      </w:r>
    </w:p>
    <w:p w:rsidR="00534C63" w:rsidRPr="0090579E" w:rsidRDefault="00534C63" w:rsidP="00534C63">
      <w:pPr>
        <w:pStyle w:val="whp20100506"/>
      </w:pPr>
    </w:p>
    <w:p w:rsidR="00534C63" w:rsidRPr="00124B8E" w:rsidRDefault="00534C63" w:rsidP="00534C63">
      <w:pPr>
        <w:pStyle w:val="whp20100506"/>
      </w:pPr>
      <w:r w:rsidRPr="0090579E">
        <w:t xml:space="preserve">As with most regulatory framework, the National Treasury must draft sound measures that </w:t>
      </w:r>
      <w:r w:rsidRPr="0090579E">
        <w:lastRenderedPageBreak/>
        <w:t>will sufficiently protect the interests of the investor. What is more, because the passive investors rely upon the expertise and judgement of a management team, stringent sanctions must be put in place to ensure that these teams effectively run the day to day operations in the</w:t>
      </w:r>
      <w:r w:rsidRPr="00124B8E">
        <w:t xml:space="preserve"> best interests of the investor at all times. This would therefore justify the creation of stringent sanctions for non compliance to prevent mismanagement or reckless and negligent conduct of the trustees / directors. </w:t>
      </w:r>
    </w:p>
    <w:p w:rsidR="00534C63" w:rsidRPr="00C7460C" w:rsidRDefault="00534C63" w:rsidP="00534C63">
      <w:pPr>
        <w:pStyle w:val="whp20100506"/>
        <w:rPr>
          <w:b/>
          <w:i/>
        </w:rPr>
      </w:pPr>
      <w:r w:rsidRPr="00206089">
        <w:rPr>
          <w:b/>
          <w:i/>
          <w:u w:val="single"/>
        </w:rPr>
        <w:t>Comment 1:</w:t>
      </w:r>
      <w:r w:rsidRPr="00C7460C">
        <w:rPr>
          <w:b/>
          <w:i/>
        </w:rPr>
        <w:t xml:space="preserve"> Applying Investor Protection to all </w:t>
      </w:r>
      <w:r w:rsidR="00194F2A">
        <w:rPr>
          <w:b/>
          <w:i/>
        </w:rPr>
        <w:t>REITS</w:t>
      </w:r>
      <w:r w:rsidRPr="00C7460C">
        <w:rPr>
          <w:b/>
          <w:i/>
        </w:rPr>
        <w:t xml:space="preserve"> forms</w:t>
      </w:r>
    </w:p>
    <w:p w:rsidR="00534C63" w:rsidRPr="0090579E" w:rsidRDefault="00534C63" w:rsidP="00534C63">
      <w:pPr>
        <w:pStyle w:val="whp20100506"/>
      </w:pPr>
    </w:p>
    <w:p w:rsidR="00534C63" w:rsidRPr="0090579E" w:rsidRDefault="00534C63" w:rsidP="00534C63">
      <w:pPr>
        <w:pStyle w:val="whp20100506"/>
      </w:pPr>
      <w:r w:rsidRPr="0090579E">
        <w:t xml:space="preserve">The concern raised pertains to industry calling for the National Treasury to clarify the provisions relating to investor protection mechanisms and the extent thereof. Industry suggested that the founding documentation should be applied equally across the </w:t>
      </w:r>
      <w:r w:rsidR="00194F2A">
        <w:t>REITS</w:t>
      </w:r>
      <w:r w:rsidRPr="0090579E">
        <w:t xml:space="preserve"> industry irrespective of </w:t>
      </w:r>
      <w:r>
        <w:t xml:space="preserve">the underlying form of the REIT </w:t>
      </w:r>
      <w:r w:rsidRPr="0090579E">
        <w:t xml:space="preserve">investment vehicle i.e. whether the underlying entity is a trust or a company. In response to this the National Treasury confirmed that generic founding documents will be drafted separately for both companies and for trusts (National Treasury, 2008: 12). </w:t>
      </w:r>
    </w:p>
    <w:p w:rsidR="00534C63" w:rsidRPr="0090579E" w:rsidRDefault="00534C63" w:rsidP="00534C63">
      <w:pPr>
        <w:pStyle w:val="whp20100506"/>
      </w:pPr>
    </w:p>
    <w:p w:rsidR="00534C63" w:rsidRPr="0090579E" w:rsidRDefault="00534C63" w:rsidP="00534C63">
      <w:pPr>
        <w:pStyle w:val="whp20100506"/>
      </w:pPr>
      <w:r w:rsidRPr="0090579E">
        <w:t xml:space="preserve">The point of relevance here is that the uncertainty related to the degree to which unit holders of </w:t>
      </w:r>
      <w:r w:rsidR="00194F2A">
        <w:t>REITS</w:t>
      </w:r>
      <w:r w:rsidRPr="0090579E">
        <w:t xml:space="preserve"> were able to scrutinise or amend the terms of the management agreements if the REIT was managed externally. Industry’s concerns lay with the loss of value that a management company would have should the unit holders had a very active input into the affairs of the management company. Contrasted against this backdrop, the underlying motivation for allowing shareholders greater say in the appointment of management agreements is based upon the National Treasury’s drive to prevent the occurrence of prejudicial long term management contracts that have traditionally been put in place with lucrative fees to the advantage of the management company. The National Treasury wants the shareholders to have adequate recourse through a voting mechanism that would avoid long term commitment of disadvantaged contracts.</w:t>
      </w:r>
    </w:p>
    <w:p w:rsidR="00534C63" w:rsidRPr="0090579E" w:rsidRDefault="00534C63" w:rsidP="00534C63">
      <w:pPr>
        <w:pStyle w:val="whp20100506"/>
      </w:pPr>
    </w:p>
    <w:p w:rsidR="00534C63" w:rsidRPr="0090579E" w:rsidRDefault="00534C63" w:rsidP="00534C63">
      <w:pPr>
        <w:pStyle w:val="whp20100506"/>
      </w:pPr>
      <w:r w:rsidRPr="0090579E">
        <w:t xml:space="preserve">Zayd Sulaiman from Catalyst Asset Management explains that the conflict of interest further by saying that the current management agreements award significant incentives to the management company to growth the business and earn fees based on the increased values, which are often not in the interest of the shareholders in the long run (Questionnaire, 2010 May). What is more these management agreements are often drafted in perpetuity? The incentives often lead to decision making based on the remuneration of fees rather than the </w:t>
      </w:r>
      <w:r w:rsidRPr="0090579E">
        <w:lastRenderedPageBreak/>
        <w:t xml:space="preserve">long term benefit for the shareholders. The problem is that investors have very limited influence to the negotiation of the terms of these agreements and stand to lose huge value over time. He feels that the National Treasury should either allow investors to amend the current management contracts or to limit the agreements to 5 years with options to renew. </w:t>
      </w:r>
    </w:p>
    <w:p w:rsidR="00694F60" w:rsidRDefault="00694F60" w:rsidP="00534C63">
      <w:pPr>
        <w:pStyle w:val="whp20100506"/>
      </w:pPr>
    </w:p>
    <w:p w:rsidR="00534C63" w:rsidRPr="0046634A" w:rsidRDefault="00534C63" w:rsidP="00534C63">
      <w:pPr>
        <w:pStyle w:val="whp20100506"/>
        <w:rPr>
          <w:b/>
          <w:i/>
        </w:rPr>
      </w:pPr>
      <w:r w:rsidRPr="0046634A">
        <w:rPr>
          <w:b/>
          <w:i/>
        </w:rPr>
        <w:t>Conclusion</w:t>
      </w:r>
    </w:p>
    <w:p w:rsidR="00534C63" w:rsidRPr="0090579E" w:rsidRDefault="00534C63" w:rsidP="00534C63">
      <w:pPr>
        <w:pStyle w:val="whp20100506"/>
      </w:pPr>
    </w:p>
    <w:p w:rsidR="00534C63" w:rsidRPr="0090579E" w:rsidRDefault="00534C63" w:rsidP="00534C63">
      <w:pPr>
        <w:pStyle w:val="whp20100506"/>
      </w:pPr>
      <w:r w:rsidRPr="0090579E">
        <w:t xml:space="preserve">The additional clarity offered by the National Treasury that management contracts may run for an additional period of 10 years appears to be a fair compromise in order to ensure a smooth transition to </w:t>
      </w:r>
      <w:r w:rsidR="00194F2A">
        <w:t>REITS</w:t>
      </w:r>
      <w:r w:rsidRPr="0090579E">
        <w:t xml:space="preserve">. A reduced period of say 5 years with options to renew would allow for more circumspect management and could create greater scope for investors.  </w:t>
      </w:r>
    </w:p>
    <w:p w:rsidR="00534C63" w:rsidRPr="0090579E" w:rsidRDefault="00534C63" w:rsidP="00534C63">
      <w:pPr>
        <w:pStyle w:val="whp20100506"/>
      </w:pPr>
    </w:p>
    <w:p w:rsidR="00534C63" w:rsidRPr="0090579E" w:rsidRDefault="00534C63" w:rsidP="00534C63">
      <w:pPr>
        <w:pStyle w:val="whp20100506"/>
      </w:pPr>
      <w:r w:rsidRPr="0090579E">
        <w:t xml:space="preserve">The model trust deed is </w:t>
      </w:r>
      <w:r>
        <w:t>a guideline offered by the FSB</w:t>
      </w:r>
      <w:r w:rsidRPr="0090579E">
        <w:t xml:space="preserve"> to manage the affairs of CISPs and is applicable to CISPs only. As a guideline the National Treasury should consider amending the deed to reflect the principles of </w:t>
      </w:r>
      <w:r w:rsidR="00194F2A">
        <w:t>REITS</w:t>
      </w:r>
      <w:r w:rsidRPr="0090579E">
        <w:t xml:space="preserve"> in order to apply to all </w:t>
      </w:r>
      <w:r w:rsidR="00194F2A">
        <w:t>REITS</w:t>
      </w:r>
      <w:r w:rsidRPr="0090579E">
        <w:t xml:space="preserve"> irrespective of the underlying vehicle (i.e. whether it is a company or a trust). </w:t>
      </w:r>
    </w:p>
    <w:p w:rsidR="00534C63" w:rsidRPr="0090579E" w:rsidRDefault="00534C63" w:rsidP="00534C63">
      <w:pPr>
        <w:pStyle w:val="whp20100506"/>
      </w:pPr>
    </w:p>
    <w:p w:rsidR="00534C63" w:rsidRPr="0090579E" w:rsidRDefault="00534C63" w:rsidP="00534C63">
      <w:pPr>
        <w:pStyle w:val="whp20100506"/>
      </w:pPr>
      <w:r w:rsidRPr="0090579E">
        <w:t>What is more the National Treasury should also consider addressing the possibilities of how a clash of interests between the interests of the investor relative to the interests of the trustee/director should be resolved. In dealing with this, it would be prudent for the National Treasury to involve external bodies such as the FSB and perhaps a local industry work group.</w:t>
      </w:r>
    </w:p>
    <w:p w:rsidR="00534C63" w:rsidRPr="0090579E" w:rsidRDefault="00534C63" w:rsidP="00534C63">
      <w:pPr>
        <w:pStyle w:val="whp20100506"/>
      </w:pPr>
    </w:p>
    <w:p w:rsidR="00534C63" w:rsidRPr="0090579E" w:rsidRDefault="00534C63" w:rsidP="00534C63">
      <w:pPr>
        <w:pStyle w:val="whp20100506"/>
      </w:pPr>
      <w:r w:rsidRPr="0090579E">
        <w:t xml:space="preserve">The legislative controls put in place by way of the </w:t>
      </w:r>
      <w:r w:rsidR="00194F2A">
        <w:t>REITS</w:t>
      </w:r>
      <w:r w:rsidRPr="0090579E">
        <w:t xml:space="preserve"> framework and the founding documents should adequately address the roles and responsibilities of the trustees and directors of </w:t>
      </w:r>
      <w:r w:rsidR="00194F2A">
        <w:t>REITS</w:t>
      </w:r>
      <w:r w:rsidRPr="0090579E">
        <w:t>, which can all be accommodated under CISCA.</w:t>
      </w:r>
    </w:p>
    <w:p w:rsidR="00534C63" w:rsidRPr="0090579E" w:rsidRDefault="00534C63" w:rsidP="00534C63">
      <w:pPr>
        <w:pStyle w:val="whp20100506"/>
      </w:pPr>
    </w:p>
    <w:p w:rsidR="00534C63" w:rsidRPr="00124B8E" w:rsidRDefault="00534C63" w:rsidP="00534C63">
      <w:pPr>
        <w:pStyle w:val="whp20100506"/>
        <w:ind w:left="720"/>
      </w:pPr>
    </w:p>
    <w:p w:rsidR="00534C63" w:rsidRPr="00925AE5" w:rsidRDefault="00534C63" w:rsidP="00386CAB">
      <w:pPr>
        <w:pStyle w:val="whp20100506"/>
        <w:numPr>
          <w:ilvl w:val="2"/>
          <w:numId w:val="37"/>
        </w:numPr>
        <w:rPr>
          <w:b/>
        </w:rPr>
      </w:pPr>
      <w:r w:rsidRPr="00925AE5">
        <w:rPr>
          <w:b/>
        </w:rPr>
        <w:br w:type="page"/>
      </w:r>
      <w:r w:rsidRPr="00925AE5">
        <w:rPr>
          <w:b/>
        </w:rPr>
        <w:lastRenderedPageBreak/>
        <w:t>BEE &amp; ECONOMIC EMPOWERMENT</w:t>
      </w:r>
    </w:p>
    <w:p w:rsidR="00534C63" w:rsidRPr="00124B8E" w:rsidRDefault="00534C63" w:rsidP="00534C63">
      <w:pPr>
        <w:pStyle w:val="whp20100506"/>
        <w:rPr>
          <w:highlight w:val="yellow"/>
        </w:rPr>
      </w:pPr>
    </w:p>
    <w:tbl>
      <w:tblPr>
        <w:tblW w:w="9072" w:type="dxa"/>
        <w:tblInd w:w="108"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Look w:val="04A0"/>
      </w:tblPr>
      <w:tblGrid>
        <w:gridCol w:w="360"/>
        <w:gridCol w:w="8712"/>
      </w:tblGrid>
      <w:tr w:rsidR="00534C63" w:rsidRPr="00925AE5" w:rsidTr="00A8691C">
        <w:trPr>
          <w:trHeight w:val="300"/>
        </w:trPr>
        <w:tc>
          <w:tcPr>
            <w:tcW w:w="9072" w:type="dxa"/>
            <w:gridSpan w:val="2"/>
            <w:shd w:val="clear" w:color="auto" w:fill="F2F2F2" w:themeFill="background1" w:themeFillShade="F2"/>
            <w:noWrap/>
            <w:vAlign w:val="bottom"/>
            <w:hideMark/>
          </w:tcPr>
          <w:p w:rsidR="00534C63" w:rsidRPr="00206089" w:rsidRDefault="00534C63" w:rsidP="00684B0F">
            <w:pPr>
              <w:pStyle w:val="whp20100506"/>
              <w:rPr>
                <w:b/>
                <w:i/>
                <w:lang w:eastAsia="en-ZA"/>
              </w:rPr>
            </w:pPr>
            <w:r w:rsidRPr="00206089">
              <w:rPr>
                <w:b/>
                <w:i/>
                <w:lang w:eastAsia="en-ZA"/>
              </w:rPr>
              <w:t>National Treasury Proposal: Economic Empowerment (BEE)</w:t>
            </w:r>
          </w:p>
          <w:p w:rsidR="00534C63" w:rsidRPr="00925AE5" w:rsidRDefault="00534C63" w:rsidP="00684B0F">
            <w:pPr>
              <w:pStyle w:val="whp20100506"/>
              <w:rPr>
                <w:i/>
                <w:lang w:eastAsia="en-ZA"/>
              </w:rPr>
            </w:pPr>
          </w:p>
        </w:tc>
      </w:tr>
      <w:tr w:rsidR="00534C63" w:rsidRPr="00925AE5" w:rsidTr="00A8691C">
        <w:trPr>
          <w:trHeight w:val="300"/>
        </w:trPr>
        <w:tc>
          <w:tcPr>
            <w:tcW w:w="360" w:type="dxa"/>
            <w:shd w:val="clear" w:color="auto" w:fill="F2F2F2" w:themeFill="background1" w:themeFillShade="F2"/>
            <w:noWrap/>
            <w:hideMark/>
          </w:tcPr>
          <w:p w:rsidR="00534C63" w:rsidRPr="00925AE5" w:rsidRDefault="00534C63" w:rsidP="00684B0F">
            <w:pPr>
              <w:pStyle w:val="whp20100506"/>
              <w:rPr>
                <w:i/>
                <w:lang w:eastAsia="en-ZA"/>
              </w:rPr>
            </w:pPr>
            <w:r w:rsidRPr="00925AE5">
              <w:rPr>
                <w:i/>
                <w:lang w:eastAsia="en-ZA"/>
              </w:rPr>
              <w:t>*</w:t>
            </w:r>
          </w:p>
        </w:tc>
        <w:tc>
          <w:tcPr>
            <w:tcW w:w="8712" w:type="dxa"/>
            <w:shd w:val="clear" w:color="auto" w:fill="F2F2F2" w:themeFill="background1" w:themeFillShade="F2"/>
            <w:noWrap/>
            <w:hideMark/>
          </w:tcPr>
          <w:p w:rsidR="00534C63" w:rsidRPr="00925AE5" w:rsidRDefault="00534C63" w:rsidP="00684B0F">
            <w:pPr>
              <w:pStyle w:val="whp20100506"/>
              <w:rPr>
                <w:i/>
                <w:lang w:eastAsia="en-ZA"/>
              </w:rPr>
            </w:pPr>
            <w:r w:rsidRPr="00925AE5">
              <w:rPr>
                <w:i/>
                <w:lang w:eastAsia="en-ZA"/>
              </w:rPr>
              <w:t xml:space="preserve">National Treasury to facilitate consultation with the Property Charter Council to </w:t>
            </w:r>
            <w:r>
              <w:rPr>
                <w:i/>
                <w:lang w:eastAsia="en-ZA"/>
              </w:rPr>
              <w:t>review</w:t>
            </w:r>
            <w:r w:rsidRPr="00925AE5">
              <w:rPr>
                <w:i/>
                <w:lang w:eastAsia="en-ZA"/>
              </w:rPr>
              <w:t xml:space="preserve"> the existing CISP framework</w:t>
            </w:r>
          </w:p>
          <w:p w:rsidR="00534C63" w:rsidRPr="00925AE5" w:rsidRDefault="00534C63" w:rsidP="00684B0F">
            <w:pPr>
              <w:pStyle w:val="whp20100506"/>
              <w:rPr>
                <w:i/>
                <w:lang w:eastAsia="en-ZA"/>
              </w:rPr>
            </w:pPr>
          </w:p>
        </w:tc>
      </w:tr>
    </w:tbl>
    <w:p w:rsidR="00534C63" w:rsidRPr="00124B8E" w:rsidRDefault="00534C63" w:rsidP="00534C63">
      <w:pPr>
        <w:pStyle w:val="whp20100506"/>
        <w:rPr>
          <w:highlight w:val="yellow"/>
        </w:rPr>
      </w:pPr>
    </w:p>
    <w:p w:rsidR="00534C63" w:rsidRPr="00A678E2" w:rsidRDefault="00534C63" w:rsidP="00534C63">
      <w:pPr>
        <w:pStyle w:val="whp20100506"/>
      </w:pPr>
      <w:r w:rsidRPr="0090579E">
        <w:t xml:space="preserve">The National Treasury objective is to have </w:t>
      </w:r>
      <w:r w:rsidR="00194F2A">
        <w:t>REITS</w:t>
      </w:r>
      <w:r w:rsidRPr="0090579E">
        <w:t xml:space="preserve"> participate with the initiatives and goals set out in pursuit of Broad Based Economic Empowerment however this must be done in light of the primary </w:t>
      </w:r>
      <w:r w:rsidRPr="00A678E2">
        <w:t xml:space="preserve">policy objectives of pursuing investor protection (National Treasury, 2007: 19). </w:t>
      </w:r>
    </w:p>
    <w:p w:rsidR="00534C63" w:rsidRPr="00A678E2" w:rsidRDefault="00534C63" w:rsidP="00534C63">
      <w:pPr>
        <w:pStyle w:val="whp20100506"/>
      </w:pPr>
    </w:p>
    <w:p w:rsidR="007E2C52" w:rsidRPr="00A678E2" w:rsidRDefault="007E2C52" w:rsidP="00534C63">
      <w:pPr>
        <w:pStyle w:val="whp20100506"/>
      </w:pPr>
      <w:r w:rsidRPr="00A678E2">
        <w:t xml:space="preserve">BBBEE is a </w:t>
      </w:r>
      <w:r w:rsidR="00A678E2" w:rsidRPr="00A678E2">
        <w:t>phenomenon</w:t>
      </w:r>
      <w:r w:rsidRPr="00A678E2">
        <w:t xml:space="preserve"> that is uniquely South African in terms of the rigidity of the transformation charter, and in striving towards achieving its </w:t>
      </w:r>
      <w:r w:rsidR="003736A6" w:rsidRPr="00A678E2">
        <w:t>targets;</w:t>
      </w:r>
      <w:r w:rsidRPr="00A678E2">
        <w:t xml:space="preserve"> the National Treasury must incorporate investor sentiment in particular foreign investor sentiment in formulating a sound framework. Naturally the National Treasury is obliged to consider the </w:t>
      </w:r>
      <w:r w:rsidR="00921730" w:rsidRPr="00A678E2">
        <w:t>Bill of Rights of the Constitution</w:t>
      </w:r>
      <w:r w:rsidR="00921730" w:rsidRPr="00A678E2">
        <w:rPr>
          <w:rStyle w:val="FootnoteReference"/>
        </w:rPr>
        <w:footnoteReference w:id="43"/>
      </w:r>
      <w:r w:rsidR="00921730" w:rsidRPr="00A678E2">
        <w:t xml:space="preserve"> in its endeavours.  </w:t>
      </w:r>
    </w:p>
    <w:p w:rsidR="007E2C52" w:rsidRPr="00A678E2" w:rsidRDefault="007E2C52" w:rsidP="00534C63">
      <w:pPr>
        <w:pStyle w:val="whp20100506"/>
      </w:pPr>
    </w:p>
    <w:p w:rsidR="00534C63" w:rsidRPr="0090579E" w:rsidRDefault="00534C63" w:rsidP="00534C63">
      <w:pPr>
        <w:pStyle w:val="whp20100506"/>
      </w:pPr>
      <w:r w:rsidRPr="00A678E2">
        <w:t>The preamble of the Property Sector Transformation Charter states that it is a charter as contemplated in the Broad Based BEE Act</w:t>
      </w:r>
      <w:r w:rsidRPr="0090579E">
        <w:t xml:space="preserve"> 53 of 2003 and the Department of Trade and Industry’s Codes of Good Practice on BBBEE (Final Draft 2007: 2). It further says that it has established targets and qualitative undertakings in respect of each element of BBBEE and outlines the processes for implementing the commitments contained in the charter. </w:t>
      </w:r>
    </w:p>
    <w:p w:rsidR="00534C63" w:rsidRPr="0090579E" w:rsidRDefault="00534C63" w:rsidP="00534C63">
      <w:pPr>
        <w:pStyle w:val="whp20100506"/>
      </w:pPr>
    </w:p>
    <w:p w:rsidR="00534C63" w:rsidRPr="00124B8E" w:rsidRDefault="00534C63" w:rsidP="00534C63">
      <w:pPr>
        <w:pStyle w:val="whp20100506"/>
      </w:pPr>
      <w:r w:rsidRPr="0090579E">
        <w:t>Besides the exhaustive list of goals set out by the PST Charter, the targets listed for achievement by the property sector within five years from promulgation are as follows</w:t>
      </w:r>
      <w:r>
        <w:rPr>
          <w:rStyle w:val="FootnoteReference"/>
        </w:rPr>
        <w:footnoteReference w:id="44"/>
      </w:r>
      <w:r>
        <w:t>:</w:t>
      </w:r>
      <w:r w:rsidRPr="00124B8E">
        <w:br/>
      </w:r>
    </w:p>
    <w:p w:rsidR="00534C63" w:rsidRPr="00124B8E" w:rsidRDefault="00534C63" w:rsidP="00534C63">
      <w:pPr>
        <w:pStyle w:val="whp20100506"/>
        <w:numPr>
          <w:ilvl w:val="0"/>
          <w:numId w:val="9"/>
        </w:numPr>
        <w:ind w:left="360"/>
      </w:pPr>
      <w:r w:rsidRPr="00124B8E">
        <w:t>25% of economic interest must be held by black people</w:t>
      </w:r>
      <w:r>
        <w:br/>
      </w:r>
    </w:p>
    <w:p w:rsidR="00534C63" w:rsidRPr="00124B8E" w:rsidRDefault="00534C63" w:rsidP="00534C63">
      <w:pPr>
        <w:pStyle w:val="whp20100506"/>
        <w:numPr>
          <w:ilvl w:val="0"/>
          <w:numId w:val="9"/>
        </w:numPr>
        <w:ind w:left="360"/>
      </w:pPr>
      <w:r w:rsidRPr="00124B8E">
        <w:t>25% plus 1 vote participation by black people in voting rights</w:t>
      </w:r>
    </w:p>
    <w:p w:rsidR="00534C63" w:rsidRDefault="00534C63" w:rsidP="00534C63">
      <w:pPr>
        <w:pStyle w:val="whp20100506"/>
        <w:ind w:left="360"/>
      </w:pPr>
    </w:p>
    <w:p w:rsidR="00534C63" w:rsidRPr="00124B8E" w:rsidRDefault="00534C63" w:rsidP="00534C63">
      <w:pPr>
        <w:pStyle w:val="whp20100506"/>
        <w:numPr>
          <w:ilvl w:val="0"/>
          <w:numId w:val="9"/>
        </w:numPr>
        <w:ind w:left="360"/>
      </w:pPr>
      <w:r w:rsidRPr="00124B8E">
        <w:lastRenderedPageBreak/>
        <w:t>10% of economic interest must be held by black women</w:t>
      </w:r>
    </w:p>
    <w:p w:rsidR="00534C63" w:rsidRDefault="00534C63" w:rsidP="00534C63">
      <w:pPr>
        <w:pStyle w:val="whp20100506"/>
        <w:ind w:left="360"/>
      </w:pPr>
    </w:p>
    <w:p w:rsidR="00534C63" w:rsidRPr="00124B8E" w:rsidRDefault="00534C63" w:rsidP="00534C63">
      <w:pPr>
        <w:pStyle w:val="whp20100506"/>
        <w:numPr>
          <w:ilvl w:val="0"/>
          <w:numId w:val="9"/>
        </w:numPr>
        <w:ind w:left="360"/>
      </w:pPr>
      <w:r w:rsidRPr="00124B8E">
        <w:t>10% participation by black women in voting rights</w:t>
      </w:r>
    </w:p>
    <w:p w:rsidR="00534C63" w:rsidRDefault="00534C63" w:rsidP="00534C63">
      <w:pPr>
        <w:pStyle w:val="whp20100506"/>
        <w:ind w:left="360"/>
      </w:pPr>
    </w:p>
    <w:p w:rsidR="00534C63" w:rsidRPr="00124B8E" w:rsidRDefault="00534C63" w:rsidP="00534C63">
      <w:pPr>
        <w:pStyle w:val="whp20100506"/>
        <w:numPr>
          <w:ilvl w:val="0"/>
          <w:numId w:val="9"/>
        </w:numPr>
        <w:ind w:left="360"/>
      </w:pPr>
      <w:r w:rsidRPr="00124B8E">
        <w:t xml:space="preserve">2.5% participation in ownership by broad based ownership schemes and / or designated groups </w:t>
      </w:r>
    </w:p>
    <w:p w:rsidR="00534C63" w:rsidRPr="00124B8E" w:rsidRDefault="00534C63" w:rsidP="00534C63">
      <w:pPr>
        <w:pStyle w:val="whp20100506"/>
      </w:pPr>
    </w:p>
    <w:p w:rsidR="00534C63" w:rsidRPr="0090579E" w:rsidRDefault="00534C63" w:rsidP="00534C63">
      <w:pPr>
        <w:pStyle w:val="whp20100506"/>
      </w:pPr>
      <w:r w:rsidRPr="00124B8E">
        <w:t xml:space="preserve">There is no doubt that the South Africa BEE charter fulfils a critical component of transformation in South Africa however </w:t>
      </w:r>
      <w:r>
        <w:t xml:space="preserve">there are challenges that exist in achieving these </w:t>
      </w:r>
      <w:r w:rsidRPr="0090579E">
        <w:t xml:space="preserve">targets. </w:t>
      </w:r>
    </w:p>
    <w:p w:rsidR="00534C63" w:rsidRPr="0090579E" w:rsidRDefault="00534C63" w:rsidP="00534C63">
      <w:pPr>
        <w:pStyle w:val="whp20100506"/>
      </w:pPr>
    </w:p>
    <w:p w:rsidR="00534C63" w:rsidRPr="00124B8E" w:rsidRDefault="00534C63" w:rsidP="00534C63">
      <w:pPr>
        <w:pStyle w:val="whp20100506"/>
      </w:pPr>
      <w:r w:rsidRPr="0090579E">
        <w:t>James Templeton (head of Emira and PUTSA), says that CISPs are at a greater disadvantage than PLS sector to achieve BBBEE targets which is primarily as a result of the constraints in funding BEE transactions</w:t>
      </w:r>
      <w:r w:rsidRPr="00124B8E">
        <w:t xml:space="preserve">. </w:t>
      </w:r>
    </w:p>
    <w:p w:rsidR="00534C63" w:rsidRDefault="00534C63" w:rsidP="00534C63">
      <w:pPr>
        <w:pStyle w:val="whp20100506"/>
      </w:pPr>
    </w:p>
    <w:p w:rsidR="00534C63" w:rsidRDefault="00534C63" w:rsidP="00534C63">
      <w:pPr>
        <w:pStyle w:val="whp20100506"/>
      </w:pPr>
      <w:r>
        <w:t>Understanding the nature of BEE transaction, Bowman Gilfillan sums up the nature of BEE transactions as an event where there are capitalists without capital</w:t>
      </w:r>
      <w:r>
        <w:rPr>
          <w:rStyle w:val="FootnoteReference"/>
        </w:rPr>
        <w:footnoteReference w:id="45"/>
      </w:r>
      <w:r>
        <w:t xml:space="preserve">: </w:t>
      </w:r>
    </w:p>
    <w:p w:rsidR="00534C63" w:rsidRDefault="00534C63" w:rsidP="00534C63">
      <w:pPr>
        <w:pStyle w:val="whp20100506"/>
      </w:pPr>
    </w:p>
    <w:p w:rsidR="00534C63" w:rsidRPr="009C6D74" w:rsidRDefault="00534C63" w:rsidP="00534C63">
      <w:pPr>
        <w:pStyle w:val="whp20100506"/>
        <w:rPr>
          <w:i/>
        </w:rPr>
      </w:pPr>
      <w:r>
        <w:rPr>
          <w:i/>
        </w:rPr>
        <w:t>“</w:t>
      </w:r>
      <w:r w:rsidRPr="009C6D74">
        <w:rPr>
          <w:i/>
        </w:rPr>
        <w:t>The main challenge facing black investors and the sustainability of a BEE deal is the lack of access to capital by black investors.  The cost of third party finance for black investors only exacerbates this.  This has been instrumental in shaping the way BEE deals have been financed and structured</w:t>
      </w:r>
      <w:r>
        <w:rPr>
          <w:i/>
        </w:rPr>
        <w:t>”</w:t>
      </w:r>
      <w:r w:rsidRPr="009C6D74">
        <w:rPr>
          <w:i/>
        </w:rPr>
        <w:t>.</w:t>
      </w:r>
    </w:p>
    <w:p w:rsidR="00534C63" w:rsidRDefault="00534C63" w:rsidP="00534C63">
      <w:pPr>
        <w:pStyle w:val="whp20100506"/>
      </w:pPr>
    </w:p>
    <w:p w:rsidR="00534C63" w:rsidRDefault="00534C63" w:rsidP="00534C63">
      <w:pPr>
        <w:pStyle w:val="whp20100506"/>
      </w:pPr>
      <w:r>
        <w:t>In terms of the structure, Bowman sees the characteristics of BEE as:</w:t>
      </w:r>
    </w:p>
    <w:p w:rsidR="00534C63" w:rsidRDefault="00534C63" w:rsidP="00534C63">
      <w:pPr>
        <w:pStyle w:val="whp20100506"/>
      </w:pPr>
    </w:p>
    <w:p w:rsidR="00534C63" w:rsidRPr="00A35520" w:rsidRDefault="00534C63" w:rsidP="00534C63">
      <w:pPr>
        <w:pStyle w:val="whp20100506"/>
        <w:rPr>
          <w:i/>
        </w:rPr>
      </w:pPr>
      <w:r>
        <w:rPr>
          <w:i/>
        </w:rPr>
        <w:t>“</w:t>
      </w:r>
      <w:r w:rsidRPr="00A35520">
        <w:rPr>
          <w:i/>
        </w:rPr>
        <w:t>In the new wave of BEE deals the problem of access to capital has been addressed through innovative financing structures.  These structures are elaborate and complex, generally involving a combination of debt, equity and hybrid instruments (such as deferred shares, options and preference shares), together with various legs and multiple parties (special purpose vehicles, comm</w:t>
      </w:r>
      <w:r>
        <w:rPr>
          <w:i/>
        </w:rPr>
        <w:t>unity and employee share trusts</w:t>
      </w:r>
      <w:r w:rsidRPr="00A35520">
        <w:rPr>
          <w:i/>
        </w:rPr>
        <w:t>).  The acquisition of equity tends also tends to be vendor-financed, although other more conventional methods of funding involving third party financing may be used</w:t>
      </w:r>
      <w:r>
        <w:rPr>
          <w:i/>
        </w:rPr>
        <w:t>”</w:t>
      </w:r>
      <w:r w:rsidRPr="00A35520">
        <w:rPr>
          <w:i/>
        </w:rPr>
        <w:t>.</w:t>
      </w:r>
    </w:p>
    <w:p w:rsidR="00534C63" w:rsidRDefault="00534C63" w:rsidP="00534C63">
      <w:pPr>
        <w:pStyle w:val="whp20100506"/>
      </w:pPr>
    </w:p>
    <w:p w:rsidR="00534C63" w:rsidRDefault="00534C63" w:rsidP="00534C63">
      <w:pPr>
        <w:pStyle w:val="whp20100506"/>
      </w:pPr>
      <w:r>
        <w:t>As far as risk and sustainability is concerned, Bowman says:</w:t>
      </w:r>
    </w:p>
    <w:p w:rsidR="00534C63" w:rsidRDefault="00534C63" w:rsidP="00534C63">
      <w:pPr>
        <w:pStyle w:val="whp20100506"/>
      </w:pPr>
    </w:p>
    <w:p w:rsidR="00534C63" w:rsidRPr="00A35520" w:rsidRDefault="00534C63" w:rsidP="00534C63">
      <w:pPr>
        <w:pStyle w:val="whp20100506"/>
        <w:rPr>
          <w:i/>
        </w:rPr>
      </w:pPr>
      <w:r>
        <w:rPr>
          <w:i/>
        </w:rPr>
        <w:t>“</w:t>
      </w:r>
      <w:r w:rsidRPr="00A35520">
        <w:rPr>
          <w:i/>
        </w:rPr>
        <w:t>The new structures are neither perfect nor without their challenges.  The complexity of the new structures has meant that the parties involved are often at risk of contravening the company law prohibition on a company giving any type of financial assistance related to the purchase of or subscription for its shares, or shares in its holding company.  The parties are also at risk of incurring substantial upfront and future tax costs</w:t>
      </w:r>
      <w:r>
        <w:rPr>
          <w:i/>
        </w:rPr>
        <w:t>”</w:t>
      </w:r>
      <w:r w:rsidRPr="00A35520">
        <w:rPr>
          <w:i/>
        </w:rPr>
        <w:t>.</w:t>
      </w:r>
    </w:p>
    <w:p w:rsidR="00534C63" w:rsidRPr="00124B8E" w:rsidRDefault="00534C63" w:rsidP="00534C63">
      <w:pPr>
        <w:pStyle w:val="whp20100506"/>
      </w:pPr>
    </w:p>
    <w:p w:rsidR="00534C63" w:rsidRPr="0090579E" w:rsidRDefault="00534C63" w:rsidP="00534C63">
      <w:pPr>
        <w:pStyle w:val="whp20100506"/>
      </w:pPr>
      <w:r w:rsidRPr="0090579E">
        <w:t xml:space="preserve">The constraints for CISPs being that the model trust deed, as a collective investment scheme, do not permit the conclusion of a 100% loan transaction that is </w:t>
      </w:r>
      <w:r w:rsidRPr="00D769D0">
        <w:t xml:space="preserve">secured by committing the balance sheet assets of CISPs as collateral to fund the loan (Section 5 of the Model Trust Deed for CISPs: </w:t>
      </w:r>
      <w:r w:rsidRPr="00D769D0">
        <w:rPr>
          <w:i/>
        </w:rPr>
        <w:t>Prohibition of Certain Investments</w:t>
      </w:r>
      <w:r w:rsidRPr="00D769D0">
        <w:t>). In other words CISPs</w:t>
      </w:r>
      <w:r w:rsidRPr="0090579E">
        <w:t xml:space="preserve"> may not extend surety or guarantees as collateral to 3rd party loans that is used by the BEE investor to acquire shares in the CISP. </w:t>
      </w:r>
    </w:p>
    <w:p w:rsidR="00534C63" w:rsidRPr="0090579E" w:rsidRDefault="00534C63" w:rsidP="00534C63">
      <w:pPr>
        <w:pStyle w:val="whp20100506"/>
      </w:pPr>
    </w:p>
    <w:p w:rsidR="00534C63" w:rsidRPr="0090579E" w:rsidRDefault="00534C63" w:rsidP="00534C63">
      <w:pPr>
        <w:pStyle w:val="whp20100506"/>
      </w:pPr>
      <w:r w:rsidRPr="0090579E">
        <w:t>This is in contrast where most BEE acquisitions in other sectors of the JSE are 100% funded off balance sheets of the company, and since a PLS is a company it has a distinct advantage over its CISP counterpart. This anomaly presents a serious challenge to the National Treasury in addressing the inequalities for CISPs to achieve the targets set by the Property Charter.</w:t>
      </w:r>
    </w:p>
    <w:p w:rsidR="00534C63" w:rsidRPr="0090579E" w:rsidRDefault="00534C63" w:rsidP="00534C63">
      <w:pPr>
        <w:pStyle w:val="whp20100506"/>
      </w:pPr>
    </w:p>
    <w:p w:rsidR="00534C63" w:rsidRPr="0090579E" w:rsidRDefault="00534C63" w:rsidP="00534C63">
      <w:pPr>
        <w:pStyle w:val="whp20100506"/>
      </w:pPr>
      <w:r w:rsidRPr="0090579E">
        <w:t xml:space="preserve">The National Treasury’s concern is well founded. Firstly the assets secured for BEE transactions are in essence twice committed because the assets sold are also secured to the funds debt by virtue of the ordinary course of gearing when lending money (National Treasury. 2008: 19). This has serious implications for investors in terms of understanding and quantifying their risk exposure as being greater than the underlying assets in the balance sheet. </w:t>
      </w:r>
    </w:p>
    <w:p w:rsidR="00534C63" w:rsidRPr="0090579E" w:rsidRDefault="00534C63" w:rsidP="00534C63">
      <w:pPr>
        <w:pStyle w:val="whp20100506"/>
      </w:pPr>
    </w:p>
    <w:p w:rsidR="00534C63" w:rsidRPr="0090579E" w:rsidRDefault="00534C63" w:rsidP="00534C63">
      <w:pPr>
        <w:pStyle w:val="whp20100506"/>
      </w:pPr>
      <w:r w:rsidRPr="0090579E">
        <w:t xml:space="preserve">Secondly the additional risk is that in the event of a default, the BEE investors forfeit their unit rights to the lender which is normally a financial institution who has secured the rights as collateral. In the event of a default, the unit value becomes diluted when the fund itself attempts to intervene on behalf of the BEE investors by either selling other assets or using existing income to salvage the default. The situation therefore is one of where both the non BEE and the BEE investor are liable for the BEE debt. </w:t>
      </w:r>
    </w:p>
    <w:p w:rsidR="00534C63" w:rsidRDefault="00534C63" w:rsidP="00534C63">
      <w:pPr>
        <w:pStyle w:val="whp20100506"/>
        <w:rPr>
          <w:color w:val="FF0000"/>
        </w:rPr>
      </w:pPr>
    </w:p>
    <w:p w:rsidR="00534C63" w:rsidRPr="00E206BC" w:rsidRDefault="00534C63" w:rsidP="00534C63">
      <w:pPr>
        <w:pStyle w:val="whp20100506"/>
        <w:rPr>
          <w:b/>
          <w:i/>
        </w:rPr>
      </w:pPr>
      <w:r w:rsidRPr="00E206BC">
        <w:rPr>
          <w:b/>
          <w:i/>
        </w:rPr>
        <w:t>Conclusions</w:t>
      </w:r>
    </w:p>
    <w:p w:rsidR="00534C63" w:rsidRPr="0090579E" w:rsidRDefault="00534C63" w:rsidP="00534C63">
      <w:pPr>
        <w:pStyle w:val="whp20100506"/>
        <w:rPr>
          <w:highlight w:val="yellow"/>
        </w:rPr>
      </w:pPr>
    </w:p>
    <w:p w:rsidR="00534C63" w:rsidRPr="0090579E" w:rsidRDefault="00534C63" w:rsidP="00534C63">
      <w:pPr>
        <w:pStyle w:val="whp20100506"/>
      </w:pPr>
      <w:r w:rsidRPr="0090579E">
        <w:t xml:space="preserve">It is clear that the anomaly between CISPs (as a Collective Investment Scheme and falling under the auspices of CISCA) and PLS (as a company and falling under the auspices of the Companies Act) are significant in terms of bridging their respective abilities to operate on equal terms in order to pursue the targets laid down in the Property Charter through BEE transactions. What is more because of the vast differences the National Treasury has not been able to adequately cater for BEE transactions in their 2007 REIT recommendations. </w:t>
      </w:r>
    </w:p>
    <w:p w:rsidR="00534C63" w:rsidRPr="0090579E" w:rsidRDefault="00534C63" w:rsidP="00534C63">
      <w:pPr>
        <w:pStyle w:val="whp20100506"/>
      </w:pPr>
    </w:p>
    <w:p w:rsidR="00534C63" w:rsidRPr="0090579E" w:rsidRDefault="00534C63" w:rsidP="00534C63">
      <w:pPr>
        <w:pStyle w:val="whp20100506"/>
      </w:pPr>
      <w:r w:rsidRPr="0090579E">
        <w:t>It would appear that the only way forward would be for the creation of special concessions in facilitating BEE transactions so as to specifically accommodate the shortcomings of CISPs in relation to PLS as it currently stands. On a pragmatic level, the National Treasury would have to do more to facilitate dialogue in favour of CISPs to level out the playing field with PLS companies in order to expedite BEE transaction in the new REIT era.</w:t>
      </w:r>
    </w:p>
    <w:p w:rsidR="00534C63" w:rsidRPr="0090579E" w:rsidRDefault="00534C63" w:rsidP="00534C63">
      <w:pPr>
        <w:pStyle w:val="whp20100506"/>
      </w:pPr>
    </w:p>
    <w:p w:rsidR="00534C63" w:rsidRPr="0090579E" w:rsidRDefault="00534C63" w:rsidP="00534C63">
      <w:pPr>
        <w:pStyle w:val="whp20100506"/>
      </w:pPr>
      <w:r w:rsidRPr="0090579E">
        <w:t xml:space="preserve">As a safeguard, the National Treasury has considered adopting various safety mechanisms that would mitigate the risk exposure of </w:t>
      </w:r>
      <w:r w:rsidR="00194F2A">
        <w:t>REITS</w:t>
      </w:r>
      <w:r w:rsidRPr="0090579E">
        <w:t xml:space="preserve"> which can be done on many levels including the determination of debt thresholds, including the involvement of the FSB as a regulatory watch dog, and ring fencing the fallout of BEE parties in defaulting positions (National Treasury, 2008: 19). </w:t>
      </w:r>
    </w:p>
    <w:p w:rsidR="00534C63" w:rsidRPr="0090579E" w:rsidRDefault="00534C63" w:rsidP="00534C63">
      <w:pPr>
        <w:pStyle w:val="whp20100506"/>
      </w:pPr>
    </w:p>
    <w:p w:rsidR="00534C63" w:rsidRPr="0090579E" w:rsidRDefault="00534C63" w:rsidP="00534C63">
      <w:pPr>
        <w:pStyle w:val="whp20100506"/>
      </w:pPr>
      <w:r w:rsidRPr="0090579E">
        <w:t xml:space="preserve">However these are not adequately defined in relation to quantifying the parameters for gearing thresholds for </w:t>
      </w:r>
      <w:r w:rsidR="00194F2A">
        <w:t>REITS</w:t>
      </w:r>
      <w:r w:rsidRPr="0090579E">
        <w:t xml:space="preserve"> to embark upon BEE transactions. The National Treasury must define the extent to which these transactions can encumber the assets of </w:t>
      </w:r>
      <w:r w:rsidR="00194F2A">
        <w:t>REITS</w:t>
      </w:r>
      <w:r w:rsidRPr="0090579E">
        <w:t xml:space="preserve"> and specifically how much of the transaction counts towards the gearing thresholds and also the impact upon any interest cover ratios. </w:t>
      </w:r>
    </w:p>
    <w:p w:rsidR="00534C63" w:rsidRPr="0090579E" w:rsidRDefault="00534C63" w:rsidP="00534C63">
      <w:pPr>
        <w:pStyle w:val="whp20100506"/>
      </w:pPr>
    </w:p>
    <w:p w:rsidR="00534C63" w:rsidRPr="0090579E" w:rsidRDefault="00534C63" w:rsidP="00534C63">
      <w:pPr>
        <w:pStyle w:val="whp20100506"/>
      </w:pPr>
      <w:r w:rsidRPr="0090579E">
        <w:t xml:space="preserve">Probably the most important aspect of the National Treasury’s endeavours is to create a doctrine of disclosure within the REIT industry where investors have access to adequate information disclosing the risk exposures within a particular REIT relating to its BEE transactions. The disclosure should relate to the structures of the BEE transactions, potential liabilities for shareholders, threshold limits and all other information deemed vital for investors, the management team, the FSB and all interested and effected parties so that a view </w:t>
      </w:r>
      <w:r w:rsidRPr="0090579E">
        <w:lastRenderedPageBreak/>
        <w:t xml:space="preserve">can be taken of its risk exposure. </w:t>
      </w:r>
    </w:p>
    <w:p w:rsidR="00534C63" w:rsidRPr="0090579E" w:rsidRDefault="00534C63" w:rsidP="00534C63">
      <w:pPr>
        <w:pStyle w:val="whp20100506"/>
      </w:pPr>
    </w:p>
    <w:p w:rsidR="00534C63" w:rsidRPr="0090579E" w:rsidRDefault="00534C63" w:rsidP="00534C63">
      <w:pPr>
        <w:pStyle w:val="whp20100506"/>
      </w:pPr>
      <w:r w:rsidRPr="0090579E">
        <w:t>The answers are not straight forward especially in light protecting shareholders interests, which in most REIT cases are the pension fund savings of large institutions. The National Treasury will have to align the requirements of Broad Based Black Empowerment with the principles of upholding investor protection in a new dispensation.</w:t>
      </w:r>
    </w:p>
    <w:p w:rsidR="00534C63" w:rsidRPr="0090579E" w:rsidRDefault="00534C63" w:rsidP="00534C63">
      <w:pPr>
        <w:pStyle w:val="whp20100506"/>
      </w:pPr>
    </w:p>
    <w:p w:rsidR="00CD064E" w:rsidRDefault="00CD064E">
      <w:pPr>
        <w:spacing w:after="200" w:line="276" w:lineRule="auto"/>
        <w:rPr>
          <w:rFonts w:ascii="Times New Roman" w:hAnsi="Times New Roman"/>
          <w:b/>
          <w:sz w:val="24"/>
        </w:rPr>
      </w:pPr>
      <w:r>
        <w:rPr>
          <w:b/>
        </w:rPr>
        <w:br w:type="page"/>
      </w:r>
    </w:p>
    <w:p w:rsidR="00534C63" w:rsidRPr="00925AE5" w:rsidRDefault="00534C63" w:rsidP="00386CAB">
      <w:pPr>
        <w:pStyle w:val="whp20100506"/>
        <w:numPr>
          <w:ilvl w:val="2"/>
          <w:numId w:val="37"/>
        </w:numPr>
        <w:rPr>
          <w:b/>
        </w:rPr>
      </w:pPr>
      <w:r>
        <w:rPr>
          <w:b/>
        </w:rPr>
        <w:lastRenderedPageBreak/>
        <w:t>IMPLICATIONS OF NON-</w:t>
      </w:r>
      <w:r w:rsidRPr="00925AE5">
        <w:rPr>
          <w:b/>
        </w:rPr>
        <w:t xml:space="preserve">COMPLIANCE </w:t>
      </w:r>
    </w:p>
    <w:p w:rsidR="00534C63" w:rsidRPr="00E67127" w:rsidRDefault="00534C63" w:rsidP="00534C63">
      <w:pPr>
        <w:pStyle w:val="whp20100506"/>
        <w:rPr>
          <w:b/>
        </w:rPr>
      </w:pPr>
    </w:p>
    <w:tbl>
      <w:tblPr>
        <w:tblW w:w="8740" w:type="dxa"/>
        <w:tblInd w:w="108"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Look w:val="04A0"/>
      </w:tblPr>
      <w:tblGrid>
        <w:gridCol w:w="336"/>
        <w:gridCol w:w="8404"/>
      </w:tblGrid>
      <w:tr w:rsidR="00534C63" w:rsidRPr="00925AE5" w:rsidTr="00A8691C">
        <w:trPr>
          <w:trHeight w:val="300"/>
        </w:trPr>
        <w:tc>
          <w:tcPr>
            <w:tcW w:w="8740" w:type="dxa"/>
            <w:gridSpan w:val="2"/>
            <w:shd w:val="clear" w:color="auto" w:fill="F2F2F2" w:themeFill="background1" w:themeFillShade="F2"/>
            <w:noWrap/>
            <w:vAlign w:val="bottom"/>
            <w:hideMark/>
          </w:tcPr>
          <w:p w:rsidR="00534C63" w:rsidRPr="00206089" w:rsidRDefault="00534C63" w:rsidP="00684B0F">
            <w:pPr>
              <w:pStyle w:val="whp20100506"/>
              <w:rPr>
                <w:b/>
                <w:i/>
              </w:rPr>
            </w:pPr>
            <w:r w:rsidRPr="00206089">
              <w:rPr>
                <w:b/>
                <w:i/>
              </w:rPr>
              <w:t>National Treasury Proposal: Non Compliance with Regulatory Requirements</w:t>
            </w:r>
          </w:p>
          <w:p w:rsidR="00534C63" w:rsidRPr="00925AE5" w:rsidRDefault="00534C63" w:rsidP="00684B0F">
            <w:pPr>
              <w:pStyle w:val="whp20100506"/>
              <w:rPr>
                <w:i/>
              </w:rPr>
            </w:pPr>
          </w:p>
        </w:tc>
      </w:tr>
      <w:tr w:rsidR="00534C63" w:rsidRPr="00925AE5" w:rsidTr="00A8691C">
        <w:trPr>
          <w:trHeight w:val="300"/>
        </w:trPr>
        <w:tc>
          <w:tcPr>
            <w:tcW w:w="336" w:type="dxa"/>
            <w:shd w:val="clear" w:color="auto" w:fill="F2F2F2" w:themeFill="background1" w:themeFillShade="F2"/>
            <w:noWrap/>
            <w:hideMark/>
          </w:tcPr>
          <w:p w:rsidR="00534C63" w:rsidRPr="00925AE5" w:rsidRDefault="00534C63" w:rsidP="00684B0F">
            <w:pPr>
              <w:pStyle w:val="whp20100506"/>
              <w:rPr>
                <w:i/>
              </w:rPr>
            </w:pPr>
            <w:r w:rsidRPr="00925AE5">
              <w:rPr>
                <w:i/>
              </w:rPr>
              <w:t>*</w:t>
            </w:r>
          </w:p>
        </w:tc>
        <w:tc>
          <w:tcPr>
            <w:tcW w:w="8404" w:type="dxa"/>
            <w:shd w:val="clear" w:color="auto" w:fill="F2F2F2" w:themeFill="background1" w:themeFillShade="F2"/>
            <w:noWrap/>
            <w:hideMark/>
          </w:tcPr>
          <w:p w:rsidR="00534C63" w:rsidRPr="00925AE5" w:rsidRDefault="00534C63" w:rsidP="00684B0F">
            <w:pPr>
              <w:pStyle w:val="whp20100506"/>
              <w:rPr>
                <w:i/>
              </w:rPr>
            </w:pPr>
            <w:r w:rsidRPr="00925AE5">
              <w:rPr>
                <w:i/>
              </w:rPr>
              <w:t>A grace period of one year will be allowed where violations of qualifying criteria take place in order to rectify the infringement failing which the tax exempt status of the REIT will be lost. Monetary penalties may still be payable</w:t>
            </w:r>
          </w:p>
          <w:p w:rsidR="00534C63" w:rsidRPr="00925AE5" w:rsidRDefault="00534C63" w:rsidP="00684B0F">
            <w:pPr>
              <w:pStyle w:val="whp20100506"/>
              <w:rPr>
                <w:i/>
              </w:rPr>
            </w:pPr>
          </w:p>
        </w:tc>
      </w:tr>
    </w:tbl>
    <w:p w:rsidR="00534C63" w:rsidRPr="00124B8E" w:rsidRDefault="00534C63" w:rsidP="00534C63">
      <w:pPr>
        <w:pStyle w:val="whp20100506"/>
        <w:rPr>
          <w:highlight w:val="yellow"/>
        </w:rPr>
      </w:pPr>
    </w:p>
    <w:p w:rsidR="00534C63" w:rsidRPr="0090579E" w:rsidRDefault="00534C63" w:rsidP="00534C63">
      <w:pPr>
        <w:pStyle w:val="whp20100506"/>
      </w:pPr>
      <w:r w:rsidRPr="0090579E">
        <w:t xml:space="preserve">The objectives of the National Treasury intends to have a regulatory and tax environment for REIT that is both practical and easy to administer which will not place undue difficulties upon the management and trustees or the investors. </w:t>
      </w:r>
    </w:p>
    <w:p w:rsidR="00534C63" w:rsidRPr="0090579E" w:rsidRDefault="00534C63" w:rsidP="00534C63">
      <w:pPr>
        <w:pStyle w:val="whp20100506"/>
      </w:pPr>
    </w:p>
    <w:p w:rsidR="00534C63" w:rsidRPr="0090579E" w:rsidRDefault="00534C63" w:rsidP="00534C63">
      <w:pPr>
        <w:pStyle w:val="whp20100506"/>
      </w:pPr>
      <w:r w:rsidRPr="0090579E">
        <w:t>What is more the National Treasury do not wish to penalise the REIT participants for reasons that are outside their direct control and for )this reason which to have a simplified yet effective compliance model (National Treasury, 2007: 19)</w:t>
      </w:r>
    </w:p>
    <w:p w:rsidR="00534C63" w:rsidRDefault="00534C63" w:rsidP="00534C63">
      <w:pPr>
        <w:pStyle w:val="whp20100506"/>
      </w:pPr>
    </w:p>
    <w:p w:rsidR="00534C63" w:rsidRPr="00C7460C" w:rsidRDefault="00534C63" w:rsidP="00534C63">
      <w:pPr>
        <w:pStyle w:val="whp20100506"/>
        <w:rPr>
          <w:b/>
          <w:i/>
        </w:rPr>
      </w:pPr>
      <w:r w:rsidRPr="00206089">
        <w:rPr>
          <w:b/>
          <w:i/>
          <w:u w:val="single"/>
        </w:rPr>
        <w:t>Comment 1:</w:t>
      </w:r>
      <w:r w:rsidRPr="00C7460C">
        <w:rPr>
          <w:b/>
          <w:i/>
        </w:rPr>
        <w:t xml:space="preserve"> The ‘All or Nothing’ rule is not appropriate</w:t>
      </w:r>
    </w:p>
    <w:p w:rsidR="00534C63" w:rsidRPr="0090579E" w:rsidRDefault="00534C63" w:rsidP="00534C63">
      <w:pPr>
        <w:pStyle w:val="whp20100506"/>
      </w:pPr>
    </w:p>
    <w:p w:rsidR="00534C63" w:rsidRPr="0090579E" w:rsidRDefault="00534C63" w:rsidP="00534C63">
      <w:pPr>
        <w:pStyle w:val="whp20100506"/>
      </w:pPr>
      <w:r w:rsidRPr="0090579E">
        <w:t xml:space="preserve">The National Treasury’s stipulation of an ‘all or nothing’ approach in terms of the compliance to the proposed tax dispensation for SA REIT has received criticism from local industry as being inappropriate for the local environment which is regarded as fairly inelastic and rigid and therefore an ‘all or nothing’ approach would be unsuitable (National Treasury, 2008: 13). What is more there would be a period of time permitted to the REIT in order to rectify its breach, after which a monetary penalty would be levied against the offender. </w:t>
      </w:r>
    </w:p>
    <w:p w:rsidR="00534C63" w:rsidRPr="0090579E" w:rsidRDefault="00534C63" w:rsidP="00534C63">
      <w:pPr>
        <w:pStyle w:val="whp20100506"/>
      </w:pPr>
    </w:p>
    <w:p w:rsidR="00534C63" w:rsidRPr="0090579E" w:rsidRDefault="00534C63" w:rsidP="00534C63">
      <w:pPr>
        <w:pStyle w:val="whp20100506"/>
      </w:pPr>
      <w:r w:rsidRPr="0090579E">
        <w:t>The German tax authorities fine non-compliance with the 75% total asset value with a penalty payment of at least 1% and at most 3% of the amount the actual portion falls short of the specified one (Schacht &amp; Wimschulte, July 2007). In the event of deriving more than 75% revenue from rent, lease and sale proceeds, the penalty payments are at least 10% to maximum of 20% of the difference. Should the REIT miss any one of these conditions 3 fiscal</w:t>
      </w:r>
      <w:r w:rsidRPr="00124B8E">
        <w:t xml:space="preserve"> years in a row, the special tax status is suspended after the 3</w:t>
      </w:r>
      <w:r w:rsidRPr="00124B8E">
        <w:rPr>
          <w:vertAlign w:val="superscript"/>
        </w:rPr>
        <w:t>rd</w:t>
      </w:r>
      <w:r w:rsidRPr="00124B8E">
        <w:t xml:space="preserve"> year. </w:t>
      </w:r>
      <w:r w:rsidRPr="00124B8E">
        <w:br/>
      </w:r>
    </w:p>
    <w:p w:rsidR="00534C63" w:rsidRPr="0090579E" w:rsidRDefault="00534C63" w:rsidP="00534C63">
      <w:pPr>
        <w:pStyle w:val="whp20100506"/>
      </w:pPr>
      <w:r w:rsidRPr="0090579E">
        <w:t xml:space="preserve">In the French REIT regime, if a property fund with SIIC status does not comply with any </w:t>
      </w:r>
      <w:r w:rsidRPr="0090579E">
        <w:lastRenderedPageBreak/>
        <w:t xml:space="preserve">conditions or obligations as per their regulations, the company will lose its REIT status and as a penalty, an exit tax will be due (Geursen &amp; Derouin, June 2003). The penalty is calculated by applying the normal corporate tax rate on the latent capital gain which was determined at entry when REIT status was granted. A tax credit will be given to the defaulting REIT for the entry tax by imputing the entry tax from the exit tax which as a result of the reduction of the tax liability, approximately half of the original latent capital gains upon entry would be recaptured. </w:t>
      </w:r>
    </w:p>
    <w:p w:rsidR="00534C63" w:rsidRPr="0090579E" w:rsidRDefault="00534C63" w:rsidP="00534C63">
      <w:pPr>
        <w:pStyle w:val="whp20100506"/>
      </w:pPr>
    </w:p>
    <w:p w:rsidR="00534C63" w:rsidRPr="0090579E" w:rsidRDefault="00534C63" w:rsidP="00534C63">
      <w:pPr>
        <w:pStyle w:val="whp20100506"/>
      </w:pPr>
      <w:r w:rsidRPr="0090579E">
        <w:t xml:space="preserve">NAREIT has suggested that a one-year period of grace should be afforded to REIT who fails to meet the various threshold tests but warns against an all or nothing approach in the event of a breach, which would result in loss of REIT status. Monetary penalties should also be included </w:t>
      </w:r>
    </w:p>
    <w:p w:rsidR="00534C63" w:rsidRPr="0090579E" w:rsidRDefault="00534C63" w:rsidP="00534C63">
      <w:pPr>
        <w:pStyle w:val="whp20100506"/>
      </w:pPr>
    </w:p>
    <w:p w:rsidR="00534C63" w:rsidRDefault="00534C63" w:rsidP="00534C63">
      <w:pPr>
        <w:pStyle w:val="whp20100506"/>
      </w:pPr>
      <w:r w:rsidRPr="0090579E">
        <w:t xml:space="preserve">Local Industry proposed that a monetary penalty is allocated to the party guilty of the active breach, which should be an adequate sanction, with a possible outright ban for repeat offenders. A possible short coming is pointed out by James Templeton from Emira that repeat offenders need not be consecutive annual offenders but possibly also those who frequently breach the </w:t>
      </w:r>
      <w:r w:rsidR="00194F2A">
        <w:t>REITS</w:t>
      </w:r>
      <w:r w:rsidRPr="0090579E">
        <w:t xml:space="preserve"> regulations and therefore the National Treasury should cater for this scenario</w:t>
      </w:r>
      <w:r>
        <w:t>.</w:t>
      </w:r>
    </w:p>
    <w:p w:rsidR="00534C63" w:rsidRPr="0090579E" w:rsidRDefault="00534C63" w:rsidP="00534C63">
      <w:pPr>
        <w:pStyle w:val="whp20100506"/>
      </w:pPr>
    </w:p>
    <w:p w:rsidR="00534C63" w:rsidRPr="0090579E" w:rsidRDefault="00534C63" w:rsidP="00534C63">
      <w:pPr>
        <w:pStyle w:val="whp20100506"/>
      </w:pPr>
      <w:r w:rsidRPr="0090579E">
        <w:t>Mr John Rainier from Standard Bank supports the notion that is applicable in the USA and many other REIT jurisdictions that the tax free regime would simply lose its status in the event of a breach (Questionnaire, 2010, May). He however does not elaborate in terms of the duration or remedy of non-compliance. In contrast Mr Craig Hallowes elaborates on this by saying that there should be a window period to fix the non-compliance however thereafter if no remedial action a fine should be imposed (Questionnaire, May, 2010).</w:t>
      </w:r>
    </w:p>
    <w:p w:rsidR="00534C63" w:rsidRPr="00124B8E" w:rsidRDefault="00534C63" w:rsidP="00534C63">
      <w:pPr>
        <w:pStyle w:val="whp20100506"/>
        <w:rPr>
          <w:bCs/>
        </w:rPr>
      </w:pPr>
    </w:p>
    <w:p w:rsidR="00534C63" w:rsidRPr="00C7460C" w:rsidRDefault="00534C63" w:rsidP="00534C63">
      <w:pPr>
        <w:pStyle w:val="whp20100506"/>
        <w:rPr>
          <w:b/>
          <w:i/>
        </w:rPr>
      </w:pPr>
      <w:r w:rsidRPr="00C7460C">
        <w:rPr>
          <w:b/>
          <w:i/>
        </w:rPr>
        <w:t>Conclusions</w:t>
      </w:r>
    </w:p>
    <w:p w:rsidR="00534C63" w:rsidRPr="0090579E" w:rsidRDefault="00534C63" w:rsidP="00534C63">
      <w:pPr>
        <w:pStyle w:val="whp20100506"/>
      </w:pPr>
    </w:p>
    <w:p w:rsidR="00534C63" w:rsidRPr="0090579E" w:rsidRDefault="00534C63" w:rsidP="00534C63">
      <w:pPr>
        <w:pStyle w:val="whp20100506"/>
      </w:pPr>
      <w:r w:rsidRPr="0090579E">
        <w:t xml:space="preserve">The National Treasury has only adequately qualified the events of non-compliance by way of further elaborating the event of non-compliance as either one of two situations being that of a passive or active breach of the REIT requirements (National Treasury, 2008:13). </w:t>
      </w:r>
    </w:p>
    <w:p w:rsidR="00534C63" w:rsidRPr="0090579E" w:rsidRDefault="00534C63" w:rsidP="00534C63">
      <w:pPr>
        <w:pStyle w:val="whp20100506"/>
      </w:pPr>
    </w:p>
    <w:p w:rsidR="00534C63" w:rsidRPr="0090579E" w:rsidRDefault="00534C63" w:rsidP="00534C63">
      <w:pPr>
        <w:pStyle w:val="whp20100506"/>
      </w:pPr>
      <w:r w:rsidRPr="0090579E">
        <w:t xml:space="preserve">The National Treasury’s Response Document has defined an active breach as including all </w:t>
      </w:r>
      <w:r w:rsidRPr="0090579E">
        <w:lastRenderedPageBreak/>
        <w:t xml:space="preserve">actions that were taken either by a board, manager or employee which is in breach of a regulatory requirement. That particular person would then be penalised by way of a monetary penalty. Conversely a passive breach is where all regulatory requirements are met but due to reasons outside of its control, the REIT later falls foul of regulations and is then technically in breach. </w:t>
      </w:r>
    </w:p>
    <w:p w:rsidR="00534C63" w:rsidRPr="0090579E" w:rsidRDefault="00534C63" w:rsidP="00534C63">
      <w:pPr>
        <w:pStyle w:val="whp20100506"/>
      </w:pPr>
    </w:p>
    <w:p w:rsidR="00534C63" w:rsidRPr="0090579E" w:rsidRDefault="00534C63" w:rsidP="00534C63">
      <w:pPr>
        <w:pStyle w:val="whp20100506"/>
      </w:pPr>
      <w:r w:rsidRPr="0090579E">
        <w:t>The proposal for a period of one financial year should be acceptable for remedial action however the remedial period can also include a monetary penalty if the situation requires.</w:t>
      </w:r>
    </w:p>
    <w:p w:rsidR="00534C63" w:rsidRPr="0090579E" w:rsidRDefault="00534C63" w:rsidP="00534C63">
      <w:pPr>
        <w:pStyle w:val="whp20100506"/>
      </w:pPr>
    </w:p>
    <w:p w:rsidR="00534C63" w:rsidRPr="0090579E" w:rsidRDefault="00534C63" w:rsidP="00534C63">
      <w:pPr>
        <w:pStyle w:val="whp20100506"/>
      </w:pPr>
      <w:r w:rsidRPr="0090579E">
        <w:t xml:space="preserve">Generally the ‘all or nothing’ rules adequately summarises the REIT ethos that a company will not be entitled to the benefits of a REIT if it does not comply with all the requirements in totality.  </w:t>
      </w:r>
    </w:p>
    <w:p w:rsidR="00534C63" w:rsidRDefault="00534C63" w:rsidP="00534C63">
      <w:pPr>
        <w:pStyle w:val="whp20100506"/>
      </w:pPr>
    </w:p>
    <w:p w:rsidR="00534C63" w:rsidRPr="008D4AA1" w:rsidRDefault="00534C63" w:rsidP="00534C63">
      <w:pPr>
        <w:pStyle w:val="whp20100506"/>
        <w:rPr>
          <w:b/>
          <w:i/>
        </w:rPr>
      </w:pPr>
      <w:r w:rsidRPr="008D4AA1">
        <w:rPr>
          <w:b/>
          <w:i/>
        </w:rPr>
        <w:t>Post Script</w:t>
      </w:r>
    </w:p>
    <w:p w:rsidR="00534C63" w:rsidRPr="0090579E" w:rsidRDefault="00534C63" w:rsidP="00534C63">
      <w:pPr>
        <w:pStyle w:val="whp20100506"/>
      </w:pPr>
    </w:p>
    <w:p w:rsidR="00534C63" w:rsidRPr="0090579E" w:rsidRDefault="00534C63" w:rsidP="00534C63">
      <w:pPr>
        <w:pStyle w:val="whp20100506"/>
      </w:pPr>
      <w:r w:rsidRPr="0090579E">
        <w:t xml:space="preserve">As a further commentary on the issue of non-compliance, the recent economic slump and downswing has put tremendous pressures on most </w:t>
      </w:r>
      <w:r w:rsidR="00194F2A">
        <w:t>REITS</w:t>
      </w:r>
      <w:r w:rsidRPr="0090579E">
        <w:t xml:space="preserve">. In many instances the breach is due to plummeting economic fundamentals such as restricted access to debt financing, declining property values and leveraged balance sheets. As a result property funds fall foul of various REIT policies and regulations. </w:t>
      </w:r>
    </w:p>
    <w:p w:rsidR="00534C63" w:rsidRPr="0090579E" w:rsidRDefault="00534C63" w:rsidP="00534C63">
      <w:pPr>
        <w:pStyle w:val="whp20100506"/>
      </w:pPr>
    </w:p>
    <w:p w:rsidR="00534C63" w:rsidRPr="0090579E" w:rsidRDefault="00534C63" w:rsidP="00534C63">
      <w:pPr>
        <w:pStyle w:val="whp20100506"/>
      </w:pPr>
      <w:r w:rsidRPr="0090579E">
        <w:t xml:space="preserve">From a capital management perspective, and as a matter of consequence of the recession, many </w:t>
      </w:r>
      <w:r w:rsidR="00194F2A">
        <w:t>REITS</w:t>
      </w:r>
      <w:r w:rsidRPr="0090579E">
        <w:t xml:space="preserve"> are in factual breach of these rules. For this reason it is critical that the National Treasury acknowledge the on-going role of the regulators in economic slumps and to adopt a proactive stance to assist </w:t>
      </w:r>
      <w:r w:rsidR="00194F2A">
        <w:t>REITS</w:t>
      </w:r>
      <w:r w:rsidRPr="0090579E">
        <w:t xml:space="preserve"> in certain exceptions to avoid mass default by implementing changes or refinements to the regulatory frameworks in order to help facilitate efforts to assist REIT. </w:t>
      </w:r>
    </w:p>
    <w:p w:rsidR="00534C63" w:rsidRPr="0090579E" w:rsidRDefault="00534C63" w:rsidP="00534C63">
      <w:pPr>
        <w:pStyle w:val="whp20100506"/>
      </w:pPr>
    </w:p>
    <w:p w:rsidR="00534C63" w:rsidRPr="0090579E" w:rsidRDefault="00534C63" w:rsidP="00534C63">
      <w:pPr>
        <w:pStyle w:val="whp20100506"/>
      </w:pPr>
      <w:r w:rsidRPr="00124B8E">
        <w:t>The EMRA</w:t>
      </w:r>
      <w:r w:rsidRPr="00124B8E">
        <w:rPr>
          <w:rStyle w:val="FootnoteReference"/>
        </w:rPr>
        <w:footnoteReference w:id="46"/>
      </w:r>
      <w:r w:rsidRPr="00124B8E">
        <w:t xml:space="preserve"> </w:t>
      </w:r>
      <w:r w:rsidRPr="0090579E">
        <w:t xml:space="preserve">monthly market </w:t>
      </w:r>
      <w:r>
        <w:t>review</w:t>
      </w:r>
      <w:r w:rsidRPr="0090579E">
        <w:t xml:space="preserve"> in June 2009 reported upon a number of resolute efforts implemented by various REIT regimes globally in light of the recession to help aid REIT funds. </w:t>
      </w:r>
    </w:p>
    <w:p w:rsidR="00534C63" w:rsidRPr="0090579E" w:rsidRDefault="00534C63" w:rsidP="00534C63">
      <w:pPr>
        <w:pStyle w:val="whp20100506"/>
      </w:pPr>
      <w:r w:rsidRPr="0090579E">
        <w:t xml:space="preserve">In Singapore, the SGX was permitted sub-underwriting arrangements with their major </w:t>
      </w:r>
      <w:r w:rsidRPr="0090579E">
        <w:lastRenderedPageBreak/>
        <w:t>shareholders without the normal prescriptive and specific shareholders approval (subject to certain conditions). Additional refinements included that if the aggregate leverage had increased as a result of the decline in property values, the REIT will not be deemed in breach of the leverage limits. The refinancing of existing debt also would not amount to incurring additional borrowings when calculating leverage ratios.</w:t>
      </w:r>
    </w:p>
    <w:p w:rsidR="00534C63" w:rsidRPr="0090579E" w:rsidRDefault="00534C63" w:rsidP="00534C63">
      <w:pPr>
        <w:pStyle w:val="whp20100506"/>
      </w:pPr>
      <w:r w:rsidRPr="0090579E">
        <w:t xml:space="preserve"> </w:t>
      </w:r>
    </w:p>
    <w:p w:rsidR="00534C63" w:rsidRPr="0090579E" w:rsidRDefault="00534C63" w:rsidP="00534C63">
      <w:pPr>
        <w:pStyle w:val="whp20100506"/>
      </w:pPr>
      <w:r w:rsidRPr="0090579E">
        <w:t>In Hong Kong, the SFC14 stated that if the aggregate borrowings of a H-REIT goes beyond the 45% limit as a result of the decline in property valuations as a result of a revaluation exercise, the H-REIT will not be required to sell the assets to settle part of the borrowings where such a disposal would be detrimental to the interests of the unit holders.</w:t>
      </w:r>
    </w:p>
    <w:p w:rsidR="00534C63" w:rsidRPr="0090579E" w:rsidRDefault="00534C63" w:rsidP="00534C63">
      <w:pPr>
        <w:pStyle w:val="whp20100506"/>
      </w:pPr>
    </w:p>
    <w:p w:rsidR="00534C63" w:rsidRPr="0090579E" w:rsidRDefault="00534C63" w:rsidP="00534C63">
      <w:pPr>
        <w:pStyle w:val="whp20100506"/>
      </w:pPr>
      <w:r w:rsidRPr="0090579E">
        <w:t xml:space="preserve">In the USA, </w:t>
      </w:r>
      <w:r w:rsidR="00194F2A">
        <w:t>REITS</w:t>
      </w:r>
      <w:r w:rsidRPr="0090579E">
        <w:t xml:space="preserve"> are allowed to conserve cash by paying up to 90% of dividends in stock instead of a cash distribution during the 2009 financial year while France had a 5th amendment passed by the French parliament to assist alleviate pressures on the SIIC.</w:t>
      </w:r>
    </w:p>
    <w:p w:rsidR="00534C63" w:rsidRPr="0090579E" w:rsidRDefault="00534C63" w:rsidP="00534C63">
      <w:pPr>
        <w:pStyle w:val="whp20100506"/>
      </w:pPr>
    </w:p>
    <w:p w:rsidR="00534C63" w:rsidRPr="0090579E" w:rsidRDefault="00534C63" w:rsidP="00534C63">
      <w:pPr>
        <w:pStyle w:val="whp20100506"/>
      </w:pPr>
      <w:r w:rsidRPr="0090579E">
        <w:t xml:space="preserve">The above is intended the flexibility of REIT regulatory frameworks to cater for severe economic shifts detrimental to the overall well being of </w:t>
      </w:r>
      <w:r w:rsidR="00194F2A">
        <w:t>REITS</w:t>
      </w:r>
      <w:r w:rsidRPr="0090579E">
        <w:t xml:space="preserve"> which the National Treasury should be vigilant of. </w:t>
      </w:r>
    </w:p>
    <w:p w:rsidR="00534C63" w:rsidRPr="0090579E" w:rsidRDefault="00534C63" w:rsidP="00534C63">
      <w:pPr>
        <w:pStyle w:val="whp20100506"/>
      </w:pPr>
    </w:p>
    <w:p w:rsidR="00534C63" w:rsidRPr="00124B8E" w:rsidRDefault="00534C63" w:rsidP="00534C63">
      <w:pPr>
        <w:pStyle w:val="whp20100506"/>
      </w:pPr>
      <w:r w:rsidRPr="0090579E">
        <w:t xml:space="preserve">As mentioned above, the regulatory frameworks of international </w:t>
      </w:r>
      <w:r w:rsidR="00194F2A">
        <w:t>REITS</w:t>
      </w:r>
      <w:r w:rsidRPr="0090579E">
        <w:t xml:space="preserve"> are vast and comprehensive with onerous checks and balances inserted to force REIT funds to comply with various standards intended to protect the interests of investors. The general trend</w:t>
      </w:r>
      <w:r w:rsidRPr="00124B8E">
        <w:t xml:space="preserve"> </w:t>
      </w:r>
      <w:r w:rsidRPr="0090579E">
        <w:t>internationally is for a REIT fund to comply with its specific REIT regulatory framework, their enabling act (whether it be an Act or piece of legislation controlling the juristic entity), the listing requirements of their stock exchanges, reporting to various regulatory watch dog bodies and periodic audits to ensure that all prescribed requirements are met.</w:t>
      </w:r>
    </w:p>
    <w:p w:rsidR="00534C63" w:rsidRPr="00124B8E" w:rsidRDefault="00534C63" w:rsidP="00534C63">
      <w:pPr>
        <w:pStyle w:val="whp20100506"/>
      </w:pPr>
    </w:p>
    <w:p w:rsidR="00534C63" w:rsidRPr="00FD5BCE" w:rsidRDefault="00534C63" w:rsidP="00386CAB">
      <w:pPr>
        <w:pStyle w:val="whp20100506"/>
        <w:numPr>
          <w:ilvl w:val="0"/>
          <w:numId w:val="37"/>
        </w:numPr>
        <w:rPr>
          <w:b/>
        </w:rPr>
      </w:pPr>
      <w:r w:rsidRPr="00FD5BCE">
        <w:rPr>
          <w:b/>
        </w:rPr>
        <w:br w:type="page"/>
      </w:r>
      <w:r w:rsidR="00832A5D">
        <w:rPr>
          <w:b/>
        </w:rPr>
        <w:lastRenderedPageBreak/>
        <w:t>NATIONAL TREASURY: TAXATION DISPENSATION</w:t>
      </w:r>
    </w:p>
    <w:p w:rsidR="00534C63" w:rsidRPr="00124B8E" w:rsidRDefault="00534C63" w:rsidP="00534C63">
      <w:pPr>
        <w:pStyle w:val="whp20100506"/>
        <w:ind w:firstLine="720"/>
      </w:pPr>
    </w:p>
    <w:p w:rsidR="00534C63" w:rsidRPr="00124B8E" w:rsidRDefault="00534C63" w:rsidP="00534C63">
      <w:pPr>
        <w:pStyle w:val="whp20100506"/>
      </w:pPr>
      <w:r w:rsidRPr="00124B8E">
        <w:t xml:space="preserve">What follows below is an evaluation of the second </w:t>
      </w:r>
      <w:r>
        <w:t>pillar</w:t>
      </w:r>
      <w:r w:rsidRPr="00124B8E">
        <w:t xml:space="preserve"> of</w:t>
      </w:r>
      <w:r>
        <w:t xml:space="preserve"> the </w:t>
      </w:r>
      <w:r w:rsidR="00194F2A">
        <w:t>REITS</w:t>
      </w:r>
      <w:r>
        <w:t xml:space="preserve"> framework</w:t>
      </w:r>
      <w:r w:rsidRPr="00124B8E">
        <w:t xml:space="preserve"> being that of taxation. In its basic form the two main </w:t>
      </w:r>
      <w:r>
        <w:t>proponents</w:t>
      </w:r>
      <w:r w:rsidRPr="00124B8E">
        <w:t xml:space="preserve"> of REIT taxation are the treatment of income distribution and capital gains which is discussed below.</w:t>
      </w:r>
      <w:r w:rsidR="00B93C59">
        <w:t xml:space="preserve"> Again it must be stressed that this report merely evaluates the policy objectives of rules of the proposed REIT tax dispensation and does not purport to evaluate the application of these tax principles in practise.</w:t>
      </w:r>
    </w:p>
    <w:p w:rsidR="00534C63" w:rsidRPr="00124B8E" w:rsidRDefault="00534C63" w:rsidP="00534C63">
      <w:pPr>
        <w:pStyle w:val="whp20100506"/>
      </w:pPr>
    </w:p>
    <w:p w:rsidR="00534C63" w:rsidRPr="00FD5BCE" w:rsidRDefault="00534C63" w:rsidP="00386CAB">
      <w:pPr>
        <w:pStyle w:val="whp20100506"/>
        <w:numPr>
          <w:ilvl w:val="1"/>
          <w:numId w:val="37"/>
        </w:numPr>
        <w:rPr>
          <w:b/>
        </w:rPr>
      </w:pPr>
      <w:r w:rsidRPr="00FD5BCE">
        <w:rPr>
          <w:b/>
        </w:rPr>
        <w:t xml:space="preserve">INCOME DISTRIBUTION </w:t>
      </w:r>
      <w:r>
        <w:rPr>
          <w:b/>
        </w:rPr>
        <w:t>&amp; CAPITAL GAINS</w:t>
      </w:r>
    </w:p>
    <w:p w:rsidR="00534C63" w:rsidRPr="00E67127" w:rsidRDefault="00534C63" w:rsidP="00534C63">
      <w:pPr>
        <w:pStyle w:val="whp20100506"/>
        <w:rPr>
          <w:b/>
        </w:rPr>
      </w:pPr>
    </w:p>
    <w:tbl>
      <w:tblPr>
        <w:tblW w:w="9090" w:type="dxa"/>
        <w:tblInd w:w="108"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Look w:val="04A0"/>
      </w:tblPr>
      <w:tblGrid>
        <w:gridCol w:w="450"/>
        <w:gridCol w:w="8640"/>
      </w:tblGrid>
      <w:tr w:rsidR="00534C63" w:rsidRPr="00E67127" w:rsidTr="00A8691C">
        <w:trPr>
          <w:trHeight w:val="300"/>
        </w:trPr>
        <w:tc>
          <w:tcPr>
            <w:tcW w:w="9090" w:type="dxa"/>
            <w:gridSpan w:val="2"/>
            <w:shd w:val="clear" w:color="auto" w:fill="F2F2F2" w:themeFill="background1" w:themeFillShade="F2"/>
            <w:noWrap/>
            <w:vAlign w:val="bottom"/>
            <w:hideMark/>
          </w:tcPr>
          <w:p w:rsidR="00534C63" w:rsidRPr="00206089" w:rsidRDefault="00534C63" w:rsidP="00684B0F">
            <w:pPr>
              <w:pStyle w:val="whp20100506"/>
              <w:rPr>
                <w:b/>
                <w:i/>
                <w:lang w:eastAsia="en-ZA"/>
              </w:rPr>
            </w:pPr>
            <w:r w:rsidRPr="00206089">
              <w:rPr>
                <w:b/>
                <w:i/>
                <w:lang w:eastAsia="en-ZA"/>
              </w:rPr>
              <w:t>National Treasury Proposal: Tax Implications of Income Distribution</w:t>
            </w:r>
          </w:p>
          <w:p w:rsidR="00534C63" w:rsidRPr="00FD5BCE" w:rsidRDefault="00534C63" w:rsidP="00684B0F">
            <w:pPr>
              <w:pStyle w:val="whp20100506"/>
              <w:rPr>
                <w:lang w:eastAsia="en-ZA"/>
              </w:rPr>
            </w:pPr>
          </w:p>
        </w:tc>
      </w:tr>
      <w:tr w:rsidR="00534C63" w:rsidRPr="00124B8E" w:rsidTr="00A8691C">
        <w:trPr>
          <w:trHeight w:val="300"/>
        </w:trPr>
        <w:tc>
          <w:tcPr>
            <w:tcW w:w="45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w:t>
            </w:r>
          </w:p>
        </w:tc>
        <w:tc>
          <w:tcPr>
            <w:tcW w:w="8640" w:type="dxa"/>
            <w:shd w:val="clear" w:color="auto" w:fill="F2F2F2" w:themeFill="background1" w:themeFillShade="F2"/>
            <w:noWrap/>
            <w:hideMark/>
          </w:tcPr>
          <w:p w:rsidR="00534C63" w:rsidRPr="00FD5BCE" w:rsidRDefault="00534C63" w:rsidP="00684B0F">
            <w:pPr>
              <w:pStyle w:val="whp20100506"/>
              <w:rPr>
                <w:lang w:eastAsia="en-ZA"/>
              </w:rPr>
            </w:pPr>
            <w:r w:rsidRPr="00FD5BCE">
              <w:rPr>
                <w:lang w:eastAsia="en-ZA"/>
              </w:rPr>
              <w:t>REIT will distribute most of its net income to investors within its financial year which results in REIT having no taxable income as the investors will be taxed on these distributions. REIT will therefore have no tax compliance burden for filing tax returns, paying of corporate tax and STC</w:t>
            </w:r>
          </w:p>
          <w:p w:rsidR="00534C63" w:rsidRPr="00FD5BCE" w:rsidRDefault="00534C63" w:rsidP="00684B0F">
            <w:pPr>
              <w:pStyle w:val="whp20100506"/>
              <w:rPr>
                <w:lang w:eastAsia="en-ZA"/>
              </w:rPr>
            </w:pPr>
          </w:p>
        </w:tc>
      </w:tr>
      <w:tr w:rsidR="00534C63" w:rsidRPr="00124B8E" w:rsidTr="00A8691C">
        <w:trPr>
          <w:trHeight w:val="300"/>
        </w:trPr>
        <w:tc>
          <w:tcPr>
            <w:tcW w:w="45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w:t>
            </w:r>
          </w:p>
        </w:tc>
        <w:tc>
          <w:tcPr>
            <w:tcW w:w="8640" w:type="dxa"/>
            <w:shd w:val="clear" w:color="auto" w:fill="F2F2F2" w:themeFill="background1" w:themeFillShade="F2"/>
            <w:noWrap/>
            <w:hideMark/>
          </w:tcPr>
          <w:p w:rsidR="00534C63" w:rsidRPr="00FD5BCE" w:rsidRDefault="00534C63" w:rsidP="00684B0F">
            <w:pPr>
              <w:pStyle w:val="whp20100506"/>
              <w:rPr>
                <w:lang w:eastAsia="en-ZA"/>
              </w:rPr>
            </w:pPr>
            <w:r w:rsidRPr="00FD5BCE">
              <w:rPr>
                <w:lang w:eastAsia="en-ZA"/>
              </w:rPr>
              <w:t>The tax burden on the individual investor will be the marginal rate of tax ranging between 0 and 40%</w:t>
            </w:r>
          </w:p>
          <w:p w:rsidR="00534C63" w:rsidRPr="00FD5BCE" w:rsidRDefault="00534C63" w:rsidP="00684B0F">
            <w:pPr>
              <w:pStyle w:val="whp20100506"/>
              <w:rPr>
                <w:lang w:eastAsia="en-ZA"/>
              </w:rPr>
            </w:pPr>
          </w:p>
        </w:tc>
      </w:tr>
      <w:tr w:rsidR="00534C63" w:rsidRPr="00124B8E" w:rsidTr="00A8691C">
        <w:trPr>
          <w:trHeight w:val="300"/>
        </w:trPr>
        <w:tc>
          <w:tcPr>
            <w:tcW w:w="45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w:t>
            </w:r>
          </w:p>
        </w:tc>
        <w:tc>
          <w:tcPr>
            <w:tcW w:w="8640" w:type="dxa"/>
            <w:shd w:val="clear" w:color="auto" w:fill="F2F2F2" w:themeFill="background1" w:themeFillShade="F2"/>
            <w:noWrap/>
            <w:hideMark/>
          </w:tcPr>
          <w:p w:rsidR="00534C63" w:rsidRPr="00FD5BCE" w:rsidRDefault="00534C63" w:rsidP="00684B0F">
            <w:pPr>
              <w:pStyle w:val="whp20100506"/>
              <w:rPr>
                <w:lang w:eastAsia="en-ZA"/>
              </w:rPr>
            </w:pPr>
            <w:r w:rsidRPr="00FD5BCE">
              <w:rPr>
                <w:lang w:eastAsia="en-ZA"/>
              </w:rPr>
              <w:t>The tax burden on the corporate investor will be the corporate tax rate of 29% and a STC rate on net dividends paid of 10%</w:t>
            </w:r>
          </w:p>
          <w:p w:rsidR="00534C63" w:rsidRPr="00FD5BCE" w:rsidRDefault="00534C63" w:rsidP="00684B0F">
            <w:pPr>
              <w:pStyle w:val="whp20100506"/>
              <w:rPr>
                <w:lang w:eastAsia="en-ZA"/>
              </w:rPr>
            </w:pPr>
          </w:p>
        </w:tc>
      </w:tr>
      <w:tr w:rsidR="00534C63" w:rsidRPr="00124B8E" w:rsidTr="00A8691C">
        <w:trPr>
          <w:trHeight w:val="300"/>
        </w:trPr>
        <w:tc>
          <w:tcPr>
            <w:tcW w:w="450" w:type="dxa"/>
            <w:shd w:val="clear" w:color="auto" w:fill="F2F2F2" w:themeFill="background1" w:themeFillShade="F2"/>
            <w:noWrap/>
            <w:hideMark/>
          </w:tcPr>
          <w:p w:rsidR="00534C63" w:rsidRPr="00FD5BCE" w:rsidRDefault="00534C63" w:rsidP="00684B0F">
            <w:pPr>
              <w:pStyle w:val="whp20100506"/>
              <w:rPr>
                <w:lang w:eastAsia="en-ZA"/>
              </w:rPr>
            </w:pPr>
            <w:r w:rsidRPr="00FD5BCE">
              <w:rPr>
                <w:lang w:eastAsia="en-ZA"/>
              </w:rPr>
              <w:t>*</w:t>
            </w:r>
          </w:p>
        </w:tc>
        <w:tc>
          <w:tcPr>
            <w:tcW w:w="8640" w:type="dxa"/>
            <w:shd w:val="clear" w:color="auto" w:fill="F2F2F2" w:themeFill="background1" w:themeFillShade="F2"/>
            <w:noWrap/>
            <w:hideMark/>
          </w:tcPr>
          <w:p w:rsidR="00534C63" w:rsidRPr="00FD5BCE" w:rsidRDefault="00534C63" w:rsidP="00684B0F">
            <w:pPr>
              <w:pStyle w:val="whp20100506"/>
              <w:rPr>
                <w:lang w:eastAsia="en-ZA"/>
              </w:rPr>
            </w:pPr>
            <w:r w:rsidRPr="00FD5BCE">
              <w:rPr>
                <w:lang w:eastAsia="en-ZA"/>
              </w:rPr>
              <w:t>The income distributed to the investors will retains its nature as rental income</w:t>
            </w:r>
          </w:p>
          <w:p w:rsidR="00534C63" w:rsidRPr="00FD5BCE" w:rsidRDefault="00534C63" w:rsidP="00684B0F">
            <w:pPr>
              <w:pStyle w:val="whp20100506"/>
              <w:rPr>
                <w:lang w:eastAsia="en-ZA"/>
              </w:rPr>
            </w:pPr>
          </w:p>
        </w:tc>
      </w:tr>
    </w:tbl>
    <w:p w:rsidR="00534C63" w:rsidRDefault="00534C63" w:rsidP="00534C63">
      <w:pPr>
        <w:pStyle w:val="whp20100506"/>
      </w:pPr>
    </w:p>
    <w:tbl>
      <w:tblPr>
        <w:tblW w:w="9090" w:type="dxa"/>
        <w:tblInd w:w="108"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Look w:val="04A0"/>
      </w:tblPr>
      <w:tblGrid>
        <w:gridCol w:w="450"/>
        <w:gridCol w:w="8640"/>
      </w:tblGrid>
      <w:tr w:rsidR="00534C63" w:rsidRPr="00124B8E" w:rsidTr="00A8691C">
        <w:trPr>
          <w:trHeight w:val="300"/>
        </w:trPr>
        <w:tc>
          <w:tcPr>
            <w:tcW w:w="9090" w:type="dxa"/>
            <w:gridSpan w:val="2"/>
            <w:shd w:val="clear" w:color="auto" w:fill="F2F2F2" w:themeFill="background1" w:themeFillShade="F2"/>
            <w:noWrap/>
            <w:vAlign w:val="bottom"/>
            <w:hideMark/>
          </w:tcPr>
          <w:p w:rsidR="00534C63" w:rsidRPr="00206089" w:rsidRDefault="00534C63" w:rsidP="00684B0F">
            <w:pPr>
              <w:pStyle w:val="whp20100506"/>
              <w:rPr>
                <w:b/>
                <w:i/>
                <w:lang w:eastAsia="en-ZA"/>
              </w:rPr>
            </w:pPr>
            <w:r w:rsidRPr="00206089">
              <w:rPr>
                <w:b/>
                <w:i/>
                <w:lang w:eastAsia="en-ZA"/>
              </w:rPr>
              <w:t>National Treasury Proposal: Tax Implications of Capital Gains</w:t>
            </w:r>
          </w:p>
          <w:p w:rsidR="00534C63" w:rsidRPr="00124B8E" w:rsidRDefault="00534C63" w:rsidP="00684B0F">
            <w:pPr>
              <w:pStyle w:val="whp20100506"/>
              <w:rPr>
                <w:lang w:eastAsia="en-ZA"/>
              </w:rPr>
            </w:pPr>
          </w:p>
        </w:tc>
      </w:tr>
      <w:tr w:rsidR="00534C63" w:rsidRPr="00124B8E" w:rsidTr="00A8691C">
        <w:trPr>
          <w:trHeight w:val="300"/>
        </w:trPr>
        <w:tc>
          <w:tcPr>
            <w:tcW w:w="45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w:t>
            </w:r>
          </w:p>
        </w:tc>
        <w:tc>
          <w:tcPr>
            <w:tcW w:w="864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REIT may not distribute the proceeds of the sale of capital assets (i.e. capital gains) to their unit holders</w:t>
            </w:r>
          </w:p>
          <w:p w:rsidR="00534C63" w:rsidRPr="00124B8E" w:rsidRDefault="00534C63" w:rsidP="00684B0F">
            <w:pPr>
              <w:pStyle w:val="whp20100506"/>
              <w:rPr>
                <w:lang w:eastAsia="en-ZA"/>
              </w:rPr>
            </w:pPr>
          </w:p>
        </w:tc>
      </w:tr>
      <w:tr w:rsidR="00534C63" w:rsidRPr="00124B8E" w:rsidTr="00A8691C">
        <w:trPr>
          <w:trHeight w:val="300"/>
        </w:trPr>
        <w:tc>
          <w:tcPr>
            <w:tcW w:w="45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w:t>
            </w:r>
          </w:p>
        </w:tc>
        <w:tc>
          <w:tcPr>
            <w:tcW w:w="864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 xml:space="preserve">A REIT will be exempt from paying CGT as the tax on capital gains will rest with the </w:t>
            </w:r>
            <w:r w:rsidRPr="00124B8E">
              <w:rPr>
                <w:lang w:eastAsia="en-ZA"/>
              </w:rPr>
              <w:lastRenderedPageBreak/>
              <w:t>unit holder upon disposal of their units</w:t>
            </w:r>
          </w:p>
          <w:p w:rsidR="00534C63" w:rsidRPr="00124B8E" w:rsidRDefault="00534C63" w:rsidP="00684B0F">
            <w:pPr>
              <w:pStyle w:val="whp20100506"/>
              <w:rPr>
                <w:lang w:eastAsia="en-ZA"/>
              </w:rPr>
            </w:pPr>
            <w:r w:rsidRPr="00124B8E">
              <w:rPr>
                <w:lang w:eastAsia="en-ZA"/>
              </w:rPr>
              <w:t xml:space="preserve"> </w:t>
            </w:r>
          </w:p>
        </w:tc>
      </w:tr>
      <w:tr w:rsidR="00534C63" w:rsidRPr="00124B8E" w:rsidTr="00A8691C">
        <w:trPr>
          <w:trHeight w:val="300"/>
        </w:trPr>
        <w:tc>
          <w:tcPr>
            <w:tcW w:w="45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lastRenderedPageBreak/>
              <w:t>*</w:t>
            </w:r>
          </w:p>
        </w:tc>
        <w:tc>
          <w:tcPr>
            <w:tcW w:w="864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The 3 year capital gain rule applicable to shares will be extended to include REIT</w:t>
            </w:r>
          </w:p>
          <w:p w:rsidR="00534C63" w:rsidRPr="00124B8E" w:rsidRDefault="00534C63" w:rsidP="00684B0F">
            <w:pPr>
              <w:pStyle w:val="whp20100506"/>
              <w:rPr>
                <w:lang w:eastAsia="en-ZA"/>
              </w:rPr>
            </w:pPr>
            <w:r w:rsidRPr="00124B8E">
              <w:rPr>
                <w:lang w:eastAsia="en-ZA"/>
              </w:rPr>
              <w:t xml:space="preserve"> </w:t>
            </w:r>
          </w:p>
        </w:tc>
      </w:tr>
      <w:tr w:rsidR="00534C63" w:rsidRPr="00124B8E" w:rsidTr="00A8691C">
        <w:trPr>
          <w:trHeight w:val="300"/>
        </w:trPr>
        <w:tc>
          <w:tcPr>
            <w:tcW w:w="45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w:t>
            </w:r>
          </w:p>
        </w:tc>
        <w:tc>
          <w:tcPr>
            <w:tcW w:w="864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Amendments are to be made to the Income Tax Act to allow for all taxable gains on the sale of units in South Africa REIT by non residents to be subject to tax</w:t>
            </w:r>
          </w:p>
          <w:p w:rsidR="00534C63" w:rsidRPr="00124B8E" w:rsidRDefault="00534C63" w:rsidP="00684B0F">
            <w:pPr>
              <w:pStyle w:val="whp20100506"/>
              <w:rPr>
                <w:lang w:eastAsia="en-ZA"/>
              </w:rPr>
            </w:pPr>
          </w:p>
        </w:tc>
      </w:tr>
    </w:tbl>
    <w:p w:rsidR="00534C63" w:rsidRPr="001C30E4" w:rsidRDefault="00534C63" w:rsidP="00534C63">
      <w:pPr>
        <w:pStyle w:val="whp20100506"/>
      </w:pPr>
    </w:p>
    <w:p w:rsidR="00534C63" w:rsidRPr="001C30E4" w:rsidRDefault="00534C63" w:rsidP="00534C63">
      <w:pPr>
        <w:pStyle w:val="whp20100506"/>
      </w:pPr>
      <w:r w:rsidRPr="001C30E4">
        <w:t xml:space="preserve">The policy objectives of the National Treasury is not specifically stated under these sections in the Discussion Paper of 2007, however the central point of departure for the National Treasury is to address a fragmented and partially regulated market. </w:t>
      </w:r>
    </w:p>
    <w:p w:rsidR="00534C63" w:rsidRDefault="00534C63" w:rsidP="00534C63">
      <w:pPr>
        <w:pStyle w:val="whp20100506"/>
      </w:pPr>
    </w:p>
    <w:p w:rsidR="00361980" w:rsidRPr="00A678E2" w:rsidRDefault="00361980" w:rsidP="00534C63">
      <w:pPr>
        <w:pStyle w:val="whp20100506"/>
      </w:pPr>
      <w:r w:rsidRPr="00A678E2">
        <w:t>Factors that could jeopardise the National Treasury’s objectives include the unbundling process in the conversion process and the possibility of loss of shareholder value, which may require a tax free period or other appropriate incentives.</w:t>
      </w:r>
    </w:p>
    <w:p w:rsidR="00361980" w:rsidRPr="00A678E2" w:rsidRDefault="00361980" w:rsidP="00534C63">
      <w:pPr>
        <w:pStyle w:val="whp20100506"/>
      </w:pPr>
    </w:p>
    <w:p w:rsidR="00534C63" w:rsidRPr="001C30E4" w:rsidRDefault="00534C63" w:rsidP="00534C63">
      <w:pPr>
        <w:pStyle w:val="whp20100506"/>
      </w:pPr>
      <w:r w:rsidRPr="00A678E2">
        <w:t>The anomalies pointed out in Chapter</w:t>
      </w:r>
      <w:r w:rsidRPr="001C30E4">
        <w:t xml:space="preserve"> 3 summarise the concerns of the National Treasury and should be regarded as the basis of the policy objectives. The National Treasury makes specific references of the tax anomalies and alludes to the tax deferrals not applicable to CISPs (National Treasury 2007: 23) and the tax uncertainties in PLS companies specifically the controversial and contentious issue pertaining to the high debenture interest payments in PLS companies (National Treasury 2007: 24). </w:t>
      </w:r>
    </w:p>
    <w:p w:rsidR="00534C63" w:rsidRPr="001C30E4" w:rsidRDefault="00534C63" w:rsidP="00534C63">
      <w:pPr>
        <w:pStyle w:val="whp20100506"/>
      </w:pPr>
    </w:p>
    <w:p w:rsidR="00534C63" w:rsidRPr="001C30E4" w:rsidRDefault="00534C63" w:rsidP="00534C63">
      <w:pPr>
        <w:pStyle w:val="whp20100506"/>
      </w:pPr>
      <w:r w:rsidRPr="001C30E4">
        <w:t>These issues motivate a policy objective for a uniform regulatory regime applicable to all entities in the property investment sector.</w:t>
      </w:r>
    </w:p>
    <w:p w:rsidR="00534C63" w:rsidRPr="001C30E4" w:rsidRDefault="00534C63" w:rsidP="00534C63">
      <w:pPr>
        <w:pStyle w:val="whp20100506"/>
      </w:pPr>
    </w:p>
    <w:p w:rsidR="00534C63" w:rsidRPr="00181130" w:rsidRDefault="00534C63" w:rsidP="00534C63">
      <w:pPr>
        <w:pStyle w:val="whp20100506"/>
        <w:rPr>
          <w:b/>
          <w:i/>
        </w:rPr>
      </w:pPr>
      <w:r w:rsidRPr="00206089">
        <w:rPr>
          <w:b/>
          <w:i/>
          <w:u w:val="single"/>
        </w:rPr>
        <w:t>Comment 1:</w:t>
      </w:r>
      <w:r w:rsidRPr="00181130">
        <w:rPr>
          <w:b/>
          <w:i/>
        </w:rPr>
        <w:t xml:space="preserve"> All income not distributed must be taxed in the hands of the REIT</w:t>
      </w:r>
    </w:p>
    <w:p w:rsidR="00534C63" w:rsidRDefault="00534C63" w:rsidP="00534C63">
      <w:pPr>
        <w:pStyle w:val="whp20100506"/>
        <w:rPr>
          <w:noProof/>
        </w:rPr>
      </w:pPr>
    </w:p>
    <w:p w:rsidR="00534C63" w:rsidRDefault="00534C63" w:rsidP="00534C63">
      <w:pPr>
        <w:pStyle w:val="whp20100506"/>
      </w:pPr>
      <w:r w:rsidRPr="0090579E">
        <w:t>Mr John Rainier from Standard Bank says that in his view all proceeds from the disposal of an asset should be reinvested as the REIT is a long term investment vehicle and as such one must retain the long term view of creating value over time for the investors (Questionnaire, 2010, May). He adds that if the proceeds were to be distributed, it would be deemed a capital reduction and a consequential loss of value to the investor.</w:t>
      </w:r>
    </w:p>
    <w:p w:rsidR="00534C63" w:rsidRDefault="00534C63" w:rsidP="00534C63">
      <w:pPr>
        <w:pStyle w:val="whp20100506"/>
      </w:pPr>
    </w:p>
    <w:p w:rsidR="00534C63" w:rsidRDefault="00534C63" w:rsidP="00534C63">
      <w:pPr>
        <w:pStyle w:val="whp20100506"/>
      </w:pPr>
      <w:r>
        <w:lastRenderedPageBreak/>
        <w:t xml:space="preserve">The National Treasury’s reply to the comments pertaining to the above reflects earlier sentiments of an all or nothing approach in </w:t>
      </w:r>
      <w:r w:rsidR="00194F2A">
        <w:t>REITS</w:t>
      </w:r>
      <w:r>
        <w:t xml:space="preserve">. This means that the National Treasury does not want to endorse a dual system such as the hybrid system adopted in international REIT countries. A hybrid system in South Africa would require a REIT to be part income tax exempt and a part income taxable REIT </w:t>
      </w:r>
    </w:p>
    <w:p w:rsidR="00694F60" w:rsidRDefault="00694F60" w:rsidP="00534C63">
      <w:pPr>
        <w:pStyle w:val="whp20100506"/>
        <w:rPr>
          <w:b/>
        </w:rPr>
      </w:pPr>
    </w:p>
    <w:p w:rsidR="00534C63" w:rsidRPr="00694F60" w:rsidRDefault="00534C63" w:rsidP="00534C63">
      <w:pPr>
        <w:pStyle w:val="whp20100506"/>
        <w:rPr>
          <w:i/>
        </w:rPr>
      </w:pPr>
      <w:r w:rsidRPr="00694F60">
        <w:rPr>
          <w:b/>
          <w:i/>
        </w:rPr>
        <w:t>Conclusion</w:t>
      </w:r>
    </w:p>
    <w:p w:rsidR="00534C63" w:rsidRDefault="00534C63" w:rsidP="00534C63">
      <w:pPr>
        <w:pStyle w:val="whp20100506"/>
        <w:rPr>
          <w:b/>
          <w:i/>
          <w:u w:val="single"/>
        </w:rPr>
      </w:pPr>
    </w:p>
    <w:p w:rsidR="00534C63" w:rsidRDefault="00534C63" w:rsidP="00534C63">
      <w:pPr>
        <w:pStyle w:val="whp20100506"/>
      </w:pPr>
      <w:r>
        <w:t xml:space="preserve">The National Treasury’s approach to streamline the implementation of </w:t>
      </w:r>
      <w:r w:rsidR="00194F2A">
        <w:t>REITS</w:t>
      </w:r>
      <w:r>
        <w:t xml:space="preserve"> without a dual hybrid system is the correct approach for now. A dual hybrid system would perhaps complicate the operation of </w:t>
      </w:r>
      <w:r w:rsidR="00194F2A">
        <w:t>REITS</w:t>
      </w:r>
      <w:r>
        <w:t xml:space="preserve"> when initially adopted in South Africa. </w:t>
      </w:r>
    </w:p>
    <w:p w:rsidR="00534C63" w:rsidRDefault="00534C63" w:rsidP="00534C63">
      <w:pPr>
        <w:pStyle w:val="whp20100506"/>
      </w:pPr>
    </w:p>
    <w:p w:rsidR="00534C63" w:rsidRPr="00D13FDF" w:rsidRDefault="00534C63" w:rsidP="00534C63">
      <w:pPr>
        <w:pStyle w:val="whp20100506"/>
      </w:pPr>
      <w:r>
        <w:t xml:space="preserve">Whilst the hybrid system is widely used in the USA, it could be phased in or introduced over time once the </w:t>
      </w:r>
      <w:r w:rsidR="00194F2A">
        <w:t>REITS</w:t>
      </w:r>
      <w:r>
        <w:t xml:space="preserve"> market evolves and matures in South Africa. </w:t>
      </w:r>
    </w:p>
    <w:p w:rsidR="00534C63" w:rsidRDefault="00534C63" w:rsidP="00534C63">
      <w:pPr>
        <w:pStyle w:val="whp20100506"/>
        <w:rPr>
          <w:b/>
          <w:i/>
          <w:u w:val="single"/>
        </w:rPr>
      </w:pPr>
    </w:p>
    <w:p w:rsidR="00534C63" w:rsidRPr="00181130" w:rsidRDefault="00534C63" w:rsidP="00534C63">
      <w:pPr>
        <w:pStyle w:val="whp20100506"/>
        <w:rPr>
          <w:b/>
          <w:i/>
        </w:rPr>
      </w:pPr>
      <w:r w:rsidRPr="00206089">
        <w:rPr>
          <w:b/>
          <w:i/>
          <w:u w:val="single"/>
        </w:rPr>
        <w:t>Comment 2:</w:t>
      </w:r>
      <w:r w:rsidRPr="00181130">
        <w:rPr>
          <w:b/>
          <w:i/>
        </w:rPr>
        <w:t xml:space="preserve"> How will Expenses be allocated in relation to the sources of income?</w:t>
      </w:r>
    </w:p>
    <w:p w:rsidR="00534C63" w:rsidRPr="0090579E" w:rsidRDefault="00534C63" w:rsidP="00534C63">
      <w:pPr>
        <w:pStyle w:val="whp20100506"/>
      </w:pPr>
    </w:p>
    <w:p w:rsidR="00534C63" w:rsidRPr="0090579E" w:rsidRDefault="00534C63" w:rsidP="00534C63">
      <w:pPr>
        <w:pStyle w:val="whp20100506"/>
      </w:pPr>
      <w:r w:rsidRPr="0090579E">
        <w:t xml:space="preserve">In terms of the provision stipulating that revenue will retain its characteristics i.e. revenue earned from a property investment as rental income will be paid to the investor as rental income, the query from local industry pertained to how expenses incurred in the course of the business will be allocated relative to the sources of income generated (National Treasury 2008:12). </w:t>
      </w:r>
    </w:p>
    <w:p w:rsidR="00534C63" w:rsidRPr="0090579E" w:rsidRDefault="00534C63" w:rsidP="00534C63">
      <w:pPr>
        <w:pStyle w:val="whp20100506"/>
      </w:pPr>
    </w:p>
    <w:p w:rsidR="00534C63" w:rsidRDefault="00534C63" w:rsidP="00534C63">
      <w:pPr>
        <w:pStyle w:val="whp20100506"/>
      </w:pPr>
      <w:r w:rsidRPr="0090579E">
        <w:t xml:space="preserve">The National Treasury stated in their Response Document that it would be prudent to allow for a simple and straight forward regime whereby the rules can be applied with ease. Their recommendations stated that expenses should follow the rule that it must be allocated to the income to which it relates to directly. </w:t>
      </w:r>
    </w:p>
    <w:p w:rsidR="00534C63" w:rsidRDefault="00534C63" w:rsidP="00534C63">
      <w:pPr>
        <w:pStyle w:val="whp20100506"/>
      </w:pPr>
    </w:p>
    <w:p w:rsidR="00534C63" w:rsidRPr="007A7376" w:rsidRDefault="00534C63" w:rsidP="00534C63">
      <w:pPr>
        <w:pStyle w:val="whp20100506"/>
      </w:pPr>
      <w:r w:rsidRPr="0090579E">
        <w:t xml:space="preserve">In the event that there are 2 or more sources of that the expense relates to, the National Treasury does not favour an apportionment of expenses therefore it must be allocated to the source that it mainly relates to. As a default mechanism, should the expense not relate to any particular source then it </w:t>
      </w:r>
      <w:r w:rsidRPr="007A7376">
        <w:t>must be allocated to rental income (National Treasury, 2008: 14).</w:t>
      </w:r>
    </w:p>
    <w:p w:rsidR="00534C63" w:rsidRDefault="00534C63" w:rsidP="00534C63">
      <w:pPr>
        <w:pStyle w:val="whp20100506"/>
        <w:ind w:left="720"/>
      </w:pPr>
    </w:p>
    <w:p w:rsidR="00CD064E" w:rsidRPr="007A7376" w:rsidRDefault="00CD064E" w:rsidP="00534C63">
      <w:pPr>
        <w:pStyle w:val="whp20100506"/>
        <w:ind w:left="720"/>
      </w:pPr>
    </w:p>
    <w:p w:rsidR="00534C63" w:rsidRPr="007A7376" w:rsidRDefault="00534C63" w:rsidP="00534C63">
      <w:pPr>
        <w:pStyle w:val="whp20100506"/>
        <w:rPr>
          <w:b/>
          <w:i/>
        </w:rPr>
      </w:pPr>
      <w:r w:rsidRPr="007A7376">
        <w:rPr>
          <w:b/>
          <w:i/>
        </w:rPr>
        <w:lastRenderedPageBreak/>
        <w:t>Conclusion</w:t>
      </w:r>
    </w:p>
    <w:p w:rsidR="00534C63" w:rsidRPr="007A7376" w:rsidRDefault="00534C63" w:rsidP="00534C63">
      <w:pPr>
        <w:pStyle w:val="whp20100506"/>
      </w:pPr>
    </w:p>
    <w:p w:rsidR="00534C63" w:rsidRDefault="00534C63" w:rsidP="00534C63">
      <w:pPr>
        <w:pStyle w:val="whp20100506"/>
        <w:rPr>
          <w:b/>
        </w:rPr>
      </w:pPr>
      <w:r w:rsidRPr="007A7376">
        <w:t>The sentiments expressed by the National Treasury as above appear to be in order.</w:t>
      </w:r>
      <w:r w:rsidRPr="007A7376">
        <w:br w:type="page"/>
      </w:r>
    </w:p>
    <w:p w:rsidR="00534C63" w:rsidRDefault="00534C63" w:rsidP="00386CAB">
      <w:pPr>
        <w:pStyle w:val="whp20100506"/>
        <w:numPr>
          <w:ilvl w:val="1"/>
          <w:numId w:val="37"/>
        </w:numPr>
        <w:tabs>
          <w:tab w:val="left" w:pos="360"/>
        </w:tabs>
        <w:ind w:left="90" w:hanging="90"/>
        <w:rPr>
          <w:b/>
        </w:rPr>
      </w:pPr>
      <w:r>
        <w:rPr>
          <w:b/>
        </w:rPr>
        <w:lastRenderedPageBreak/>
        <w:t xml:space="preserve">TAX IMPLICATIONS OF CONVERTING TO </w:t>
      </w:r>
      <w:r w:rsidR="00194F2A">
        <w:rPr>
          <w:b/>
        </w:rPr>
        <w:t>REITS</w:t>
      </w:r>
    </w:p>
    <w:p w:rsidR="00534C63" w:rsidRPr="000857A3" w:rsidRDefault="00534C63" w:rsidP="00534C63">
      <w:pPr>
        <w:pStyle w:val="whp20100506"/>
        <w:ind w:left="720"/>
      </w:pPr>
    </w:p>
    <w:tbl>
      <w:tblPr>
        <w:tblW w:w="8910" w:type="dxa"/>
        <w:tblInd w:w="108"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Look w:val="04A0"/>
      </w:tblPr>
      <w:tblGrid>
        <w:gridCol w:w="450"/>
        <w:gridCol w:w="8460"/>
      </w:tblGrid>
      <w:tr w:rsidR="00534C63" w:rsidRPr="00E67127" w:rsidTr="00A8691C">
        <w:trPr>
          <w:trHeight w:val="300"/>
        </w:trPr>
        <w:tc>
          <w:tcPr>
            <w:tcW w:w="8910" w:type="dxa"/>
            <w:gridSpan w:val="2"/>
            <w:shd w:val="clear" w:color="auto" w:fill="F2F2F2" w:themeFill="background1" w:themeFillShade="F2"/>
            <w:noWrap/>
            <w:vAlign w:val="bottom"/>
            <w:hideMark/>
          </w:tcPr>
          <w:p w:rsidR="00534C63" w:rsidRPr="00206089" w:rsidRDefault="00534C63" w:rsidP="00684B0F">
            <w:pPr>
              <w:pStyle w:val="whp20100506"/>
              <w:rPr>
                <w:b/>
                <w:i/>
                <w:lang w:eastAsia="en-ZA"/>
              </w:rPr>
            </w:pPr>
            <w:r w:rsidRPr="00206089">
              <w:rPr>
                <w:b/>
                <w:i/>
                <w:lang w:eastAsia="en-ZA"/>
              </w:rPr>
              <w:t>National Treasury Proposal: Conversion Tax</w:t>
            </w:r>
          </w:p>
          <w:p w:rsidR="00534C63" w:rsidRPr="00E67127" w:rsidRDefault="00534C63" w:rsidP="00684B0F">
            <w:pPr>
              <w:pStyle w:val="whp20100506"/>
              <w:rPr>
                <w:b/>
                <w:lang w:eastAsia="en-ZA"/>
              </w:rPr>
            </w:pPr>
          </w:p>
        </w:tc>
      </w:tr>
      <w:tr w:rsidR="00534C63" w:rsidRPr="00124B8E" w:rsidTr="00A8691C">
        <w:trPr>
          <w:trHeight w:val="300"/>
        </w:trPr>
        <w:tc>
          <w:tcPr>
            <w:tcW w:w="45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w:t>
            </w:r>
          </w:p>
        </w:tc>
        <w:tc>
          <w:tcPr>
            <w:tcW w:w="846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 xml:space="preserve">The conversion to adopt REIT will be tax free </w:t>
            </w:r>
          </w:p>
          <w:p w:rsidR="00534C63" w:rsidRPr="00124B8E" w:rsidRDefault="00534C63" w:rsidP="00684B0F">
            <w:pPr>
              <w:pStyle w:val="whp20100506"/>
              <w:rPr>
                <w:lang w:eastAsia="en-ZA"/>
              </w:rPr>
            </w:pPr>
          </w:p>
        </w:tc>
      </w:tr>
      <w:tr w:rsidR="00534C63" w:rsidRPr="00124B8E" w:rsidTr="00A8691C">
        <w:trPr>
          <w:trHeight w:val="300"/>
        </w:trPr>
        <w:tc>
          <w:tcPr>
            <w:tcW w:w="45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w:t>
            </w:r>
          </w:p>
        </w:tc>
        <w:tc>
          <w:tcPr>
            <w:tcW w:w="846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An entry tax / levy may be considered</w:t>
            </w:r>
          </w:p>
          <w:p w:rsidR="00534C63" w:rsidRPr="00124B8E" w:rsidRDefault="00534C63" w:rsidP="00684B0F">
            <w:pPr>
              <w:pStyle w:val="whp20100506"/>
              <w:rPr>
                <w:lang w:eastAsia="en-ZA"/>
              </w:rPr>
            </w:pPr>
          </w:p>
        </w:tc>
      </w:tr>
      <w:tr w:rsidR="00534C63" w:rsidRPr="00124B8E" w:rsidTr="00A8691C">
        <w:trPr>
          <w:trHeight w:val="300"/>
        </w:trPr>
        <w:tc>
          <w:tcPr>
            <w:tcW w:w="45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w:t>
            </w:r>
          </w:p>
        </w:tc>
        <w:tc>
          <w:tcPr>
            <w:tcW w:w="846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PUTs are deemed to be REIT therefore no conversion is required which would trigger a tax event</w:t>
            </w:r>
          </w:p>
          <w:p w:rsidR="00534C63" w:rsidRPr="00124B8E" w:rsidRDefault="00534C63" w:rsidP="00684B0F">
            <w:pPr>
              <w:pStyle w:val="whp20100506"/>
              <w:rPr>
                <w:lang w:eastAsia="en-ZA"/>
              </w:rPr>
            </w:pPr>
          </w:p>
        </w:tc>
      </w:tr>
      <w:tr w:rsidR="00534C63" w:rsidRPr="00124B8E" w:rsidTr="00A8691C">
        <w:trPr>
          <w:trHeight w:val="300"/>
        </w:trPr>
        <w:tc>
          <w:tcPr>
            <w:tcW w:w="45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w:t>
            </w:r>
          </w:p>
        </w:tc>
        <w:tc>
          <w:tcPr>
            <w:tcW w:w="846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 xml:space="preserve">PLS companies that convert to REIT will also not trigger any CGT events </w:t>
            </w:r>
          </w:p>
          <w:p w:rsidR="00534C63" w:rsidRPr="00124B8E" w:rsidRDefault="00534C63" w:rsidP="00684B0F">
            <w:pPr>
              <w:pStyle w:val="whp20100506"/>
              <w:rPr>
                <w:lang w:eastAsia="en-ZA"/>
              </w:rPr>
            </w:pPr>
          </w:p>
        </w:tc>
      </w:tr>
      <w:tr w:rsidR="00534C63" w:rsidRPr="00124B8E" w:rsidTr="00A8691C">
        <w:trPr>
          <w:trHeight w:val="300"/>
        </w:trPr>
        <w:tc>
          <w:tcPr>
            <w:tcW w:w="45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w:t>
            </w:r>
          </w:p>
        </w:tc>
        <w:tc>
          <w:tcPr>
            <w:tcW w:w="8460" w:type="dxa"/>
            <w:shd w:val="clear" w:color="auto" w:fill="F2F2F2" w:themeFill="background1" w:themeFillShade="F2"/>
            <w:noWrap/>
            <w:hideMark/>
          </w:tcPr>
          <w:p w:rsidR="00534C63" w:rsidRPr="00124B8E" w:rsidRDefault="00534C63" w:rsidP="00684B0F">
            <w:pPr>
              <w:pStyle w:val="whp20100506"/>
              <w:rPr>
                <w:lang w:eastAsia="en-ZA"/>
              </w:rPr>
            </w:pPr>
            <w:r w:rsidRPr="00124B8E">
              <w:rPr>
                <w:lang w:eastAsia="en-ZA"/>
              </w:rPr>
              <w:t>Investors in PLS and PUTs will swap their existing participatory interests or linked units for property units. The swap will be tax free on condition the costs and original acquisition dates of the old investment is retain and becomes applicable to the new investment</w:t>
            </w:r>
          </w:p>
          <w:p w:rsidR="00534C63" w:rsidRPr="00124B8E" w:rsidRDefault="00534C63" w:rsidP="00684B0F">
            <w:pPr>
              <w:pStyle w:val="whp20100506"/>
              <w:rPr>
                <w:lang w:eastAsia="en-ZA"/>
              </w:rPr>
            </w:pPr>
          </w:p>
        </w:tc>
      </w:tr>
    </w:tbl>
    <w:p w:rsidR="00534C63" w:rsidRDefault="00534C63" w:rsidP="00534C63">
      <w:pPr>
        <w:pStyle w:val="whp20100506"/>
        <w:rPr>
          <w:highlight w:val="yellow"/>
        </w:rPr>
      </w:pPr>
    </w:p>
    <w:p w:rsidR="00534C63" w:rsidRPr="00EC67CA" w:rsidRDefault="00534C63" w:rsidP="00534C63">
      <w:pPr>
        <w:pStyle w:val="whp20100506"/>
        <w:rPr>
          <w:color w:val="FF0000"/>
        </w:rPr>
      </w:pPr>
      <w:r w:rsidRPr="0090579E">
        <w:t xml:space="preserve">In an interview with the National Treasury, it was indicated that the conversion tax to </w:t>
      </w:r>
      <w:r w:rsidR="00194F2A">
        <w:t>REITS</w:t>
      </w:r>
      <w:r w:rsidRPr="0090579E">
        <w:t xml:space="preserve"> posed a significant threat to the timeous adoption of REIT in South Africa. What is more, the motivation for the tax is also based on a threat to government of a loss of income (Interview with Katherine Gibson</w:t>
      </w:r>
      <w:r>
        <w:t>).</w:t>
      </w:r>
    </w:p>
    <w:p w:rsidR="00534C63" w:rsidRDefault="00534C63" w:rsidP="00534C63">
      <w:pPr>
        <w:pStyle w:val="whp20100506"/>
        <w:ind w:left="720"/>
      </w:pPr>
    </w:p>
    <w:p w:rsidR="00534C63" w:rsidRPr="00AE4B8B" w:rsidRDefault="00534C63" w:rsidP="00534C63">
      <w:pPr>
        <w:pStyle w:val="whp20100506"/>
        <w:tabs>
          <w:tab w:val="left" w:pos="720"/>
        </w:tabs>
        <w:rPr>
          <w:b/>
          <w:i/>
        </w:rPr>
      </w:pPr>
      <w:r w:rsidRPr="00206089">
        <w:rPr>
          <w:b/>
          <w:i/>
          <w:u w:val="single"/>
        </w:rPr>
        <w:t>Comment 1:</w:t>
      </w:r>
      <w:r w:rsidRPr="00AE4B8B">
        <w:rPr>
          <w:b/>
          <w:i/>
        </w:rPr>
        <w:t xml:space="preserve"> Greater Clarity on the Tax Dispensation is required</w:t>
      </w:r>
    </w:p>
    <w:p w:rsidR="00534C63" w:rsidRDefault="00534C63" w:rsidP="00534C63">
      <w:pPr>
        <w:pStyle w:val="whp20100506"/>
        <w:tabs>
          <w:tab w:val="left" w:pos="720"/>
        </w:tabs>
        <w:ind w:left="720"/>
      </w:pPr>
    </w:p>
    <w:p w:rsidR="00534C63" w:rsidRPr="0090579E" w:rsidRDefault="00534C63" w:rsidP="00534C63">
      <w:pPr>
        <w:pStyle w:val="whp20100506"/>
      </w:pPr>
      <w:r w:rsidRPr="0090579E">
        <w:t xml:space="preserve">The local industry has required the National Treasury to clarify the situation pertaining to the tax implication in the REIT conversion process. The participants within the CISP and PLS sectors are particularly concerned regarded the financial implications of adopting </w:t>
      </w:r>
      <w:r w:rsidR="00194F2A">
        <w:t>REITS</w:t>
      </w:r>
      <w:r w:rsidRPr="0090579E">
        <w:t xml:space="preserve"> not only in the application process for REIT status, but also the tax ramifications of converting their current structures within the sector in particular to Fixed Property Companies. </w:t>
      </w:r>
    </w:p>
    <w:p w:rsidR="00534C63" w:rsidRPr="0090579E" w:rsidRDefault="00534C63" w:rsidP="00534C63">
      <w:pPr>
        <w:pStyle w:val="whp20100506"/>
      </w:pPr>
    </w:p>
    <w:p w:rsidR="00534C63" w:rsidRPr="0090579E" w:rsidRDefault="00534C63" w:rsidP="00534C63">
      <w:pPr>
        <w:pStyle w:val="whp20100506"/>
      </w:pPr>
      <w:r w:rsidRPr="0090579E">
        <w:t xml:space="preserve">The comments received from the local industry requested the National Treasury to consider roll-over relief for all taxes payable in order to ease the burden of paying any taxes. They also </w:t>
      </w:r>
      <w:r w:rsidRPr="0090579E">
        <w:lastRenderedPageBreak/>
        <w:t>requested that the transfer of properties out of existing structures be included in the tax-free conversion phase. Lastly, it was recommended that CISPs be excluded from paying any entry tax.</w:t>
      </w:r>
    </w:p>
    <w:p w:rsidR="00534C63" w:rsidRPr="0090579E" w:rsidRDefault="00534C63" w:rsidP="00534C63">
      <w:pPr>
        <w:pStyle w:val="whp20100506"/>
      </w:pPr>
    </w:p>
    <w:p w:rsidR="00534C63" w:rsidRPr="0090579E" w:rsidRDefault="00534C63" w:rsidP="00534C63">
      <w:pPr>
        <w:pStyle w:val="whp20100506"/>
      </w:pPr>
      <w:r w:rsidRPr="0090579E">
        <w:t xml:space="preserve">Mr Craig Hallowes from Pangbourne Properties feels that </w:t>
      </w:r>
      <w:r w:rsidR="00194F2A">
        <w:t>REITS</w:t>
      </w:r>
      <w:r w:rsidRPr="0090579E">
        <w:t xml:space="preserve"> should be promoted as the new dispensation in South Africa and therefore as an incentive and encouragement to speed up the conversion process, there should be as few restrictions as possible, including a zero cost implication of becoming a REIT (Questionnaire, 2010, May). He also feels that the National Treasury should make allowances for unlisted and incubator funds. As far unlisted REIT funds, Mr Hallowes says that there should be a mechanism to allow for these funds to list in time and that a window or holiday period created to cater for these categories of REIT in the SA environment. He adds that the National Treasury could impose broader financial services legislation to these forms of </w:t>
      </w:r>
      <w:r w:rsidR="00194F2A">
        <w:t>REITS</w:t>
      </w:r>
      <w:r w:rsidRPr="0090579E">
        <w:t xml:space="preserve"> if need be but that there is definitely a need to provide for them.</w:t>
      </w:r>
    </w:p>
    <w:p w:rsidR="00534C63" w:rsidRPr="0090579E" w:rsidRDefault="00534C63" w:rsidP="00534C63">
      <w:pPr>
        <w:pStyle w:val="whp20100506"/>
      </w:pPr>
    </w:p>
    <w:p w:rsidR="00534C63" w:rsidRPr="0090579E" w:rsidRDefault="00534C63" w:rsidP="00534C63">
      <w:pPr>
        <w:pStyle w:val="whp20100506"/>
      </w:pPr>
      <w:r w:rsidRPr="0090579E">
        <w:t xml:space="preserve">Vuyani Bekwa from Investec says that the international market already deems CISPs for all intents and purposes to have the characteristics of a REIT, and therefore should not be subject to any form of conversion tax (questionnaire, 2008, May). Should a tax be levied on CISPs, there may be a loss of credibility in the international market. He adds further that should the tax only be levied on the PLS sector (and not the CISP sector), it may unfairly prejudice the PLS sector in a share price adjustment which will create an uneven playing field between the two sectors. What is more he feels that CISPs did not pay any form of tax penalty or fee when CISPs were allowed to collapse their structures in order to hold property directly. For these reasons he feels that no tax or levy should be charged for the conversion of existing entities to </w:t>
      </w:r>
      <w:r w:rsidR="00194F2A">
        <w:t>REITS</w:t>
      </w:r>
      <w:r w:rsidRPr="0090579E">
        <w:t>.</w:t>
      </w:r>
    </w:p>
    <w:p w:rsidR="00534C63" w:rsidRDefault="00534C63" w:rsidP="00534C63">
      <w:pPr>
        <w:pStyle w:val="whp20100506"/>
        <w:tabs>
          <w:tab w:val="left" w:pos="720"/>
        </w:tabs>
        <w:ind w:left="720"/>
      </w:pPr>
    </w:p>
    <w:p w:rsidR="00534C63" w:rsidRDefault="00534C63" w:rsidP="00534C63">
      <w:pPr>
        <w:pStyle w:val="whp20100506"/>
        <w:tabs>
          <w:tab w:val="left" w:pos="720"/>
        </w:tabs>
      </w:pPr>
      <w:r>
        <w:t xml:space="preserve">The Response Document from the National Treasury highlights the current challenges facing </w:t>
      </w:r>
      <w:r w:rsidR="00194F2A">
        <w:t>REITS</w:t>
      </w:r>
      <w:r>
        <w:t xml:space="preserve"> which is essentially addressing the issue regarding a conversion tax as a set off to the deferred tax liabilities in the existing listed property sector. </w:t>
      </w:r>
    </w:p>
    <w:p w:rsidR="00534C63" w:rsidRPr="007A7376" w:rsidRDefault="00534C63" w:rsidP="00534C63">
      <w:pPr>
        <w:pStyle w:val="whp20100506"/>
        <w:tabs>
          <w:tab w:val="left" w:pos="720"/>
        </w:tabs>
        <w:ind w:left="720"/>
      </w:pPr>
    </w:p>
    <w:p w:rsidR="00534C63" w:rsidRPr="007A7376" w:rsidRDefault="00534C63" w:rsidP="00534C63">
      <w:pPr>
        <w:pStyle w:val="whp20100506"/>
        <w:tabs>
          <w:tab w:val="left" w:pos="720"/>
        </w:tabs>
        <w:rPr>
          <w:i/>
        </w:rPr>
      </w:pPr>
      <w:r w:rsidRPr="007A7376">
        <w:t>According to the website Accountancy South Africa, the definition of deferred tax is one that:</w:t>
      </w:r>
      <w:r w:rsidRPr="007A7376">
        <w:rPr>
          <w:rFonts w:ascii="Verdana" w:hAnsi="Verdana" w:cs="Arial"/>
          <w:sz w:val="16"/>
          <w:szCs w:val="16"/>
        </w:rPr>
        <w:t xml:space="preserve"> </w:t>
      </w:r>
      <w:r>
        <w:rPr>
          <w:rFonts w:ascii="Verdana" w:hAnsi="Verdana" w:cs="Arial"/>
          <w:sz w:val="16"/>
          <w:szCs w:val="16"/>
        </w:rPr>
        <w:t>“</w:t>
      </w:r>
      <w:r w:rsidRPr="007A7376">
        <w:rPr>
          <w:i/>
        </w:rPr>
        <w:t xml:space="preserve">arises due to temporary differences, which are differences between the carrying amount of an asset or liability in the balance sheet and its tax base. With non-current assets held for sale it is clear from the above that the carrying amount might change due to the measurement </w:t>
      </w:r>
      <w:r w:rsidRPr="007A7376">
        <w:rPr>
          <w:i/>
        </w:rPr>
        <w:lastRenderedPageBreak/>
        <w:t>under IFRS 5 (AC 142), with a resultant change in the amount of deferred tax</w:t>
      </w:r>
      <w:r>
        <w:rPr>
          <w:i/>
        </w:rPr>
        <w:t>”</w:t>
      </w:r>
      <w:r w:rsidRPr="007A7376">
        <w:rPr>
          <w:i/>
        </w:rPr>
        <w:t>.</w:t>
      </w:r>
    </w:p>
    <w:p w:rsidR="00534C63" w:rsidRPr="0090579E" w:rsidRDefault="00534C63" w:rsidP="00534C63">
      <w:pPr>
        <w:pStyle w:val="whp20100506"/>
      </w:pPr>
    </w:p>
    <w:p w:rsidR="00534C63" w:rsidRPr="0090579E" w:rsidRDefault="00534C63" w:rsidP="00534C63">
      <w:pPr>
        <w:pStyle w:val="whp20100506"/>
      </w:pPr>
      <w:r w:rsidRPr="0090579E">
        <w:t xml:space="preserve">Naturally the National Treasury realises the sensitivities surrounding the requirement of a conversion tax however it rightfully points out that in the existing structures of the listed sector, there are enormous deferred tax liabilities that need to be paid to SARS at some point in the future (interview with Katherine Gibson, 2009). The conversion to </w:t>
      </w:r>
      <w:r w:rsidR="00194F2A">
        <w:t>REITS</w:t>
      </w:r>
      <w:r w:rsidRPr="0090579E">
        <w:t xml:space="preserve"> therefore cannot entail the abandonment of these obligations that these taxable entities would have had to honour in the future, and thus some degree of recoupment must be made to SARS during the conversion process. </w:t>
      </w:r>
    </w:p>
    <w:p w:rsidR="00534C63" w:rsidRPr="0090579E" w:rsidRDefault="00534C63" w:rsidP="00534C63">
      <w:pPr>
        <w:pStyle w:val="whp20100506"/>
      </w:pPr>
    </w:p>
    <w:p w:rsidR="00534C63" w:rsidRPr="0090579E" w:rsidRDefault="00534C63" w:rsidP="00534C63">
      <w:pPr>
        <w:pStyle w:val="whp20100506"/>
      </w:pPr>
      <w:r w:rsidRPr="0090579E">
        <w:t xml:space="preserve">The reluctance by local industry to embrace the proposals is due to the fact that the National Treasury has yet to quantify the exact value of the deferred tax liabilities due to SARS along with the defined timelines proposed in paying these liabilities. Due to the fact that CISPs already conform to the majority of the </w:t>
      </w:r>
      <w:r w:rsidR="00194F2A">
        <w:t>REITS</w:t>
      </w:r>
      <w:r w:rsidRPr="0090579E">
        <w:t xml:space="preserve"> characteristics, it will in all likelihood receive an exemption from paying any conversion tax or alternatively a small notional fee. The PLS sector stands to be effected the most in terms of adopting </w:t>
      </w:r>
      <w:r w:rsidR="00194F2A">
        <w:t>REITS</w:t>
      </w:r>
      <w:r w:rsidRPr="0090579E">
        <w:t xml:space="preserve"> and because of the aforementioned uncertainty has not embraced the adoption of </w:t>
      </w:r>
      <w:r w:rsidR="00194F2A">
        <w:t>REITS</w:t>
      </w:r>
      <w:r w:rsidRPr="0090579E">
        <w:t xml:space="preserve"> with enthusiasm.  </w:t>
      </w:r>
    </w:p>
    <w:p w:rsidR="00534C63" w:rsidRPr="0090579E" w:rsidRDefault="00534C63" w:rsidP="00534C63">
      <w:pPr>
        <w:pStyle w:val="whp20100506"/>
      </w:pPr>
    </w:p>
    <w:p w:rsidR="00534C63" w:rsidRPr="0090579E" w:rsidRDefault="00534C63" w:rsidP="00534C63">
      <w:pPr>
        <w:pStyle w:val="whp20100506"/>
      </w:pPr>
      <w:r w:rsidRPr="0090579E">
        <w:t xml:space="preserve">Zayd Sulaiman from Catalyst Asset Management goes so far as to suggest that the National Treasury should consider a separate REIT fund to cater for existing companies with substantial property portfolio (questionnaire 2010 May). He feels that the current liquidity levels and size of the listed sector are relatively low justifying a different treatment to newer </w:t>
      </w:r>
      <w:r w:rsidR="00194F2A">
        <w:t>REITS</w:t>
      </w:r>
      <w:r w:rsidRPr="0090579E">
        <w:t xml:space="preserve">, and therefore should be dealt with separately with specific regulations for its capital gain tax flows with a window period for their specific conversion to REIT. </w:t>
      </w:r>
    </w:p>
    <w:p w:rsidR="00534C63" w:rsidRPr="0090579E" w:rsidRDefault="00534C63" w:rsidP="00534C63">
      <w:pPr>
        <w:pStyle w:val="whp20100506"/>
      </w:pPr>
    </w:p>
    <w:p w:rsidR="00534C63" w:rsidRPr="0090579E" w:rsidRDefault="00534C63" w:rsidP="00534C63">
      <w:pPr>
        <w:pStyle w:val="whp20100506"/>
      </w:pPr>
      <w:r w:rsidRPr="0090579E">
        <w:t>Java Capital motivated a number of scenarios to the National Treasury including the creation</w:t>
      </w:r>
      <w:r>
        <w:t xml:space="preserve"> of a window period for listed and </w:t>
      </w:r>
      <w:r w:rsidRPr="007A7376">
        <w:t xml:space="preserve">unlisted property companies to convert to </w:t>
      </w:r>
      <w:r w:rsidR="00194F2A">
        <w:t>REITS</w:t>
      </w:r>
      <w:r w:rsidRPr="007A7376">
        <w:t xml:space="preserve"> with a zero entry charge during the window period (Java Capital, 2009: 2). The window period would be an incentive for the companies to convert within a time line of say 12 months. Thereafter they recommend the charging of a levy equal to 5%</w:t>
      </w:r>
      <w:r w:rsidRPr="0090579E">
        <w:t xml:space="preserve"> of the total CGT that would have been payable had the company disposed of all its properties which would be payable over 4 years.</w:t>
      </w:r>
    </w:p>
    <w:p w:rsidR="00534C63" w:rsidRPr="0090579E" w:rsidRDefault="00534C63" w:rsidP="00534C63">
      <w:pPr>
        <w:pStyle w:val="whp20100506"/>
      </w:pPr>
    </w:p>
    <w:p w:rsidR="00534C63" w:rsidRDefault="00534C63" w:rsidP="00534C63">
      <w:pPr>
        <w:pStyle w:val="whp20100506"/>
      </w:pPr>
      <w:r w:rsidRPr="0090579E">
        <w:t xml:space="preserve">The United Kingdom recently adopted </w:t>
      </w:r>
      <w:r w:rsidR="00194F2A">
        <w:t>REITS</w:t>
      </w:r>
      <w:r w:rsidRPr="0090579E">
        <w:t xml:space="preserve"> structures and when they converted, there were </w:t>
      </w:r>
      <w:r w:rsidRPr="0090579E">
        <w:lastRenderedPageBreak/>
        <w:t xml:space="preserve">calls to avoid an entry charge for the unlisted trusts and companies to rather pay a fee to qualify as a REIT. As a compromise the proposals were to pay a low percentage (say 5%) of the total capital gains tax that would be payable on the qualification date if the property entity had to dispose of all its properties. The entity would then have the opportunity of paying this fee over a period of time (say 5 years). </w:t>
      </w:r>
    </w:p>
    <w:p w:rsidR="00534C63" w:rsidRDefault="00534C63" w:rsidP="00534C63">
      <w:pPr>
        <w:pStyle w:val="whp20100506"/>
      </w:pPr>
    </w:p>
    <w:p w:rsidR="00534C63" w:rsidRPr="00124B8E" w:rsidRDefault="00534C63" w:rsidP="00534C63">
      <w:pPr>
        <w:pStyle w:val="whp20100506"/>
      </w:pPr>
      <w:r w:rsidRPr="0090579E">
        <w:t>This may also be a possible solution to the South African situation to find an amicable road forward between the local industry players and the</w:t>
      </w:r>
      <w:r w:rsidRPr="00124B8E">
        <w:t xml:space="preserve"> National Treasury. </w:t>
      </w:r>
    </w:p>
    <w:p w:rsidR="00534C63" w:rsidRDefault="00534C63" w:rsidP="00534C63">
      <w:pPr>
        <w:pStyle w:val="whp20100506"/>
        <w:tabs>
          <w:tab w:val="left" w:pos="720"/>
        </w:tabs>
        <w:ind w:left="720"/>
      </w:pPr>
    </w:p>
    <w:p w:rsidR="00534C63" w:rsidRPr="0032453B" w:rsidRDefault="00534C63" w:rsidP="00534C63">
      <w:pPr>
        <w:pStyle w:val="whp20100506"/>
        <w:rPr>
          <w:b/>
          <w:i/>
        </w:rPr>
      </w:pPr>
      <w:r w:rsidRPr="0032453B">
        <w:rPr>
          <w:b/>
          <w:i/>
        </w:rPr>
        <w:t>Conclusions</w:t>
      </w:r>
    </w:p>
    <w:p w:rsidR="00534C63" w:rsidRPr="00124B8E" w:rsidRDefault="00534C63" w:rsidP="00534C63">
      <w:pPr>
        <w:pStyle w:val="whp20100506"/>
      </w:pPr>
    </w:p>
    <w:p w:rsidR="00534C63" w:rsidRDefault="00534C63" w:rsidP="00534C63">
      <w:pPr>
        <w:pStyle w:val="whp20100506"/>
      </w:pPr>
      <w:r>
        <w:t xml:space="preserve"> The situation is very sensitive and it is clear that the PLS sector stands to incur a greater conversion fee than the CISP sector due to their historical differences. Notwithstanding the National Treasury has to ensure that the deferred tax liabilities are recouped in one form or another which in itself justifies the conversion tax. </w:t>
      </w:r>
    </w:p>
    <w:p w:rsidR="00534C63" w:rsidRDefault="00534C63" w:rsidP="00534C63">
      <w:pPr>
        <w:pStyle w:val="whp20100506"/>
        <w:ind w:left="720"/>
      </w:pPr>
    </w:p>
    <w:p w:rsidR="00534C63" w:rsidRPr="00124B8E" w:rsidRDefault="00534C63" w:rsidP="00534C63">
      <w:pPr>
        <w:pStyle w:val="whp20100506"/>
      </w:pPr>
      <w:r>
        <w:tab/>
      </w:r>
    </w:p>
    <w:p w:rsidR="00534C63" w:rsidRDefault="00534C63" w:rsidP="00534C63">
      <w:pPr>
        <w:pStyle w:val="whp20100506"/>
        <w:jc w:val="center"/>
      </w:pPr>
      <w:bookmarkStart w:id="33" w:name="_Toc250743939"/>
      <w:bookmarkStart w:id="34" w:name="_Toc261371873"/>
      <w:bookmarkStart w:id="35" w:name="_Toc263675840"/>
    </w:p>
    <w:bookmarkEnd w:id="33"/>
    <w:bookmarkEnd w:id="34"/>
    <w:bookmarkEnd w:id="35"/>
    <w:p w:rsidR="00534C63" w:rsidRDefault="00534C63" w:rsidP="00534C63">
      <w:pPr>
        <w:pStyle w:val="whp20100506"/>
      </w:pPr>
    </w:p>
    <w:p w:rsidR="00534C63" w:rsidRDefault="00534C63" w:rsidP="00534C63">
      <w:pPr>
        <w:pStyle w:val="whp20100506"/>
        <w:rPr>
          <w:bCs/>
        </w:rPr>
      </w:pPr>
      <w:bookmarkStart w:id="36" w:name="_Toc240206081"/>
    </w:p>
    <w:p w:rsidR="00534C63" w:rsidRDefault="00534C63" w:rsidP="00534C63">
      <w:pPr>
        <w:pStyle w:val="whp20100506"/>
        <w:rPr>
          <w:bCs/>
        </w:rPr>
      </w:pPr>
    </w:p>
    <w:p w:rsidR="00534C63" w:rsidRDefault="00534C63" w:rsidP="00534C63">
      <w:pPr>
        <w:pStyle w:val="whp20100506"/>
        <w:rPr>
          <w:bCs/>
        </w:rPr>
      </w:pPr>
    </w:p>
    <w:p w:rsidR="00534C63" w:rsidRDefault="00534C63" w:rsidP="00534C63">
      <w:pPr>
        <w:spacing w:after="200" w:line="276" w:lineRule="auto"/>
        <w:rPr>
          <w:rFonts w:ascii="Times New Roman" w:hAnsi="Times New Roman"/>
          <w:bCs/>
          <w:sz w:val="24"/>
        </w:rPr>
      </w:pPr>
    </w:p>
    <w:p w:rsidR="00694F60" w:rsidRDefault="00694F60">
      <w:pPr>
        <w:spacing w:after="200" w:line="276" w:lineRule="auto"/>
        <w:rPr>
          <w:rFonts w:ascii="Times New Roman" w:hAnsi="Times New Roman"/>
          <w:b/>
          <w:bCs/>
          <w:sz w:val="24"/>
        </w:rPr>
      </w:pPr>
      <w:r>
        <w:rPr>
          <w:b/>
          <w:bCs/>
        </w:rPr>
        <w:br w:type="page"/>
      </w:r>
    </w:p>
    <w:p w:rsidR="00534C63" w:rsidRPr="0059722C" w:rsidRDefault="00534C63" w:rsidP="00534C63">
      <w:pPr>
        <w:pStyle w:val="whp20100506"/>
        <w:rPr>
          <w:b/>
          <w:bCs/>
        </w:rPr>
      </w:pPr>
      <w:r>
        <w:rPr>
          <w:b/>
          <w:bCs/>
        </w:rPr>
        <w:lastRenderedPageBreak/>
        <w:t xml:space="preserve">SECTION E: </w:t>
      </w:r>
      <w:r w:rsidR="007B731D">
        <w:rPr>
          <w:b/>
          <w:bCs/>
        </w:rPr>
        <w:t>CONCLUSION</w:t>
      </w:r>
      <w:r w:rsidRPr="0059722C">
        <w:rPr>
          <w:b/>
          <w:bCs/>
        </w:rPr>
        <w:t xml:space="preserve"> AND RECOMMENDATIONS </w:t>
      </w:r>
    </w:p>
    <w:p w:rsidR="00534C63" w:rsidRDefault="00534C63" w:rsidP="00534C63">
      <w:pPr>
        <w:pStyle w:val="whp20100506"/>
        <w:ind w:left="284"/>
        <w:rPr>
          <w:bCs/>
          <w:color w:val="7030A0"/>
        </w:rPr>
      </w:pPr>
    </w:p>
    <w:p w:rsidR="00534C63" w:rsidRPr="0051618A" w:rsidRDefault="007B731D" w:rsidP="00386CAB">
      <w:pPr>
        <w:pStyle w:val="whp20100506"/>
        <w:numPr>
          <w:ilvl w:val="0"/>
          <w:numId w:val="37"/>
        </w:numPr>
        <w:ind w:left="270"/>
        <w:rPr>
          <w:b/>
          <w:bCs/>
        </w:rPr>
      </w:pPr>
      <w:r>
        <w:rPr>
          <w:b/>
          <w:bCs/>
        </w:rPr>
        <w:t>CONCLUSION</w:t>
      </w:r>
    </w:p>
    <w:p w:rsidR="00534C63" w:rsidRDefault="00534C63" w:rsidP="00534C63">
      <w:pPr>
        <w:pStyle w:val="whp20100506"/>
        <w:rPr>
          <w:bCs/>
        </w:rPr>
      </w:pPr>
    </w:p>
    <w:p w:rsidR="00534C63" w:rsidRDefault="00534C63" w:rsidP="00534C63">
      <w:pPr>
        <w:widowControl w:val="0"/>
        <w:spacing w:line="360" w:lineRule="auto"/>
        <w:jc w:val="both"/>
        <w:outlineLvl w:val="0"/>
        <w:rPr>
          <w:rFonts w:ascii="Times New Roman" w:hAnsi="Times New Roman"/>
          <w:bCs/>
          <w:sz w:val="24"/>
        </w:rPr>
      </w:pPr>
      <w:bookmarkStart w:id="37" w:name="_Toc240206082"/>
      <w:r>
        <w:rPr>
          <w:rFonts w:ascii="Times New Roman" w:hAnsi="Times New Roman"/>
          <w:bCs/>
          <w:sz w:val="24"/>
        </w:rPr>
        <w:t xml:space="preserve">This Research Report has </w:t>
      </w:r>
      <w:bookmarkEnd w:id="37"/>
      <w:r>
        <w:rPr>
          <w:rFonts w:ascii="Times New Roman" w:hAnsi="Times New Roman"/>
          <w:bCs/>
          <w:sz w:val="24"/>
        </w:rPr>
        <w:t>sought to answer the following primary objectives:</w:t>
      </w:r>
    </w:p>
    <w:p w:rsidR="00534C63" w:rsidRDefault="00534C63" w:rsidP="00534C63">
      <w:pPr>
        <w:widowControl w:val="0"/>
        <w:spacing w:line="360" w:lineRule="auto"/>
        <w:jc w:val="both"/>
        <w:outlineLvl w:val="0"/>
        <w:rPr>
          <w:rFonts w:ascii="Times New Roman" w:hAnsi="Times New Roman"/>
          <w:bCs/>
          <w:sz w:val="24"/>
        </w:rPr>
      </w:pPr>
    </w:p>
    <w:p w:rsidR="00534C63" w:rsidRDefault="00534C63" w:rsidP="00534C63">
      <w:pPr>
        <w:pStyle w:val="whp20100506"/>
        <w:numPr>
          <w:ilvl w:val="0"/>
          <w:numId w:val="1"/>
        </w:numPr>
        <w:ind w:left="540" w:hanging="450"/>
      </w:pPr>
      <w:r>
        <w:t xml:space="preserve">What are the fundamental pillars of the legal framework for </w:t>
      </w:r>
      <w:r w:rsidR="00194F2A">
        <w:t>REITS</w:t>
      </w:r>
      <w:r>
        <w:t xml:space="preserve"> best suited for South Africa?</w:t>
      </w:r>
    </w:p>
    <w:p w:rsidR="00534C63" w:rsidRDefault="00534C63" w:rsidP="00534C63">
      <w:pPr>
        <w:pStyle w:val="whp20100506"/>
        <w:numPr>
          <w:ilvl w:val="0"/>
          <w:numId w:val="1"/>
        </w:numPr>
        <w:ind w:left="540" w:hanging="450"/>
      </w:pPr>
      <w:r w:rsidRPr="00253B3D">
        <w:t xml:space="preserve">What are the </w:t>
      </w:r>
      <w:r>
        <w:t>considerations and concerns of the listed property investment sector</w:t>
      </w:r>
      <w:r w:rsidRPr="00253B3D">
        <w:t>?</w:t>
      </w:r>
    </w:p>
    <w:p w:rsidR="00534C63" w:rsidRPr="00A678E2" w:rsidRDefault="00534C63" w:rsidP="00534C63">
      <w:pPr>
        <w:pStyle w:val="whp20100506"/>
        <w:numPr>
          <w:ilvl w:val="0"/>
          <w:numId w:val="1"/>
        </w:numPr>
        <w:ind w:left="540" w:hanging="450"/>
      </w:pPr>
      <w:r>
        <w:t xml:space="preserve">Has the National Treasury </w:t>
      </w:r>
      <w:r w:rsidRPr="00A678E2">
        <w:t xml:space="preserve">accommodated the comments of local industry? </w:t>
      </w:r>
    </w:p>
    <w:p w:rsidR="00534C63" w:rsidRPr="00A678E2" w:rsidRDefault="00534C63" w:rsidP="00534C63">
      <w:pPr>
        <w:widowControl w:val="0"/>
        <w:spacing w:line="360" w:lineRule="auto"/>
        <w:jc w:val="both"/>
        <w:outlineLvl w:val="0"/>
        <w:rPr>
          <w:rFonts w:ascii="Times New Roman" w:hAnsi="Times New Roman"/>
          <w:bCs/>
          <w:sz w:val="24"/>
        </w:rPr>
      </w:pPr>
    </w:p>
    <w:p w:rsidR="00534C63" w:rsidRPr="00A678E2" w:rsidRDefault="00534C63" w:rsidP="00534C63">
      <w:pPr>
        <w:widowControl w:val="0"/>
        <w:spacing w:line="360" w:lineRule="auto"/>
        <w:jc w:val="both"/>
        <w:outlineLvl w:val="0"/>
        <w:rPr>
          <w:rFonts w:ascii="Times New Roman" w:hAnsi="Times New Roman"/>
          <w:bCs/>
          <w:sz w:val="24"/>
        </w:rPr>
      </w:pPr>
      <w:r w:rsidRPr="00A678E2">
        <w:rPr>
          <w:rFonts w:ascii="Times New Roman" w:hAnsi="Times New Roman"/>
          <w:bCs/>
          <w:sz w:val="24"/>
        </w:rPr>
        <w:t xml:space="preserve">The findings from the </w:t>
      </w:r>
      <w:r w:rsidR="00E07118" w:rsidRPr="00A678E2">
        <w:rPr>
          <w:rFonts w:ascii="Times New Roman" w:hAnsi="Times New Roman"/>
          <w:bCs/>
          <w:sz w:val="24"/>
        </w:rPr>
        <w:t>Exploratory Study</w:t>
      </w:r>
      <w:r w:rsidRPr="00A678E2">
        <w:rPr>
          <w:rFonts w:ascii="Times New Roman" w:hAnsi="Times New Roman"/>
          <w:bCs/>
          <w:sz w:val="24"/>
        </w:rPr>
        <w:t xml:space="preserve"> has determined that the National Treasury’s draft recommendations for a REIT dispensation has not created a framework that is best suited for the South African listed property sector. </w:t>
      </w:r>
      <w:bookmarkStart w:id="38" w:name="_Toc240206083"/>
      <w:r w:rsidR="0001089F" w:rsidRPr="00A678E2">
        <w:rPr>
          <w:rFonts w:ascii="Times New Roman" w:hAnsi="Times New Roman"/>
          <w:bCs/>
          <w:sz w:val="24"/>
        </w:rPr>
        <w:t>This much is clear in terms of the overarching feedback from the industry, and the on-going modifications to the Legal Framework that the National Treasury has endeavoured to ratify.</w:t>
      </w:r>
    </w:p>
    <w:p w:rsidR="00534C63" w:rsidRPr="00A678E2" w:rsidRDefault="00534C63" w:rsidP="00534C63">
      <w:pPr>
        <w:widowControl w:val="0"/>
        <w:spacing w:line="360" w:lineRule="auto"/>
        <w:jc w:val="both"/>
        <w:outlineLvl w:val="0"/>
        <w:rPr>
          <w:rFonts w:ascii="Times New Roman" w:hAnsi="Times New Roman"/>
          <w:bCs/>
          <w:sz w:val="24"/>
        </w:rPr>
      </w:pPr>
    </w:p>
    <w:p w:rsidR="00D671CB" w:rsidRPr="00A678E2" w:rsidRDefault="00534C63" w:rsidP="00534C63">
      <w:pPr>
        <w:widowControl w:val="0"/>
        <w:spacing w:line="360" w:lineRule="auto"/>
        <w:jc w:val="both"/>
        <w:outlineLvl w:val="0"/>
        <w:rPr>
          <w:rFonts w:ascii="Times New Roman" w:hAnsi="Times New Roman"/>
          <w:bCs/>
          <w:sz w:val="24"/>
        </w:rPr>
      </w:pPr>
      <w:r w:rsidRPr="00A678E2">
        <w:rPr>
          <w:rFonts w:ascii="Times New Roman" w:hAnsi="Times New Roman"/>
          <w:bCs/>
          <w:sz w:val="24"/>
        </w:rPr>
        <w:t xml:space="preserve">Whilst there is no doubt that the fragmented nature of the current PLS and CISP landscape justifies the adoption of a new dispensation in the form of </w:t>
      </w:r>
      <w:r w:rsidR="00194F2A" w:rsidRPr="00A678E2">
        <w:rPr>
          <w:rFonts w:ascii="Times New Roman" w:hAnsi="Times New Roman"/>
          <w:bCs/>
          <w:sz w:val="24"/>
        </w:rPr>
        <w:t>REITS</w:t>
      </w:r>
      <w:r w:rsidRPr="00A678E2">
        <w:rPr>
          <w:rFonts w:ascii="Times New Roman" w:hAnsi="Times New Roman"/>
          <w:bCs/>
          <w:sz w:val="24"/>
        </w:rPr>
        <w:t xml:space="preserve">, the outcome of the </w:t>
      </w:r>
      <w:r w:rsidR="00E07118" w:rsidRPr="00A678E2">
        <w:rPr>
          <w:rFonts w:ascii="Times New Roman" w:hAnsi="Times New Roman"/>
          <w:bCs/>
          <w:sz w:val="24"/>
        </w:rPr>
        <w:t>Exploratory Study</w:t>
      </w:r>
      <w:r w:rsidRPr="00A678E2">
        <w:rPr>
          <w:rFonts w:ascii="Times New Roman" w:hAnsi="Times New Roman"/>
          <w:bCs/>
          <w:sz w:val="24"/>
        </w:rPr>
        <w:t xml:space="preserve"> shows that the National Treasury has failed to persuade the local industry that the recommendations presented in their 2007 Discussion Paper offers the best suited structures for the So</w:t>
      </w:r>
      <w:r w:rsidR="0001089F" w:rsidRPr="00A678E2">
        <w:rPr>
          <w:rFonts w:ascii="Times New Roman" w:hAnsi="Times New Roman"/>
          <w:bCs/>
          <w:sz w:val="24"/>
        </w:rPr>
        <w:t xml:space="preserve">uth African property landscape, as it stands. </w:t>
      </w:r>
    </w:p>
    <w:p w:rsidR="00D671CB" w:rsidRPr="00A678E2" w:rsidRDefault="00D671CB" w:rsidP="00534C63">
      <w:pPr>
        <w:widowControl w:val="0"/>
        <w:spacing w:line="360" w:lineRule="auto"/>
        <w:jc w:val="both"/>
        <w:outlineLvl w:val="0"/>
        <w:rPr>
          <w:rFonts w:ascii="Times New Roman" w:hAnsi="Times New Roman"/>
          <w:bCs/>
          <w:sz w:val="24"/>
        </w:rPr>
      </w:pPr>
    </w:p>
    <w:p w:rsidR="00D671CB" w:rsidRPr="00A678E2" w:rsidRDefault="0001089F" w:rsidP="00534C63">
      <w:pPr>
        <w:widowControl w:val="0"/>
        <w:spacing w:line="360" w:lineRule="auto"/>
        <w:jc w:val="both"/>
        <w:outlineLvl w:val="0"/>
        <w:rPr>
          <w:rFonts w:ascii="Times New Roman" w:hAnsi="Times New Roman"/>
          <w:bCs/>
          <w:sz w:val="24"/>
        </w:rPr>
      </w:pPr>
      <w:r w:rsidRPr="00A678E2">
        <w:rPr>
          <w:rFonts w:ascii="Times New Roman" w:hAnsi="Times New Roman"/>
          <w:bCs/>
          <w:sz w:val="24"/>
        </w:rPr>
        <w:t xml:space="preserve">Far reaching and comprehensive changes are required in order to </w:t>
      </w:r>
      <w:r w:rsidR="00D671CB" w:rsidRPr="00A678E2">
        <w:rPr>
          <w:rFonts w:ascii="Times New Roman" w:hAnsi="Times New Roman"/>
          <w:bCs/>
          <w:sz w:val="24"/>
        </w:rPr>
        <w:t xml:space="preserve">not only accommodate the commercial concerns of the industry as a whole, but also to accommodate the existing structures that are currently in place, particularly with CISPS. </w:t>
      </w:r>
    </w:p>
    <w:p w:rsidR="00D671CB" w:rsidRPr="00A678E2" w:rsidRDefault="00D671CB" w:rsidP="00534C63">
      <w:pPr>
        <w:widowControl w:val="0"/>
        <w:spacing w:line="360" w:lineRule="auto"/>
        <w:jc w:val="both"/>
        <w:outlineLvl w:val="0"/>
        <w:rPr>
          <w:rFonts w:ascii="Times New Roman" w:hAnsi="Times New Roman"/>
          <w:bCs/>
          <w:sz w:val="24"/>
        </w:rPr>
      </w:pPr>
    </w:p>
    <w:p w:rsidR="00534C63" w:rsidRPr="00A678E2" w:rsidRDefault="00D671CB" w:rsidP="00534C63">
      <w:pPr>
        <w:widowControl w:val="0"/>
        <w:spacing w:line="360" w:lineRule="auto"/>
        <w:jc w:val="both"/>
        <w:outlineLvl w:val="0"/>
        <w:rPr>
          <w:rFonts w:ascii="Times New Roman" w:hAnsi="Times New Roman"/>
          <w:bCs/>
          <w:sz w:val="24"/>
        </w:rPr>
      </w:pPr>
      <w:r w:rsidRPr="00A678E2">
        <w:rPr>
          <w:rFonts w:ascii="Times New Roman" w:hAnsi="Times New Roman"/>
          <w:bCs/>
          <w:sz w:val="24"/>
        </w:rPr>
        <w:t xml:space="preserve">The PUTS structures are a virtual reflection of </w:t>
      </w:r>
      <w:r w:rsidR="003736A6" w:rsidRPr="00A678E2">
        <w:rPr>
          <w:rFonts w:ascii="Times New Roman" w:hAnsi="Times New Roman"/>
          <w:bCs/>
          <w:sz w:val="24"/>
        </w:rPr>
        <w:t>REITS;</w:t>
      </w:r>
      <w:r w:rsidRPr="00A678E2">
        <w:rPr>
          <w:rFonts w:ascii="Times New Roman" w:hAnsi="Times New Roman"/>
          <w:bCs/>
          <w:sz w:val="24"/>
        </w:rPr>
        <w:t xml:space="preserve"> however the globular challenges lie with CISPS, which by and large presents the biggest challenge to the National Treasury in terms of transformation without loss of shareholder value.</w:t>
      </w:r>
    </w:p>
    <w:p w:rsidR="00534C63" w:rsidRPr="00A678E2" w:rsidRDefault="00534C63" w:rsidP="00534C63">
      <w:pPr>
        <w:widowControl w:val="0"/>
        <w:spacing w:line="360" w:lineRule="auto"/>
        <w:jc w:val="both"/>
        <w:outlineLvl w:val="0"/>
        <w:rPr>
          <w:rFonts w:ascii="Times New Roman" w:hAnsi="Times New Roman"/>
          <w:bCs/>
          <w:sz w:val="24"/>
        </w:rPr>
      </w:pPr>
    </w:p>
    <w:p w:rsidR="00534C63" w:rsidRPr="00A678E2" w:rsidRDefault="00534C63" w:rsidP="00534C63">
      <w:pPr>
        <w:widowControl w:val="0"/>
        <w:spacing w:line="360" w:lineRule="auto"/>
        <w:jc w:val="both"/>
        <w:outlineLvl w:val="0"/>
        <w:rPr>
          <w:rFonts w:ascii="Times New Roman" w:hAnsi="Times New Roman"/>
          <w:bCs/>
          <w:sz w:val="24"/>
        </w:rPr>
      </w:pPr>
      <w:r w:rsidRPr="00A678E2">
        <w:rPr>
          <w:rFonts w:ascii="Times New Roman" w:hAnsi="Times New Roman"/>
          <w:bCs/>
          <w:sz w:val="24"/>
        </w:rPr>
        <w:t xml:space="preserve">The uncertainties and lack of alternative considerations proposed in both the regulatory and taxation recommendations failed to win over the sentiments of the local industry in particular </w:t>
      </w:r>
      <w:r w:rsidRPr="00A678E2">
        <w:rPr>
          <w:rFonts w:ascii="Times New Roman" w:hAnsi="Times New Roman"/>
          <w:bCs/>
          <w:sz w:val="24"/>
        </w:rPr>
        <w:lastRenderedPageBreak/>
        <w:t xml:space="preserve">the suggestions that would help overcome the challenges in converting from the existing dispensation (being existing commercial structures) to the new regime with minimal cost and compliance implications. </w:t>
      </w:r>
    </w:p>
    <w:p w:rsidR="00534C63" w:rsidRPr="00A678E2" w:rsidRDefault="00534C63" w:rsidP="00534C63">
      <w:pPr>
        <w:widowControl w:val="0"/>
        <w:spacing w:line="360" w:lineRule="auto"/>
        <w:jc w:val="both"/>
        <w:outlineLvl w:val="0"/>
        <w:rPr>
          <w:rFonts w:ascii="Times New Roman" w:hAnsi="Times New Roman"/>
          <w:bCs/>
          <w:sz w:val="24"/>
        </w:rPr>
      </w:pPr>
    </w:p>
    <w:p w:rsidR="00534C63" w:rsidRPr="00A678E2" w:rsidRDefault="00534C63" w:rsidP="00534C63">
      <w:pPr>
        <w:widowControl w:val="0"/>
        <w:spacing w:line="360" w:lineRule="auto"/>
        <w:jc w:val="both"/>
        <w:outlineLvl w:val="0"/>
        <w:rPr>
          <w:rFonts w:ascii="Times New Roman" w:hAnsi="Times New Roman"/>
          <w:bCs/>
          <w:sz w:val="24"/>
        </w:rPr>
      </w:pPr>
      <w:r w:rsidRPr="00A678E2">
        <w:rPr>
          <w:rFonts w:ascii="Times New Roman" w:hAnsi="Times New Roman"/>
          <w:bCs/>
          <w:sz w:val="24"/>
        </w:rPr>
        <w:t xml:space="preserve">The noticeable restriction in the </w:t>
      </w:r>
      <w:r w:rsidR="00E07118" w:rsidRPr="00A678E2">
        <w:rPr>
          <w:rFonts w:ascii="Times New Roman" w:hAnsi="Times New Roman"/>
          <w:bCs/>
          <w:sz w:val="24"/>
        </w:rPr>
        <w:t>Exploratory Study</w:t>
      </w:r>
      <w:r w:rsidRPr="00A678E2">
        <w:rPr>
          <w:rFonts w:ascii="Times New Roman" w:hAnsi="Times New Roman"/>
          <w:bCs/>
          <w:sz w:val="24"/>
        </w:rPr>
        <w:t xml:space="preserve"> as far as possible short comings is concerned, is perhaps that it does not account for all the comments of the local industry. However by and large the input received for the </w:t>
      </w:r>
      <w:r w:rsidR="00E07118" w:rsidRPr="00A678E2">
        <w:rPr>
          <w:rFonts w:ascii="Times New Roman" w:hAnsi="Times New Roman"/>
          <w:bCs/>
          <w:sz w:val="24"/>
        </w:rPr>
        <w:t>Exploratory Study</w:t>
      </w:r>
      <w:r w:rsidRPr="00A678E2">
        <w:rPr>
          <w:rFonts w:ascii="Times New Roman" w:hAnsi="Times New Roman"/>
          <w:bCs/>
          <w:sz w:val="24"/>
        </w:rPr>
        <w:t xml:space="preserve"> was sourced from reputable and credible leaders within the South African property sector and therefore their sentiments can be taken as reflecting the majority views of the local property investment community. </w:t>
      </w:r>
      <w:bookmarkEnd w:id="38"/>
    </w:p>
    <w:p w:rsidR="00534C63" w:rsidRPr="00A678E2" w:rsidRDefault="00534C63" w:rsidP="00534C63">
      <w:pPr>
        <w:widowControl w:val="0"/>
        <w:spacing w:line="360" w:lineRule="auto"/>
        <w:jc w:val="both"/>
        <w:outlineLvl w:val="0"/>
        <w:rPr>
          <w:rFonts w:ascii="Times New Roman" w:hAnsi="Times New Roman"/>
          <w:bCs/>
          <w:sz w:val="24"/>
        </w:rPr>
      </w:pPr>
    </w:p>
    <w:p w:rsidR="00534C63" w:rsidRPr="00A678E2" w:rsidRDefault="00534C63" w:rsidP="00534C63">
      <w:pPr>
        <w:widowControl w:val="0"/>
        <w:spacing w:line="360" w:lineRule="auto"/>
        <w:jc w:val="both"/>
        <w:outlineLvl w:val="0"/>
        <w:rPr>
          <w:rFonts w:ascii="Times New Roman" w:hAnsi="Times New Roman"/>
          <w:bCs/>
          <w:sz w:val="24"/>
        </w:rPr>
      </w:pPr>
      <w:bookmarkStart w:id="39" w:name="_Toc240206084"/>
      <w:r w:rsidRPr="00A678E2">
        <w:rPr>
          <w:rFonts w:ascii="Times New Roman" w:hAnsi="Times New Roman"/>
          <w:bCs/>
          <w:sz w:val="24"/>
        </w:rPr>
        <w:t xml:space="preserve">This study is further also limited in terms of accommodating the new changes to the various pieces of legislation, particularly the changes to the Income Tax Act by way of the Tax Laws Amendment Act no 17 of 2009 and the ramifications thereof operationally in the market. However this Research Report is focused primarily upon the understanding the causes that motivated the adoption for </w:t>
      </w:r>
      <w:r w:rsidR="00194F2A" w:rsidRPr="00A678E2">
        <w:rPr>
          <w:rFonts w:ascii="Times New Roman" w:hAnsi="Times New Roman"/>
          <w:bCs/>
          <w:sz w:val="24"/>
        </w:rPr>
        <w:t>REITS</w:t>
      </w:r>
      <w:r w:rsidRPr="00A678E2">
        <w:rPr>
          <w:rFonts w:ascii="Times New Roman" w:hAnsi="Times New Roman"/>
          <w:bCs/>
          <w:sz w:val="24"/>
        </w:rPr>
        <w:t xml:space="preserve"> in South Africa at 2007and the National Treasury’s recommendations contained within the Discussion Paper at this time.</w:t>
      </w:r>
      <w:bookmarkEnd w:id="39"/>
    </w:p>
    <w:p w:rsidR="00534C63" w:rsidRPr="00A678E2" w:rsidRDefault="00534C63" w:rsidP="00534C63">
      <w:pPr>
        <w:widowControl w:val="0"/>
        <w:spacing w:line="360" w:lineRule="auto"/>
        <w:jc w:val="both"/>
        <w:outlineLvl w:val="0"/>
        <w:rPr>
          <w:rFonts w:ascii="Times New Roman" w:hAnsi="Times New Roman"/>
          <w:bCs/>
          <w:sz w:val="24"/>
        </w:rPr>
      </w:pPr>
      <w:bookmarkStart w:id="40" w:name="_Toc240206085"/>
    </w:p>
    <w:p w:rsidR="00534C63" w:rsidRPr="00A678E2" w:rsidRDefault="00534C63" w:rsidP="00534C63">
      <w:pPr>
        <w:widowControl w:val="0"/>
        <w:spacing w:line="360" w:lineRule="auto"/>
        <w:jc w:val="both"/>
        <w:outlineLvl w:val="0"/>
        <w:rPr>
          <w:rFonts w:ascii="Times New Roman" w:hAnsi="Times New Roman"/>
          <w:bCs/>
          <w:sz w:val="24"/>
        </w:rPr>
      </w:pPr>
      <w:r w:rsidRPr="00A678E2">
        <w:rPr>
          <w:rFonts w:ascii="Times New Roman" w:hAnsi="Times New Roman"/>
          <w:bCs/>
          <w:sz w:val="24"/>
        </w:rPr>
        <w:t xml:space="preserve">As far as the outcomes in the </w:t>
      </w:r>
      <w:r w:rsidR="00E07118" w:rsidRPr="00A678E2">
        <w:rPr>
          <w:rFonts w:ascii="Times New Roman" w:hAnsi="Times New Roman"/>
          <w:bCs/>
          <w:sz w:val="24"/>
        </w:rPr>
        <w:t>Exploratory Study</w:t>
      </w:r>
      <w:r w:rsidRPr="00A678E2">
        <w:rPr>
          <w:rFonts w:ascii="Times New Roman" w:hAnsi="Times New Roman"/>
          <w:bCs/>
          <w:sz w:val="24"/>
        </w:rPr>
        <w:t xml:space="preserve"> are concerned, there is no doubt that the National Treasury and the Steering Committee have made significant progress in finding more efficient REIT structures since the release of the Discussion Paper in 2007. This alludes to two things:</w:t>
      </w:r>
    </w:p>
    <w:p w:rsidR="00534C63" w:rsidRPr="00A678E2" w:rsidRDefault="00534C63" w:rsidP="00534C63">
      <w:pPr>
        <w:widowControl w:val="0"/>
        <w:spacing w:line="360" w:lineRule="auto"/>
        <w:jc w:val="both"/>
        <w:outlineLvl w:val="0"/>
        <w:rPr>
          <w:rFonts w:ascii="Times New Roman" w:hAnsi="Times New Roman"/>
          <w:bCs/>
          <w:sz w:val="24"/>
        </w:rPr>
      </w:pPr>
    </w:p>
    <w:p w:rsidR="00534C63" w:rsidRPr="00A678E2" w:rsidRDefault="00534C63" w:rsidP="00534C63">
      <w:pPr>
        <w:pStyle w:val="ListParagraph"/>
        <w:widowControl w:val="0"/>
        <w:numPr>
          <w:ilvl w:val="0"/>
          <w:numId w:val="29"/>
        </w:numPr>
        <w:spacing w:line="360" w:lineRule="auto"/>
        <w:jc w:val="both"/>
        <w:outlineLvl w:val="0"/>
        <w:rPr>
          <w:bCs/>
        </w:rPr>
      </w:pPr>
      <w:r w:rsidRPr="00A678E2">
        <w:rPr>
          <w:bCs/>
        </w:rPr>
        <w:t>The requirement of a joint collaborative ‘partnership’ between the National Treasury and a local Steering Committee in designing a REIT framework. This is vital for the adoption of a new legislative dispensation of this magnitude especially in  overcoming the obstacles of the existing PLS/CISP commercial structures and business practices;</w:t>
      </w:r>
    </w:p>
    <w:p w:rsidR="00534C63" w:rsidRPr="00A678E2" w:rsidRDefault="00534C63" w:rsidP="00534C63">
      <w:pPr>
        <w:pStyle w:val="ListParagraph"/>
        <w:widowControl w:val="0"/>
        <w:numPr>
          <w:ilvl w:val="0"/>
          <w:numId w:val="0"/>
        </w:numPr>
        <w:tabs>
          <w:tab w:val="clear" w:pos="360"/>
        </w:tabs>
        <w:spacing w:line="360" w:lineRule="auto"/>
        <w:ind w:left="720"/>
        <w:jc w:val="both"/>
        <w:outlineLvl w:val="0"/>
        <w:rPr>
          <w:bCs/>
        </w:rPr>
      </w:pPr>
    </w:p>
    <w:p w:rsidR="00534C63" w:rsidRPr="00A678E2" w:rsidRDefault="00534C63" w:rsidP="00534C63">
      <w:pPr>
        <w:pStyle w:val="ListParagraph"/>
        <w:widowControl w:val="0"/>
        <w:numPr>
          <w:ilvl w:val="0"/>
          <w:numId w:val="29"/>
        </w:numPr>
        <w:spacing w:line="360" w:lineRule="auto"/>
        <w:jc w:val="both"/>
        <w:outlineLvl w:val="0"/>
        <w:rPr>
          <w:bCs/>
        </w:rPr>
      </w:pPr>
      <w:r w:rsidRPr="00A678E2">
        <w:rPr>
          <w:bCs/>
        </w:rPr>
        <w:t xml:space="preserve">The process of creating a final </w:t>
      </w:r>
      <w:r w:rsidR="00194F2A" w:rsidRPr="00A678E2">
        <w:rPr>
          <w:bCs/>
        </w:rPr>
        <w:t>REITS</w:t>
      </w:r>
      <w:r w:rsidRPr="00A678E2">
        <w:rPr>
          <w:bCs/>
        </w:rPr>
        <w:t xml:space="preserve"> legislative framework is a long term work in progress that will become refined over time as the South African market adapts and matures and  the international REIT community embrace the opportunities in South Africa </w:t>
      </w:r>
    </w:p>
    <w:p w:rsidR="00534C63" w:rsidRPr="00A678E2" w:rsidRDefault="00534C63" w:rsidP="00534C63">
      <w:pPr>
        <w:ind w:left="709" w:hanging="709"/>
        <w:rPr>
          <w:bCs/>
        </w:rPr>
      </w:pPr>
    </w:p>
    <w:p w:rsidR="00534C63" w:rsidRPr="00A678E2" w:rsidRDefault="00534C63" w:rsidP="00534C63">
      <w:pPr>
        <w:widowControl w:val="0"/>
        <w:spacing w:line="360" w:lineRule="auto"/>
        <w:jc w:val="both"/>
        <w:outlineLvl w:val="0"/>
        <w:rPr>
          <w:rFonts w:ascii="Times New Roman" w:hAnsi="Times New Roman"/>
          <w:bCs/>
          <w:sz w:val="24"/>
        </w:rPr>
      </w:pPr>
      <w:bookmarkStart w:id="41" w:name="_Toc240206086"/>
      <w:bookmarkEnd w:id="40"/>
      <w:r w:rsidRPr="00A678E2">
        <w:rPr>
          <w:rFonts w:ascii="Times New Roman" w:hAnsi="Times New Roman"/>
          <w:bCs/>
          <w:sz w:val="24"/>
        </w:rPr>
        <w:lastRenderedPageBreak/>
        <w:t xml:space="preserve">In conclusion the final changes underway in seeking a </w:t>
      </w:r>
      <w:r w:rsidR="00194F2A" w:rsidRPr="00A678E2">
        <w:rPr>
          <w:rFonts w:ascii="Times New Roman" w:hAnsi="Times New Roman"/>
          <w:bCs/>
          <w:sz w:val="24"/>
        </w:rPr>
        <w:t>REITS</w:t>
      </w:r>
      <w:r w:rsidRPr="00A678E2">
        <w:rPr>
          <w:rFonts w:ascii="Times New Roman" w:hAnsi="Times New Roman"/>
          <w:bCs/>
          <w:sz w:val="24"/>
        </w:rPr>
        <w:t xml:space="preserve"> framework will undoubtedly unlock significant value within the South African listed property sector thus enabling South Africa to take its rightful place on the international REIT stage.</w:t>
      </w:r>
    </w:p>
    <w:bookmarkEnd w:id="41"/>
    <w:p w:rsidR="00534C63" w:rsidRPr="00A678E2" w:rsidRDefault="00534C63" w:rsidP="00534C63">
      <w:pPr>
        <w:spacing w:after="200" w:line="276" w:lineRule="auto"/>
        <w:rPr>
          <w:rFonts w:ascii="Times New Roman" w:hAnsi="Times New Roman"/>
          <w:b/>
          <w:bCs/>
          <w:sz w:val="24"/>
        </w:rPr>
      </w:pPr>
    </w:p>
    <w:p w:rsidR="00534C63" w:rsidRPr="00A678E2" w:rsidRDefault="00534C63" w:rsidP="00386CAB">
      <w:pPr>
        <w:pStyle w:val="ListParagraph"/>
        <w:widowControl w:val="0"/>
        <w:numPr>
          <w:ilvl w:val="0"/>
          <w:numId w:val="37"/>
        </w:numPr>
        <w:tabs>
          <w:tab w:val="clear" w:pos="720"/>
        </w:tabs>
        <w:spacing w:line="360" w:lineRule="auto"/>
        <w:ind w:left="450"/>
        <w:jc w:val="both"/>
        <w:outlineLvl w:val="0"/>
        <w:rPr>
          <w:b/>
          <w:bCs/>
        </w:rPr>
      </w:pPr>
      <w:r w:rsidRPr="00A678E2">
        <w:rPr>
          <w:b/>
          <w:bCs/>
          <w:i w:val="0"/>
        </w:rPr>
        <w:t>RECOMMENDATIONS</w:t>
      </w:r>
    </w:p>
    <w:p w:rsidR="00534C63" w:rsidRPr="00A678E2" w:rsidRDefault="00534C63" w:rsidP="00534C63">
      <w:pPr>
        <w:widowControl w:val="0"/>
        <w:spacing w:line="360" w:lineRule="auto"/>
        <w:jc w:val="both"/>
        <w:outlineLvl w:val="0"/>
        <w:rPr>
          <w:rFonts w:ascii="Times New Roman" w:hAnsi="Times New Roman"/>
          <w:bCs/>
          <w:sz w:val="24"/>
        </w:rPr>
      </w:pPr>
    </w:p>
    <w:p w:rsidR="00D41D9E" w:rsidRPr="00A678E2" w:rsidRDefault="00534C63" w:rsidP="00534C63">
      <w:pPr>
        <w:pStyle w:val="whp20100506"/>
        <w:rPr>
          <w:bCs/>
        </w:rPr>
      </w:pPr>
      <w:r w:rsidRPr="00A678E2">
        <w:rPr>
          <w:bCs/>
        </w:rPr>
        <w:t xml:space="preserve">The recommendations </w:t>
      </w:r>
      <w:r w:rsidR="0079529F" w:rsidRPr="00A678E2">
        <w:rPr>
          <w:bCs/>
        </w:rPr>
        <w:t xml:space="preserve">contained below </w:t>
      </w:r>
      <w:r w:rsidR="00A04D7D" w:rsidRPr="00A678E2">
        <w:rPr>
          <w:bCs/>
        </w:rPr>
        <w:t>are</w:t>
      </w:r>
      <w:r w:rsidRPr="00A678E2">
        <w:rPr>
          <w:bCs/>
        </w:rPr>
        <w:t xml:space="preserve"> </w:t>
      </w:r>
      <w:r w:rsidR="00D41D9E" w:rsidRPr="00A678E2">
        <w:rPr>
          <w:bCs/>
        </w:rPr>
        <w:t xml:space="preserve">the views of the researchers, </w:t>
      </w:r>
      <w:r w:rsidRPr="00A678E2">
        <w:rPr>
          <w:bCs/>
        </w:rPr>
        <w:t xml:space="preserve">intended to </w:t>
      </w:r>
      <w:r w:rsidR="00D41D9E" w:rsidRPr="00A678E2">
        <w:rPr>
          <w:bCs/>
        </w:rPr>
        <w:t>try caucus</w:t>
      </w:r>
      <w:r w:rsidRPr="00A678E2">
        <w:rPr>
          <w:bCs/>
        </w:rPr>
        <w:t xml:space="preserve"> the more significant </w:t>
      </w:r>
      <w:r w:rsidR="00D41D9E" w:rsidRPr="00A678E2">
        <w:rPr>
          <w:bCs/>
        </w:rPr>
        <w:t xml:space="preserve">and accepted characteristics that would be reflective </w:t>
      </w:r>
      <w:r w:rsidR="0079529F" w:rsidRPr="00A678E2">
        <w:rPr>
          <w:bCs/>
        </w:rPr>
        <w:t xml:space="preserve">of </w:t>
      </w:r>
      <w:r w:rsidR="00D41D9E" w:rsidRPr="00A678E2">
        <w:rPr>
          <w:bCs/>
        </w:rPr>
        <w:t xml:space="preserve">a universal </w:t>
      </w:r>
      <w:r w:rsidR="00194F2A" w:rsidRPr="00A678E2">
        <w:rPr>
          <w:bCs/>
        </w:rPr>
        <w:t>REITS</w:t>
      </w:r>
      <w:r w:rsidR="00D41D9E" w:rsidRPr="00A678E2">
        <w:rPr>
          <w:bCs/>
        </w:rPr>
        <w:t xml:space="preserve"> and incorporating the needs of the South Africa landscape, taking into account the research conducted. </w:t>
      </w:r>
    </w:p>
    <w:p w:rsidR="00D41D9E" w:rsidRPr="00A678E2" w:rsidRDefault="00D41D9E" w:rsidP="00534C63">
      <w:pPr>
        <w:pStyle w:val="whp20100506"/>
        <w:rPr>
          <w:bCs/>
        </w:rPr>
      </w:pPr>
    </w:p>
    <w:p w:rsidR="00A04D7D" w:rsidRPr="00A678E2" w:rsidRDefault="00534C63" w:rsidP="00534C63">
      <w:pPr>
        <w:pStyle w:val="whp20100506"/>
        <w:rPr>
          <w:bCs/>
        </w:rPr>
      </w:pPr>
      <w:r w:rsidRPr="00A678E2">
        <w:rPr>
          <w:bCs/>
        </w:rPr>
        <w:t xml:space="preserve">Whilst the majority of the industry comments have resulted in alternative proposals and consideration </w:t>
      </w:r>
      <w:r w:rsidR="0079529F" w:rsidRPr="00A678E2">
        <w:rPr>
          <w:bCs/>
        </w:rPr>
        <w:t>between</w:t>
      </w:r>
      <w:r w:rsidRPr="00A678E2">
        <w:rPr>
          <w:bCs/>
        </w:rPr>
        <w:t xml:space="preserve"> the National Treasury </w:t>
      </w:r>
      <w:r w:rsidR="0079529F" w:rsidRPr="00A678E2">
        <w:rPr>
          <w:bCs/>
        </w:rPr>
        <w:t xml:space="preserve">and the Steering Committee </w:t>
      </w:r>
      <w:r w:rsidRPr="00A678E2">
        <w:rPr>
          <w:bCs/>
        </w:rPr>
        <w:t xml:space="preserve">(as per the 2008 Response Document and subsequent workshops thereafter), the recommendations contained herein are in-principle only and are not intended as all-inclusive </w:t>
      </w:r>
      <w:r w:rsidR="0079529F" w:rsidRPr="00A678E2">
        <w:rPr>
          <w:bCs/>
        </w:rPr>
        <w:t xml:space="preserve">dispensation resolving the current </w:t>
      </w:r>
      <w:r w:rsidR="00A04D7D" w:rsidRPr="00A678E2">
        <w:rPr>
          <w:bCs/>
        </w:rPr>
        <w:t>obstacles in</w:t>
      </w:r>
      <w:r w:rsidRPr="00A678E2">
        <w:rPr>
          <w:bCs/>
        </w:rPr>
        <w:t xml:space="preserve"> adopting a final framework. </w:t>
      </w:r>
    </w:p>
    <w:p w:rsidR="00A04D7D" w:rsidRPr="00A678E2" w:rsidRDefault="00A04D7D" w:rsidP="00534C63">
      <w:pPr>
        <w:pStyle w:val="whp20100506"/>
        <w:rPr>
          <w:bCs/>
        </w:rPr>
      </w:pPr>
    </w:p>
    <w:p w:rsidR="00534C63" w:rsidRDefault="00A04D7D" w:rsidP="00534C63">
      <w:pPr>
        <w:pStyle w:val="whp20100506"/>
        <w:rPr>
          <w:bCs/>
        </w:rPr>
      </w:pPr>
      <w:r w:rsidRPr="00A678E2">
        <w:rPr>
          <w:bCs/>
        </w:rPr>
        <w:t>Th</w:t>
      </w:r>
      <w:r w:rsidR="00534C63" w:rsidRPr="00A678E2">
        <w:rPr>
          <w:bCs/>
        </w:rPr>
        <w:t xml:space="preserve">e recommendations below endeavour to outline the key areas that the National Treasury and the Steering Committee should focus on seeking a mutually beneficial common ground in the </w:t>
      </w:r>
      <w:r w:rsidRPr="00A678E2">
        <w:rPr>
          <w:bCs/>
        </w:rPr>
        <w:t>final draft framework, being those areas that are t</w:t>
      </w:r>
      <w:r>
        <w:rPr>
          <w:bCs/>
        </w:rPr>
        <w:t>he</w:t>
      </w:r>
      <w:r w:rsidR="00534C63">
        <w:rPr>
          <w:bCs/>
        </w:rPr>
        <w:t xml:space="preserve"> most contentious. </w:t>
      </w:r>
    </w:p>
    <w:p w:rsidR="00534C63" w:rsidRDefault="00534C63" w:rsidP="00534C63">
      <w:pPr>
        <w:pStyle w:val="whp20100506"/>
        <w:rPr>
          <w:bCs/>
        </w:rPr>
      </w:pPr>
    </w:p>
    <w:p w:rsidR="00534C63" w:rsidRDefault="00A04D7D" w:rsidP="00534C63">
      <w:pPr>
        <w:pStyle w:val="whp20100506"/>
        <w:rPr>
          <w:bCs/>
        </w:rPr>
      </w:pPr>
      <w:r>
        <w:rPr>
          <w:bCs/>
        </w:rPr>
        <w:t xml:space="preserve">Finally, </w:t>
      </w:r>
      <w:r w:rsidR="00534C63">
        <w:rPr>
          <w:bCs/>
        </w:rPr>
        <w:t>these recommendations are focused primarily on the rules and regulations that were initially overlooked by the National Treasury in the 2007 Discussion Draft, and include recommendation</w:t>
      </w:r>
      <w:r>
        <w:rPr>
          <w:bCs/>
        </w:rPr>
        <w:t>s for those areas that were either</w:t>
      </w:r>
      <w:r w:rsidR="00534C63">
        <w:rPr>
          <w:bCs/>
        </w:rPr>
        <w:t xml:space="preserve"> </w:t>
      </w:r>
      <w:r>
        <w:rPr>
          <w:bCs/>
        </w:rPr>
        <w:t>unclear</w:t>
      </w:r>
      <w:r w:rsidR="00534C63">
        <w:rPr>
          <w:bCs/>
        </w:rPr>
        <w:t xml:space="preserve"> and / or </w:t>
      </w:r>
      <w:r>
        <w:rPr>
          <w:bCs/>
        </w:rPr>
        <w:t>ambiguous</w:t>
      </w:r>
      <w:r w:rsidR="00534C63">
        <w:rPr>
          <w:bCs/>
        </w:rPr>
        <w:t xml:space="preserve"> in the initial Draft.</w:t>
      </w:r>
    </w:p>
    <w:p w:rsidR="00534C63" w:rsidRDefault="00534C63" w:rsidP="00534C63">
      <w:pPr>
        <w:pStyle w:val="whp20100506"/>
        <w:rPr>
          <w:bCs/>
        </w:rPr>
      </w:pPr>
    </w:p>
    <w:p w:rsidR="00534C63" w:rsidRPr="00FD6D21" w:rsidRDefault="00534C63" w:rsidP="00534C63">
      <w:pPr>
        <w:pStyle w:val="whp20100506"/>
        <w:rPr>
          <w:b/>
          <w:bCs/>
          <w:u w:val="single"/>
        </w:rPr>
      </w:pPr>
      <w:r w:rsidRPr="00FD6D21">
        <w:rPr>
          <w:b/>
          <w:bCs/>
          <w:u w:val="single"/>
        </w:rPr>
        <w:t>Organisational Rules</w:t>
      </w:r>
    </w:p>
    <w:p w:rsidR="00534C63" w:rsidRDefault="00534C63" w:rsidP="00534C63">
      <w:pPr>
        <w:pStyle w:val="whp20100506"/>
        <w:rPr>
          <w:bCs/>
        </w:rPr>
      </w:pPr>
    </w:p>
    <w:p w:rsidR="00534C63" w:rsidRDefault="00534C63" w:rsidP="00534C63">
      <w:pPr>
        <w:pStyle w:val="whp20100506"/>
        <w:numPr>
          <w:ilvl w:val="0"/>
          <w:numId w:val="27"/>
        </w:numPr>
        <w:rPr>
          <w:bCs/>
        </w:rPr>
      </w:pPr>
      <w:r>
        <w:rPr>
          <w:bCs/>
        </w:rPr>
        <w:t xml:space="preserve">Generally the definition of </w:t>
      </w:r>
      <w:r w:rsidR="00194F2A">
        <w:rPr>
          <w:bCs/>
        </w:rPr>
        <w:t>REITS</w:t>
      </w:r>
      <w:r>
        <w:rPr>
          <w:bCs/>
        </w:rPr>
        <w:t xml:space="preserve"> must include both trusts and companies, both of which must be subject to the same set of rules and regulations. A company may also elect to become a REIT by way of conversion during its life cycle. The REIT status must be accommodating of both listed and unlisted property entities;</w:t>
      </w:r>
    </w:p>
    <w:p w:rsidR="00534C63" w:rsidRDefault="00534C63" w:rsidP="00534C63">
      <w:pPr>
        <w:pStyle w:val="whp20100506"/>
        <w:ind w:left="720"/>
        <w:rPr>
          <w:bCs/>
        </w:rPr>
      </w:pPr>
    </w:p>
    <w:p w:rsidR="00534C63" w:rsidRDefault="00534C63" w:rsidP="00534C63">
      <w:pPr>
        <w:pStyle w:val="whp20100506"/>
        <w:numPr>
          <w:ilvl w:val="0"/>
          <w:numId w:val="27"/>
        </w:numPr>
        <w:rPr>
          <w:bCs/>
        </w:rPr>
      </w:pPr>
      <w:r>
        <w:rPr>
          <w:bCs/>
        </w:rPr>
        <w:lastRenderedPageBreak/>
        <w:t>A conversion window period must be created with zero entry fee in order to incentivise the PLS to convert to REIT (CISPs will automatically convert to REIT). After the window period there should be a conversion tax;</w:t>
      </w:r>
      <w:r>
        <w:rPr>
          <w:bCs/>
        </w:rPr>
        <w:br/>
      </w:r>
    </w:p>
    <w:p w:rsidR="00534C63" w:rsidRDefault="00534C63" w:rsidP="00534C63">
      <w:pPr>
        <w:pStyle w:val="whp20100506"/>
        <w:numPr>
          <w:ilvl w:val="0"/>
          <w:numId w:val="27"/>
        </w:numPr>
        <w:rPr>
          <w:bCs/>
        </w:rPr>
      </w:pPr>
      <w:r>
        <w:rPr>
          <w:bCs/>
        </w:rPr>
        <w:t xml:space="preserve">The regulatory entities overseeing the compliance of the REIT framework should be open to include existing regulatory bodies and therefore further workshops should be held between the National Treasury, Financial Services Board (FSB), along with inviting the Department of Trade and Industry (DTI) to explore the most efficient and cost effective structures necessary to ensure compliance to the final </w:t>
      </w:r>
      <w:r w:rsidR="00194F2A">
        <w:rPr>
          <w:bCs/>
        </w:rPr>
        <w:t>REITS</w:t>
      </w:r>
      <w:r>
        <w:rPr>
          <w:bCs/>
        </w:rPr>
        <w:t xml:space="preserve"> legislation;</w:t>
      </w:r>
    </w:p>
    <w:p w:rsidR="00534C63" w:rsidRDefault="00534C63" w:rsidP="00534C63">
      <w:pPr>
        <w:pStyle w:val="whp20100506"/>
        <w:ind w:left="720"/>
        <w:rPr>
          <w:bCs/>
        </w:rPr>
      </w:pPr>
    </w:p>
    <w:p w:rsidR="00534C63" w:rsidRDefault="00534C63" w:rsidP="00534C63">
      <w:pPr>
        <w:pStyle w:val="whp20100506"/>
        <w:numPr>
          <w:ilvl w:val="0"/>
          <w:numId w:val="27"/>
        </w:numPr>
        <w:rPr>
          <w:bCs/>
        </w:rPr>
      </w:pPr>
      <w:r>
        <w:rPr>
          <w:bCs/>
        </w:rPr>
        <w:t>The National Treasury should also include the JSE in formulating policy guidelines in areas where there is an overlap between the JSE requirements and those of the FSB (and the DTI if included in the REIT regulations);</w:t>
      </w:r>
    </w:p>
    <w:p w:rsidR="00534C63" w:rsidRDefault="00534C63" w:rsidP="00534C63">
      <w:pPr>
        <w:pStyle w:val="ListParagraph"/>
        <w:numPr>
          <w:ilvl w:val="0"/>
          <w:numId w:val="0"/>
        </w:numPr>
        <w:ind w:left="709"/>
        <w:rPr>
          <w:bCs/>
        </w:rPr>
      </w:pPr>
    </w:p>
    <w:p w:rsidR="00534C63" w:rsidRDefault="00534C63" w:rsidP="00534C63">
      <w:pPr>
        <w:pStyle w:val="whp20100506"/>
        <w:numPr>
          <w:ilvl w:val="0"/>
          <w:numId w:val="27"/>
        </w:numPr>
        <w:rPr>
          <w:bCs/>
        </w:rPr>
      </w:pPr>
      <w:r>
        <w:rPr>
          <w:bCs/>
        </w:rPr>
        <w:t xml:space="preserve">The National Treasury and the Steering Committee should host further workshops with tax experts to try understand methods to preserve value within existing property structures so that the conversion processes to adopting </w:t>
      </w:r>
      <w:r w:rsidR="00194F2A">
        <w:rPr>
          <w:bCs/>
        </w:rPr>
        <w:t>REITS</w:t>
      </w:r>
      <w:r>
        <w:rPr>
          <w:bCs/>
        </w:rPr>
        <w:t xml:space="preserve"> does not result in loss of value particularly applicable to tax allowances (offshore allowances, development zone allowances, general allowances applicable in South Africa)</w:t>
      </w:r>
    </w:p>
    <w:p w:rsidR="00534C63" w:rsidRDefault="00534C63" w:rsidP="00534C63">
      <w:pPr>
        <w:pStyle w:val="whp20100506"/>
        <w:rPr>
          <w:bCs/>
        </w:rPr>
      </w:pPr>
    </w:p>
    <w:p w:rsidR="00534C63" w:rsidRPr="00FD6D21" w:rsidRDefault="00534C63" w:rsidP="00FD6D21">
      <w:pPr>
        <w:pStyle w:val="whp20100506"/>
        <w:rPr>
          <w:b/>
          <w:bCs/>
          <w:u w:val="single"/>
        </w:rPr>
      </w:pPr>
      <w:r w:rsidRPr="00FD6D21">
        <w:rPr>
          <w:b/>
          <w:bCs/>
          <w:u w:val="single"/>
        </w:rPr>
        <w:t>Income and Asset Rules</w:t>
      </w:r>
    </w:p>
    <w:p w:rsidR="00534C63" w:rsidRDefault="00534C63" w:rsidP="00534C63">
      <w:pPr>
        <w:pStyle w:val="whp20100506"/>
        <w:ind w:left="450"/>
        <w:rPr>
          <w:bCs/>
        </w:rPr>
      </w:pPr>
    </w:p>
    <w:p w:rsidR="00534C63" w:rsidRDefault="00534C63" w:rsidP="00534C63">
      <w:pPr>
        <w:pStyle w:val="whp20100506"/>
        <w:numPr>
          <w:ilvl w:val="0"/>
          <w:numId w:val="27"/>
        </w:numPr>
        <w:rPr>
          <w:bCs/>
        </w:rPr>
      </w:pPr>
      <w:r w:rsidRPr="00E856B3">
        <w:rPr>
          <w:bCs/>
        </w:rPr>
        <w:t xml:space="preserve">Generally 75% of total REIT income must be received in the form of rental income </w:t>
      </w:r>
      <w:r>
        <w:rPr>
          <w:bCs/>
        </w:rPr>
        <w:t xml:space="preserve">sourced off lease agreements </w:t>
      </w:r>
      <w:r w:rsidRPr="00E856B3">
        <w:rPr>
          <w:bCs/>
        </w:rPr>
        <w:t>from immovable property</w:t>
      </w:r>
      <w:r>
        <w:rPr>
          <w:bCs/>
        </w:rPr>
        <w:t>. This should</w:t>
      </w:r>
      <w:r w:rsidRPr="00E856B3">
        <w:rPr>
          <w:bCs/>
        </w:rPr>
        <w:t xml:space="preserve"> include auxiliary </w:t>
      </w:r>
      <w:r w:rsidR="00194F2A">
        <w:rPr>
          <w:bCs/>
        </w:rPr>
        <w:t>REITS</w:t>
      </w:r>
      <w:r w:rsidRPr="00E856B3">
        <w:rPr>
          <w:bCs/>
        </w:rPr>
        <w:t xml:space="preserve">. All forms of properties should be </w:t>
      </w:r>
      <w:r>
        <w:rPr>
          <w:bCs/>
        </w:rPr>
        <w:t>included</w:t>
      </w:r>
      <w:r w:rsidRPr="00E856B3">
        <w:rPr>
          <w:bCs/>
        </w:rPr>
        <w:t xml:space="preserve"> for purposes of generating income</w:t>
      </w:r>
      <w:r>
        <w:rPr>
          <w:bCs/>
        </w:rPr>
        <w:t xml:space="preserve"> and would also include i</w:t>
      </w:r>
      <w:r w:rsidRPr="00E856B3">
        <w:rPr>
          <w:bCs/>
        </w:rPr>
        <w:t>ncome from the development</w:t>
      </w:r>
      <w:r>
        <w:rPr>
          <w:bCs/>
        </w:rPr>
        <w:t>-</w:t>
      </w:r>
      <w:r w:rsidRPr="00E856B3">
        <w:rPr>
          <w:bCs/>
        </w:rPr>
        <w:t>for</w:t>
      </w:r>
      <w:r>
        <w:rPr>
          <w:bCs/>
        </w:rPr>
        <w:t>-</w:t>
      </w:r>
      <w:r w:rsidRPr="00E856B3">
        <w:rPr>
          <w:bCs/>
        </w:rPr>
        <w:t>sale activit</w:t>
      </w:r>
      <w:r>
        <w:rPr>
          <w:bCs/>
        </w:rPr>
        <w:t>ies,</w:t>
      </w:r>
      <w:r w:rsidRPr="00E856B3">
        <w:rPr>
          <w:bCs/>
        </w:rPr>
        <w:t xml:space="preserve"> </w:t>
      </w:r>
      <w:r>
        <w:rPr>
          <w:bCs/>
        </w:rPr>
        <w:t xml:space="preserve">however this should </w:t>
      </w:r>
      <w:r w:rsidRPr="00E856B3">
        <w:rPr>
          <w:bCs/>
        </w:rPr>
        <w:t>form part of the 25% non-rental income portion of total income in a REIT;</w:t>
      </w:r>
    </w:p>
    <w:p w:rsidR="00534C63" w:rsidRDefault="00534C63" w:rsidP="00534C63">
      <w:pPr>
        <w:pStyle w:val="whp20100506"/>
        <w:ind w:left="720"/>
        <w:rPr>
          <w:bCs/>
        </w:rPr>
      </w:pPr>
    </w:p>
    <w:p w:rsidR="00534C63" w:rsidRPr="002F2ED5" w:rsidRDefault="00534C63" w:rsidP="00534C63">
      <w:pPr>
        <w:pStyle w:val="whp20100506"/>
        <w:numPr>
          <w:ilvl w:val="0"/>
          <w:numId w:val="27"/>
        </w:numPr>
        <w:rPr>
          <w:bCs/>
        </w:rPr>
      </w:pPr>
      <w:r w:rsidRPr="002F2ED5">
        <w:rPr>
          <w:bCs/>
        </w:rPr>
        <w:t>Local and international investment must be permitted restricted to countries with international REIT status;</w:t>
      </w:r>
    </w:p>
    <w:p w:rsidR="00534C63" w:rsidRPr="00F14EB7" w:rsidRDefault="00534C63" w:rsidP="00534C63">
      <w:pPr>
        <w:pStyle w:val="whp20100506"/>
        <w:ind w:left="709"/>
        <w:rPr>
          <w:bCs/>
        </w:rPr>
      </w:pPr>
    </w:p>
    <w:p w:rsidR="00534C63" w:rsidRDefault="00534C63" w:rsidP="00534C63">
      <w:pPr>
        <w:pStyle w:val="whp20100506"/>
        <w:numPr>
          <w:ilvl w:val="0"/>
          <w:numId w:val="27"/>
        </w:numPr>
        <w:rPr>
          <w:bCs/>
        </w:rPr>
      </w:pPr>
      <w:r>
        <w:rPr>
          <w:bCs/>
        </w:rPr>
        <w:t xml:space="preserve">In terms of accommodating smaller start-up </w:t>
      </w:r>
      <w:r w:rsidR="00194F2A">
        <w:rPr>
          <w:bCs/>
        </w:rPr>
        <w:t>REITS</w:t>
      </w:r>
      <w:r>
        <w:rPr>
          <w:bCs/>
        </w:rPr>
        <w:t xml:space="preserve"> and the long term encouragement </w:t>
      </w:r>
      <w:r>
        <w:rPr>
          <w:bCs/>
        </w:rPr>
        <w:lastRenderedPageBreak/>
        <w:t xml:space="preserve">of listing aspirations, the National Treasury should consider a distinction in applying rules to </w:t>
      </w:r>
      <w:r w:rsidR="00194F2A">
        <w:rPr>
          <w:bCs/>
        </w:rPr>
        <w:t>REITS</w:t>
      </w:r>
      <w:r>
        <w:rPr>
          <w:bCs/>
        </w:rPr>
        <w:t xml:space="preserve"> with a threshold at an appropriate level based on net asset value such as say R1 billion. This would give credence to the philosophy of a risk-based approach rather than a rules-based approach to REIT management;</w:t>
      </w:r>
    </w:p>
    <w:p w:rsidR="00534C63" w:rsidRPr="00847869" w:rsidRDefault="00534C63" w:rsidP="00534C63">
      <w:pPr>
        <w:pStyle w:val="ListParagraph"/>
        <w:numPr>
          <w:ilvl w:val="0"/>
          <w:numId w:val="0"/>
        </w:numPr>
        <w:ind w:left="709"/>
        <w:rPr>
          <w:bCs/>
        </w:rPr>
      </w:pPr>
    </w:p>
    <w:p w:rsidR="00534C63" w:rsidRDefault="00534C63" w:rsidP="00534C63">
      <w:pPr>
        <w:pStyle w:val="whp20100506"/>
        <w:numPr>
          <w:ilvl w:val="0"/>
          <w:numId w:val="27"/>
        </w:numPr>
        <w:rPr>
          <w:bCs/>
        </w:rPr>
      </w:pPr>
      <w:r w:rsidRPr="00E856B3">
        <w:rPr>
          <w:bCs/>
        </w:rPr>
        <w:t xml:space="preserve">The National Treasury must conduct workshops with the local investment community to better understand the alternatives pertaining to limiting the multiple layering of property investments and where true value lies in the various structures. It is this </w:t>
      </w:r>
      <w:r>
        <w:rPr>
          <w:bCs/>
        </w:rPr>
        <w:t>Research Report</w:t>
      </w:r>
      <w:r w:rsidRPr="00E856B3">
        <w:rPr>
          <w:bCs/>
        </w:rPr>
        <w:t xml:space="preserve">s recommendation that there be no restriction in layering and that greater emphasis be placed on disclosure and reporting requirements. </w:t>
      </w:r>
      <w:r>
        <w:rPr>
          <w:bCs/>
        </w:rPr>
        <w:t>S</w:t>
      </w:r>
      <w:r w:rsidRPr="00E856B3">
        <w:rPr>
          <w:bCs/>
        </w:rPr>
        <w:t>hould the final draft implement a cap on the number of layers permitted in a REIT, the National Treasury should then consider various exemption scenario’s for existing property structures that have multiple layers so that inherent value is not unduly lost as a result of the having to unbundle these structures;</w:t>
      </w:r>
    </w:p>
    <w:p w:rsidR="00534C63" w:rsidRPr="00E856B3" w:rsidRDefault="00534C63" w:rsidP="00534C63">
      <w:pPr>
        <w:pStyle w:val="whp20100506"/>
        <w:ind w:left="720"/>
        <w:rPr>
          <w:bCs/>
        </w:rPr>
      </w:pPr>
    </w:p>
    <w:p w:rsidR="00534C63" w:rsidRDefault="00534C63" w:rsidP="00534C63">
      <w:pPr>
        <w:pStyle w:val="whp20100506"/>
        <w:numPr>
          <w:ilvl w:val="0"/>
          <w:numId w:val="27"/>
        </w:numPr>
        <w:rPr>
          <w:bCs/>
        </w:rPr>
      </w:pPr>
      <w:r>
        <w:rPr>
          <w:bCs/>
        </w:rPr>
        <w:t xml:space="preserve">A workshop is also recommended to explore the viability of prudential and non-prudential </w:t>
      </w:r>
      <w:r w:rsidR="00194F2A">
        <w:rPr>
          <w:bCs/>
        </w:rPr>
        <w:t>REITS</w:t>
      </w:r>
      <w:r>
        <w:rPr>
          <w:bCs/>
        </w:rPr>
        <w:t xml:space="preserve"> in South Africa and the merit thereof in the South African context. It is this Research Report’s contention that prudential / non-prudential </w:t>
      </w:r>
      <w:r w:rsidR="00194F2A">
        <w:rPr>
          <w:bCs/>
        </w:rPr>
        <w:t>REITS</w:t>
      </w:r>
      <w:r>
        <w:rPr>
          <w:bCs/>
        </w:rPr>
        <w:t xml:space="preserve"> should not be accommodated due to unnecessarily complicating the investment options;</w:t>
      </w:r>
    </w:p>
    <w:p w:rsidR="00534C63" w:rsidRPr="00BC5C0D" w:rsidRDefault="00534C63" w:rsidP="00534C63">
      <w:pPr>
        <w:ind w:left="709" w:hanging="709"/>
        <w:rPr>
          <w:bCs/>
        </w:rPr>
      </w:pPr>
    </w:p>
    <w:p w:rsidR="00534C63" w:rsidRDefault="00534C63" w:rsidP="00534C63">
      <w:pPr>
        <w:pStyle w:val="whp20100506"/>
        <w:ind w:left="720"/>
        <w:rPr>
          <w:bCs/>
        </w:rPr>
      </w:pPr>
    </w:p>
    <w:p w:rsidR="00534C63" w:rsidRPr="00FD6D21" w:rsidRDefault="00534C63" w:rsidP="00FD6D21">
      <w:pPr>
        <w:pStyle w:val="whp20100506"/>
        <w:rPr>
          <w:b/>
          <w:bCs/>
          <w:u w:val="single"/>
        </w:rPr>
      </w:pPr>
      <w:r w:rsidRPr="00FD6D21">
        <w:rPr>
          <w:b/>
          <w:bCs/>
          <w:u w:val="single"/>
        </w:rPr>
        <w:t>Distribution Rules</w:t>
      </w:r>
    </w:p>
    <w:p w:rsidR="00534C63" w:rsidRDefault="00534C63" w:rsidP="00534C63">
      <w:pPr>
        <w:pStyle w:val="whp20100506"/>
        <w:ind w:left="720"/>
        <w:rPr>
          <w:bCs/>
        </w:rPr>
      </w:pPr>
    </w:p>
    <w:p w:rsidR="00534C63" w:rsidRDefault="00534C63" w:rsidP="00534C63">
      <w:pPr>
        <w:pStyle w:val="whp20100506"/>
        <w:numPr>
          <w:ilvl w:val="0"/>
          <w:numId w:val="28"/>
        </w:numPr>
        <w:tabs>
          <w:tab w:val="left" w:pos="1260"/>
        </w:tabs>
        <w:ind w:left="720"/>
        <w:rPr>
          <w:bCs/>
        </w:rPr>
      </w:pPr>
      <w:r w:rsidRPr="003F5F0D">
        <w:rPr>
          <w:bCs/>
        </w:rPr>
        <w:t xml:space="preserve">Generally 90% of all distributable profits must be distributed to the investors and should exclude realised/unrealised gains on capital assets. The distribution must take place within 1 financial year. </w:t>
      </w:r>
      <w:r>
        <w:rPr>
          <w:bCs/>
        </w:rPr>
        <w:br/>
      </w:r>
    </w:p>
    <w:p w:rsidR="00534C63" w:rsidRDefault="00534C63" w:rsidP="00534C63">
      <w:pPr>
        <w:pStyle w:val="whp20100506"/>
        <w:numPr>
          <w:ilvl w:val="0"/>
          <w:numId w:val="28"/>
        </w:numPr>
        <w:tabs>
          <w:tab w:val="left" w:pos="1260"/>
        </w:tabs>
        <w:ind w:left="720"/>
        <w:rPr>
          <w:bCs/>
        </w:rPr>
      </w:pPr>
      <w:r>
        <w:rPr>
          <w:bCs/>
        </w:rPr>
        <w:t>All proceeds from the disposals of assets must be reinvested with the flexibility to buy back shares;</w:t>
      </w:r>
    </w:p>
    <w:p w:rsidR="00534C63" w:rsidRDefault="00534C63" w:rsidP="00534C63">
      <w:pPr>
        <w:pStyle w:val="whp20100506"/>
        <w:tabs>
          <w:tab w:val="left" w:pos="1260"/>
        </w:tabs>
        <w:ind w:left="720"/>
        <w:rPr>
          <w:bCs/>
        </w:rPr>
      </w:pPr>
    </w:p>
    <w:p w:rsidR="00534C63" w:rsidRPr="003F5F0D" w:rsidRDefault="00534C63" w:rsidP="00534C63">
      <w:pPr>
        <w:pStyle w:val="whp20100506"/>
        <w:numPr>
          <w:ilvl w:val="0"/>
          <w:numId w:val="28"/>
        </w:numPr>
        <w:tabs>
          <w:tab w:val="left" w:pos="1260"/>
        </w:tabs>
        <w:ind w:left="720"/>
        <w:rPr>
          <w:bCs/>
        </w:rPr>
      </w:pPr>
      <w:r w:rsidRPr="003F5F0D">
        <w:rPr>
          <w:bCs/>
        </w:rPr>
        <w:t xml:space="preserve">The National Treasury must gather further technical information from a wider spectrum of sources inter alia reputable accounting organisations in order to clarify the exact terminology required as far as accounting jargon and financial language is concerned in order to better understand the definitions and ramifications thereof in </w:t>
      </w:r>
      <w:r w:rsidRPr="003F5F0D">
        <w:rPr>
          <w:bCs/>
        </w:rPr>
        <w:lastRenderedPageBreak/>
        <w:t>their appropriate context. What is more the requirement extends to adopting a framework that speaks a universal REIT vernacular acceptable to the international REIT community. This includes the definition of Rental Income, Total Income and  various forms of financial ratios</w:t>
      </w:r>
      <w:r>
        <w:rPr>
          <w:bCs/>
        </w:rPr>
        <w:t>;</w:t>
      </w:r>
    </w:p>
    <w:p w:rsidR="00534C63" w:rsidRDefault="00534C63" w:rsidP="00534C63">
      <w:pPr>
        <w:pStyle w:val="whp20100506"/>
        <w:tabs>
          <w:tab w:val="left" w:pos="1260"/>
        </w:tabs>
        <w:ind w:left="720"/>
        <w:rPr>
          <w:bCs/>
        </w:rPr>
      </w:pPr>
    </w:p>
    <w:p w:rsidR="00534C63" w:rsidRPr="003F5F0D" w:rsidRDefault="00534C63" w:rsidP="00534C63">
      <w:pPr>
        <w:pStyle w:val="whp20100506"/>
        <w:numPr>
          <w:ilvl w:val="0"/>
          <w:numId w:val="28"/>
        </w:numPr>
        <w:tabs>
          <w:tab w:val="left" w:pos="1260"/>
        </w:tabs>
        <w:ind w:left="720"/>
        <w:rPr>
          <w:bCs/>
        </w:rPr>
      </w:pPr>
      <w:r>
        <w:rPr>
          <w:bCs/>
        </w:rPr>
        <w:t>Further on-going workshops will also include determining regulations that would address the payment of fees to service providers.</w:t>
      </w:r>
    </w:p>
    <w:p w:rsidR="00534C63" w:rsidRPr="00FD6D21" w:rsidRDefault="00534C63" w:rsidP="00534C63">
      <w:pPr>
        <w:pStyle w:val="whp20100506"/>
        <w:tabs>
          <w:tab w:val="left" w:pos="1260"/>
        </w:tabs>
        <w:ind w:left="720"/>
        <w:rPr>
          <w:bCs/>
          <w:u w:val="single"/>
        </w:rPr>
      </w:pPr>
    </w:p>
    <w:p w:rsidR="00534C63" w:rsidRPr="00FD6D21" w:rsidRDefault="00534C63" w:rsidP="00FD6D21">
      <w:pPr>
        <w:pStyle w:val="whp20100506"/>
        <w:tabs>
          <w:tab w:val="left" w:pos="1260"/>
        </w:tabs>
        <w:rPr>
          <w:b/>
          <w:bCs/>
          <w:u w:val="single"/>
        </w:rPr>
      </w:pPr>
      <w:r w:rsidRPr="00FD6D21">
        <w:rPr>
          <w:b/>
          <w:bCs/>
          <w:u w:val="single"/>
        </w:rPr>
        <w:t>Gearing</w:t>
      </w:r>
    </w:p>
    <w:p w:rsidR="00534C63" w:rsidRDefault="00534C63" w:rsidP="00534C63">
      <w:pPr>
        <w:pStyle w:val="whp20100506"/>
        <w:tabs>
          <w:tab w:val="left" w:pos="1260"/>
        </w:tabs>
        <w:ind w:left="720"/>
        <w:rPr>
          <w:bCs/>
        </w:rPr>
      </w:pPr>
    </w:p>
    <w:p w:rsidR="00534C63" w:rsidRDefault="00534C63" w:rsidP="00534C63">
      <w:pPr>
        <w:pStyle w:val="whp20100506"/>
        <w:numPr>
          <w:ilvl w:val="0"/>
          <w:numId w:val="28"/>
        </w:numPr>
        <w:tabs>
          <w:tab w:val="left" w:pos="1260"/>
        </w:tabs>
        <w:ind w:left="720"/>
        <w:rPr>
          <w:bCs/>
        </w:rPr>
      </w:pPr>
      <w:r>
        <w:rPr>
          <w:bCs/>
        </w:rPr>
        <w:t>Generally the levels of gearing should not be restricted to any particular percentage but rather subject to an interest cover ratio;</w:t>
      </w:r>
    </w:p>
    <w:p w:rsidR="00534C63" w:rsidRDefault="00534C63" w:rsidP="00534C63">
      <w:pPr>
        <w:pStyle w:val="whp20100506"/>
        <w:tabs>
          <w:tab w:val="left" w:pos="1260"/>
        </w:tabs>
        <w:ind w:left="720"/>
        <w:rPr>
          <w:bCs/>
        </w:rPr>
      </w:pPr>
    </w:p>
    <w:p w:rsidR="00534C63" w:rsidRPr="002F2ED5" w:rsidRDefault="00534C63" w:rsidP="00534C63">
      <w:pPr>
        <w:pStyle w:val="whp20100506"/>
        <w:numPr>
          <w:ilvl w:val="0"/>
          <w:numId w:val="28"/>
        </w:numPr>
        <w:tabs>
          <w:tab w:val="left" w:pos="1260"/>
        </w:tabs>
        <w:ind w:left="720"/>
        <w:rPr>
          <w:bCs/>
        </w:rPr>
      </w:pPr>
      <w:r w:rsidRPr="002F2ED5">
        <w:rPr>
          <w:bCs/>
        </w:rPr>
        <w:t>The use of debt instruments should be widely interpreted and limited only to those offered by a financial institution that is subject to the scrutiny o</w:t>
      </w:r>
      <w:r>
        <w:rPr>
          <w:bCs/>
        </w:rPr>
        <w:t>f the Financial Services Board;</w:t>
      </w:r>
      <w:r w:rsidRPr="002F2ED5">
        <w:rPr>
          <w:bCs/>
        </w:rPr>
        <w:br/>
      </w:r>
    </w:p>
    <w:p w:rsidR="00534C63" w:rsidRDefault="00534C63" w:rsidP="00534C63">
      <w:pPr>
        <w:pStyle w:val="whp20100506"/>
        <w:numPr>
          <w:ilvl w:val="0"/>
          <w:numId w:val="28"/>
        </w:numPr>
        <w:tabs>
          <w:tab w:val="left" w:pos="1260"/>
        </w:tabs>
        <w:ind w:left="720"/>
        <w:rPr>
          <w:bCs/>
        </w:rPr>
      </w:pPr>
      <w:r>
        <w:rPr>
          <w:bCs/>
        </w:rPr>
        <w:t>In terms of imposing limitations to restricting related practices related to financial instruments such as interest rate hedging, swaps etc, this is an area of specialisation that falls outside this Research Report. Consequently the National Treasury should seek further understanding through special workshops that include representatives from the finance and investment community.</w:t>
      </w:r>
    </w:p>
    <w:p w:rsidR="00534C63" w:rsidRDefault="00534C63" w:rsidP="00534C63">
      <w:pPr>
        <w:pStyle w:val="whp20100506"/>
        <w:rPr>
          <w:bCs/>
        </w:rPr>
      </w:pPr>
    </w:p>
    <w:p w:rsidR="00534C63" w:rsidRPr="00FD6D21" w:rsidRDefault="00534C63" w:rsidP="00FD6D21">
      <w:pPr>
        <w:pStyle w:val="whp20100506"/>
        <w:rPr>
          <w:b/>
          <w:bCs/>
          <w:u w:val="single"/>
        </w:rPr>
      </w:pPr>
      <w:r w:rsidRPr="00FD6D21">
        <w:rPr>
          <w:b/>
          <w:bCs/>
          <w:u w:val="single"/>
        </w:rPr>
        <w:t>Investor Protection</w:t>
      </w:r>
    </w:p>
    <w:p w:rsidR="00534C63" w:rsidRPr="003C3A7F" w:rsidRDefault="00534C63" w:rsidP="00534C63">
      <w:pPr>
        <w:pStyle w:val="whp20100506"/>
        <w:ind w:left="720"/>
        <w:rPr>
          <w:b/>
          <w:bCs/>
        </w:rPr>
      </w:pPr>
    </w:p>
    <w:p w:rsidR="00534C63" w:rsidRDefault="00534C63" w:rsidP="00534C63">
      <w:pPr>
        <w:pStyle w:val="whp20100506"/>
        <w:numPr>
          <w:ilvl w:val="0"/>
          <w:numId w:val="28"/>
        </w:numPr>
        <w:ind w:left="720"/>
        <w:rPr>
          <w:bCs/>
        </w:rPr>
      </w:pPr>
      <w:r>
        <w:rPr>
          <w:bCs/>
        </w:rPr>
        <w:t xml:space="preserve">The National Treasury must workshop with the appropriate regulatory bodies such as the FSB to determine what would constitute an appropriate set of rules applicable to both directors and trustees of </w:t>
      </w:r>
      <w:r w:rsidR="00194F2A">
        <w:rPr>
          <w:bCs/>
        </w:rPr>
        <w:t>REITS</w:t>
      </w:r>
      <w:r>
        <w:rPr>
          <w:bCs/>
        </w:rPr>
        <w:t xml:space="preserve"> (i.e. irrespective of the underlying juristic form of the REIT). </w:t>
      </w:r>
      <w:r>
        <w:rPr>
          <w:bCs/>
        </w:rPr>
        <w:br/>
      </w:r>
    </w:p>
    <w:p w:rsidR="00534C63" w:rsidRDefault="00534C63" w:rsidP="00534C63">
      <w:pPr>
        <w:pStyle w:val="whp20100506"/>
        <w:numPr>
          <w:ilvl w:val="0"/>
          <w:numId w:val="28"/>
        </w:numPr>
        <w:ind w:left="720"/>
        <w:rPr>
          <w:bCs/>
        </w:rPr>
      </w:pPr>
      <w:r>
        <w:rPr>
          <w:bCs/>
        </w:rPr>
        <w:t>A uniform Generic Deed would best achieve this seeking to hold the management accountable to the unit holders.</w:t>
      </w:r>
    </w:p>
    <w:p w:rsidR="00694F60" w:rsidRDefault="00694F60" w:rsidP="00694F60">
      <w:pPr>
        <w:pStyle w:val="whp20100506"/>
        <w:ind w:left="720"/>
        <w:rPr>
          <w:bCs/>
        </w:rPr>
      </w:pPr>
    </w:p>
    <w:p w:rsidR="00534C63" w:rsidRPr="00FD6D21" w:rsidRDefault="00534C63" w:rsidP="00FD6D21">
      <w:pPr>
        <w:pStyle w:val="whp20100506"/>
        <w:rPr>
          <w:b/>
          <w:bCs/>
          <w:u w:val="single"/>
        </w:rPr>
      </w:pPr>
      <w:r w:rsidRPr="00FD6D21">
        <w:rPr>
          <w:b/>
          <w:bCs/>
          <w:u w:val="single"/>
        </w:rPr>
        <w:lastRenderedPageBreak/>
        <w:t>Implications of Non-Compliance</w:t>
      </w:r>
    </w:p>
    <w:p w:rsidR="00534C63" w:rsidRPr="003C3A7F" w:rsidRDefault="00534C63" w:rsidP="00534C63">
      <w:pPr>
        <w:pStyle w:val="whp20100506"/>
        <w:ind w:left="720"/>
        <w:rPr>
          <w:b/>
          <w:bCs/>
        </w:rPr>
      </w:pPr>
    </w:p>
    <w:p w:rsidR="00534C63" w:rsidRDefault="00534C63" w:rsidP="00534C63">
      <w:pPr>
        <w:pStyle w:val="whp20100506"/>
        <w:numPr>
          <w:ilvl w:val="0"/>
          <w:numId w:val="28"/>
        </w:numPr>
        <w:ind w:left="720"/>
        <w:rPr>
          <w:bCs/>
        </w:rPr>
      </w:pPr>
      <w:r>
        <w:rPr>
          <w:bCs/>
        </w:rPr>
        <w:t>Generally a distinction must be made between an active breach (a breach of existing legislation at the time of the action) and passive breach (an action that is compliant at that particular time with existing legislation) along with a remedial period of 1 year to correct the breach;</w:t>
      </w:r>
      <w:r>
        <w:rPr>
          <w:bCs/>
        </w:rPr>
        <w:br/>
      </w:r>
    </w:p>
    <w:p w:rsidR="00534C63" w:rsidRDefault="00534C63" w:rsidP="00534C63">
      <w:pPr>
        <w:pStyle w:val="whp20100506"/>
        <w:numPr>
          <w:ilvl w:val="0"/>
          <w:numId w:val="28"/>
        </w:numPr>
        <w:ind w:left="720"/>
        <w:rPr>
          <w:bCs/>
        </w:rPr>
      </w:pPr>
      <w:r>
        <w:rPr>
          <w:bCs/>
        </w:rPr>
        <w:t xml:space="preserve">Should the breach not be remedied, the sanction should be a loss of REIT status. For repeat offenders there should be a monetary penalty; </w:t>
      </w:r>
      <w:r>
        <w:rPr>
          <w:bCs/>
        </w:rPr>
        <w:br/>
      </w:r>
    </w:p>
    <w:p w:rsidR="00534C63" w:rsidRDefault="00534C63" w:rsidP="00534C63">
      <w:pPr>
        <w:pStyle w:val="whp20100506"/>
        <w:numPr>
          <w:ilvl w:val="0"/>
          <w:numId w:val="28"/>
        </w:numPr>
        <w:ind w:left="720"/>
        <w:rPr>
          <w:bCs/>
        </w:rPr>
      </w:pPr>
      <w:r>
        <w:rPr>
          <w:bCs/>
        </w:rPr>
        <w:t>An all-or-nothing approach must be adopted in order to create the necessary motivation to comply with REIT rules and regulations</w:t>
      </w:r>
    </w:p>
    <w:p w:rsidR="00534C63" w:rsidRDefault="00534C63" w:rsidP="00534C63">
      <w:pPr>
        <w:pStyle w:val="whp20100506"/>
        <w:ind w:left="720"/>
        <w:rPr>
          <w:bCs/>
        </w:rPr>
      </w:pPr>
    </w:p>
    <w:p w:rsidR="00534C63" w:rsidRPr="00FD6D21" w:rsidRDefault="00534C63" w:rsidP="00FD6D21">
      <w:pPr>
        <w:pStyle w:val="whp20100506"/>
        <w:rPr>
          <w:b/>
          <w:bCs/>
          <w:u w:val="single"/>
        </w:rPr>
      </w:pPr>
      <w:r w:rsidRPr="00FD6D21">
        <w:rPr>
          <w:b/>
          <w:bCs/>
          <w:u w:val="single"/>
        </w:rPr>
        <w:t xml:space="preserve">Tax Implications of Income Distribution </w:t>
      </w:r>
    </w:p>
    <w:p w:rsidR="00534C63" w:rsidRPr="003C3A7F" w:rsidRDefault="00534C63" w:rsidP="00534C63">
      <w:pPr>
        <w:pStyle w:val="whp20100506"/>
        <w:ind w:left="720"/>
        <w:rPr>
          <w:b/>
          <w:bCs/>
        </w:rPr>
      </w:pPr>
    </w:p>
    <w:p w:rsidR="00534C63" w:rsidRDefault="00534C63" w:rsidP="00534C63">
      <w:pPr>
        <w:pStyle w:val="whp20100506"/>
        <w:numPr>
          <w:ilvl w:val="0"/>
          <w:numId w:val="28"/>
        </w:numPr>
        <w:ind w:left="720"/>
        <w:rPr>
          <w:bCs/>
        </w:rPr>
      </w:pPr>
      <w:r>
        <w:rPr>
          <w:bCs/>
        </w:rPr>
        <w:t xml:space="preserve">All payments and distributions to investors should be should retain their nature in the hands of the investor where it is ultimately taxed </w:t>
      </w:r>
    </w:p>
    <w:p w:rsidR="00534C63" w:rsidRDefault="00534C63" w:rsidP="00534C63">
      <w:pPr>
        <w:pStyle w:val="whp20100506"/>
        <w:ind w:left="720"/>
        <w:rPr>
          <w:bCs/>
        </w:rPr>
      </w:pPr>
    </w:p>
    <w:p w:rsidR="00534C63" w:rsidRPr="00FD6D21" w:rsidRDefault="00534C63" w:rsidP="00FD6D21">
      <w:pPr>
        <w:pStyle w:val="whp20100506"/>
        <w:rPr>
          <w:b/>
          <w:bCs/>
          <w:u w:val="single"/>
        </w:rPr>
      </w:pPr>
      <w:r w:rsidRPr="00FD6D21">
        <w:rPr>
          <w:b/>
          <w:bCs/>
          <w:u w:val="single"/>
        </w:rPr>
        <w:t>Tax Implications of Capital Gain</w:t>
      </w:r>
    </w:p>
    <w:p w:rsidR="00534C63" w:rsidRDefault="00534C63" w:rsidP="00534C63">
      <w:pPr>
        <w:pStyle w:val="whp20100506"/>
        <w:ind w:left="720"/>
        <w:rPr>
          <w:bCs/>
        </w:rPr>
      </w:pPr>
    </w:p>
    <w:p w:rsidR="00534C63" w:rsidRDefault="00534C63" w:rsidP="00534C63">
      <w:pPr>
        <w:pStyle w:val="whp20100506"/>
        <w:numPr>
          <w:ilvl w:val="0"/>
          <w:numId w:val="28"/>
        </w:numPr>
        <w:ind w:left="720"/>
        <w:rPr>
          <w:bCs/>
        </w:rPr>
      </w:pPr>
      <w:r>
        <w:rPr>
          <w:bCs/>
        </w:rPr>
        <w:t>The National Treasury must better understand the circumstances surrounding the entry tax proposals as a way of offsetting the abandonment of deferred tax liabilities. This should be done by way of conducting workshops with local industry to quantify the values of the deferred tax liabilities along with the timing that these liabilities would materialise. These parameters would then enhance the decision making process with regards to the viability of implementing an entry tax.</w:t>
      </w:r>
    </w:p>
    <w:p w:rsidR="00534C63" w:rsidRDefault="00534C63" w:rsidP="00534C63">
      <w:pPr>
        <w:pStyle w:val="whp20100506"/>
        <w:rPr>
          <w:bCs/>
        </w:rPr>
      </w:pPr>
    </w:p>
    <w:p w:rsidR="00534C63" w:rsidRPr="00FD6D21" w:rsidRDefault="00534C63" w:rsidP="00FD6D21">
      <w:pPr>
        <w:pStyle w:val="whp20100506"/>
        <w:rPr>
          <w:b/>
          <w:bCs/>
          <w:u w:val="single"/>
        </w:rPr>
      </w:pPr>
      <w:r w:rsidRPr="00FD6D21">
        <w:rPr>
          <w:b/>
          <w:bCs/>
          <w:u w:val="single"/>
        </w:rPr>
        <w:t xml:space="preserve">Areas overlooked by National Treasury: Broad Based Black Economic Empowerment </w:t>
      </w:r>
    </w:p>
    <w:p w:rsidR="00534C63" w:rsidRDefault="00534C63" w:rsidP="00534C63">
      <w:pPr>
        <w:pStyle w:val="whp20100506"/>
        <w:ind w:left="720"/>
        <w:rPr>
          <w:bCs/>
        </w:rPr>
      </w:pPr>
    </w:p>
    <w:p w:rsidR="00534C63" w:rsidRDefault="00534C63" w:rsidP="00534C63">
      <w:pPr>
        <w:pStyle w:val="whp20100506"/>
        <w:numPr>
          <w:ilvl w:val="0"/>
          <w:numId w:val="28"/>
        </w:numPr>
        <w:ind w:left="720"/>
        <w:rPr>
          <w:bCs/>
        </w:rPr>
      </w:pPr>
      <w:r>
        <w:rPr>
          <w:bCs/>
        </w:rPr>
        <w:t xml:space="preserve">The National Treasury needs to explore alternatives that help assist the investment community to embrace and promote the principles of BBBEE by overcoming the regulatory constraints within the proposed frameworks, particularly with regards to the financial assistance for BEE investors and ownership transfer. This will require </w:t>
      </w:r>
      <w:r>
        <w:rPr>
          <w:bCs/>
        </w:rPr>
        <w:lastRenderedPageBreak/>
        <w:t>specific legislative amendments to allow CISPs to engage in a similar manner as PLSs in terms of financing BEE transactions and encumbering of CISPs assets</w:t>
      </w:r>
      <w:r>
        <w:rPr>
          <w:bCs/>
        </w:rPr>
        <w:br/>
      </w:r>
    </w:p>
    <w:p w:rsidR="00534C63" w:rsidRPr="0090579E" w:rsidRDefault="00534C63" w:rsidP="00534C63">
      <w:pPr>
        <w:pStyle w:val="whp20100506"/>
        <w:numPr>
          <w:ilvl w:val="0"/>
          <w:numId w:val="28"/>
        </w:numPr>
        <w:ind w:left="720"/>
      </w:pPr>
      <w:r w:rsidRPr="009D4C31">
        <w:rPr>
          <w:bCs/>
        </w:rPr>
        <w:t>The final rules for BEE must be included in the Gearing regulations in terms of either a percentage cap (i.e. towards the maximum of 60% or an interest coverage ratio)</w:t>
      </w:r>
      <w:bookmarkStart w:id="42" w:name="_Toc240206090"/>
      <w:bookmarkEnd w:id="36"/>
    </w:p>
    <w:p w:rsidR="00534C63" w:rsidRDefault="00534C63" w:rsidP="00534C63">
      <w:pPr>
        <w:pStyle w:val="whp20100506"/>
        <w:rPr>
          <w:b/>
        </w:rPr>
      </w:pPr>
    </w:p>
    <w:p w:rsidR="00534C63" w:rsidRPr="00FD6D21" w:rsidRDefault="00534C63" w:rsidP="00FD6D21">
      <w:pPr>
        <w:pStyle w:val="whp20100506"/>
        <w:tabs>
          <w:tab w:val="left" w:pos="720"/>
          <w:tab w:val="left" w:pos="900"/>
        </w:tabs>
        <w:rPr>
          <w:b/>
          <w:u w:val="single"/>
        </w:rPr>
      </w:pPr>
      <w:r w:rsidRPr="00FD6D21">
        <w:rPr>
          <w:b/>
          <w:u w:val="single"/>
        </w:rPr>
        <w:t>Areas overlooked by National Treasury: Accounting Terminology</w:t>
      </w:r>
    </w:p>
    <w:p w:rsidR="00FD6D21" w:rsidRDefault="00FD6D21" w:rsidP="00FD6D21">
      <w:pPr>
        <w:pStyle w:val="whp20100506"/>
        <w:tabs>
          <w:tab w:val="left" w:pos="360"/>
          <w:tab w:val="left" w:pos="720"/>
        </w:tabs>
        <w:ind w:left="720"/>
      </w:pPr>
    </w:p>
    <w:p w:rsidR="00534C63" w:rsidRDefault="00534C63" w:rsidP="00534C63">
      <w:pPr>
        <w:pStyle w:val="whp20100506"/>
        <w:numPr>
          <w:ilvl w:val="0"/>
          <w:numId w:val="32"/>
        </w:numPr>
        <w:tabs>
          <w:tab w:val="left" w:pos="360"/>
          <w:tab w:val="left" w:pos="720"/>
        </w:tabs>
        <w:ind w:left="720"/>
      </w:pPr>
      <w:r>
        <w:t>Generic accounting definitions</w:t>
      </w:r>
    </w:p>
    <w:p w:rsidR="00534C63" w:rsidRDefault="00534C63" w:rsidP="00534C63">
      <w:pPr>
        <w:pStyle w:val="whp20100506"/>
        <w:numPr>
          <w:ilvl w:val="1"/>
          <w:numId w:val="32"/>
        </w:numPr>
        <w:tabs>
          <w:tab w:val="left" w:pos="360"/>
          <w:tab w:val="left" w:pos="720"/>
        </w:tabs>
      </w:pPr>
      <w:r>
        <w:t>Profits</w:t>
      </w:r>
    </w:p>
    <w:p w:rsidR="00534C63" w:rsidRDefault="00534C63" w:rsidP="00534C63">
      <w:pPr>
        <w:pStyle w:val="whp20100506"/>
        <w:numPr>
          <w:ilvl w:val="1"/>
          <w:numId w:val="32"/>
        </w:numPr>
        <w:tabs>
          <w:tab w:val="left" w:pos="360"/>
          <w:tab w:val="left" w:pos="720"/>
        </w:tabs>
      </w:pPr>
      <w:r>
        <w:t xml:space="preserve">Income </w:t>
      </w:r>
    </w:p>
    <w:p w:rsidR="00534C63" w:rsidRDefault="00534C63" w:rsidP="00534C63">
      <w:pPr>
        <w:pStyle w:val="whp20100506"/>
        <w:numPr>
          <w:ilvl w:val="1"/>
          <w:numId w:val="32"/>
        </w:numPr>
        <w:tabs>
          <w:tab w:val="left" w:pos="360"/>
          <w:tab w:val="left" w:pos="720"/>
        </w:tabs>
      </w:pPr>
      <w:r>
        <w:t xml:space="preserve">Valuation </w:t>
      </w:r>
    </w:p>
    <w:p w:rsidR="00534C63" w:rsidRDefault="00534C63" w:rsidP="00534C63">
      <w:pPr>
        <w:pStyle w:val="whp20100506"/>
        <w:numPr>
          <w:ilvl w:val="1"/>
          <w:numId w:val="32"/>
        </w:numPr>
        <w:tabs>
          <w:tab w:val="left" w:pos="360"/>
          <w:tab w:val="left" w:pos="720"/>
        </w:tabs>
      </w:pPr>
      <w:r>
        <w:t>Financial ratios</w:t>
      </w:r>
    </w:p>
    <w:p w:rsidR="00534C63" w:rsidRDefault="00534C63" w:rsidP="00534C63">
      <w:pPr>
        <w:pStyle w:val="whp20100506"/>
        <w:tabs>
          <w:tab w:val="left" w:pos="360"/>
          <w:tab w:val="left" w:pos="720"/>
        </w:tabs>
        <w:ind w:left="1800"/>
      </w:pPr>
    </w:p>
    <w:p w:rsidR="00534C63" w:rsidRDefault="00534C63" w:rsidP="00534C63">
      <w:pPr>
        <w:pStyle w:val="whp20100506"/>
        <w:numPr>
          <w:ilvl w:val="0"/>
          <w:numId w:val="32"/>
        </w:numPr>
        <w:tabs>
          <w:tab w:val="left" w:pos="360"/>
          <w:tab w:val="left" w:pos="720"/>
        </w:tabs>
        <w:ind w:left="720"/>
      </w:pPr>
      <w:r>
        <w:t>General accounting policies</w:t>
      </w:r>
    </w:p>
    <w:p w:rsidR="00534C63" w:rsidRDefault="00534C63" w:rsidP="00534C63">
      <w:pPr>
        <w:pStyle w:val="whp20100506"/>
        <w:numPr>
          <w:ilvl w:val="1"/>
          <w:numId w:val="32"/>
        </w:numPr>
        <w:tabs>
          <w:tab w:val="left" w:pos="360"/>
          <w:tab w:val="left" w:pos="720"/>
        </w:tabs>
      </w:pPr>
      <w:r>
        <w:t>Expenses</w:t>
      </w:r>
    </w:p>
    <w:p w:rsidR="00534C63" w:rsidRDefault="00534C63" w:rsidP="00534C63">
      <w:pPr>
        <w:pStyle w:val="whp20100506"/>
        <w:numPr>
          <w:ilvl w:val="1"/>
          <w:numId w:val="32"/>
        </w:numPr>
        <w:tabs>
          <w:tab w:val="left" w:pos="360"/>
          <w:tab w:val="left" w:pos="720"/>
        </w:tabs>
      </w:pPr>
      <w:r>
        <w:t>International Financial Reporting Standards</w:t>
      </w:r>
    </w:p>
    <w:p w:rsidR="00534C63" w:rsidRDefault="00534C63" w:rsidP="00534C63">
      <w:pPr>
        <w:pStyle w:val="whp20100506"/>
        <w:numPr>
          <w:ilvl w:val="1"/>
          <w:numId w:val="32"/>
        </w:numPr>
        <w:tabs>
          <w:tab w:val="left" w:pos="360"/>
          <w:tab w:val="left" w:pos="720"/>
        </w:tabs>
      </w:pPr>
      <w:r>
        <w:t>Regulation of compliance</w:t>
      </w:r>
    </w:p>
    <w:p w:rsidR="00534C63" w:rsidRDefault="00534C63" w:rsidP="00534C63">
      <w:pPr>
        <w:pStyle w:val="whp20100506"/>
        <w:numPr>
          <w:ilvl w:val="1"/>
          <w:numId w:val="32"/>
        </w:numPr>
        <w:tabs>
          <w:tab w:val="left" w:pos="360"/>
          <w:tab w:val="left" w:pos="720"/>
        </w:tabs>
      </w:pPr>
      <w:r>
        <w:t xml:space="preserve">Auditing </w:t>
      </w:r>
    </w:p>
    <w:p w:rsidR="00534C63" w:rsidRDefault="00534C63" w:rsidP="00534C63">
      <w:pPr>
        <w:pStyle w:val="whp20100506"/>
        <w:tabs>
          <w:tab w:val="left" w:pos="360"/>
          <w:tab w:val="left" w:pos="720"/>
        </w:tabs>
        <w:ind w:left="1800"/>
      </w:pPr>
    </w:p>
    <w:p w:rsidR="00534C63" w:rsidRPr="00FD6D21" w:rsidRDefault="00534C63" w:rsidP="00FD6D21">
      <w:pPr>
        <w:pStyle w:val="whp20100506"/>
        <w:tabs>
          <w:tab w:val="left" w:pos="720"/>
          <w:tab w:val="left" w:pos="900"/>
        </w:tabs>
        <w:rPr>
          <w:b/>
          <w:u w:val="single"/>
        </w:rPr>
      </w:pPr>
      <w:r w:rsidRPr="00FD6D21">
        <w:rPr>
          <w:b/>
          <w:u w:val="single"/>
        </w:rPr>
        <w:t xml:space="preserve">Areas overlooked by National Treasury: Proposed Structure of a REIT Term Sheet in South Africa </w:t>
      </w:r>
    </w:p>
    <w:p w:rsidR="00534C63" w:rsidRPr="00073830" w:rsidRDefault="00534C63" w:rsidP="00534C63">
      <w:pPr>
        <w:pStyle w:val="whp20100506"/>
        <w:tabs>
          <w:tab w:val="left" w:pos="720"/>
          <w:tab w:val="left" w:pos="900"/>
        </w:tabs>
        <w:ind w:left="360"/>
        <w:rPr>
          <w:b/>
        </w:rPr>
      </w:pPr>
    </w:p>
    <w:p w:rsidR="00534C63" w:rsidRDefault="00534C63" w:rsidP="00534C63">
      <w:pPr>
        <w:pStyle w:val="whp20100506"/>
        <w:numPr>
          <w:ilvl w:val="0"/>
          <w:numId w:val="31"/>
        </w:numPr>
        <w:tabs>
          <w:tab w:val="left" w:pos="720"/>
        </w:tabs>
        <w:ind w:left="720"/>
      </w:pPr>
      <w:r>
        <w:t xml:space="preserve">Juristic Vehicle </w:t>
      </w:r>
    </w:p>
    <w:p w:rsidR="00534C63" w:rsidRDefault="00534C63" w:rsidP="00534C63">
      <w:pPr>
        <w:pStyle w:val="whp20100506"/>
        <w:numPr>
          <w:ilvl w:val="1"/>
          <w:numId w:val="31"/>
        </w:numPr>
        <w:tabs>
          <w:tab w:val="left" w:pos="720"/>
        </w:tabs>
      </w:pPr>
      <w:r>
        <w:t>Trust or Company</w:t>
      </w:r>
    </w:p>
    <w:p w:rsidR="00534C63" w:rsidRDefault="00534C63" w:rsidP="00534C63">
      <w:pPr>
        <w:pStyle w:val="whp20100506"/>
        <w:tabs>
          <w:tab w:val="left" w:pos="720"/>
        </w:tabs>
        <w:ind w:left="1800"/>
      </w:pPr>
    </w:p>
    <w:p w:rsidR="00534C63" w:rsidRDefault="00534C63" w:rsidP="00534C63">
      <w:pPr>
        <w:pStyle w:val="whp20100506"/>
        <w:numPr>
          <w:ilvl w:val="0"/>
          <w:numId w:val="31"/>
        </w:numPr>
        <w:tabs>
          <w:tab w:val="left" w:pos="720"/>
        </w:tabs>
        <w:ind w:left="720"/>
      </w:pPr>
      <w:r>
        <w:t>Main Business</w:t>
      </w:r>
    </w:p>
    <w:p w:rsidR="00534C63" w:rsidRDefault="00534C63" w:rsidP="00534C63">
      <w:pPr>
        <w:pStyle w:val="whp20100506"/>
        <w:numPr>
          <w:ilvl w:val="1"/>
          <w:numId w:val="31"/>
        </w:numPr>
        <w:tabs>
          <w:tab w:val="left" w:pos="720"/>
        </w:tabs>
      </w:pPr>
      <w:r>
        <w:t xml:space="preserve">Defining the activities that generate a source of income </w:t>
      </w:r>
    </w:p>
    <w:p w:rsidR="00534C63" w:rsidRDefault="00534C63" w:rsidP="00534C63">
      <w:pPr>
        <w:pStyle w:val="whp20100506"/>
        <w:tabs>
          <w:tab w:val="left" w:pos="720"/>
        </w:tabs>
        <w:ind w:left="1800"/>
      </w:pPr>
    </w:p>
    <w:p w:rsidR="00534C63" w:rsidRDefault="00534C63" w:rsidP="00534C63">
      <w:pPr>
        <w:pStyle w:val="whp20100506"/>
        <w:numPr>
          <w:ilvl w:val="0"/>
          <w:numId w:val="31"/>
        </w:numPr>
        <w:tabs>
          <w:tab w:val="left" w:pos="720"/>
        </w:tabs>
        <w:ind w:left="720"/>
      </w:pPr>
      <w:r>
        <w:t>Business Parameters</w:t>
      </w:r>
    </w:p>
    <w:p w:rsidR="00534C63" w:rsidRDefault="00534C63" w:rsidP="00534C63">
      <w:pPr>
        <w:pStyle w:val="whp20100506"/>
        <w:numPr>
          <w:ilvl w:val="1"/>
          <w:numId w:val="31"/>
        </w:numPr>
        <w:tabs>
          <w:tab w:val="left" w:pos="720"/>
        </w:tabs>
      </w:pPr>
      <w:r>
        <w:t>Income Rules</w:t>
      </w:r>
    </w:p>
    <w:p w:rsidR="00534C63" w:rsidRDefault="00534C63" w:rsidP="00534C63">
      <w:pPr>
        <w:pStyle w:val="whp20100506"/>
        <w:numPr>
          <w:ilvl w:val="1"/>
          <w:numId w:val="31"/>
        </w:numPr>
        <w:tabs>
          <w:tab w:val="left" w:pos="720"/>
        </w:tabs>
      </w:pPr>
      <w:r>
        <w:t>Asset Rules</w:t>
      </w:r>
    </w:p>
    <w:p w:rsidR="00534C63" w:rsidRDefault="00534C63" w:rsidP="00534C63">
      <w:pPr>
        <w:pStyle w:val="whp20100506"/>
        <w:numPr>
          <w:ilvl w:val="1"/>
          <w:numId w:val="31"/>
        </w:numPr>
        <w:tabs>
          <w:tab w:val="left" w:pos="720"/>
        </w:tabs>
      </w:pPr>
      <w:r>
        <w:t>Gearing</w:t>
      </w:r>
    </w:p>
    <w:p w:rsidR="00534C63" w:rsidRDefault="00534C63" w:rsidP="00534C63">
      <w:pPr>
        <w:pStyle w:val="whp20100506"/>
        <w:numPr>
          <w:ilvl w:val="1"/>
          <w:numId w:val="31"/>
        </w:numPr>
        <w:tabs>
          <w:tab w:val="left" w:pos="720"/>
        </w:tabs>
      </w:pPr>
      <w:r>
        <w:lastRenderedPageBreak/>
        <w:t>Distribution Rules</w:t>
      </w:r>
    </w:p>
    <w:p w:rsidR="00534C63" w:rsidRDefault="00534C63" w:rsidP="00534C63">
      <w:pPr>
        <w:pStyle w:val="whp20100506"/>
        <w:tabs>
          <w:tab w:val="left" w:pos="720"/>
        </w:tabs>
        <w:ind w:left="1800"/>
      </w:pPr>
    </w:p>
    <w:p w:rsidR="00534C63" w:rsidRDefault="00534C63" w:rsidP="00534C63">
      <w:pPr>
        <w:pStyle w:val="whp20100506"/>
        <w:numPr>
          <w:ilvl w:val="0"/>
          <w:numId w:val="31"/>
        </w:numPr>
        <w:tabs>
          <w:tab w:val="left" w:pos="720"/>
        </w:tabs>
        <w:ind w:left="720"/>
      </w:pPr>
      <w:r>
        <w:t xml:space="preserve">Share Capital Structure </w:t>
      </w:r>
    </w:p>
    <w:p w:rsidR="00534C63" w:rsidRDefault="00534C63" w:rsidP="00534C63">
      <w:pPr>
        <w:pStyle w:val="whp20100506"/>
        <w:numPr>
          <w:ilvl w:val="1"/>
          <w:numId w:val="31"/>
        </w:numPr>
        <w:tabs>
          <w:tab w:val="left" w:pos="720"/>
        </w:tabs>
      </w:pPr>
      <w:r>
        <w:t>Classes of units</w:t>
      </w:r>
    </w:p>
    <w:p w:rsidR="00534C63" w:rsidRDefault="00534C63" w:rsidP="00534C63">
      <w:pPr>
        <w:pStyle w:val="whp20100506"/>
        <w:numPr>
          <w:ilvl w:val="1"/>
          <w:numId w:val="31"/>
        </w:numPr>
        <w:tabs>
          <w:tab w:val="left" w:pos="720"/>
        </w:tabs>
      </w:pPr>
      <w:r>
        <w:t>Preferential shares</w:t>
      </w:r>
    </w:p>
    <w:p w:rsidR="00534C63" w:rsidRDefault="00534C63" w:rsidP="00534C63">
      <w:pPr>
        <w:pStyle w:val="whp20100506"/>
        <w:numPr>
          <w:ilvl w:val="1"/>
          <w:numId w:val="31"/>
        </w:numPr>
        <w:tabs>
          <w:tab w:val="left" w:pos="720"/>
        </w:tabs>
      </w:pPr>
      <w:r>
        <w:t>Debentures, bonds and securities</w:t>
      </w:r>
    </w:p>
    <w:p w:rsidR="00D41D9E" w:rsidRDefault="00D41D9E" w:rsidP="00D41D9E">
      <w:pPr>
        <w:pStyle w:val="whp20100506"/>
        <w:tabs>
          <w:tab w:val="left" w:pos="720"/>
        </w:tabs>
        <w:ind w:left="1800"/>
      </w:pPr>
    </w:p>
    <w:p w:rsidR="00534C63" w:rsidRDefault="00534C63" w:rsidP="00534C63">
      <w:pPr>
        <w:pStyle w:val="whp20100506"/>
        <w:numPr>
          <w:ilvl w:val="0"/>
          <w:numId w:val="31"/>
        </w:numPr>
        <w:tabs>
          <w:tab w:val="left" w:pos="720"/>
        </w:tabs>
        <w:ind w:left="720"/>
      </w:pPr>
      <w:r>
        <w:t>Income Distributions</w:t>
      </w:r>
    </w:p>
    <w:p w:rsidR="00534C63" w:rsidRDefault="00534C63" w:rsidP="00534C63">
      <w:pPr>
        <w:pStyle w:val="whp20100506"/>
        <w:numPr>
          <w:ilvl w:val="1"/>
          <w:numId w:val="31"/>
        </w:numPr>
        <w:tabs>
          <w:tab w:val="left" w:pos="720"/>
        </w:tabs>
      </w:pPr>
      <w:r>
        <w:t>Method and frequency of distributions</w:t>
      </w:r>
    </w:p>
    <w:p w:rsidR="00534C63" w:rsidRDefault="00534C63" w:rsidP="00534C63">
      <w:pPr>
        <w:pStyle w:val="whp20100506"/>
        <w:tabs>
          <w:tab w:val="left" w:pos="720"/>
        </w:tabs>
        <w:ind w:left="1800"/>
      </w:pPr>
    </w:p>
    <w:p w:rsidR="00534C63" w:rsidRDefault="00534C63" w:rsidP="00534C63">
      <w:pPr>
        <w:pStyle w:val="whp20100506"/>
        <w:numPr>
          <w:ilvl w:val="0"/>
          <w:numId w:val="31"/>
        </w:numPr>
        <w:tabs>
          <w:tab w:val="left" w:pos="720"/>
        </w:tabs>
        <w:ind w:left="720"/>
      </w:pPr>
      <w:r>
        <w:t xml:space="preserve">Rights of Shareholders  </w:t>
      </w:r>
    </w:p>
    <w:p w:rsidR="00534C63" w:rsidRDefault="00534C63" w:rsidP="00534C63">
      <w:pPr>
        <w:pStyle w:val="whp20100506"/>
        <w:numPr>
          <w:ilvl w:val="1"/>
          <w:numId w:val="31"/>
        </w:numPr>
        <w:tabs>
          <w:tab w:val="left" w:pos="720"/>
        </w:tabs>
      </w:pPr>
      <w:r>
        <w:t>Voting, meetings, AGM’s, resolutions etc</w:t>
      </w:r>
    </w:p>
    <w:p w:rsidR="00534C63" w:rsidRDefault="00534C63" w:rsidP="00534C63">
      <w:pPr>
        <w:pStyle w:val="whp20100506"/>
        <w:tabs>
          <w:tab w:val="left" w:pos="720"/>
        </w:tabs>
        <w:ind w:left="1800"/>
      </w:pPr>
    </w:p>
    <w:p w:rsidR="00534C63" w:rsidRDefault="00534C63" w:rsidP="00534C63">
      <w:pPr>
        <w:pStyle w:val="whp20100506"/>
        <w:numPr>
          <w:ilvl w:val="0"/>
          <w:numId w:val="31"/>
        </w:numPr>
        <w:tabs>
          <w:tab w:val="left" w:pos="720"/>
        </w:tabs>
        <w:ind w:left="720"/>
      </w:pPr>
      <w:r>
        <w:t xml:space="preserve">Directors of REIT </w:t>
      </w:r>
    </w:p>
    <w:p w:rsidR="00534C63" w:rsidRDefault="00534C63" w:rsidP="00534C63">
      <w:pPr>
        <w:pStyle w:val="whp20100506"/>
        <w:numPr>
          <w:ilvl w:val="1"/>
          <w:numId w:val="31"/>
        </w:numPr>
        <w:tabs>
          <w:tab w:val="left" w:pos="720"/>
        </w:tabs>
      </w:pPr>
      <w:r>
        <w:t>Power of directors, appointment, procedures</w:t>
      </w:r>
    </w:p>
    <w:p w:rsidR="00534C63" w:rsidRDefault="00534C63" w:rsidP="00534C63">
      <w:pPr>
        <w:pStyle w:val="whp20100506"/>
        <w:numPr>
          <w:ilvl w:val="1"/>
          <w:numId w:val="31"/>
        </w:numPr>
        <w:tabs>
          <w:tab w:val="left" w:pos="720"/>
        </w:tabs>
      </w:pPr>
      <w:r>
        <w:t>Managing director, financial director, board of directors</w:t>
      </w:r>
    </w:p>
    <w:p w:rsidR="00534C63" w:rsidRDefault="00534C63" w:rsidP="00534C63">
      <w:pPr>
        <w:pStyle w:val="whp20100506"/>
        <w:tabs>
          <w:tab w:val="left" w:pos="720"/>
        </w:tabs>
        <w:ind w:left="1800"/>
      </w:pPr>
    </w:p>
    <w:p w:rsidR="00534C63" w:rsidRDefault="00534C63" w:rsidP="00534C63">
      <w:pPr>
        <w:pStyle w:val="whp20100506"/>
        <w:numPr>
          <w:ilvl w:val="0"/>
          <w:numId w:val="31"/>
        </w:numPr>
        <w:tabs>
          <w:tab w:val="left" w:pos="720"/>
        </w:tabs>
        <w:ind w:left="720"/>
      </w:pPr>
      <w:r>
        <w:t xml:space="preserve">Management of REIT </w:t>
      </w:r>
    </w:p>
    <w:p w:rsidR="00534C63" w:rsidRPr="00073830" w:rsidRDefault="00534C63" w:rsidP="00534C63">
      <w:pPr>
        <w:pStyle w:val="whp20100506"/>
        <w:numPr>
          <w:ilvl w:val="1"/>
          <w:numId w:val="31"/>
        </w:numPr>
        <w:tabs>
          <w:tab w:val="left" w:pos="720"/>
        </w:tabs>
      </w:pPr>
      <w:r>
        <w:t xml:space="preserve">Internal or external management of </w:t>
      </w:r>
      <w:r w:rsidR="00194F2A">
        <w:t>REITS</w:t>
      </w:r>
    </w:p>
    <w:p w:rsidR="00534C63" w:rsidRPr="0090579E" w:rsidRDefault="00534C63" w:rsidP="00534C63">
      <w:pPr>
        <w:pStyle w:val="whp20100506"/>
        <w:numPr>
          <w:ilvl w:val="0"/>
          <w:numId w:val="33"/>
        </w:numPr>
        <w:tabs>
          <w:tab w:val="left" w:pos="900"/>
        </w:tabs>
      </w:pPr>
      <w:r w:rsidRPr="0090579E">
        <w:br w:type="page"/>
      </w:r>
    </w:p>
    <w:bookmarkEnd w:id="42"/>
    <w:p w:rsidR="00534C63" w:rsidRPr="00847869" w:rsidRDefault="00534C63" w:rsidP="00534C63">
      <w:pPr>
        <w:pStyle w:val="whp20100506"/>
        <w:rPr>
          <w:b/>
        </w:rPr>
      </w:pPr>
      <w:r w:rsidRPr="00847869">
        <w:rPr>
          <w:b/>
        </w:rPr>
        <w:lastRenderedPageBreak/>
        <w:t>BIBLIOGRAPHY</w:t>
      </w:r>
    </w:p>
    <w:p w:rsidR="00534C63" w:rsidRPr="008877D7" w:rsidRDefault="00534C63" w:rsidP="00534C63">
      <w:pPr>
        <w:pStyle w:val="whp20100506"/>
      </w:pPr>
      <w:r>
        <w:br/>
        <w:t xml:space="preserve">Anon, 2006, I.P.D. </w:t>
      </w:r>
      <w:r w:rsidRPr="001E3F46">
        <w:rPr>
          <w:i/>
        </w:rPr>
        <w:t>Directory of Asian Property Vehicles – Real Estate Investment Trusts in Asia:  legal Structures Compared</w:t>
      </w:r>
      <w:r>
        <w:t>, Linklakers</w:t>
      </w:r>
      <w:r>
        <w:br/>
      </w:r>
    </w:p>
    <w:p w:rsidR="00534C63" w:rsidRPr="008877D7" w:rsidRDefault="00534C63" w:rsidP="00534C63">
      <w:pPr>
        <w:pStyle w:val="whp20100506"/>
      </w:pPr>
      <w:r>
        <w:t xml:space="preserve"> Deneys Reitz </w:t>
      </w:r>
      <w:r w:rsidRPr="001E3F46">
        <w:rPr>
          <w:i/>
        </w:rPr>
        <w:t>Doing business in South Africa</w:t>
      </w:r>
      <w:r>
        <w:t xml:space="preserve">, Report, November 2009 page </w:t>
      </w:r>
    </w:p>
    <w:p w:rsidR="00534C63" w:rsidRPr="00FD6D21" w:rsidRDefault="00534C63" w:rsidP="00534C63">
      <w:pPr>
        <w:pStyle w:val="whp20100506"/>
        <w:rPr>
          <w:u w:val="single"/>
        </w:rPr>
      </w:pPr>
    </w:p>
    <w:p w:rsidR="00534C63" w:rsidRPr="000C00EC" w:rsidRDefault="00534C63" w:rsidP="00534C63">
      <w:pPr>
        <w:pStyle w:val="whp20100506"/>
      </w:pPr>
      <w:r w:rsidRPr="000C00EC">
        <w:t xml:space="preserve">Scherrer, P. 2004. </w:t>
      </w:r>
      <w:r w:rsidRPr="00873402">
        <w:rPr>
          <w:i/>
        </w:rPr>
        <w:t xml:space="preserve">Financing and Investing Considerations for </w:t>
      </w:r>
      <w:r w:rsidR="00194F2A">
        <w:rPr>
          <w:i/>
        </w:rPr>
        <w:t>REITS</w:t>
      </w:r>
      <w:r w:rsidRPr="000C00EC">
        <w:t xml:space="preserve">, </w:t>
      </w:r>
      <w:r w:rsidRPr="000C00EC">
        <w:rPr>
          <w:szCs w:val="19"/>
        </w:rPr>
        <w:t>Corporate Governance, Vol. 4</w:t>
      </w:r>
      <w:r>
        <w:rPr>
          <w:szCs w:val="19"/>
        </w:rPr>
        <w:t>,</w:t>
      </w:r>
      <w:r w:rsidRPr="000C00EC">
        <w:rPr>
          <w:szCs w:val="19"/>
        </w:rPr>
        <w:t xml:space="preserve"> </w:t>
      </w:r>
      <w:r>
        <w:rPr>
          <w:szCs w:val="19"/>
        </w:rPr>
        <w:t>No</w:t>
      </w:r>
      <w:r w:rsidRPr="000C00EC">
        <w:rPr>
          <w:szCs w:val="19"/>
        </w:rPr>
        <w:t>: 4, pp.78 - 82</w:t>
      </w:r>
      <w:r w:rsidRPr="000C00EC" w:rsidDel="000C00EC">
        <w:t xml:space="preserve"> </w:t>
      </w:r>
    </w:p>
    <w:p w:rsidR="00534C63" w:rsidRDefault="00534C63" w:rsidP="00534C63">
      <w:pPr>
        <w:pStyle w:val="whp20100506"/>
      </w:pPr>
    </w:p>
    <w:p w:rsidR="00534C63" w:rsidRDefault="00534C63" w:rsidP="00534C63">
      <w:pPr>
        <w:pStyle w:val="whp20100506"/>
      </w:pPr>
      <w:r w:rsidRPr="00FE403B">
        <w:t xml:space="preserve">Ball M., Lizieri C., MacGregor B.D., 1998, </w:t>
      </w:r>
      <w:r w:rsidRPr="001E3F46">
        <w:rPr>
          <w:i/>
        </w:rPr>
        <w:t>The Economics Of Commercial Property Markets – Revised and update Edition</w:t>
      </w:r>
      <w:r w:rsidRPr="00FE403B">
        <w:t>, Routledge Taylor &amp; Francis Group, London and New York</w:t>
      </w:r>
      <w:r w:rsidRPr="00FE403B">
        <w:br/>
      </w:r>
    </w:p>
    <w:p w:rsidR="00534C63" w:rsidRPr="000C00EC" w:rsidRDefault="00534C63" w:rsidP="00534C63">
      <w:pPr>
        <w:pStyle w:val="whp20100506"/>
      </w:pPr>
      <w:r w:rsidRPr="000C00EC">
        <w:t xml:space="preserve">Bauer R., Eichholtz P., Kok N., 2006, </w:t>
      </w:r>
      <w:r w:rsidRPr="00873402">
        <w:rPr>
          <w:i/>
        </w:rPr>
        <w:t>Corporate Governance and Firm Valuation: the REIT Effect,</w:t>
      </w:r>
      <w:r w:rsidRPr="000C00EC">
        <w:t xml:space="preserve"> </w:t>
      </w:r>
      <w:r w:rsidRPr="000C00EC">
        <w:rPr>
          <w:szCs w:val="17"/>
        </w:rPr>
        <w:t>American Real Estate and Urban Economics Association, Vol 38, Issue 1, pp</w:t>
      </w:r>
      <w:r>
        <w:rPr>
          <w:szCs w:val="17"/>
        </w:rPr>
        <w:t xml:space="preserve">. </w:t>
      </w:r>
      <w:r w:rsidRPr="000C00EC">
        <w:rPr>
          <w:szCs w:val="17"/>
        </w:rPr>
        <w:t>1-29</w:t>
      </w:r>
    </w:p>
    <w:p w:rsidR="00534C63" w:rsidRDefault="00534C63" w:rsidP="00534C63">
      <w:pPr>
        <w:pStyle w:val="whp20100506"/>
      </w:pPr>
    </w:p>
    <w:p w:rsidR="00534C63" w:rsidRDefault="00534C63" w:rsidP="00534C63">
      <w:pPr>
        <w:pStyle w:val="whp20100506"/>
      </w:pPr>
      <w:r>
        <w:t>Bauer R., Eichholtz P., Kok N., 2009, Corporate Governance and Performance: the REIT Effect, Real Estate Economics, Vol 38, Issue 1, pp.1-29</w:t>
      </w:r>
    </w:p>
    <w:p w:rsidR="00534C63" w:rsidRDefault="00534C63" w:rsidP="00534C63">
      <w:pPr>
        <w:pStyle w:val="whp20100506"/>
      </w:pPr>
    </w:p>
    <w:p w:rsidR="00534C63" w:rsidRDefault="00534C63" w:rsidP="00534C63">
      <w:pPr>
        <w:pStyle w:val="whp20100506"/>
      </w:pPr>
      <w:r>
        <w:t xml:space="preserve">Bianco C., Ghosh C., Sirmans CF., 2007, </w:t>
      </w:r>
      <w:r w:rsidRPr="005052BF">
        <w:rPr>
          <w:i/>
        </w:rPr>
        <w:t xml:space="preserve">The Impact of Corporate Governance on the Performance of </w:t>
      </w:r>
      <w:r w:rsidR="00194F2A">
        <w:rPr>
          <w:i/>
        </w:rPr>
        <w:t>REITS</w:t>
      </w:r>
      <w:r>
        <w:t>, The Journal of Portfolio Management, Vol 33, No. 5, pp. 175-191</w:t>
      </w:r>
    </w:p>
    <w:p w:rsidR="00534C63" w:rsidRDefault="00534C63" w:rsidP="00534C63">
      <w:pPr>
        <w:pStyle w:val="whp20100506"/>
      </w:pPr>
      <w:r w:rsidRPr="00FE403B">
        <w:br/>
        <w:t xml:space="preserve">Brooking, A., 2009, Interview with Mr Andrew Brooking, Managing Director, Java Capital, </w:t>
      </w:r>
    </w:p>
    <w:p w:rsidR="00534C63" w:rsidRDefault="00534C63" w:rsidP="00534C63">
      <w:pPr>
        <w:pStyle w:val="whp20100506"/>
      </w:pPr>
    </w:p>
    <w:p w:rsidR="00534C63" w:rsidRDefault="00194F2A" w:rsidP="00534C63">
      <w:pPr>
        <w:pStyle w:val="whp20100506"/>
      </w:pPr>
      <w:r>
        <w:rPr>
          <w:i/>
        </w:rPr>
        <w:t>REITS</w:t>
      </w:r>
      <w:r w:rsidR="00534C63" w:rsidRPr="00873402">
        <w:rPr>
          <w:i/>
        </w:rPr>
        <w:t>: A Comparative Approach throughout Europe</w:t>
      </w:r>
      <w:r w:rsidR="00534C63">
        <w:t xml:space="preserve">, 2008, CMS, Germany </w:t>
      </w:r>
    </w:p>
    <w:p w:rsidR="00534C63" w:rsidRPr="000C00EC" w:rsidRDefault="00534C63" w:rsidP="00534C63">
      <w:pPr>
        <w:pStyle w:val="whp20100506"/>
      </w:pPr>
      <w:r>
        <w:br/>
      </w:r>
      <w:r w:rsidRPr="000C00EC">
        <w:t xml:space="preserve">Campbell R., Sirmans C., 2002, </w:t>
      </w:r>
      <w:r w:rsidRPr="00873402">
        <w:rPr>
          <w:i/>
        </w:rPr>
        <w:t>Policy Implications of Structural Options in the Development of Real Estate Investment Trusts in Europe: Lessons from the American Experience</w:t>
      </w:r>
      <w:r w:rsidRPr="000C00EC">
        <w:t xml:space="preserve">, </w:t>
      </w:r>
      <w:r w:rsidRPr="000C00EC">
        <w:rPr>
          <w:szCs w:val="19"/>
        </w:rPr>
        <w:t xml:space="preserve">Journal of Property Investment &amp; Finance, Vol. 20 </w:t>
      </w:r>
      <w:r>
        <w:rPr>
          <w:szCs w:val="19"/>
        </w:rPr>
        <w:t>No</w:t>
      </w:r>
      <w:r w:rsidRPr="000C00EC">
        <w:rPr>
          <w:szCs w:val="19"/>
        </w:rPr>
        <w:t>: 4, pp.388 - 405</w:t>
      </w:r>
    </w:p>
    <w:p w:rsidR="00534C63" w:rsidRPr="005414AB" w:rsidRDefault="00534C63" w:rsidP="00534C63">
      <w:pPr>
        <w:pStyle w:val="whp20100506"/>
      </w:pPr>
    </w:p>
    <w:p w:rsidR="00534C63" w:rsidRPr="005414AB" w:rsidRDefault="00534C63" w:rsidP="00534C63">
      <w:pPr>
        <w:pStyle w:val="whp20100506"/>
        <w:rPr>
          <w:rFonts w:eastAsiaTheme="minorHAnsi"/>
          <w:szCs w:val="16"/>
        </w:rPr>
      </w:pPr>
      <w:r w:rsidRPr="00873402">
        <w:rPr>
          <w:i/>
        </w:rPr>
        <w:t xml:space="preserve">Introduction to </w:t>
      </w:r>
      <w:r w:rsidR="00194F2A">
        <w:rPr>
          <w:i/>
        </w:rPr>
        <w:t>REITS</w:t>
      </w:r>
      <w:r w:rsidRPr="00873402">
        <w:rPr>
          <w:i/>
        </w:rPr>
        <w:t xml:space="preserve"> in China</w:t>
      </w:r>
      <w:r w:rsidRPr="005414AB">
        <w:t xml:space="preserve"> (2010), Client Briefing, </w:t>
      </w:r>
      <w:r w:rsidRPr="005414AB">
        <w:rPr>
          <w:rFonts w:eastAsiaTheme="minorHAnsi"/>
          <w:szCs w:val="16"/>
        </w:rPr>
        <w:t>Clifford Chance March 2010</w:t>
      </w:r>
    </w:p>
    <w:p w:rsidR="00534C63" w:rsidRPr="005414AB" w:rsidRDefault="00534C63" w:rsidP="00534C63">
      <w:pPr>
        <w:pStyle w:val="whp20100506"/>
      </w:pPr>
    </w:p>
    <w:p w:rsidR="00534C63" w:rsidRPr="00D5018E" w:rsidRDefault="00534C63" w:rsidP="00534C63">
      <w:pPr>
        <w:pStyle w:val="whp20100506"/>
      </w:pPr>
      <w:r w:rsidRPr="00D5018E">
        <w:t xml:space="preserve">Capozza D., Seguin PJ., 1998, </w:t>
      </w:r>
      <w:r w:rsidRPr="00873402">
        <w:rPr>
          <w:i/>
        </w:rPr>
        <w:t xml:space="preserve">Debt, Agency and Management Contracts in </w:t>
      </w:r>
      <w:r w:rsidR="00194F2A">
        <w:rPr>
          <w:i/>
        </w:rPr>
        <w:t>REITS</w:t>
      </w:r>
      <w:r w:rsidRPr="00873402">
        <w:rPr>
          <w:i/>
        </w:rPr>
        <w:t>: The External Advisor Puzzle</w:t>
      </w:r>
      <w:r w:rsidRPr="00D5018E">
        <w:t xml:space="preserve">, </w:t>
      </w:r>
      <w:hyperlink r:id="rId57" w:history="1">
        <w:r w:rsidRPr="00D5018E">
          <w:rPr>
            <w:rStyle w:val="Hyperlink"/>
            <w:rFonts w:ascii="Times New Roman" w:hAnsi="Times New Roman"/>
            <w:sz w:val="24"/>
          </w:rPr>
          <w:t>Journal of Real Estate Finance &amp; Economics</w:t>
        </w:r>
      </w:hyperlink>
      <w:r w:rsidRPr="00D5018E">
        <w:t>, Vol: 20, No 2, pp</w:t>
      </w:r>
      <w:r>
        <w:t>.</w:t>
      </w:r>
      <w:r w:rsidRPr="00D5018E">
        <w:t xml:space="preserve"> 91-</w:t>
      </w:r>
      <w:r w:rsidRPr="00D5018E">
        <w:lastRenderedPageBreak/>
        <w:t>116</w:t>
      </w:r>
      <w:r w:rsidRPr="00D5018E" w:rsidDel="00D5018E">
        <w:t xml:space="preserve"> </w:t>
      </w:r>
    </w:p>
    <w:p w:rsidR="00534C63" w:rsidRDefault="00534C63" w:rsidP="00534C63">
      <w:pPr>
        <w:pStyle w:val="whp20100506"/>
      </w:pPr>
    </w:p>
    <w:p w:rsidR="00534C63" w:rsidRPr="00D5018E" w:rsidRDefault="00534C63" w:rsidP="00534C63">
      <w:pPr>
        <w:pStyle w:val="whp20100506"/>
      </w:pPr>
      <w:r w:rsidRPr="00D5018E">
        <w:t xml:space="preserve">Capozza D., Seguin PJ., 1999, </w:t>
      </w:r>
      <w:r w:rsidRPr="00873402">
        <w:rPr>
          <w:i/>
        </w:rPr>
        <w:t>Focus, Transparency and Value: the REIT Evidence</w:t>
      </w:r>
      <w:r w:rsidRPr="00D5018E">
        <w:t>, American Real Estate and Urban Economics Association, Vol 27, No: 4, pp</w:t>
      </w:r>
      <w:r>
        <w:t>.</w:t>
      </w:r>
      <w:r w:rsidRPr="00D5018E">
        <w:t xml:space="preserve"> 587-619</w:t>
      </w:r>
    </w:p>
    <w:p w:rsidR="00534C63" w:rsidRPr="005414AB" w:rsidRDefault="00534C63" w:rsidP="00534C63">
      <w:pPr>
        <w:pStyle w:val="whp20100506"/>
      </w:pPr>
    </w:p>
    <w:p w:rsidR="00534C63" w:rsidRPr="005414AB" w:rsidRDefault="00534C63" w:rsidP="00534C63">
      <w:pPr>
        <w:pStyle w:val="whp20100506"/>
      </w:pPr>
      <w:r w:rsidRPr="005414AB">
        <w:t xml:space="preserve">Cremers J., Vinay B., 2005, </w:t>
      </w:r>
      <w:r w:rsidRPr="00873402">
        <w:rPr>
          <w:i/>
        </w:rPr>
        <w:t>Governance Mechanisms and Equity Prices</w:t>
      </w:r>
      <w:r w:rsidRPr="005414AB">
        <w:t xml:space="preserve">, The Journal of Finance, </w:t>
      </w:r>
      <w:hyperlink r:id="rId58" w:history="1">
        <w:r w:rsidRPr="005414AB">
          <w:t xml:space="preserve">Volume 60, Issue 6, </w:t>
        </w:r>
      </w:hyperlink>
      <w:r w:rsidRPr="005414AB">
        <w:t>pp</w:t>
      </w:r>
      <w:r>
        <w:t>.</w:t>
      </w:r>
      <w:r w:rsidRPr="005414AB">
        <w:t xml:space="preserve"> 2859–2894, December 2005</w:t>
      </w:r>
    </w:p>
    <w:p w:rsidR="00534C63" w:rsidRPr="005414AB" w:rsidRDefault="00534C63" w:rsidP="00534C63">
      <w:pPr>
        <w:pStyle w:val="whp20100506"/>
        <w:rPr>
          <w:szCs w:val="20"/>
        </w:rPr>
      </w:pPr>
    </w:p>
    <w:p w:rsidR="00534C63" w:rsidRPr="005414AB" w:rsidRDefault="00534C63" w:rsidP="00534C63">
      <w:pPr>
        <w:pStyle w:val="whp20100506"/>
      </w:pPr>
      <w:r w:rsidRPr="00873402">
        <w:rPr>
          <w:szCs w:val="20"/>
        </w:rPr>
        <w:t xml:space="preserve">Core JE., Guay WR., Rusticus TO., 2006, </w:t>
      </w:r>
      <w:r w:rsidRPr="00873402">
        <w:rPr>
          <w:rStyle w:val="searchword"/>
          <w:i/>
          <w:szCs w:val="27"/>
          <w:shd w:val="clear" w:color="auto" w:fill="auto"/>
        </w:rPr>
        <w:t>Does</w:t>
      </w:r>
      <w:r w:rsidRPr="00873402">
        <w:rPr>
          <w:i/>
        </w:rPr>
        <w:t xml:space="preserve"> </w:t>
      </w:r>
      <w:r w:rsidRPr="00873402">
        <w:rPr>
          <w:rStyle w:val="searchword"/>
          <w:i/>
          <w:szCs w:val="27"/>
          <w:shd w:val="clear" w:color="auto" w:fill="auto"/>
        </w:rPr>
        <w:t>Weak</w:t>
      </w:r>
      <w:r w:rsidRPr="00873402">
        <w:rPr>
          <w:i/>
        </w:rPr>
        <w:t xml:space="preserve"> </w:t>
      </w:r>
      <w:r w:rsidRPr="00873402">
        <w:rPr>
          <w:rStyle w:val="searchword"/>
          <w:i/>
          <w:szCs w:val="27"/>
          <w:shd w:val="clear" w:color="auto" w:fill="auto"/>
        </w:rPr>
        <w:t>Governance</w:t>
      </w:r>
      <w:r w:rsidRPr="00873402">
        <w:rPr>
          <w:i/>
        </w:rPr>
        <w:t xml:space="preserve"> </w:t>
      </w:r>
      <w:r w:rsidRPr="00873402">
        <w:rPr>
          <w:rStyle w:val="searchword"/>
          <w:i/>
          <w:szCs w:val="27"/>
          <w:shd w:val="clear" w:color="auto" w:fill="auto"/>
        </w:rPr>
        <w:t>Cause</w:t>
      </w:r>
      <w:r w:rsidRPr="00873402">
        <w:rPr>
          <w:i/>
        </w:rPr>
        <w:t xml:space="preserve"> </w:t>
      </w:r>
      <w:r w:rsidRPr="00873402">
        <w:rPr>
          <w:rStyle w:val="searchword"/>
          <w:i/>
          <w:szCs w:val="27"/>
          <w:shd w:val="clear" w:color="auto" w:fill="auto"/>
        </w:rPr>
        <w:t>Weak</w:t>
      </w:r>
      <w:r w:rsidRPr="00873402">
        <w:rPr>
          <w:i/>
        </w:rPr>
        <w:t xml:space="preserve"> Stock</w:t>
      </w:r>
      <w:r w:rsidRPr="00F87E96">
        <w:rPr>
          <w:i/>
        </w:rPr>
        <w:t xml:space="preserve"> Returns? An Examination of Firm Operating Performance and Investors' Expectations</w:t>
      </w:r>
      <w:r w:rsidRPr="005414AB">
        <w:t xml:space="preserve">, Journal of Finance, Vol 61. No 2, April 2006 </w:t>
      </w:r>
    </w:p>
    <w:p w:rsidR="00534C63" w:rsidRPr="005414AB" w:rsidRDefault="00534C63" w:rsidP="00534C63">
      <w:pPr>
        <w:pStyle w:val="whp20100506"/>
        <w:rPr>
          <w:szCs w:val="20"/>
        </w:rPr>
      </w:pPr>
    </w:p>
    <w:p w:rsidR="00534C63" w:rsidRPr="005414AB" w:rsidRDefault="00534C63" w:rsidP="00534C63">
      <w:pPr>
        <w:pStyle w:val="whp20100506"/>
      </w:pPr>
      <w:r w:rsidRPr="005414AB">
        <w:t xml:space="preserve">Cheng P., Roulac S., 2007, </w:t>
      </w:r>
      <w:r w:rsidRPr="00F87E96">
        <w:rPr>
          <w:i/>
        </w:rPr>
        <w:t>REIT Characteristics and Predictability</w:t>
      </w:r>
      <w:r w:rsidRPr="005414AB">
        <w:t>, International Real Estate Review, 2007 Vol 10 No 2 pp</w:t>
      </w:r>
      <w:r>
        <w:t>.</w:t>
      </w:r>
      <w:r w:rsidRPr="005414AB">
        <w:t xml:space="preserve"> 23-41</w:t>
      </w:r>
    </w:p>
    <w:p w:rsidR="00534C63" w:rsidRDefault="00534C63" w:rsidP="00534C63">
      <w:pPr>
        <w:pStyle w:val="whp20100506"/>
      </w:pPr>
    </w:p>
    <w:p w:rsidR="00534C63" w:rsidRDefault="00534C63" w:rsidP="00534C63">
      <w:pPr>
        <w:pStyle w:val="whp20100506"/>
      </w:pPr>
      <w:r w:rsidRPr="00FE403B">
        <w:t xml:space="preserve">Croome B., 2006, </w:t>
      </w:r>
      <w:r w:rsidRPr="001E3F46">
        <w:rPr>
          <w:i/>
        </w:rPr>
        <w:t>The Tax Consequences Facing an Investor in Fixed Property</w:t>
      </w:r>
      <w:r w:rsidRPr="00FE403B">
        <w:t>, Article Lexisnexis Butterworths Property Law Digest</w:t>
      </w:r>
      <w:r w:rsidRPr="00FE403B">
        <w:br/>
      </w:r>
      <w:r w:rsidRPr="00FE403B">
        <w:br/>
        <w:t xml:space="preserve">Crowe S., Krisbergh D., 2009, </w:t>
      </w:r>
      <w:r w:rsidRPr="001E3F46">
        <w:rPr>
          <w:i/>
        </w:rPr>
        <w:t>Listed Property Performance as a predictor of direct real estate performance</w:t>
      </w:r>
      <w:r w:rsidRPr="00FE403B">
        <w:t>, Cohen &amp; Steers Capital Management</w:t>
      </w:r>
      <w:r>
        <w:t>, Report</w:t>
      </w:r>
      <w:r w:rsidRPr="00FE403B">
        <w:t xml:space="preserve"> for the European Public Real Estate Association</w:t>
      </w:r>
      <w:r w:rsidRPr="00FE403B">
        <w:br/>
      </w:r>
    </w:p>
    <w:p w:rsidR="00534C63" w:rsidRDefault="00534C63" w:rsidP="00534C63">
      <w:pPr>
        <w:pStyle w:val="whp20100506"/>
      </w:pPr>
      <w:r w:rsidRPr="00FE403B">
        <w:t xml:space="preserve">Deutsche Bank Research, 2006, </w:t>
      </w:r>
      <w:r w:rsidRPr="001E3F46">
        <w:rPr>
          <w:i/>
        </w:rPr>
        <w:t xml:space="preserve">What can Europe Learn from US </w:t>
      </w:r>
      <w:r w:rsidR="00194F2A">
        <w:rPr>
          <w:i/>
        </w:rPr>
        <w:t>REITS</w:t>
      </w:r>
      <w:r w:rsidRPr="001E3F46">
        <w:rPr>
          <w:i/>
        </w:rPr>
        <w:t>: Lessons from the Ivory Towers</w:t>
      </w:r>
      <w:r w:rsidRPr="00FE403B">
        <w:t xml:space="preserve">, </w:t>
      </w:r>
      <w:r>
        <w:t>Research Findings</w:t>
      </w:r>
    </w:p>
    <w:p w:rsidR="00534C63" w:rsidRDefault="00534C63" w:rsidP="00534C63">
      <w:pPr>
        <w:pStyle w:val="whp20100506"/>
      </w:pPr>
    </w:p>
    <w:p w:rsidR="00534C63" w:rsidRPr="005F618B" w:rsidRDefault="00534C63" w:rsidP="00534C63">
      <w:pPr>
        <w:pStyle w:val="whp20100506"/>
      </w:pPr>
      <w:r w:rsidRPr="005F618B">
        <w:t xml:space="preserve">Drobetz W., Schillhofer A., Zimmermann H., 2003, </w:t>
      </w:r>
      <w:r w:rsidRPr="00F87E96">
        <w:rPr>
          <w:i/>
        </w:rPr>
        <w:t xml:space="preserve">Corporate Governance and Expected Stock Returns: Evidence from Germany, </w:t>
      </w:r>
      <w:r w:rsidRPr="00F87E96">
        <w:rPr>
          <w:i/>
          <w:szCs w:val="17"/>
        </w:rPr>
        <w:t>European Financial Management</w:t>
      </w:r>
      <w:r w:rsidRPr="005F618B">
        <w:rPr>
          <w:szCs w:val="17"/>
        </w:rPr>
        <w:t>, Vol. 10, No. 2, pp. 267-293, June 2004</w:t>
      </w:r>
    </w:p>
    <w:p w:rsidR="00534C63" w:rsidRDefault="00534C63" w:rsidP="00534C63">
      <w:pPr>
        <w:pStyle w:val="whp20100506"/>
      </w:pPr>
      <w:r w:rsidRPr="00FE403B">
        <w:br/>
        <w:t xml:space="preserve">Edwards, T M., 2008, </w:t>
      </w:r>
      <w:r w:rsidRPr="001E3F46">
        <w:rPr>
          <w:i/>
        </w:rPr>
        <w:t>Reforming the Listed Property Investment Sector in South Africa</w:t>
      </w:r>
      <w:r w:rsidRPr="00FE403B">
        <w:t xml:space="preserve">: Response to National Treasury – NAREIT </w:t>
      </w:r>
      <w:r w:rsidRPr="00FE403B">
        <w:br/>
      </w:r>
      <w:r w:rsidRPr="00FE403B">
        <w:br/>
        <w:t xml:space="preserve">Ernest &amp; Young, 2007, Global REIT Report: REIT Market </w:t>
      </w:r>
      <w:r>
        <w:t>Review</w:t>
      </w:r>
      <w:r w:rsidRPr="00FE403B">
        <w:t xml:space="preserve"> 2007</w:t>
      </w:r>
      <w:r w:rsidRPr="00FE403B">
        <w:br/>
      </w:r>
      <w:r w:rsidRPr="00FE403B">
        <w:br/>
      </w:r>
      <w:r w:rsidRPr="00FE403B">
        <w:lastRenderedPageBreak/>
        <w:t xml:space="preserve">Ernest &amp; Young, 2008, Global REIT Report: REIT Market </w:t>
      </w:r>
      <w:r>
        <w:t>Review</w:t>
      </w:r>
      <w:r w:rsidRPr="00FE403B">
        <w:t xml:space="preserve"> 2008</w:t>
      </w:r>
      <w:r w:rsidRPr="00FE403B">
        <w:br/>
      </w:r>
    </w:p>
    <w:p w:rsidR="00534C63" w:rsidRDefault="00534C63" w:rsidP="00534C63">
      <w:pPr>
        <w:pStyle w:val="whp20100506"/>
      </w:pPr>
      <w:r>
        <w:t xml:space="preserve">Fourie, M P W., 2009, </w:t>
      </w:r>
      <w:r w:rsidRPr="00F87E96">
        <w:rPr>
          <w:i/>
        </w:rPr>
        <w:t>Attracting Investment into South African Property Investment Vehicles: Evaluating Tax</w:t>
      </w:r>
      <w:r>
        <w:t>, University of Pretoria</w:t>
      </w:r>
    </w:p>
    <w:p w:rsidR="00534C63" w:rsidRPr="00BE3D56" w:rsidRDefault="00534C63" w:rsidP="00534C63">
      <w:pPr>
        <w:pStyle w:val="whp20100506"/>
      </w:pPr>
      <w:r w:rsidRPr="00FE403B">
        <w:br/>
        <w:t>Geursen W., Derouin P., 2003</w:t>
      </w:r>
      <w:r w:rsidRPr="00F87E96">
        <w:rPr>
          <w:i/>
        </w:rPr>
        <w:t>, A new French Tax Regime for Listed Real Estate Investment Company</w:t>
      </w:r>
      <w:r w:rsidRPr="00FE403B">
        <w:t>, SIIC, report published on Linklaters</w:t>
      </w:r>
      <w:r w:rsidRPr="00FE403B">
        <w:br/>
      </w:r>
    </w:p>
    <w:p w:rsidR="00534C63" w:rsidRPr="00BE3D56" w:rsidRDefault="00534C63" w:rsidP="00534C63">
      <w:pPr>
        <w:pStyle w:val="whp20100506"/>
      </w:pPr>
      <w:r w:rsidRPr="00BE3D56">
        <w:t>Gho</w:t>
      </w:r>
      <w:r w:rsidRPr="001D14CE">
        <w:t xml:space="preserve">sh C., Giambona E., Harding JP., Sirmans CF., 2008, </w:t>
      </w:r>
      <w:r w:rsidRPr="00F87E96">
        <w:rPr>
          <w:i/>
        </w:rPr>
        <w:t>Entrenchment and Incentives: How Governance Influences REIT Capital Structure</w:t>
      </w:r>
      <w:r w:rsidRPr="001D14CE">
        <w:t xml:space="preserve">, </w:t>
      </w:r>
      <w:r w:rsidRPr="005F618B">
        <w:t>The Journal of Real Estate Finance and Economics</w:t>
      </w:r>
      <w:r>
        <w:t>, Vol 3, pp. 20</w:t>
      </w:r>
    </w:p>
    <w:p w:rsidR="00534C63" w:rsidRDefault="00534C63" w:rsidP="00534C63">
      <w:pPr>
        <w:pStyle w:val="whp20100506"/>
      </w:pPr>
      <w:r w:rsidRPr="00FE403B">
        <w:br/>
        <w:t>Gibson, K., 2009, An interview with Ms Katherine Gibson, Director Financial Services, National Treasury South Africa, 7 December 2009</w:t>
      </w:r>
    </w:p>
    <w:p w:rsidR="00534C63" w:rsidRDefault="00534C63" w:rsidP="00534C63">
      <w:pPr>
        <w:pStyle w:val="whp20100506"/>
      </w:pPr>
    </w:p>
    <w:p w:rsidR="00534C63" w:rsidRDefault="00534C63" w:rsidP="00534C63">
      <w:pPr>
        <w:pStyle w:val="whp20100506"/>
      </w:pPr>
      <w:r w:rsidRPr="00FE403B">
        <w:t xml:space="preserve">Hallowes, C., 2010, Interview with Mr Craig Hallowes, Executive Director of Pangbourne Properties, Johannesburg, </w:t>
      </w:r>
      <w:r w:rsidRPr="008877D7">
        <w:t>date</w:t>
      </w:r>
    </w:p>
    <w:p w:rsidR="00534C63" w:rsidRDefault="00534C63" w:rsidP="00534C63">
      <w:pPr>
        <w:pStyle w:val="whp20100506"/>
      </w:pPr>
    </w:p>
    <w:p w:rsidR="00534C63" w:rsidRDefault="00534C63" w:rsidP="00534C63">
      <w:pPr>
        <w:pStyle w:val="whp20100506"/>
      </w:pPr>
      <w:r>
        <w:t xml:space="preserve">Investment Property Forum (IPF), 2009, </w:t>
      </w:r>
      <w:r w:rsidRPr="00F87E96">
        <w:rPr>
          <w:i/>
        </w:rPr>
        <w:t>Real Estate Investment Trusts: The US Experience and Lessons for the UK</w:t>
      </w:r>
      <w:r>
        <w:t>, Research Findings</w:t>
      </w:r>
    </w:p>
    <w:p w:rsidR="00534C63" w:rsidRDefault="00534C63" w:rsidP="00534C63">
      <w:pPr>
        <w:pStyle w:val="whp20100506"/>
      </w:pPr>
    </w:p>
    <w:p w:rsidR="00534C63" w:rsidRDefault="00534C63" w:rsidP="00534C63">
      <w:pPr>
        <w:pStyle w:val="whp20100506"/>
      </w:pPr>
      <w:r w:rsidRPr="00E23C00">
        <w:t xml:space="preserve">Ling D., Naranjo A., </w:t>
      </w:r>
      <w:r w:rsidRPr="00E23C00">
        <w:rPr>
          <w:i/>
        </w:rPr>
        <w:t>The Dynamics of REIT Capital Flows and Returns</w:t>
      </w:r>
      <w:r w:rsidRPr="00E23C00">
        <w:t xml:space="preserve">, </w:t>
      </w:r>
      <w:hyperlink r:id="rId59" w:tooltip="Real Estate Economics" w:history="1">
        <w:r w:rsidRPr="00E23C00">
          <w:rPr>
            <w:rStyle w:val="Hyperlink"/>
            <w:rFonts w:ascii="Times New Roman" w:hAnsi="Times New Roman"/>
            <w:sz w:val="24"/>
          </w:rPr>
          <w:t>Real Estate Economics</w:t>
        </w:r>
      </w:hyperlink>
      <w:r w:rsidRPr="00E23C00">
        <w:t>, Vol 31, N</w:t>
      </w:r>
      <w:r>
        <w:t>o</w:t>
      </w:r>
      <w:r w:rsidRPr="00E23C00">
        <w:t xml:space="preserve"> 3, September 2003 , pp. 405-434</w:t>
      </w:r>
      <w:r>
        <w:t xml:space="preserve"> </w:t>
      </w:r>
      <w:r w:rsidRPr="00E23C00">
        <w:t>(30)</w:t>
      </w:r>
    </w:p>
    <w:p w:rsidR="00534C63" w:rsidRPr="00E23C00" w:rsidRDefault="00534C63" w:rsidP="00534C63">
      <w:pPr>
        <w:pStyle w:val="whp20100506"/>
      </w:pPr>
    </w:p>
    <w:p w:rsidR="00534C63" w:rsidRPr="0016511A" w:rsidRDefault="00534C63" w:rsidP="002057E0">
      <w:pPr>
        <w:pStyle w:val="whp20100506"/>
      </w:pPr>
      <w:r w:rsidRPr="00FE403B">
        <w:t xml:space="preserve">Miles M., Berens G., Weiss M., 2000, </w:t>
      </w:r>
      <w:r w:rsidRPr="00F87E96">
        <w:rPr>
          <w:i/>
        </w:rPr>
        <w:t>Real Estate Development – Principles and Process</w:t>
      </w:r>
      <w:r w:rsidRPr="00FE403B">
        <w:t>, Eleventh Edition, Urban Land Institute, Washington</w:t>
      </w:r>
      <w:r w:rsidRPr="00FE403B">
        <w:br/>
      </w:r>
      <w:r w:rsidRPr="00FE403B">
        <w:br/>
        <w:t xml:space="preserve">National Treasury, 2008, </w:t>
      </w:r>
      <w:r w:rsidRPr="00F87E96">
        <w:rPr>
          <w:i/>
        </w:rPr>
        <w:t>Reforming the Listed Property Investment Sector in South Africa</w:t>
      </w:r>
      <w:r w:rsidRPr="00FE403B">
        <w:t>, Discussion Paper released for Public Comment</w:t>
      </w:r>
      <w:r w:rsidRPr="00FE403B">
        <w:br/>
      </w:r>
      <w:r w:rsidRPr="00FE403B">
        <w:br/>
        <w:t xml:space="preserve">Lachner C., </w:t>
      </w:r>
      <w:r w:rsidRPr="0016511A">
        <w:t xml:space="preserve">von Heppe R., 2007, </w:t>
      </w:r>
      <w:r w:rsidRPr="0016511A">
        <w:rPr>
          <w:i/>
        </w:rPr>
        <w:t>The Introduction of REIT in Germany</w:t>
      </w:r>
      <w:r w:rsidRPr="0016511A">
        <w:t>, German Law Journal Vol 8 no. 1 January 2007</w:t>
      </w:r>
    </w:p>
    <w:p w:rsidR="00534C63" w:rsidRPr="0016511A" w:rsidRDefault="00534C63" w:rsidP="00534C63">
      <w:pPr>
        <w:pStyle w:val="whp20100506"/>
      </w:pPr>
    </w:p>
    <w:p w:rsidR="0016511A" w:rsidRPr="0016511A" w:rsidRDefault="0016511A" w:rsidP="0016511A">
      <w:pPr>
        <w:pStyle w:val="FootnoteText"/>
        <w:rPr>
          <w:rFonts w:ascii="Times New Roman" w:hAnsi="Times New Roman"/>
          <w:sz w:val="24"/>
          <w:szCs w:val="24"/>
          <w:lang w:val="en-US"/>
        </w:rPr>
      </w:pPr>
      <w:r w:rsidRPr="0016511A">
        <w:rPr>
          <w:rFonts w:ascii="Times New Roman" w:hAnsi="Times New Roman"/>
          <w:sz w:val="24"/>
          <w:szCs w:val="24"/>
          <w:lang w:val="en-US"/>
        </w:rPr>
        <w:lastRenderedPageBreak/>
        <w:t xml:space="preserve">Rubin, A. and Babbie, E.R. (2009) </w:t>
      </w:r>
      <w:r w:rsidRPr="0016511A">
        <w:rPr>
          <w:rFonts w:ascii="Times New Roman" w:hAnsi="Times New Roman"/>
          <w:i/>
          <w:sz w:val="24"/>
          <w:szCs w:val="24"/>
          <w:lang w:val="en-US"/>
        </w:rPr>
        <w:t>Essential Research Methods for Social Work</w:t>
      </w:r>
      <w:r w:rsidRPr="0016511A">
        <w:rPr>
          <w:rFonts w:ascii="Times New Roman" w:hAnsi="Times New Roman"/>
          <w:sz w:val="24"/>
          <w:szCs w:val="24"/>
          <w:lang w:val="en-US"/>
        </w:rPr>
        <w:t>, Second Edition. Brooks/Cole Cengage Learning, California, USA</w:t>
      </w:r>
    </w:p>
    <w:p w:rsidR="0016511A" w:rsidRPr="0016511A" w:rsidRDefault="0016511A" w:rsidP="00534C63">
      <w:pPr>
        <w:pStyle w:val="whp20100506"/>
      </w:pPr>
    </w:p>
    <w:p w:rsidR="00534C63" w:rsidRDefault="00534C63" w:rsidP="00534C63">
      <w:pPr>
        <w:pStyle w:val="whp20100506"/>
      </w:pPr>
      <w:r w:rsidRPr="0016511A">
        <w:t>Schacht U., Wimschulte J.</w:t>
      </w:r>
      <w:proofErr w:type="gramStart"/>
      <w:r w:rsidRPr="0016511A">
        <w:t>,2007</w:t>
      </w:r>
      <w:proofErr w:type="gramEnd"/>
      <w:r w:rsidRPr="0016511A">
        <w:t xml:space="preserve">, </w:t>
      </w:r>
      <w:r w:rsidRPr="0016511A">
        <w:rPr>
          <w:i/>
        </w:rPr>
        <w:t>German Property Investment Vehicles and the Introduction of G-</w:t>
      </w:r>
      <w:r w:rsidR="00194F2A" w:rsidRPr="0016511A">
        <w:rPr>
          <w:i/>
        </w:rPr>
        <w:t>REITS</w:t>
      </w:r>
      <w:r w:rsidRPr="0016511A">
        <w:rPr>
          <w:i/>
        </w:rPr>
        <w:t>: An Analysis</w:t>
      </w:r>
      <w:r w:rsidRPr="0016511A">
        <w:t>, Vol 26 no</w:t>
      </w:r>
      <w:r w:rsidRPr="00FE403B">
        <w:t xml:space="preserve"> 3 2008 pp 232-246 </w:t>
      </w:r>
    </w:p>
    <w:p w:rsidR="00534C63" w:rsidRPr="005414AB" w:rsidRDefault="00534C63" w:rsidP="00534C63">
      <w:pPr>
        <w:pStyle w:val="whp20100506"/>
      </w:pPr>
    </w:p>
    <w:p w:rsidR="00534C63" w:rsidRDefault="00534C63" w:rsidP="00534C63">
      <w:pPr>
        <w:pStyle w:val="whp20100506"/>
      </w:pPr>
      <w:r w:rsidRPr="005414AB">
        <w:t xml:space="preserve">Scheffer P S., 2004, </w:t>
      </w:r>
      <w:r w:rsidRPr="00F87E96">
        <w:rPr>
          <w:i/>
        </w:rPr>
        <w:t xml:space="preserve">Financing and Investing Considerations for </w:t>
      </w:r>
      <w:r w:rsidR="00194F2A">
        <w:rPr>
          <w:i/>
        </w:rPr>
        <w:t>REITS</w:t>
      </w:r>
      <w:r w:rsidRPr="00F87E96">
        <w:rPr>
          <w:i/>
        </w:rPr>
        <w:t>, Corporate Governance</w:t>
      </w:r>
      <w:r w:rsidRPr="005414AB">
        <w:t xml:space="preserve">, </w:t>
      </w:r>
      <w:r w:rsidRPr="005414AB">
        <w:rPr>
          <w:szCs w:val="19"/>
        </w:rPr>
        <w:t xml:space="preserve">Emerald Group Publishing Limited, </w:t>
      </w:r>
      <w:r w:rsidRPr="005414AB">
        <w:t>Vol. 4, No. 4: pp 78-82</w:t>
      </w:r>
      <w:r w:rsidRPr="005414AB">
        <w:br/>
      </w:r>
      <w:r w:rsidRPr="005414AB">
        <w:br/>
      </w:r>
      <w:r w:rsidRPr="00FE403B">
        <w:t>Smotrich R</w:t>
      </w:r>
      <w:r>
        <w:t xml:space="preserve"> </w:t>
      </w:r>
      <w:r w:rsidRPr="00FE403B">
        <w:t xml:space="preserve">L., Langbaum JS., 2009, </w:t>
      </w:r>
      <w:r w:rsidRPr="00F87E96">
        <w:rPr>
          <w:i/>
        </w:rPr>
        <w:t>REIT 101: An Introduction</w:t>
      </w:r>
      <w:r w:rsidRPr="00FE403B">
        <w:t xml:space="preserve">, Research Paper for Barclays Capital </w:t>
      </w:r>
    </w:p>
    <w:p w:rsidR="00534C63" w:rsidRDefault="00534C63" w:rsidP="00534C63">
      <w:pPr>
        <w:pStyle w:val="whp20100506"/>
      </w:pPr>
    </w:p>
    <w:p w:rsidR="00534C63" w:rsidRDefault="00534C63" w:rsidP="00534C63">
      <w:pPr>
        <w:pStyle w:val="whp20100506"/>
      </w:pPr>
      <w:r w:rsidRPr="00FE403B">
        <w:t xml:space="preserve">Sullivan, J., 2007, </w:t>
      </w:r>
      <w:r w:rsidRPr="00F87E96">
        <w:rPr>
          <w:i/>
        </w:rPr>
        <w:t xml:space="preserve">Australian </w:t>
      </w:r>
      <w:r w:rsidR="00194F2A">
        <w:rPr>
          <w:i/>
        </w:rPr>
        <w:t>REITS</w:t>
      </w:r>
      <w:r w:rsidRPr="00F87E96">
        <w:rPr>
          <w:i/>
        </w:rPr>
        <w:t xml:space="preserve"> – Regulation and Market Trends</w:t>
      </w:r>
      <w:r w:rsidRPr="00FE403B">
        <w:t>, Mallisons, Stephen Jaques</w:t>
      </w:r>
      <w:r w:rsidRPr="00FE403B">
        <w:br/>
      </w:r>
      <w:r w:rsidRPr="00FE403B">
        <w:br/>
        <w:t xml:space="preserve">Templeton, J., 2009, An interview with Mr James Templeton, Chief Executive Officer, Emira, Johannesburg, </w:t>
      </w:r>
      <w:r w:rsidRPr="00FE403B">
        <w:br/>
      </w:r>
      <w:r w:rsidRPr="00FE403B">
        <w:br/>
        <w:t>The Property Handbook, 2008, Annual Financial Mail, Standard Bank, Madison Book</w:t>
      </w:r>
      <w:r w:rsidRPr="00FE403B">
        <w:br/>
      </w:r>
      <w:r w:rsidRPr="00FE403B">
        <w:br/>
        <w:t>Theodosious, P., 2009, An interview with Mr Paul Theodosious, Managing Director of Acucap, Cape Town, 5 December 2009</w:t>
      </w:r>
      <w:r w:rsidRPr="00FE403B">
        <w:br/>
      </w:r>
      <w:r w:rsidRPr="00FE403B">
        <w:br/>
        <w:t>Thomsett M</w:t>
      </w:r>
      <w:r>
        <w:t xml:space="preserve"> </w:t>
      </w:r>
      <w:r w:rsidRPr="00FE403B">
        <w:t xml:space="preserve">C., 2006, </w:t>
      </w:r>
      <w:r w:rsidRPr="007A1964">
        <w:rPr>
          <w:i/>
        </w:rPr>
        <w:t>The Real Estate Investor’s Pocket Calculator</w:t>
      </w:r>
      <w:r w:rsidRPr="00FE403B">
        <w:t>, Anacom, New York</w:t>
      </w:r>
    </w:p>
    <w:p w:rsidR="00534C63" w:rsidRDefault="00534C63" w:rsidP="00534C63">
      <w:pPr>
        <w:pStyle w:val="whp20100506"/>
      </w:pPr>
    </w:p>
    <w:sectPr w:rsidR="00534C63" w:rsidSect="00684B0F">
      <w:footerReference w:type="default" r:id="rId6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0376" w:rsidRDefault="008E0376" w:rsidP="00534C63">
      <w:r>
        <w:separator/>
      </w:r>
    </w:p>
  </w:endnote>
  <w:endnote w:type="continuationSeparator" w:id="0">
    <w:p w:rsidR="008E0376" w:rsidRDefault="008E0376" w:rsidP="00534C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ff2">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5571"/>
      <w:docPartObj>
        <w:docPartGallery w:val="Page Numbers (Bottom of Page)"/>
        <w:docPartUnique/>
      </w:docPartObj>
    </w:sdtPr>
    <w:sdtContent>
      <w:p w:rsidR="00573D8E" w:rsidRDefault="00573D8E">
        <w:pPr>
          <w:pStyle w:val="Footer"/>
          <w:jc w:val="right"/>
        </w:pPr>
        <w:fldSimple w:instr=" PAGE   \* MERGEFORMAT ">
          <w:r w:rsidR="00D5697E">
            <w:rPr>
              <w:noProof/>
            </w:rPr>
            <w:t>74</w:t>
          </w:r>
        </w:fldSimple>
      </w:p>
    </w:sdtContent>
  </w:sdt>
  <w:p w:rsidR="00573D8E" w:rsidRDefault="00573D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0376" w:rsidRDefault="008E0376" w:rsidP="00534C63">
      <w:r>
        <w:separator/>
      </w:r>
    </w:p>
  </w:footnote>
  <w:footnote w:type="continuationSeparator" w:id="0">
    <w:p w:rsidR="008E0376" w:rsidRDefault="008E0376" w:rsidP="00534C63">
      <w:r>
        <w:continuationSeparator/>
      </w:r>
    </w:p>
  </w:footnote>
  <w:footnote w:id="1">
    <w:p w:rsidR="00573D8E" w:rsidRPr="00175DE2" w:rsidRDefault="00573D8E" w:rsidP="00534C63">
      <w:pPr>
        <w:pStyle w:val="FootnoteText"/>
        <w:rPr>
          <w:sz w:val="16"/>
          <w:szCs w:val="16"/>
          <w:lang w:val="en-ZA"/>
        </w:rPr>
      </w:pPr>
      <w:r w:rsidRPr="00175DE2">
        <w:rPr>
          <w:rStyle w:val="FootnoteReference"/>
          <w:sz w:val="16"/>
          <w:szCs w:val="16"/>
        </w:rPr>
        <w:footnoteRef/>
      </w:r>
      <w:r w:rsidRPr="00175DE2">
        <w:rPr>
          <w:sz w:val="16"/>
          <w:szCs w:val="16"/>
        </w:rPr>
        <w:t xml:space="preserve"> Old Mutual Investment Property Research, “</w:t>
      </w:r>
      <w:r w:rsidRPr="00175DE2">
        <w:rPr>
          <w:i/>
          <w:sz w:val="16"/>
          <w:szCs w:val="16"/>
        </w:rPr>
        <w:t>South Africa Property Market Continues to Sizzle</w:t>
      </w:r>
      <w:r w:rsidRPr="00175DE2">
        <w:rPr>
          <w:sz w:val="16"/>
          <w:szCs w:val="16"/>
        </w:rPr>
        <w:t>”, 2007</w:t>
      </w:r>
    </w:p>
  </w:footnote>
  <w:footnote w:id="2">
    <w:p w:rsidR="00573D8E" w:rsidRPr="00CD0EDF" w:rsidRDefault="00573D8E" w:rsidP="00534C63">
      <w:pPr>
        <w:pStyle w:val="FootnoteText"/>
        <w:rPr>
          <w:rFonts w:asciiTheme="minorHAnsi" w:hAnsiTheme="minorHAnsi"/>
          <w:sz w:val="16"/>
          <w:szCs w:val="16"/>
          <w:lang w:val="en-US"/>
        </w:rPr>
      </w:pPr>
      <w:r w:rsidRPr="00CD0EDF">
        <w:rPr>
          <w:rStyle w:val="FootnoteReference"/>
          <w:sz w:val="16"/>
          <w:szCs w:val="16"/>
        </w:rPr>
        <w:footnoteRef/>
      </w:r>
      <w:r w:rsidRPr="00CD0EDF">
        <w:rPr>
          <w:sz w:val="16"/>
          <w:szCs w:val="16"/>
        </w:rPr>
        <w:t xml:space="preserve"> </w:t>
      </w:r>
      <w:r>
        <w:rPr>
          <w:rFonts w:asciiTheme="minorHAnsi" w:hAnsiTheme="minorHAnsi"/>
          <w:sz w:val="16"/>
          <w:szCs w:val="16"/>
          <w:lang w:val="en-US"/>
        </w:rPr>
        <w:t>A l</w:t>
      </w:r>
      <w:r w:rsidRPr="00CD0EDF">
        <w:rPr>
          <w:rFonts w:asciiTheme="minorHAnsi" w:hAnsiTheme="minorHAnsi"/>
          <w:sz w:val="16"/>
          <w:szCs w:val="16"/>
          <w:lang w:val="en-US"/>
        </w:rPr>
        <w:t>eading South African asset management company</w:t>
      </w:r>
    </w:p>
  </w:footnote>
  <w:footnote w:id="3">
    <w:p w:rsidR="00573D8E" w:rsidRPr="000317C0" w:rsidRDefault="00573D8E" w:rsidP="00534C63">
      <w:pPr>
        <w:pStyle w:val="FootnoteText"/>
        <w:rPr>
          <w:rFonts w:asciiTheme="minorHAnsi" w:hAnsiTheme="minorHAnsi"/>
          <w:sz w:val="16"/>
          <w:szCs w:val="16"/>
          <w:lang w:val="en-ZA"/>
        </w:rPr>
      </w:pPr>
      <w:r w:rsidRPr="00CD0EDF">
        <w:rPr>
          <w:rStyle w:val="FootnoteReference"/>
          <w:rFonts w:asciiTheme="minorHAnsi" w:hAnsiTheme="minorHAnsi"/>
          <w:sz w:val="16"/>
          <w:szCs w:val="16"/>
        </w:rPr>
        <w:footnoteRef/>
      </w:r>
      <w:r w:rsidRPr="00CD0EDF">
        <w:rPr>
          <w:rFonts w:asciiTheme="minorHAnsi" w:hAnsiTheme="minorHAnsi"/>
          <w:sz w:val="16"/>
          <w:szCs w:val="16"/>
        </w:rPr>
        <w:t xml:space="preserve"> “</w:t>
      </w:r>
      <w:hyperlink w:history="1">
        <w:r w:rsidRPr="001D115C">
          <w:rPr>
            <w:rStyle w:val="Hyperlink"/>
            <w:rFonts w:asciiTheme="minorHAnsi" w:hAnsiTheme="minorHAnsi" w:cs="Helvetica"/>
            <w:sz w:val="16"/>
            <w:szCs w:val="16"/>
          </w:rPr>
          <w:t>SA Listed Property shows its mettle</w:t>
        </w:r>
      </w:hyperlink>
      <w:r w:rsidRPr="00CD0EDF">
        <w:rPr>
          <w:rFonts w:asciiTheme="minorHAnsi" w:hAnsiTheme="minorHAnsi" w:cs="Helvetica"/>
          <w:sz w:val="16"/>
          <w:szCs w:val="16"/>
        </w:rPr>
        <w:t>”</w:t>
      </w:r>
      <w:r w:rsidRPr="00CD0EDF">
        <w:rPr>
          <w:rStyle w:val="Strong"/>
          <w:rFonts w:asciiTheme="minorHAnsi" w:hAnsiTheme="minorHAnsi" w:cs="Helvetica"/>
          <w:b w:val="0"/>
          <w:sz w:val="16"/>
          <w:szCs w:val="16"/>
        </w:rPr>
        <w:t xml:space="preserve">, Plexus </w:t>
      </w:r>
      <w:r>
        <w:rPr>
          <w:rStyle w:val="Strong"/>
          <w:rFonts w:asciiTheme="minorHAnsi" w:hAnsiTheme="minorHAnsi" w:cs="Helvetica"/>
          <w:b w:val="0"/>
          <w:sz w:val="16"/>
          <w:szCs w:val="16"/>
        </w:rPr>
        <w:t>Asset Management</w:t>
      </w:r>
    </w:p>
  </w:footnote>
  <w:footnote w:id="4">
    <w:p w:rsidR="00573D8E" w:rsidRPr="00CD0EDF" w:rsidRDefault="00573D8E" w:rsidP="00534C63">
      <w:pPr>
        <w:pStyle w:val="FootnoteText"/>
        <w:rPr>
          <w:sz w:val="16"/>
          <w:szCs w:val="16"/>
          <w:lang w:val="en-US"/>
        </w:rPr>
      </w:pPr>
      <w:r w:rsidRPr="00CD0EDF">
        <w:rPr>
          <w:rStyle w:val="FootnoteReference"/>
          <w:sz w:val="16"/>
          <w:szCs w:val="16"/>
        </w:rPr>
        <w:footnoteRef/>
      </w:r>
      <w:r w:rsidRPr="00CD0EDF">
        <w:rPr>
          <w:sz w:val="16"/>
          <w:szCs w:val="16"/>
        </w:rPr>
        <w:t xml:space="preserve"> </w:t>
      </w:r>
      <w:r>
        <w:rPr>
          <w:sz w:val="16"/>
          <w:szCs w:val="16"/>
        </w:rPr>
        <w:t>Article on www.</w:t>
      </w:r>
      <w:r w:rsidRPr="00CD0EDF">
        <w:rPr>
          <w:sz w:val="16"/>
          <w:szCs w:val="16"/>
        </w:rPr>
        <w:t>eprop.co.za, 2007:[1]</w:t>
      </w:r>
    </w:p>
  </w:footnote>
  <w:footnote w:id="5">
    <w:p w:rsidR="00573D8E" w:rsidRPr="000317C0" w:rsidRDefault="00573D8E" w:rsidP="00534C63">
      <w:pPr>
        <w:pStyle w:val="FootnoteText"/>
        <w:rPr>
          <w:sz w:val="16"/>
          <w:szCs w:val="16"/>
          <w:lang w:val="en-US"/>
        </w:rPr>
      </w:pPr>
      <w:r w:rsidRPr="00CD0EDF">
        <w:rPr>
          <w:rStyle w:val="FootnoteReference"/>
          <w:sz w:val="16"/>
          <w:szCs w:val="16"/>
        </w:rPr>
        <w:footnoteRef/>
      </w:r>
      <w:r w:rsidRPr="00CD0EDF">
        <w:rPr>
          <w:sz w:val="16"/>
          <w:szCs w:val="16"/>
        </w:rPr>
        <w:t xml:space="preserve"> </w:t>
      </w:r>
      <w:r>
        <w:rPr>
          <w:sz w:val="16"/>
          <w:szCs w:val="16"/>
        </w:rPr>
        <w:t>Article on www.</w:t>
      </w:r>
      <w:r w:rsidRPr="00CD0EDF">
        <w:rPr>
          <w:sz w:val="16"/>
          <w:szCs w:val="16"/>
        </w:rPr>
        <w:t>eprop.co.za, 2007[3]</w:t>
      </w:r>
    </w:p>
  </w:footnote>
  <w:footnote w:id="6">
    <w:p w:rsidR="00573D8E" w:rsidRPr="00CD0EDF" w:rsidRDefault="00573D8E" w:rsidP="00534C63">
      <w:pPr>
        <w:pStyle w:val="FootnoteText"/>
        <w:rPr>
          <w:sz w:val="16"/>
          <w:szCs w:val="16"/>
          <w:lang w:val="en-US"/>
        </w:rPr>
      </w:pPr>
      <w:r w:rsidRPr="00CD0EDF">
        <w:rPr>
          <w:rStyle w:val="FootnoteReference"/>
          <w:sz w:val="16"/>
          <w:szCs w:val="16"/>
        </w:rPr>
        <w:footnoteRef/>
      </w:r>
      <w:r w:rsidRPr="00CD0EDF">
        <w:rPr>
          <w:sz w:val="16"/>
          <w:szCs w:val="16"/>
        </w:rPr>
        <w:t xml:space="preserve"> </w:t>
      </w:r>
      <w:r>
        <w:rPr>
          <w:sz w:val="16"/>
          <w:szCs w:val="16"/>
        </w:rPr>
        <w:t>Article on www.</w:t>
      </w:r>
      <w:r w:rsidRPr="00CD0EDF">
        <w:rPr>
          <w:sz w:val="16"/>
          <w:szCs w:val="16"/>
        </w:rPr>
        <w:t>propertyloanstock.co.za, 2007[1]</w:t>
      </w:r>
    </w:p>
  </w:footnote>
  <w:footnote w:id="7">
    <w:p w:rsidR="00573D8E" w:rsidRPr="001A5535" w:rsidRDefault="00573D8E" w:rsidP="00534C63">
      <w:pPr>
        <w:pStyle w:val="FootnoteText"/>
        <w:rPr>
          <w:lang w:val="en-ZA"/>
        </w:rPr>
      </w:pPr>
      <w:r w:rsidRPr="00CD0EDF">
        <w:rPr>
          <w:rStyle w:val="FootnoteReference"/>
          <w:sz w:val="16"/>
          <w:szCs w:val="16"/>
        </w:rPr>
        <w:footnoteRef/>
      </w:r>
      <w:r w:rsidRPr="00CD0EDF">
        <w:rPr>
          <w:sz w:val="16"/>
          <w:szCs w:val="16"/>
        </w:rPr>
        <w:t xml:space="preserve"> </w:t>
      </w:r>
      <w:r w:rsidRPr="00CD0EDF">
        <w:rPr>
          <w:sz w:val="16"/>
          <w:szCs w:val="16"/>
          <w:lang w:val="en-ZA"/>
        </w:rPr>
        <w:t>Chapter 2 of the Public Finance Management Act</w:t>
      </w:r>
    </w:p>
  </w:footnote>
  <w:footnote w:id="8">
    <w:p w:rsidR="00573D8E" w:rsidRPr="00175DE2" w:rsidRDefault="00573D8E" w:rsidP="00534C63">
      <w:pPr>
        <w:pStyle w:val="FootnoteText"/>
        <w:rPr>
          <w:sz w:val="16"/>
          <w:szCs w:val="16"/>
          <w:lang w:val="en-ZA"/>
        </w:rPr>
      </w:pPr>
      <w:r>
        <w:rPr>
          <w:rStyle w:val="FootnoteReference"/>
        </w:rPr>
        <w:footnoteRef/>
      </w:r>
      <w:r>
        <w:t xml:space="preserve"> </w:t>
      </w:r>
      <w:r>
        <w:rPr>
          <w:sz w:val="16"/>
          <w:szCs w:val="16"/>
        </w:rPr>
        <w:t>Various sources (National Treasury (2007), Property Handbook (2007, 2008) and the Internet)</w:t>
      </w:r>
    </w:p>
  </w:footnote>
  <w:footnote w:id="9">
    <w:p w:rsidR="00573D8E" w:rsidRPr="00175DE2" w:rsidRDefault="00573D8E" w:rsidP="00534C63">
      <w:pPr>
        <w:pStyle w:val="FootnoteText"/>
        <w:rPr>
          <w:sz w:val="16"/>
          <w:szCs w:val="16"/>
          <w:lang w:val="en-ZA"/>
        </w:rPr>
      </w:pPr>
      <w:r>
        <w:rPr>
          <w:rStyle w:val="FootnoteReference"/>
        </w:rPr>
        <w:footnoteRef/>
      </w:r>
      <w:r>
        <w:t xml:space="preserve"> </w:t>
      </w:r>
      <w:hyperlink r:id="rId1" w:history="1">
        <w:r w:rsidRPr="00175DE2">
          <w:rPr>
            <w:rStyle w:val="Hyperlink"/>
            <w:i/>
            <w:sz w:val="16"/>
            <w:szCs w:val="16"/>
          </w:rPr>
          <w:t>www.usreitfodesk.com/introduction</w:t>
        </w:r>
      </w:hyperlink>
      <w:r w:rsidRPr="00175DE2">
        <w:rPr>
          <w:i/>
          <w:sz w:val="16"/>
          <w:szCs w:val="16"/>
        </w:rPr>
        <w:t>, page 2</w:t>
      </w:r>
    </w:p>
  </w:footnote>
  <w:footnote w:id="10">
    <w:p w:rsidR="00573D8E" w:rsidRPr="006F61EA" w:rsidRDefault="00573D8E" w:rsidP="00534C63">
      <w:pPr>
        <w:pStyle w:val="FootnoteText"/>
        <w:rPr>
          <w:lang w:val="en-ZA"/>
        </w:rPr>
      </w:pPr>
      <w:r w:rsidRPr="00175DE2">
        <w:rPr>
          <w:rStyle w:val="FootnoteReference"/>
          <w:sz w:val="16"/>
          <w:szCs w:val="16"/>
        </w:rPr>
        <w:footnoteRef/>
      </w:r>
      <w:r w:rsidRPr="00175DE2">
        <w:rPr>
          <w:sz w:val="16"/>
          <w:szCs w:val="16"/>
        </w:rPr>
        <w:t xml:space="preserve"> </w:t>
      </w:r>
      <w:r w:rsidRPr="00175DE2">
        <w:rPr>
          <w:sz w:val="16"/>
          <w:szCs w:val="16"/>
          <w:lang w:val="en-ZA"/>
        </w:rPr>
        <w:t>www.jse.co.za/propertyentities</w:t>
      </w:r>
    </w:p>
  </w:footnote>
  <w:footnote w:id="11">
    <w:p w:rsidR="00573D8E" w:rsidRPr="008F7F0D" w:rsidRDefault="00573D8E" w:rsidP="00534C63">
      <w:pPr>
        <w:pStyle w:val="FootnoteText"/>
        <w:rPr>
          <w:sz w:val="16"/>
          <w:szCs w:val="16"/>
          <w:lang w:val="en-ZA"/>
        </w:rPr>
      </w:pPr>
      <w:r w:rsidRPr="008F7F0D">
        <w:rPr>
          <w:rStyle w:val="FootnoteReference"/>
          <w:sz w:val="16"/>
          <w:szCs w:val="16"/>
        </w:rPr>
        <w:footnoteRef/>
      </w:r>
      <w:r w:rsidRPr="008F7F0D">
        <w:rPr>
          <w:sz w:val="16"/>
          <w:szCs w:val="16"/>
        </w:rPr>
        <w:t xml:space="preserve"> </w:t>
      </w:r>
      <w:r w:rsidRPr="008F7F0D">
        <w:rPr>
          <w:sz w:val="16"/>
          <w:szCs w:val="16"/>
          <w:lang w:val="en-ZA"/>
        </w:rPr>
        <w:t xml:space="preserve">National Association of Real Estate Investment Trusts (NAREIT): Investors Guide to </w:t>
      </w:r>
      <w:r>
        <w:rPr>
          <w:sz w:val="16"/>
          <w:szCs w:val="16"/>
          <w:lang w:val="en-ZA"/>
        </w:rPr>
        <w:t>REITS</w:t>
      </w:r>
    </w:p>
  </w:footnote>
  <w:footnote w:id="12">
    <w:p w:rsidR="00573D8E" w:rsidRPr="009051F4" w:rsidRDefault="00573D8E" w:rsidP="00534C63">
      <w:pPr>
        <w:pStyle w:val="FootnoteText"/>
        <w:rPr>
          <w:sz w:val="16"/>
          <w:szCs w:val="16"/>
        </w:rPr>
      </w:pPr>
      <w:r w:rsidRPr="00E8776D">
        <w:rPr>
          <w:rStyle w:val="FootnoteReference"/>
          <w:sz w:val="16"/>
          <w:szCs w:val="16"/>
        </w:rPr>
        <w:footnoteRef/>
      </w:r>
      <w:r w:rsidRPr="00E8776D">
        <w:rPr>
          <w:sz w:val="16"/>
          <w:szCs w:val="16"/>
        </w:rPr>
        <w:t xml:space="preserve"> The importance of this being that the biggest REIT market is the USA where their GAAP system reports net income based on historical depreciation which misstates a company’s operating performance which is a different measure as opposed to South Africa and hence the need to understand REIT based financial ratios</w:t>
      </w:r>
    </w:p>
  </w:footnote>
  <w:footnote w:id="13">
    <w:p w:rsidR="00573D8E" w:rsidRDefault="00573D8E" w:rsidP="00534C63">
      <w:pPr>
        <w:pStyle w:val="FootnoteText"/>
      </w:pPr>
    </w:p>
    <w:p w:rsidR="00573D8E" w:rsidRPr="00F54D2E" w:rsidRDefault="00573D8E" w:rsidP="00534C63">
      <w:pPr>
        <w:pStyle w:val="FootnoteText"/>
        <w:rPr>
          <w:lang w:val="en-ZA"/>
        </w:rPr>
      </w:pPr>
      <w:r>
        <w:rPr>
          <w:rStyle w:val="FootnoteReference"/>
        </w:rPr>
        <w:footnoteRef/>
      </w:r>
      <w:r>
        <w:t xml:space="preserve"> </w:t>
      </w:r>
      <w:hyperlink r:id="rId2" w:history="1">
        <w:r w:rsidRPr="00FE403B">
          <w:rPr>
            <w:rStyle w:val="Hyperlink"/>
            <w:sz w:val="16"/>
            <w:szCs w:val="16"/>
          </w:rPr>
          <w:t>www.nareit.com/epubs/2006</w:t>
        </w:r>
      </w:hyperlink>
      <w:r w:rsidRPr="00FE403B">
        <w:rPr>
          <w:sz w:val="16"/>
          <w:szCs w:val="16"/>
        </w:rPr>
        <w:t xml:space="preserve"> - </w:t>
      </w:r>
      <w:r w:rsidRPr="00FE403B">
        <w:rPr>
          <w:sz w:val="16"/>
          <w:szCs w:val="16"/>
          <w:lang w:val="en-ZA"/>
        </w:rPr>
        <w:t xml:space="preserve">Portfolio Diversification through </w:t>
      </w:r>
      <w:r>
        <w:rPr>
          <w:sz w:val="16"/>
          <w:szCs w:val="16"/>
          <w:lang w:val="en-ZA"/>
        </w:rPr>
        <w:t>REITS</w:t>
      </w:r>
      <w:r>
        <w:rPr>
          <w:lang w:val="en-ZA"/>
        </w:rPr>
        <w:t xml:space="preserve"> </w:t>
      </w:r>
    </w:p>
  </w:footnote>
  <w:footnote w:id="14">
    <w:p w:rsidR="00573D8E" w:rsidRPr="00866EF4" w:rsidRDefault="00573D8E" w:rsidP="00534C63">
      <w:pPr>
        <w:pStyle w:val="FootnoteText"/>
        <w:rPr>
          <w:sz w:val="16"/>
          <w:szCs w:val="16"/>
          <w:lang w:val="en-ZA"/>
        </w:rPr>
      </w:pPr>
      <w:r w:rsidRPr="00866EF4">
        <w:rPr>
          <w:rStyle w:val="FootnoteReference"/>
          <w:sz w:val="16"/>
          <w:szCs w:val="16"/>
        </w:rPr>
        <w:footnoteRef/>
      </w:r>
      <w:r w:rsidRPr="00866EF4">
        <w:rPr>
          <w:sz w:val="16"/>
          <w:szCs w:val="16"/>
        </w:rPr>
        <w:t xml:space="preserve"> </w:t>
      </w:r>
      <w:r w:rsidRPr="00866EF4">
        <w:rPr>
          <w:sz w:val="16"/>
          <w:szCs w:val="16"/>
          <w:lang w:val="en-ZA"/>
        </w:rPr>
        <w:t xml:space="preserve">South Africa’s conversion to </w:t>
      </w:r>
      <w:r>
        <w:rPr>
          <w:sz w:val="16"/>
          <w:szCs w:val="16"/>
          <w:lang w:val="en-ZA"/>
        </w:rPr>
        <w:t>REITS</w:t>
      </w:r>
      <w:r w:rsidRPr="00866EF4">
        <w:rPr>
          <w:sz w:val="16"/>
          <w:szCs w:val="16"/>
          <w:lang w:val="en-ZA"/>
        </w:rPr>
        <w:t xml:space="preserve">, </w:t>
      </w:r>
      <w:r>
        <w:rPr>
          <w:sz w:val="16"/>
          <w:szCs w:val="16"/>
          <w:lang w:val="en-ZA"/>
        </w:rPr>
        <w:t>www.</w:t>
      </w:r>
      <w:r w:rsidRPr="00866EF4">
        <w:rPr>
          <w:sz w:val="16"/>
          <w:szCs w:val="16"/>
          <w:lang w:val="en-ZA"/>
        </w:rPr>
        <w:t xml:space="preserve">eProp.co.za, 2007, March </w:t>
      </w:r>
    </w:p>
  </w:footnote>
  <w:footnote w:id="15">
    <w:p w:rsidR="00573D8E" w:rsidRPr="00EC1FD5" w:rsidRDefault="00573D8E" w:rsidP="00534C63">
      <w:pPr>
        <w:pStyle w:val="FootnoteText"/>
        <w:rPr>
          <w:sz w:val="16"/>
          <w:szCs w:val="16"/>
          <w:lang w:val="en-US"/>
        </w:rPr>
      </w:pPr>
      <w:r w:rsidRPr="00FE403B">
        <w:rPr>
          <w:rStyle w:val="FootnoteReference"/>
          <w:sz w:val="16"/>
          <w:szCs w:val="16"/>
        </w:rPr>
        <w:footnoteRef/>
      </w:r>
      <w:r w:rsidRPr="00FE403B">
        <w:rPr>
          <w:sz w:val="16"/>
          <w:szCs w:val="16"/>
        </w:rPr>
        <w:t xml:space="preserve"> </w:t>
      </w:r>
      <w:r>
        <w:rPr>
          <w:sz w:val="16"/>
          <w:szCs w:val="16"/>
          <w:lang w:val="en-US"/>
        </w:rPr>
        <w:t>REITS</w:t>
      </w:r>
      <w:r w:rsidRPr="00FE403B">
        <w:rPr>
          <w:sz w:val="16"/>
          <w:szCs w:val="16"/>
          <w:lang w:val="en-US"/>
        </w:rPr>
        <w:t>: A Comparative Approach throughout Europe</w:t>
      </w:r>
      <w:r>
        <w:rPr>
          <w:sz w:val="16"/>
          <w:szCs w:val="16"/>
          <w:lang w:val="en-US"/>
        </w:rPr>
        <w:t xml:space="preserve"> (www.cmslegal.com)</w:t>
      </w:r>
    </w:p>
  </w:footnote>
  <w:footnote w:id="16">
    <w:p w:rsidR="00573D8E" w:rsidRPr="004428FF" w:rsidRDefault="00573D8E" w:rsidP="00534C63">
      <w:pPr>
        <w:pStyle w:val="FootnoteText"/>
        <w:rPr>
          <w:sz w:val="16"/>
          <w:szCs w:val="16"/>
          <w:lang w:val="en-ZA"/>
        </w:rPr>
      </w:pPr>
      <w:r w:rsidRPr="004428FF">
        <w:rPr>
          <w:rStyle w:val="FootnoteReference"/>
          <w:sz w:val="16"/>
          <w:szCs w:val="16"/>
        </w:rPr>
        <w:footnoteRef/>
      </w:r>
      <w:r w:rsidRPr="004428FF">
        <w:rPr>
          <w:sz w:val="16"/>
          <w:szCs w:val="16"/>
        </w:rPr>
        <w:t xml:space="preserve"> </w:t>
      </w:r>
      <w:r w:rsidRPr="004428FF">
        <w:rPr>
          <w:sz w:val="16"/>
          <w:szCs w:val="16"/>
          <w:lang w:val="en-ZA"/>
        </w:rPr>
        <w:t>S7 of Part 1</w:t>
      </w:r>
    </w:p>
  </w:footnote>
  <w:footnote w:id="17">
    <w:p w:rsidR="00573D8E" w:rsidRPr="002E0A5B" w:rsidRDefault="00573D8E" w:rsidP="00534C63">
      <w:pPr>
        <w:pStyle w:val="FootnoteText"/>
        <w:rPr>
          <w:lang w:val="en-ZA"/>
        </w:rPr>
      </w:pPr>
      <w:r w:rsidRPr="004428FF">
        <w:rPr>
          <w:rStyle w:val="FootnoteReference"/>
          <w:sz w:val="16"/>
          <w:szCs w:val="16"/>
        </w:rPr>
        <w:footnoteRef/>
      </w:r>
      <w:r w:rsidRPr="004428FF">
        <w:rPr>
          <w:sz w:val="16"/>
          <w:szCs w:val="16"/>
        </w:rPr>
        <w:t xml:space="preserve"> </w:t>
      </w:r>
      <w:r w:rsidRPr="004428FF">
        <w:rPr>
          <w:sz w:val="16"/>
          <w:szCs w:val="16"/>
          <w:lang w:val="en-ZA"/>
        </w:rPr>
        <w:t>Act 92 of 1990</w:t>
      </w:r>
    </w:p>
  </w:footnote>
  <w:footnote w:id="18">
    <w:p w:rsidR="00573D8E" w:rsidRPr="00EC1FD5" w:rsidRDefault="00573D8E" w:rsidP="00534C63">
      <w:pPr>
        <w:pStyle w:val="FootnoteText"/>
        <w:rPr>
          <w:sz w:val="16"/>
          <w:szCs w:val="16"/>
          <w:lang w:val="en-ZA"/>
        </w:rPr>
      </w:pPr>
      <w:r w:rsidRPr="00FE403B">
        <w:rPr>
          <w:rStyle w:val="FootnoteReference"/>
          <w:sz w:val="16"/>
          <w:szCs w:val="16"/>
        </w:rPr>
        <w:footnoteRef/>
      </w:r>
      <w:r w:rsidRPr="00FE403B">
        <w:rPr>
          <w:sz w:val="16"/>
          <w:szCs w:val="16"/>
        </w:rPr>
        <w:t xml:space="preserve"> </w:t>
      </w:r>
      <w:r w:rsidRPr="00FE403B">
        <w:rPr>
          <w:sz w:val="16"/>
          <w:szCs w:val="16"/>
          <w:lang w:val="en-ZA"/>
        </w:rPr>
        <w:t>S1 of Part I</w:t>
      </w:r>
    </w:p>
  </w:footnote>
  <w:footnote w:id="19">
    <w:p w:rsidR="00573D8E" w:rsidRPr="00EC1FD5" w:rsidRDefault="00573D8E" w:rsidP="00534C63">
      <w:pPr>
        <w:pStyle w:val="FootnoteText"/>
        <w:rPr>
          <w:sz w:val="16"/>
          <w:szCs w:val="16"/>
          <w:lang w:val="en-ZA"/>
        </w:rPr>
      </w:pPr>
      <w:r w:rsidRPr="00FE403B">
        <w:rPr>
          <w:rStyle w:val="FootnoteReference"/>
          <w:sz w:val="16"/>
          <w:szCs w:val="16"/>
        </w:rPr>
        <w:footnoteRef/>
      </w:r>
      <w:r w:rsidRPr="00FE403B">
        <w:rPr>
          <w:sz w:val="16"/>
          <w:szCs w:val="16"/>
        </w:rPr>
        <w:t xml:space="preserve"> </w:t>
      </w:r>
      <w:r w:rsidRPr="00FE403B">
        <w:rPr>
          <w:sz w:val="16"/>
          <w:szCs w:val="16"/>
          <w:lang w:val="en-ZA"/>
        </w:rPr>
        <w:t>S4 of Part 1 Duties of a Manager</w:t>
      </w:r>
    </w:p>
  </w:footnote>
  <w:footnote w:id="20">
    <w:p w:rsidR="00573D8E" w:rsidRPr="00D11686" w:rsidRDefault="00573D8E" w:rsidP="00534C63">
      <w:pPr>
        <w:pStyle w:val="FootnoteText"/>
        <w:rPr>
          <w:lang w:val="en-ZA"/>
        </w:rPr>
      </w:pPr>
      <w:r w:rsidRPr="00FE403B">
        <w:rPr>
          <w:rStyle w:val="FootnoteReference"/>
          <w:sz w:val="16"/>
          <w:szCs w:val="16"/>
        </w:rPr>
        <w:footnoteRef/>
      </w:r>
      <w:r w:rsidRPr="00FE403B">
        <w:rPr>
          <w:sz w:val="16"/>
          <w:szCs w:val="16"/>
        </w:rPr>
        <w:t xml:space="preserve"> </w:t>
      </w:r>
      <w:r w:rsidRPr="00FE403B">
        <w:rPr>
          <w:sz w:val="16"/>
          <w:szCs w:val="16"/>
          <w:lang w:val="en-ZA"/>
        </w:rPr>
        <w:t>www.fsb.co.za</w:t>
      </w:r>
    </w:p>
  </w:footnote>
  <w:footnote w:id="21">
    <w:p w:rsidR="00573D8E" w:rsidRPr="002B70BE" w:rsidRDefault="00573D8E">
      <w:pPr>
        <w:pStyle w:val="FootnoteText"/>
        <w:rPr>
          <w:sz w:val="16"/>
          <w:szCs w:val="16"/>
          <w:lang w:val="en-ZA"/>
        </w:rPr>
      </w:pPr>
      <w:r>
        <w:rPr>
          <w:rStyle w:val="FootnoteReference"/>
        </w:rPr>
        <w:footnoteRef/>
      </w:r>
      <w:r>
        <w:t xml:space="preserve"> </w:t>
      </w:r>
      <w:r>
        <w:rPr>
          <w:sz w:val="16"/>
          <w:szCs w:val="16"/>
        </w:rPr>
        <w:t xml:space="preserve">Research regarding the anomalies in particular those pertaining to taxation are </w:t>
      </w:r>
      <w:r>
        <w:rPr>
          <w:sz w:val="16"/>
          <w:szCs w:val="16"/>
          <w:lang w:val="en-ZA"/>
        </w:rPr>
        <w:t xml:space="preserve">limited, and therefore the research is limited to the </w:t>
      </w:r>
      <w:r w:rsidRPr="00DF6BF7">
        <w:rPr>
          <w:sz w:val="16"/>
          <w:szCs w:val="16"/>
          <w:lang w:val="en-ZA"/>
        </w:rPr>
        <w:t xml:space="preserve">interviews </w:t>
      </w:r>
      <w:r>
        <w:rPr>
          <w:sz w:val="16"/>
          <w:szCs w:val="16"/>
          <w:lang w:val="en-ZA"/>
        </w:rPr>
        <w:t xml:space="preserve">and guidance from </w:t>
      </w:r>
      <w:r w:rsidRPr="00DF6BF7">
        <w:rPr>
          <w:sz w:val="16"/>
          <w:szCs w:val="16"/>
          <w:lang w:val="en-ZA"/>
        </w:rPr>
        <w:t>various industry leaders inter alia Katherine Gibson (National Treasury), Andrew Brooking (Java Capital), James Templeton (Emira), Paul Theodos</w:t>
      </w:r>
      <w:r>
        <w:rPr>
          <w:sz w:val="16"/>
          <w:szCs w:val="16"/>
          <w:lang w:val="en-ZA"/>
        </w:rPr>
        <w:t>sio</w:t>
      </w:r>
      <w:r w:rsidRPr="00DF6BF7">
        <w:rPr>
          <w:sz w:val="16"/>
          <w:szCs w:val="16"/>
          <w:lang w:val="en-ZA"/>
        </w:rPr>
        <w:t xml:space="preserve"> (Acucap), Craig Hallowes (Pangbourne Properties). R</w:t>
      </w:r>
      <w:r>
        <w:rPr>
          <w:sz w:val="16"/>
          <w:szCs w:val="16"/>
          <w:lang w:val="en-ZA"/>
        </w:rPr>
        <w:t xml:space="preserve">ecent academic research and authority in South Africa is also limited  to </w:t>
      </w:r>
      <w:r w:rsidRPr="00DF6BF7">
        <w:rPr>
          <w:sz w:val="16"/>
          <w:szCs w:val="16"/>
          <w:lang w:val="en-ZA"/>
        </w:rPr>
        <w:t>Fourie (2009)</w:t>
      </w:r>
      <w:r>
        <w:rPr>
          <w:sz w:val="16"/>
          <w:szCs w:val="16"/>
          <w:lang w:val="en-ZA"/>
        </w:rPr>
        <w:t xml:space="preserve"> who work provided invaluable insight and understanding of the taxation principles applicable to the property investment vehicles in South Africa</w:t>
      </w:r>
    </w:p>
  </w:footnote>
  <w:footnote w:id="22">
    <w:p w:rsidR="00573D8E" w:rsidRPr="00EC1FD5" w:rsidRDefault="00573D8E" w:rsidP="00534C63">
      <w:pPr>
        <w:pStyle w:val="whp20100506"/>
        <w:rPr>
          <w:rFonts w:ascii="Arial" w:hAnsi="Arial" w:cs="Arial"/>
          <w:sz w:val="16"/>
          <w:szCs w:val="16"/>
        </w:rPr>
      </w:pPr>
      <w:r>
        <w:rPr>
          <w:rStyle w:val="FootnoteReference"/>
        </w:rPr>
        <w:footnoteRef/>
      </w:r>
      <w:r>
        <w:t xml:space="preserve"> </w:t>
      </w:r>
      <w:r>
        <w:rPr>
          <w:rFonts w:ascii="Arial" w:hAnsi="Arial" w:cs="Arial"/>
          <w:sz w:val="16"/>
          <w:szCs w:val="16"/>
        </w:rPr>
        <w:t>This has</w:t>
      </w:r>
      <w:r w:rsidRPr="00FE403B">
        <w:rPr>
          <w:rFonts w:ascii="Arial" w:hAnsi="Arial" w:cs="Arial"/>
          <w:sz w:val="16"/>
          <w:szCs w:val="16"/>
        </w:rPr>
        <w:t xml:space="preserve"> been deleted by s13 of the Tax La</w:t>
      </w:r>
      <w:r>
        <w:rPr>
          <w:rFonts w:ascii="Arial" w:hAnsi="Arial" w:cs="Arial"/>
          <w:sz w:val="16"/>
          <w:szCs w:val="16"/>
        </w:rPr>
        <w:t>ws Amendment Act no 17 of 2009 but is important for this chapter</w:t>
      </w:r>
      <w:r w:rsidRPr="00FE403B">
        <w:rPr>
          <w:rFonts w:ascii="Arial" w:hAnsi="Arial" w:cs="Arial"/>
          <w:sz w:val="16"/>
          <w:szCs w:val="16"/>
        </w:rPr>
        <w:t>.</w:t>
      </w:r>
    </w:p>
    <w:p w:rsidR="00573D8E" w:rsidRPr="001400D8" w:rsidRDefault="00573D8E" w:rsidP="00534C63">
      <w:pPr>
        <w:pStyle w:val="FootnoteText"/>
        <w:rPr>
          <w:sz w:val="16"/>
          <w:szCs w:val="16"/>
          <w:lang w:val="en-ZA"/>
        </w:rPr>
      </w:pPr>
    </w:p>
  </w:footnote>
  <w:footnote w:id="23">
    <w:p w:rsidR="00573D8E" w:rsidRPr="00EB60A6" w:rsidRDefault="00573D8E" w:rsidP="00534C63">
      <w:pPr>
        <w:pStyle w:val="FootnoteText"/>
        <w:rPr>
          <w:sz w:val="16"/>
          <w:szCs w:val="16"/>
          <w:lang w:val="en-ZA"/>
        </w:rPr>
      </w:pPr>
      <w:r>
        <w:rPr>
          <w:rStyle w:val="FootnoteReference"/>
        </w:rPr>
        <w:footnoteRef/>
      </w:r>
      <w:r>
        <w:t xml:space="preserve"> </w:t>
      </w:r>
      <w:r>
        <w:rPr>
          <w:sz w:val="16"/>
          <w:szCs w:val="16"/>
          <w:lang w:val="en-ZA"/>
        </w:rPr>
        <w:t>Fourie, 2009: 14</w:t>
      </w:r>
    </w:p>
  </w:footnote>
  <w:footnote w:id="24">
    <w:p w:rsidR="00573D8E" w:rsidRPr="00DF6BF7" w:rsidRDefault="00573D8E" w:rsidP="00534C63">
      <w:pPr>
        <w:pStyle w:val="FootnoteText"/>
        <w:rPr>
          <w:rFonts w:cs="Arial"/>
          <w:sz w:val="16"/>
          <w:szCs w:val="16"/>
          <w:lang w:val="en-ZA"/>
        </w:rPr>
      </w:pPr>
      <w:r w:rsidRPr="00DF6BF7">
        <w:rPr>
          <w:rStyle w:val="FootnoteReference"/>
          <w:rFonts w:cs="Arial"/>
          <w:sz w:val="16"/>
          <w:szCs w:val="16"/>
        </w:rPr>
        <w:footnoteRef/>
      </w:r>
      <w:r w:rsidRPr="00DF6BF7">
        <w:rPr>
          <w:rFonts w:cs="Arial"/>
          <w:sz w:val="16"/>
          <w:szCs w:val="16"/>
        </w:rPr>
        <w:t xml:space="preserve"> </w:t>
      </w:r>
      <w:r w:rsidRPr="00DF6BF7">
        <w:rPr>
          <w:rFonts w:cs="Arial"/>
          <w:sz w:val="16"/>
          <w:szCs w:val="16"/>
          <w:lang w:val="en-ZA"/>
        </w:rPr>
        <w:t>Fourie, 2009:14</w:t>
      </w:r>
    </w:p>
  </w:footnote>
  <w:footnote w:id="25">
    <w:p w:rsidR="00573D8E" w:rsidRPr="00DF6BF7" w:rsidRDefault="00573D8E" w:rsidP="00534C63">
      <w:pPr>
        <w:pStyle w:val="whp20100506"/>
        <w:rPr>
          <w:rFonts w:ascii="Arial" w:hAnsi="Arial" w:cs="Arial"/>
          <w:sz w:val="16"/>
          <w:szCs w:val="16"/>
          <w:lang w:val="en-ZA"/>
        </w:rPr>
      </w:pPr>
      <w:r w:rsidRPr="00DF6BF7">
        <w:rPr>
          <w:rStyle w:val="FootnoteReference"/>
          <w:rFonts w:ascii="Arial" w:hAnsi="Arial" w:cs="Arial"/>
          <w:sz w:val="16"/>
          <w:szCs w:val="16"/>
        </w:rPr>
        <w:footnoteRef/>
      </w:r>
      <w:r w:rsidRPr="00DF6BF7">
        <w:rPr>
          <w:rFonts w:ascii="Arial" w:hAnsi="Arial" w:cs="Arial"/>
          <w:sz w:val="16"/>
          <w:szCs w:val="16"/>
        </w:rPr>
        <w:t xml:space="preserve"> Deduction derived from </w:t>
      </w:r>
      <w:r w:rsidRPr="00DF6BF7">
        <w:rPr>
          <w:rFonts w:ascii="Arial" w:hAnsi="Arial" w:cs="Arial"/>
          <w:sz w:val="16"/>
          <w:szCs w:val="16"/>
          <w:lang w:val="en-ZA"/>
        </w:rPr>
        <w:t>S11(s) of the Income Tax Act</w:t>
      </w:r>
    </w:p>
  </w:footnote>
  <w:footnote w:id="26">
    <w:p w:rsidR="00573D8E" w:rsidRPr="009545D5" w:rsidRDefault="00573D8E" w:rsidP="00534C63">
      <w:pPr>
        <w:pStyle w:val="whp20100506"/>
        <w:rPr>
          <w:sz w:val="16"/>
          <w:szCs w:val="16"/>
          <w:lang w:val="en-ZA"/>
        </w:rPr>
      </w:pPr>
      <w:r w:rsidRPr="00DF6BF7">
        <w:rPr>
          <w:rStyle w:val="FootnoteReference"/>
          <w:rFonts w:ascii="Arial" w:hAnsi="Arial" w:cs="Arial"/>
          <w:sz w:val="16"/>
          <w:szCs w:val="16"/>
        </w:rPr>
        <w:footnoteRef/>
      </w:r>
      <w:r w:rsidRPr="00DF6BF7">
        <w:rPr>
          <w:rFonts w:ascii="Arial" w:hAnsi="Arial" w:cs="Arial"/>
          <w:sz w:val="16"/>
          <w:szCs w:val="16"/>
        </w:rPr>
        <w:t xml:space="preserve"> </w:t>
      </w:r>
      <w:r w:rsidRPr="00DF6BF7">
        <w:rPr>
          <w:rFonts w:ascii="Arial" w:hAnsi="Arial" w:cs="Arial"/>
          <w:sz w:val="16"/>
          <w:szCs w:val="16"/>
          <w:lang w:val="en-ZA"/>
        </w:rPr>
        <w:t>Conduit principle derived from S225B(1) of the Income Tax Act</w:t>
      </w:r>
    </w:p>
  </w:footnote>
  <w:footnote w:id="27">
    <w:p w:rsidR="00573D8E" w:rsidRPr="00DF6BF7" w:rsidRDefault="00573D8E" w:rsidP="00534C63">
      <w:pPr>
        <w:pStyle w:val="whp20100506"/>
        <w:rPr>
          <w:rFonts w:ascii="Arial" w:hAnsi="Arial" w:cs="Arial"/>
          <w:sz w:val="16"/>
          <w:szCs w:val="16"/>
          <w:lang w:val="en-ZA"/>
        </w:rPr>
      </w:pPr>
      <w:r w:rsidRPr="00DF6BF7">
        <w:rPr>
          <w:rStyle w:val="FootnoteReference"/>
          <w:rFonts w:ascii="Arial" w:hAnsi="Arial" w:cs="Arial"/>
          <w:sz w:val="16"/>
          <w:szCs w:val="16"/>
        </w:rPr>
        <w:footnoteRef/>
      </w:r>
      <w:r w:rsidRPr="00DF6BF7">
        <w:rPr>
          <w:rFonts w:ascii="Arial" w:hAnsi="Arial" w:cs="Arial"/>
          <w:sz w:val="16"/>
          <w:szCs w:val="16"/>
        </w:rPr>
        <w:t xml:space="preserve"> </w:t>
      </w:r>
      <w:r w:rsidRPr="00DF6BF7">
        <w:rPr>
          <w:rFonts w:ascii="Arial" w:hAnsi="Arial" w:cs="Arial"/>
          <w:sz w:val="16"/>
          <w:szCs w:val="16"/>
          <w:lang w:val="en-ZA"/>
        </w:rPr>
        <w:t>Exemption derived from S10(1)(k)(i) of the Income Tax Act</w:t>
      </w:r>
    </w:p>
  </w:footnote>
  <w:footnote w:id="28">
    <w:p w:rsidR="00573D8E" w:rsidRPr="00715E02" w:rsidRDefault="00573D8E">
      <w:pPr>
        <w:pStyle w:val="FootnoteText"/>
        <w:rPr>
          <w:lang w:val="en-ZA"/>
        </w:rPr>
      </w:pPr>
      <w:r>
        <w:rPr>
          <w:rStyle w:val="FootnoteReference"/>
        </w:rPr>
        <w:footnoteRef/>
      </w:r>
      <w:r>
        <w:t xml:space="preserve"> </w:t>
      </w:r>
      <w:r>
        <w:rPr>
          <w:sz w:val="16"/>
          <w:szCs w:val="16"/>
        </w:rPr>
        <w:t xml:space="preserve">Research regarding the anomalies in particular those pertaining to taxation are </w:t>
      </w:r>
      <w:r>
        <w:rPr>
          <w:sz w:val="16"/>
          <w:szCs w:val="16"/>
          <w:lang w:val="en-ZA"/>
        </w:rPr>
        <w:t xml:space="preserve">limited, and therefore the research is limited to the </w:t>
      </w:r>
      <w:r w:rsidRPr="00DF6BF7">
        <w:rPr>
          <w:sz w:val="16"/>
          <w:szCs w:val="16"/>
          <w:lang w:val="en-ZA"/>
        </w:rPr>
        <w:t xml:space="preserve">interviews </w:t>
      </w:r>
      <w:r>
        <w:rPr>
          <w:sz w:val="16"/>
          <w:szCs w:val="16"/>
          <w:lang w:val="en-ZA"/>
        </w:rPr>
        <w:t xml:space="preserve">and guidance from </w:t>
      </w:r>
      <w:r w:rsidRPr="00DF6BF7">
        <w:rPr>
          <w:sz w:val="16"/>
          <w:szCs w:val="16"/>
          <w:lang w:val="en-ZA"/>
        </w:rPr>
        <w:t>various industry leaders inter alia Katherine Gibson (National Treasury), Andrew Brooking (Java Capital), James Templeton (Emira), Paul Theodosius (Acucap), Craig Hallowes (Pangbourne Properties). R</w:t>
      </w:r>
      <w:r>
        <w:rPr>
          <w:sz w:val="16"/>
          <w:szCs w:val="16"/>
          <w:lang w:val="en-ZA"/>
        </w:rPr>
        <w:t xml:space="preserve">ecent academic research and authority in South Africa is also limited  to </w:t>
      </w:r>
      <w:r w:rsidRPr="00DF6BF7">
        <w:rPr>
          <w:sz w:val="16"/>
          <w:szCs w:val="16"/>
          <w:lang w:val="en-ZA"/>
        </w:rPr>
        <w:t>Fourie (2009)</w:t>
      </w:r>
      <w:r>
        <w:rPr>
          <w:sz w:val="16"/>
          <w:szCs w:val="16"/>
          <w:lang w:val="en-ZA"/>
        </w:rPr>
        <w:t xml:space="preserve"> who work provided invaluable insight and understanding of the taxation principles applicable to the property investment vehicles in South Africa</w:t>
      </w:r>
    </w:p>
  </w:footnote>
  <w:footnote w:id="29">
    <w:p w:rsidR="00573D8E" w:rsidRPr="00DF6BF7" w:rsidRDefault="00573D8E" w:rsidP="00534C63">
      <w:pPr>
        <w:pStyle w:val="Heading1"/>
        <w:rPr>
          <w:b w:val="0"/>
          <w:sz w:val="16"/>
          <w:szCs w:val="16"/>
        </w:rPr>
      </w:pPr>
      <w:r w:rsidRPr="00DF6BF7">
        <w:rPr>
          <w:rStyle w:val="FootnoteReference"/>
          <w:b w:val="0"/>
          <w:sz w:val="16"/>
          <w:szCs w:val="16"/>
        </w:rPr>
        <w:footnoteRef/>
      </w:r>
      <w:r w:rsidRPr="00DF6BF7">
        <w:rPr>
          <w:b w:val="0"/>
          <w:sz w:val="16"/>
          <w:szCs w:val="16"/>
        </w:rPr>
        <w:t xml:space="preserve"> ‘Reserve Bank shakeup in property syndications’ - 22 June 2010 </w:t>
      </w:r>
    </w:p>
  </w:footnote>
  <w:footnote w:id="30">
    <w:p w:rsidR="00573D8E" w:rsidRPr="0094127D" w:rsidRDefault="00573D8E">
      <w:pPr>
        <w:pStyle w:val="FootnoteText"/>
        <w:rPr>
          <w:lang w:val="en-ZA"/>
        </w:rPr>
      </w:pPr>
      <w:r>
        <w:rPr>
          <w:rStyle w:val="FootnoteReference"/>
        </w:rPr>
        <w:footnoteRef/>
      </w:r>
      <w:r>
        <w:t xml:space="preserve"> Yin, R.K.1984, p. 23</w:t>
      </w:r>
    </w:p>
  </w:footnote>
  <w:footnote w:id="31">
    <w:p w:rsidR="00573D8E" w:rsidRPr="00974000" w:rsidRDefault="00573D8E">
      <w:pPr>
        <w:pStyle w:val="FootnoteText"/>
        <w:rPr>
          <w:lang w:val="en-US"/>
        </w:rPr>
      </w:pPr>
      <w:r w:rsidRPr="00974000">
        <w:rPr>
          <w:rStyle w:val="FootnoteReference"/>
        </w:rPr>
        <w:footnoteRef/>
      </w:r>
      <w:r w:rsidRPr="00974000">
        <w:t xml:space="preserve"> </w:t>
      </w:r>
      <w:r w:rsidRPr="00974000">
        <w:rPr>
          <w:lang w:val="en-US"/>
        </w:rPr>
        <w:t>Rubin, A. and Babbie, E.R. (2009) Essential Research Methods for Social Work, Second Edition. Brooks/Cole Cengage Learning, California, USA</w:t>
      </w:r>
    </w:p>
  </w:footnote>
  <w:footnote w:id="32">
    <w:p w:rsidR="00573D8E" w:rsidRPr="00DF6BF7" w:rsidRDefault="00573D8E" w:rsidP="00534C63">
      <w:pPr>
        <w:pStyle w:val="FootnoteText"/>
        <w:rPr>
          <w:sz w:val="16"/>
          <w:szCs w:val="16"/>
          <w:lang w:val="en-ZA"/>
        </w:rPr>
      </w:pPr>
      <w:r w:rsidRPr="00DF6BF7">
        <w:rPr>
          <w:rStyle w:val="FootnoteReference"/>
          <w:sz w:val="16"/>
          <w:szCs w:val="16"/>
        </w:rPr>
        <w:footnoteRef/>
      </w:r>
      <w:r w:rsidRPr="00DF6BF7">
        <w:rPr>
          <w:sz w:val="16"/>
          <w:szCs w:val="16"/>
        </w:rPr>
        <w:t xml:space="preserve"> </w:t>
      </w:r>
      <w:r w:rsidRPr="00DF6BF7">
        <w:rPr>
          <w:sz w:val="16"/>
          <w:szCs w:val="16"/>
          <w:lang w:val="en-ZA"/>
        </w:rPr>
        <w:t>Denoted as National Treasury (2007)</w:t>
      </w:r>
    </w:p>
  </w:footnote>
  <w:footnote w:id="33">
    <w:p w:rsidR="00573D8E" w:rsidRPr="00632159" w:rsidRDefault="00573D8E" w:rsidP="00534C63">
      <w:pPr>
        <w:pStyle w:val="FootnoteText"/>
        <w:rPr>
          <w:lang w:val="en-ZA"/>
        </w:rPr>
      </w:pPr>
      <w:r w:rsidRPr="00DF6BF7">
        <w:rPr>
          <w:rStyle w:val="FootnoteReference"/>
          <w:sz w:val="16"/>
          <w:szCs w:val="16"/>
        </w:rPr>
        <w:footnoteRef/>
      </w:r>
      <w:r w:rsidRPr="00DF6BF7">
        <w:rPr>
          <w:sz w:val="16"/>
          <w:szCs w:val="16"/>
        </w:rPr>
        <w:t xml:space="preserve"> Denoted as National Treasury, 2008)</w:t>
      </w:r>
    </w:p>
  </w:footnote>
  <w:footnote w:id="34">
    <w:p w:rsidR="00573D8E" w:rsidRPr="00A95849" w:rsidRDefault="00573D8E" w:rsidP="00534C63">
      <w:pPr>
        <w:pStyle w:val="FootnoteText"/>
        <w:rPr>
          <w:lang w:val="en-ZA"/>
        </w:rPr>
      </w:pPr>
      <w:r>
        <w:rPr>
          <w:rStyle w:val="FootnoteReference"/>
        </w:rPr>
        <w:footnoteRef/>
      </w:r>
      <w:r>
        <w:t xml:space="preserve"> </w:t>
      </w:r>
      <w:r w:rsidRPr="00FE403B">
        <w:rPr>
          <w:sz w:val="16"/>
          <w:szCs w:val="16"/>
          <w:lang w:val="en-ZA"/>
        </w:rPr>
        <w:t>S7 of the Collective Investment Schemes Control Act 45 of 2002</w:t>
      </w:r>
    </w:p>
  </w:footnote>
  <w:footnote w:id="35">
    <w:p w:rsidR="00573D8E" w:rsidRPr="00A95849" w:rsidRDefault="00573D8E" w:rsidP="00534C63">
      <w:pPr>
        <w:pStyle w:val="FootnoteText"/>
        <w:rPr>
          <w:lang w:val="en-ZA"/>
        </w:rPr>
      </w:pPr>
      <w:r>
        <w:rPr>
          <w:rStyle w:val="FootnoteReference"/>
        </w:rPr>
        <w:footnoteRef/>
      </w:r>
      <w:r>
        <w:t xml:space="preserve"> </w:t>
      </w:r>
      <w:r w:rsidRPr="00FE403B">
        <w:rPr>
          <w:sz w:val="16"/>
          <w:szCs w:val="16"/>
          <w:lang w:val="en-ZA"/>
        </w:rPr>
        <w:t>Emira is a J</w:t>
      </w:r>
      <w:r>
        <w:rPr>
          <w:sz w:val="16"/>
          <w:szCs w:val="16"/>
          <w:lang w:val="en-ZA"/>
        </w:rPr>
        <w:t>.</w:t>
      </w:r>
      <w:r w:rsidRPr="00FE403B">
        <w:rPr>
          <w:sz w:val="16"/>
          <w:szCs w:val="16"/>
          <w:lang w:val="en-ZA"/>
        </w:rPr>
        <w:t>S</w:t>
      </w:r>
      <w:r>
        <w:rPr>
          <w:sz w:val="16"/>
          <w:szCs w:val="16"/>
          <w:lang w:val="en-ZA"/>
        </w:rPr>
        <w:t>.</w:t>
      </w:r>
      <w:r w:rsidRPr="00FE403B">
        <w:rPr>
          <w:sz w:val="16"/>
          <w:szCs w:val="16"/>
          <w:lang w:val="en-ZA"/>
        </w:rPr>
        <w:t>E</w:t>
      </w:r>
      <w:r>
        <w:rPr>
          <w:sz w:val="16"/>
          <w:szCs w:val="16"/>
          <w:lang w:val="en-ZA"/>
        </w:rPr>
        <w:t>.</w:t>
      </w:r>
      <w:r w:rsidRPr="00FE403B">
        <w:rPr>
          <w:sz w:val="16"/>
          <w:szCs w:val="16"/>
          <w:lang w:val="en-ZA"/>
        </w:rPr>
        <w:t xml:space="preserve"> listed CISP</w:t>
      </w:r>
    </w:p>
  </w:footnote>
  <w:footnote w:id="36">
    <w:p w:rsidR="00573D8E" w:rsidRPr="00A95849" w:rsidRDefault="00573D8E" w:rsidP="00534C63">
      <w:pPr>
        <w:pStyle w:val="FootnoteText"/>
        <w:rPr>
          <w:lang w:val="en-ZA"/>
        </w:rPr>
      </w:pPr>
      <w:r>
        <w:rPr>
          <w:rStyle w:val="FootnoteReference"/>
        </w:rPr>
        <w:footnoteRef/>
      </w:r>
      <w:r>
        <w:t xml:space="preserve"> </w:t>
      </w:r>
      <w:r w:rsidRPr="005B19D4">
        <w:rPr>
          <w:sz w:val="16"/>
          <w:szCs w:val="16"/>
        </w:rPr>
        <w:t>Australian Stock Exchange - ASX</w:t>
      </w:r>
    </w:p>
  </w:footnote>
  <w:footnote w:id="37">
    <w:p w:rsidR="00573D8E" w:rsidRPr="00825372" w:rsidRDefault="00573D8E" w:rsidP="00534C63">
      <w:pPr>
        <w:pStyle w:val="FootnoteText"/>
        <w:rPr>
          <w:lang w:val="en-ZA"/>
        </w:rPr>
      </w:pPr>
      <w:r w:rsidRPr="00825372">
        <w:rPr>
          <w:rStyle w:val="FootnoteReference"/>
        </w:rPr>
        <w:footnoteRef/>
      </w:r>
      <w:r w:rsidRPr="00825372">
        <w:t xml:space="preserve"> National Treasury </w:t>
      </w:r>
      <w:r w:rsidRPr="00825372">
        <w:rPr>
          <w:sz w:val="16"/>
          <w:szCs w:val="16"/>
          <w:lang w:val="en-ZA"/>
        </w:rPr>
        <w:t>Discussion Document, 2007: 8</w:t>
      </w:r>
    </w:p>
  </w:footnote>
  <w:footnote w:id="38">
    <w:p w:rsidR="00573D8E" w:rsidRPr="0021329D" w:rsidRDefault="00573D8E" w:rsidP="00534C63">
      <w:pPr>
        <w:pStyle w:val="FootnoteText"/>
        <w:rPr>
          <w:sz w:val="16"/>
          <w:szCs w:val="16"/>
        </w:rPr>
      </w:pPr>
      <w:r>
        <w:rPr>
          <w:rStyle w:val="FootnoteReference"/>
        </w:rPr>
        <w:footnoteRef/>
      </w:r>
      <w:r>
        <w:t xml:space="preserve"> </w:t>
      </w:r>
      <w:r>
        <w:rPr>
          <w:sz w:val="16"/>
          <w:szCs w:val="16"/>
        </w:rPr>
        <w:t>Australian Stock Exchange</w:t>
      </w:r>
    </w:p>
  </w:footnote>
  <w:footnote w:id="39">
    <w:p w:rsidR="00573D8E" w:rsidRPr="009E5D93" w:rsidRDefault="00573D8E" w:rsidP="00534C63">
      <w:pPr>
        <w:pStyle w:val="FootnoteText"/>
        <w:rPr>
          <w:sz w:val="16"/>
          <w:szCs w:val="16"/>
        </w:rPr>
      </w:pPr>
      <w:r w:rsidRPr="009E5D93">
        <w:rPr>
          <w:rStyle w:val="FootnoteReference"/>
          <w:sz w:val="16"/>
          <w:szCs w:val="16"/>
        </w:rPr>
        <w:footnoteRef/>
      </w:r>
      <w:r w:rsidRPr="009E5D93">
        <w:rPr>
          <w:sz w:val="16"/>
          <w:szCs w:val="16"/>
        </w:rPr>
        <w:t xml:space="preserve"> Research conducted by the National Treasury in their REIT Discussion Document 2007 page 16</w:t>
      </w:r>
    </w:p>
  </w:footnote>
  <w:footnote w:id="40">
    <w:p w:rsidR="00573D8E" w:rsidRPr="009E5D93" w:rsidRDefault="00573D8E" w:rsidP="00534C63">
      <w:pPr>
        <w:pStyle w:val="FootnoteText"/>
        <w:rPr>
          <w:sz w:val="16"/>
          <w:szCs w:val="16"/>
        </w:rPr>
      </w:pPr>
      <w:r w:rsidRPr="009E5D93">
        <w:rPr>
          <w:rStyle w:val="FootnoteReference"/>
          <w:sz w:val="16"/>
          <w:szCs w:val="16"/>
        </w:rPr>
        <w:footnoteRef/>
      </w:r>
      <w:r w:rsidRPr="009E5D93">
        <w:rPr>
          <w:sz w:val="16"/>
          <w:szCs w:val="16"/>
        </w:rPr>
        <w:t xml:space="preserve"> Ernest &amp; Young 2007/2008</w:t>
      </w:r>
    </w:p>
  </w:footnote>
  <w:footnote w:id="41">
    <w:p w:rsidR="00573D8E" w:rsidRDefault="00573D8E" w:rsidP="00534C63">
      <w:pPr>
        <w:pStyle w:val="FootnoteText"/>
      </w:pPr>
      <w:r w:rsidRPr="009E5D93">
        <w:rPr>
          <w:rStyle w:val="FootnoteReference"/>
          <w:sz w:val="16"/>
          <w:szCs w:val="16"/>
        </w:rPr>
        <w:footnoteRef/>
      </w:r>
      <w:r w:rsidRPr="009E5D93">
        <w:rPr>
          <w:sz w:val="16"/>
          <w:szCs w:val="16"/>
        </w:rPr>
        <w:t xml:space="preserve"> If a foreign investor funds a local entity by way of low equity and heavy debt (hence "thin c</w:t>
      </w:r>
      <w:r>
        <w:rPr>
          <w:sz w:val="16"/>
          <w:szCs w:val="16"/>
        </w:rPr>
        <w:t>apitalisation") and moreover cha</w:t>
      </w:r>
      <w:r w:rsidRPr="009E5D93">
        <w:rPr>
          <w:sz w:val="16"/>
          <w:szCs w:val="16"/>
        </w:rPr>
        <w:t>rges high rates of interest, the interest (if tax deductible) will effectively drain profit out of the local country tax net</w:t>
      </w:r>
    </w:p>
  </w:footnote>
  <w:footnote w:id="42">
    <w:p w:rsidR="00573D8E" w:rsidRDefault="00573D8E" w:rsidP="00534C63">
      <w:pPr>
        <w:pStyle w:val="FootnoteText"/>
      </w:pPr>
      <w:r w:rsidRPr="00162FB5">
        <w:rPr>
          <w:rStyle w:val="FootnoteReference"/>
          <w:sz w:val="16"/>
          <w:szCs w:val="16"/>
        </w:rPr>
        <w:footnoteRef/>
      </w:r>
      <w:r w:rsidRPr="00162FB5">
        <w:rPr>
          <w:sz w:val="16"/>
          <w:szCs w:val="16"/>
        </w:rPr>
        <w:t xml:space="preserve"> Earnings before interest and taxes divided by interest expenses (all in the same financial year)</w:t>
      </w:r>
    </w:p>
  </w:footnote>
  <w:footnote w:id="43">
    <w:p w:rsidR="00573D8E" w:rsidRPr="00921730" w:rsidRDefault="00573D8E">
      <w:pPr>
        <w:pStyle w:val="FootnoteText"/>
        <w:rPr>
          <w:lang w:val="en-ZA"/>
        </w:rPr>
      </w:pPr>
      <w:r>
        <w:rPr>
          <w:rStyle w:val="FootnoteReference"/>
        </w:rPr>
        <w:footnoteRef/>
      </w:r>
      <w:r>
        <w:t xml:space="preserve"> </w:t>
      </w:r>
      <w:r>
        <w:rPr>
          <w:lang w:val="en-ZA"/>
        </w:rPr>
        <w:t>Constitution of South Africa, 1996</w:t>
      </w:r>
    </w:p>
  </w:footnote>
  <w:footnote w:id="44">
    <w:p w:rsidR="00573D8E" w:rsidRPr="00EC1FD5" w:rsidRDefault="00573D8E" w:rsidP="00534C63">
      <w:pPr>
        <w:pStyle w:val="FootnoteText"/>
        <w:rPr>
          <w:sz w:val="16"/>
          <w:szCs w:val="16"/>
          <w:lang w:val="en-US"/>
        </w:rPr>
      </w:pPr>
      <w:r w:rsidRPr="00FE403B">
        <w:rPr>
          <w:rStyle w:val="FootnoteReference"/>
          <w:sz w:val="16"/>
          <w:szCs w:val="16"/>
        </w:rPr>
        <w:footnoteRef/>
      </w:r>
      <w:r w:rsidRPr="00FE403B">
        <w:rPr>
          <w:sz w:val="16"/>
          <w:szCs w:val="16"/>
        </w:rPr>
        <w:t xml:space="preserve"> </w:t>
      </w:r>
      <w:r w:rsidRPr="00FE403B">
        <w:rPr>
          <w:sz w:val="16"/>
          <w:szCs w:val="16"/>
          <w:lang w:val="en-US"/>
        </w:rPr>
        <w:t>Property Sector Transformation Charter, Scorecard (Page 21)</w:t>
      </w:r>
    </w:p>
  </w:footnote>
  <w:footnote w:id="45">
    <w:p w:rsidR="00573D8E" w:rsidRPr="009C6D74" w:rsidRDefault="00573D8E" w:rsidP="00534C63">
      <w:pPr>
        <w:pStyle w:val="FootnoteText"/>
        <w:rPr>
          <w:lang w:val="en-US"/>
        </w:rPr>
      </w:pPr>
      <w:r>
        <w:rPr>
          <w:rStyle w:val="FootnoteReference"/>
        </w:rPr>
        <w:footnoteRef/>
      </w:r>
      <w:r>
        <w:t xml:space="preserve"> </w:t>
      </w:r>
      <w:hyperlink r:id="rId3" w:history="1">
        <w:r w:rsidRPr="00B87605">
          <w:rPr>
            <w:rStyle w:val="Hyperlink"/>
            <w:sz w:val="16"/>
            <w:szCs w:val="16"/>
            <w:lang w:val="en-US"/>
          </w:rPr>
          <w:t>www.bowman.co.za</w:t>
        </w:r>
      </w:hyperlink>
      <w:r w:rsidRPr="00B87605">
        <w:rPr>
          <w:sz w:val="16"/>
          <w:szCs w:val="16"/>
          <w:lang w:val="en-US"/>
        </w:rPr>
        <w:t xml:space="preserve"> – article: </w:t>
      </w:r>
      <w:r w:rsidRPr="00B87605">
        <w:rPr>
          <w:sz w:val="16"/>
          <w:szCs w:val="16"/>
        </w:rPr>
        <w:t>THE ART OF BEE TRANSACTION FINANCING</w:t>
      </w:r>
    </w:p>
  </w:footnote>
  <w:footnote w:id="46">
    <w:p w:rsidR="00573D8E" w:rsidRPr="0045495B" w:rsidRDefault="00573D8E" w:rsidP="00534C63">
      <w:pPr>
        <w:pStyle w:val="FootnoteText"/>
        <w:rPr>
          <w:sz w:val="16"/>
          <w:szCs w:val="16"/>
        </w:rPr>
      </w:pPr>
      <w:r>
        <w:rPr>
          <w:rStyle w:val="FootnoteReference"/>
        </w:rPr>
        <w:footnoteRef/>
      </w:r>
      <w:r>
        <w:t xml:space="preserve"> </w:t>
      </w:r>
      <w:r>
        <w:rPr>
          <w:sz w:val="16"/>
          <w:szCs w:val="16"/>
        </w:rPr>
        <w:t>European Public Real Estate Association</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E2D96"/>
    <w:multiLevelType w:val="hybridMultilevel"/>
    <w:tmpl w:val="B57835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42E1901"/>
    <w:multiLevelType w:val="hybridMultilevel"/>
    <w:tmpl w:val="2C5AE342"/>
    <w:lvl w:ilvl="0" w:tplc="08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6604FD5"/>
    <w:multiLevelType w:val="hybridMultilevel"/>
    <w:tmpl w:val="DCF68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8A572E"/>
    <w:multiLevelType w:val="hybridMultilevel"/>
    <w:tmpl w:val="AC84D4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FAD25C3"/>
    <w:multiLevelType w:val="hybridMultilevel"/>
    <w:tmpl w:val="E2EC3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3445CA"/>
    <w:multiLevelType w:val="hybridMultilevel"/>
    <w:tmpl w:val="C656741C"/>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6">
    <w:nsid w:val="15A923D2"/>
    <w:multiLevelType w:val="hybridMultilevel"/>
    <w:tmpl w:val="5C2EB442"/>
    <w:lvl w:ilvl="0" w:tplc="1C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7456266"/>
    <w:multiLevelType w:val="hybridMultilevel"/>
    <w:tmpl w:val="FBD0118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18B22414"/>
    <w:multiLevelType w:val="hybridMultilevel"/>
    <w:tmpl w:val="F8FC8598"/>
    <w:lvl w:ilvl="0" w:tplc="11B0F094">
      <w:start w:val="1"/>
      <w:numFmt w:val="decimal"/>
      <w:lvlText w:val="%1)"/>
      <w:lvlJc w:val="left"/>
      <w:pPr>
        <w:ind w:left="1275" w:hanging="555"/>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9">
    <w:nsid w:val="1EAC6515"/>
    <w:multiLevelType w:val="hybridMultilevel"/>
    <w:tmpl w:val="6554A4C8"/>
    <w:lvl w:ilvl="0" w:tplc="04090001">
      <w:start w:val="1"/>
      <w:numFmt w:val="bullet"/>
      <w:lvlText w:val=""/>
      <w:lvlJc w:val="left"/>
      <w:pPr>
        <w:ind w:left="364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nsid w:val="2D177B26"/>
    <w:multiLevelType w:val="hybridMultilevel"/>
    <w:tmpl w:val="49CEC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5E6A3E"/>
    <w:multiLevelType w:val="hybridMultilevel"/>
    <w:tmpl w:val="4C0256E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ABF61ED"/>
    <w:multiLevelType w:val="multilevel"/>
    <w:tmpl w:val="2D86B8E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EC66B80"/>
    <w:multiLevelType w:val="multilevel"/>
    <w:tmpl w:val="B410646E"/>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02919F4"/>
    <w:multiLevelType w:val="multilevel"/>
    <w:tmpl w:val="97DE9D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5940355"/>
    <w:multiLevelType w:val="multilevel"/>
    <w:tmpl w:val="112C3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8693910"/>
    <w:multiLevelType w:val="hybridMultilevel"/>
    <w:tmpl w:val="90EE9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F31931"/>
    <w:multiLevelType w:val="hybridMultilevel"/>
    <w:tmpl w:val="317490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E464C7"/>
    <w:multiLevelType w:val="hybridMultilevel"/>
    <w:tmpl w:val="CFA8F7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3DA0ABE"/>
    <w:multiLevelType w:val="hybridMultilevel"/>
    <w:tmpl w:val="8520823A"/>
    <w:lvl w:ilvl="0" w:tplc="4266D5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9DF116E"/>
    <w:multiLevelType w:val="hybridMultilevel"/>
    <w:tmpl w:val="C4C2F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50183B"/>
    <w:multiLevelType w:val="hybridMultilevel"/>
    <w:tmpl w:val="C8F87BA2"/>
    <w:lvl w:ilvl="0" w:tplc="8028ED8C">
      <w:start w:val="1"/>
      <w:numFmt w:val="lowerLetter"/>
      <w:lvlText w:val="%1)"/>
      <w:lvlJc w:val="left"/>
      <w:pPr>
        <w:ind w:left="1395" w:hanging="675"/>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2">
    <w:nsid w:val="65FA75DC"/>
    <w:multiLevelType w:val="hybridMultilevel"/>
    <w:tmpl w:val="310C17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8B2833"/>
    <w:multiLevelType w:val="hybridMultilevel"/>
    <w:tmpl w:val="2AFEBB64"/>
    <w:lvl w:ilvl="0" w:tplc="DD803588">
      <w:start w:val="1"/>
      <w:numFmt w:val="lowerLetter"/>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24">
    <w:nsid w:val="673E7927"/>
    <w:multiLevelType w:val="hybridMultilevel"/>
    <w:tmpl w:val="F8E29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D40C6B"/>
    <w:multiLevelType w:val="multilevel"/>
    <w:tmpl w:val="97DE9D1C"/>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8EC7465"/>
    <w:multiLevelType w:val="multilevel"/>
    <w:tmpl w:val="77C414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upperLetter"/>
      <w:isLgl/>
      <w:lvlText w:val="%1.%2.%3"/>
      <w:lvlJc w:val="left"/>
      <w:pPr>
        <w:ind w:left="720" w:hanging="720"/>
      </w:pPr>
      <w:rPr>
        <w:rFonts w:hint="default"/>
        <w:b/>
      </w:rPr>
    </w:lvl>
    <w:lvl w:ilvl="3">
      <w:start w:val="1"/>
      <w:numFmt w:val="bullet"/>
      <w:lvlText w:val=""/>
      <w:lvlJc w:val="left"/>
      <w:pPr>
        <w:ind w:left="1080" w:hanging="720"/>
      </w:pPr>
      <w:rPr>
        <w:rFonts w:ascii="Symbol" w:hAnsi="Symbol"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nsid w:val="6D8A10F5"/>
    <w:multiLevelType w:val="multilevel"/>
    <w:tmpl w:val="D0D89804"/>
    <w:lvl w:ilvl="0">
      <w:start w:val="3"/>
      <w:numFmt w:val="decimal"/>
      <w:lvlText w:val="%1"/>
      <w:lvlJc w:val="left"/>
      <w:pPr>
        <w:ind w:left="660" w:hanging="660"/>
      </w:pPr>
      <w:rPr>
        <w:rFonts w:hint="default"/>
      </w:rPr>
    </w:lvl>
    <w:lvl w:ilvl="1">
      <w:start w:val="1"/>
      <w:numFmt w:val="decimal"/>
      <w:lvlText w:val="%1.%2"/>
      <w:lvlJc w:val="left"/>
      <w:pPr>
        <w:ind w:left="780" w:hanging="660"/>
      </w:pPr>
      <w:rPr>
        <w:rFonts w:hint="default"/>
      </w:rPr>
    </w:lvl>
    <w:lvl w:ilvl="2">
      <w:start w:val="2"/>
      <w:numFmt w:val="decimal"/>
      <w:lvlText w:val="%1.%2.%3"/>
      <w:lvlJc w:val="left"/>
      <w:pPr>
        <w:ind w:left="960" w:hanging="720"/>
      </w:pPr>
      <w:rPr>
        <w:rFonts w:hint="default"/>
      </w:rPr>
    </w:lvl>
    <w:lvl w:ilvl="3">
      <w:start w:val="1"/>
      <w:numFmt w:val="bullet"/>
      <w:pStyle w:val="ListParagraph"/>
      <w:lvlText w:val=""/>
      <w:lvlJc w:val="left"/>
      <w:pPr>
        <w:ind w:left="1080" w:hanging="720"/>
      </w:pPr>
      <w:rPr>
        <w:rFonts w:ascii="Symbol" w:hAnsi="Symbol"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8">
    <w:nsid w:val="71214726"/>
    <w:multiLevelType w:val="multilevel"/>
    <w:tmpl w:val="5E741F7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1505A5A"/>
    <w:multiLevelType w:val="hybridMultilevel"/>
    <w:tmpl w:val="DCA64F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45D5B63"/>
    <w:multiLevelType w:val="hybridMultilevel"/>
    <w:tmpl w:val="80E66FD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nsid w:val="754703D3"/>
    <w:multiLevelType w:val="hybridMultilevel"/>
    <w:tmpl w:val="A03460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75A05311"/>
    <w:multiLevelType w:val="hybridMultilevel"/>
    <w:tmpl w:val="963051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nsid w:val="77990498"/>
    <w:multiLevelType w:val="hybridMultilevel"/>
    <w:tmpl w:val="EF286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82039AA"/>
    <w:multiLevelType w:val="hybridMultilevel"/>
    <w:tmpl w:val="9C6C8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C2E446F"/>
    <w:multiLevelType w:val="hybridMultilevel"/>
    <w:tmpl w:val="B8620D66"/>
    <w:lvl w:ilvl="0" w:tplc="53F0B300">
      <w:start w:val="1"/>
      <w:numFmt w:val="decimal"/>
      <w:pStyle w:val="TOC2"/>
      <w:lvlText w:val="%1."/>
      <w:lvlJc w:val="left"/>
      <w:pPr>
        <w:ind w:left="16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CB0499D"/>
    <w:multiLevelType w:val="hybridMultilevel"/>
    <w:tmpl w:val="A61CFDE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26"/>
  </w:num>
  <w:num w:numId="3">
    <w:abstractNumId w:val="30"/>
  </w:num>
  <w:num w:numId="4">
    <w:abstractNumId w:val="8"/>
  </w:num>
  <w:num w:numId="5">
    <w:abstractNumId w:val="23"/>
  </w:num>
  <w:num w:numId="6">
    <w:abstractNumId w:val="21"/>
  </w:num>
  <w:num w:numId="7">
    <w:abstractNumId w:val="33"/>
  </w:num>
  <w:num w:numId="8">
    <w:abstractNumId w:val="4"/>
  </w:num>
  <w:num w:numId="9">
    <w:abstractNumId w:val="3"/>
  </w:num>
  <w:num w:numId="10">
    <w:abstractNumId w:val="7"/>
  </w:num>
  <w:num w:numId="11">
    <w:abstractNumId w:val="0"/>
  </w:num>
  <w:num w:numId="12">
    <w:abstractNumId w:val="31"/>
  </w:num>
  <w:num w:numId="13">
    <w:abstractNumId w:val="32"/>
  </w:num>
  <w:num w:numId="14">
    <w:abstractNumId w:val="2"/>
  </w:num>
  <w:num w:numId="15">
    <w:abstractNumId w:val="35"/>
  </w:num>
  <w:num w:numId="16">
    <w:abstractNumId w:val="16"/>
  </w:num>
  <w:num w:numId="17">
    <w:abstractNumId w:val="1"/>
  </w:num>
  <w:num w:numId="18">
    <w:abstractNumId w:val="19"/>
  </w:num>
  <w:num w:numId="19">
    <w:abstractNumId w:val="27"/>
  </w:num>
  <w:num w:numId="20">
    <w:abstractNumId w:val="28"/>
  </w:num>
  <w:num w:numId="21">
    <w:abstractNumId w:val="24"/>
  </w:num>
  <w:num w:numId="22">
    <w:abstractNumId w:val="6"/>
  </w:num>
  <w:num w:numId="23">
    <w:abstractNumId w:val="10"/>
  </w:num>
  <w:num w:numId="24">
    <w:abstractNumId w:val="20"/>
  </w:num>
  <w:num w:numId="25">
    <w:abstractNumId w:val="9"/>
  </w:num>
  <w:num w:numId="26">
    <w:abstractNumId w:val="14"/>
  </w:num>
  <w:num w:numId="27">
    <w:abstractNumId w:val="34"/>
  </w:num>
  <w:num w:numId="28">
    <w:abstractNumId w:val="29"/>
  </w:num>
  <w:num w:numId="29">
    <w:abstractNumId w:val="22"/>
  </w:num>
  <w:num w:numId="30">
    <w:abstractNumId w:val="17"/>
  </w:num>
  <w:num w:numId="31">
    <w:abstractNumId w:val="36"/>
  </w:num>
  <w:num w:numId="32">
    <w:abstractNumId w:val="11"/>
  </w:num>
  <w:num w:numId="33">
    <w:abstractNumId w:val="25"/>
  </w:num>
  <w:num w:numId="34">
    <w:abstractNumId w:val="18"/>
  </w:num>
  <w:num w:numId="35">
    <w:abstractNumId w:val="15"/>
  </w:num>
  <w:num w:numId="36">
    <w:abstractNumId w:val="13"/>
  </w:num>
  <w:num w:numId="3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rsids>
    <w:rsidRoot w:val="00534C63"/>
    <w:rsid w:val="00004108"/>
    <w:rsid w:val="00010686"/>
    <w:rsid w:val="0001089F"/>
    <w:rsid w:val="00032422"/>
    <w:rsid w:val="00076D2C"/>
    <w:rsid w:val="00087CC5"/>
    <w:rsid w:val="0009321D"/>
    <w:rsid w:val="000A7D21"/>
    <w:rsid w:val="00103BA0"/>
    <w:rsid w:val="00104035"/>
    <w:rsid w:val="001040CF"/>
    <w:rsid w:val="0016511A"/>
    <w:rsid w:val="001856BC"/>
    <w:rsid w:val="00194F2A"/>
    <w:rsid w:val="001A0930"/>
    <w:rsid w:val="001C040C"/>
    <w:rsid w:val="001C35A2"/>
    <w:rsid w:val="001E5DFD"/>
    <w:rsid w:val="001F026D"/>
    <w:rsid w:val="002057E0"/>
    <w:rsid w:val="0021224A"/>
    <w:rsid w:val="002212EB"/>
    <w:rsid w:val="00250A1C"/>
    <w:rsid w:val="0025224A"/>
    <w:rsid w:val="00260D10"/>
    <w:rsid w:val="002652C4"/>
    <w:rsid w:val="00290D8B"/>
    <w:rsid w:val="002B70BE"/>
    <w:rsid w:val="002C11E6"/>
    <w:rsid w:val="002E4EE0"/>
    <w:rsid w:val="002F2DD0"/>
    <w:rsid w:val="00313E46"/>
    <w:rsid w:val="0033376E"/>
    <w:rsid w:val="00347A89"/>
    <w:rsid w:val="0036052C"/>
    <w:rsid w:val="00361980"/>
    <w:rsid w:val="003646B6"/>
    <w:rsid w:val="00364C0C"/>
    <w:rsid w:val="003736A6"/>
    <w:rsid w:val="00376A5C"/>
    <w:rsid w:val="00384681"/>
    <w:rsid w:val="00386CAB"/>
    <w:rsid w:val="0039085F"/>
    <w:rsid w:val="00394404"/>
    <w:rsid w:val="003A01C4"/>
    <w:rsid w:val="003C1984"/>
    <w:rsid w:val="00416B50"/>
    <w:rsid w:val="004741D8"/>
    <w:rsid w:val="004D0E87"/>
    <w:rsid w:val="00514D3D"/>
    <w:rsid w:val="0052535D"/>
    <w:rsid w:val="00534C63"/>
    <w:rsid w:val="00555AFC"/>
    <w:rsid w:val="00573D8E"/>
    <w:rsid w:val="005863F2"/>
    <w:rsid w:val="00587261"/>
    <w:rsid w:val="005A7120"/>
    <w:rsid w:val="005B2C38"/>
    <w:rsid w:val="005B66B7"/>
    <w:rsid w:val="005C293B"/>
    <w:rsid w:val="005C373B"/>
    <w:rsid w:val="005C4294"/>
    <w:rsid w:val="005D35CC"/>
    <w:rsid w:val="005D75A9"/>
    <w:rsid w:val="005F5B48"/>
    <w:rsid w:val="006131D2"/>
    <w:rsid w:val="00674805"/>
    <w:rsid w:val="006818CB"/>
    <w:rsid w:val="00684B0F"/>
    <w:rsid w:val="00694F60"/>
    <w:rsid w:val="006C6D41"/>
    <w:rsid w:val="006D2479"/>
    <w:rsid w:val="006E7519"/>
    <w:rsid w:val="006F29E7"/>
    <w:rsid w:val="00701814"/>
    <w:rsid w:val="00704BD6"/>
    <w:rsid w:val="007153FC"/>
    <w:rsid w:val="00715E02"/>
    <w:rsid w:val="0072494F"/>
    <w:rsid w:val="00745594"/>
    <w:rsid w:val="00773215"/>
    <w:rsid w:val="007841CC"/>
    <w:rsid w:val="00784294"/>
    <w:rsid w:val="0079529F"/>
    <w:rsid w:val="007B731D"/>
    <w:rsid w:val="007D0713"/>
    <w:rsid w:val="007E2C52"/>
    <w:rsid w:val="007F49F6"/>
    <w:rsid w:val="00801582"/>
    <w:rsid w:val="0082303A"/>
    <w:rsid w:val="00832A5D"/>
    <w:rsid w:val="008370A2"/>
    <w:rsid w:val="008664DC"/>
    <w:rsid w:val="00884C4D"/>
    <w:rsid w:val="008E0376"/>
    <w:rsid w:val="008F228A"/>
    <w:rsid w:val="00921730"/>
    <w:rsid w:val="00931436"/>
    <w:rsid w:val="009333B4"/>
    <w:rsid w:val="00937A7A"/>
    <w:rsid w:val="0094127D"/>
    <w:rsid w:val="00974000"/>
    <w:rsid w:val="009763BA"/>
    <w:rsid w:val="009766FB"/>
    <w:rsid w:val="009926FE"/>
    <w:rsid w:val="009B6F84"/>
    <w:rsid w:val="009C739F"/>
    <w:rsid w:val="009D2F7C"/>
    <w:rsid w:val="009E4180"/>
    <w:rsid w:val="009F7F1C"/>
    <w:rsid w:val="00A04D7D"/>
    <w:rsid w:val="00A23C2A"/>
    <w:rsid w:val="00A678E2"/>
    <w:rsid w:val="00A8691C"/>
    <w:rsid w:val="00A90F31"/>
    <w:rsid w:val="00A97C59"/>
    <w:rsid w:val="00AA3D56"/>
    <w:rsid w:val="00AB7EB3"/>
    <w:rsid w:val="00AD0CAA"/>
    <w:rsid w:val="00AE3C25"/>
    <w:rsid w:val="00B00F23"/>
    <w:rsid w:val="00B178BD"/>
    <w:rsid w:val="00B20E89"/>
    <w:rsid w:val="00B22334"/>
    <w:rsid w:val="00B93C59"/>
    <w:rsid w:val="00BC3055"/>
    <w:rsid w:val="00BC4B57"/>
    <w:rsid w:val="00C603DC"/>
    <w:rsid w:val="00C746ED"/>
    <w:rsid w:val="00C760F9"/>
    <w:rsid w:val="00C94712"/>
    <w:rsid w:val="00C96D8A"/>
    <w:rsid w:val="00CA55A8"/>
    <w:rsid w:val="00CB0FDD"/>
    <w:rsid w:val="00CB5958"/>
    <w:rsid w:val="00CD064E"/>
    <w:rsid w:val="00CD24B6"/>
    <w:rsid w:val="00CE30A0"/>
    <w:rsid w:val="00D01257"/>
    <w:rsid w:val="00D1177D"/>
    <w:rsid w:val="00D41D9E"/>
    <w:rsid w:val="00D5697E"/>
    <w:rsid w:val="00D671CB"/>
    <w:rsid w:val="00D82AB3"/>
    <w:rsid w:val="00D845D4"/>
    <w:rsid w:val="00DA5B03"/>
    <w:rsid w:val="00DC4961"/>
    <w:rsid w:val="00DC74D1"/>
    <w:rsid w:val="00DE1DB3"/>
    <w:rsid w:val="00DE6455"/>
    <w:rsid w:val="00E024C8"/>
    <w:rsid w:val="00E07118"/>
    <w:rsid w:val="00E21F8D"/>
    <w:rsid w:val="00E30031"/>
    <w:rsid w:val="00E46E9F"/>
    <w:rsid w:val="00E6310C"/>
    <w:rsid w:val="00E70003"/>
    <w:rsid w:val="00E70247"/>
    <w:rsid w:val="00E71B4E"/>
    <w:rsid w:val="00E84B4F"/>
    <w:rsid w:val="00EB527A"/>
    <w:rsid w:val="00EC041D"/>
    <w:rsid w:val="00ED480B"/>
    <w:rsid w:val="00F0106F"/>
    <w:rsid w:val="00F138DB"/>
    <w:rsid w:val="00F26381"/>
    <w:rsid w:val="00F350B9"/>
    <w:rsid w:val="00F40E9A"/>
    <w:rsid w:val="00F62502"/>
    <w:rsid w:val="00F7478F"/>
    <w:rsid w:val="00FC1367"/>
    <w:rsid w:val="00FD5373"/>
    <w:rsid w:val="00FD6D2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C63"/>
    <w:pPr>
      <w:spacing w:after="0" w:line="240" w:lineRule="auto"/>
    </w:pPr>
    <w:rPr>
      <w:rFonts w:ascii="Arial" w:eastAsia="Times New Roman" w:hAnsi="Arial" w:cs="Times New Roman"/>
      <w:sz w:val="20"/>
      <w:szCs w:val="24"/>
    </w:rPr>
  </w:style>
  <w:style w:type="paragraph" w:styleId="Heading1">
    <w:name w:val="heading 1"/>
    <w:basedOn w:val="Normal"/>
    <w:next w:val="Normal"/>
    <w:link w:val="Heading1Char"/>
    <w:uiPriority w:val="9"/>
    <w:qFormat/>
    <w:rsid w:val="00534C63"/>
    <w:pPr>
      <w:keepNext/>
      <w:spacing w:before="240" w:after="60"/>
      <w:outlineLvl w:val="0"/>
    </w:pPr>
    <w:rPr>
      <w:rFonts w:cs="Arial"/>
      <w:b/>
      <w:bCs/>
      <w:kern w:val="32"/>
      <w:sz w:val="24"/>
      <w:szCs w:val="32"/>
    </w:rPr>
  </w:style>
  <w:style w:type="paragraph" w:styleId="Heading2">
    <w:name w:val="heading 2"/>
    <w:basedOn w:val="Normal"/>
    <w:next w:val="Normal"/>
    <w:link w:val="Heading2Char"/>
    <w:qFormat/>
    <w:rsid w:val="00534C63"/>
    <w:pPr>
      <w:keepNext/>
      <w:spacing w:before="240" w:after="60"/>
      <w:outlineLvl w:val="1"/>
    </w:pPr>
    <w:rPr>
      <w:rFonts w:cs="Arial"/>
      <w:b/>
      <w:bCs/>
      <w:iCs/>
      <w:szCs w:val="28"/>
    </w:rPr>
  </w:style>
  <w:style w:type="paragraph" w:styleId="Heading3">
    <w:name w:val="heading 3"/>
    <w:basedOn w:val="Normal"/>
    <w:next w:val="Normal"/>
    <w:link w:val="Heading3Char"/>
    <w:uiPriority w:val="9"/>
    <w:qFormat/>
    <w:rsid w:val="00534C63"/>
    <w:pPr>
      <w:keepNext/>
      <w:spacing w:before="240" w:after="60"/>
      <w:outlineLvl w:val="2"/>
    </w:pPr>
    <w:rPr>
      <w:rFonts w:cs="Arial"/>
      <w:bCs/>
      <w:szCs w:val="26"/>
    </w:rPr>
  </w:style>
  <w:style w:type="paragraph" w:styleId="Heading4">
    <w:name w:val="heading 4"/>
    <w:basedOn w:val="Normal"/>
    <w:next w:val="Normal"/>
    <w:link w:val="Heading4Char"/>
    <w:qFormat/>
    <w:rsid w:val="00534C63"/>
    <w:pPr>
      <w:keepNext/>
      <w:widowControl w:val="0"/>
      <w:spacing w:line="360" w:lineRule="auto"/>
      <w:jc w:val="both"/>
      <w:outlineLvl w:val="3"/>
    </w:pPr>
    <w:rPr>
      <w:rFonts w:ascii="Times New Roman" w:hAnsi="Times New Roman"/>
      <w:b/>
      <w:sz w:val="24"/>
    </w:rPr>
  </w:style>
  <w:style w:type="paragraph" w:styleId="Heading5">
    <w:name w:val="heading 5"/>
    <w:basedOn w:val="Normal"/>
    <w:next w:val="Normal"/>
    <w:link w:val="Heading5Char"/>
    <w:uiPriority w:val="9"/>
    <w:qFormat/>
    <w:rsid w:val="00534C63"/>
    <w:pPr>
      <w:keepNext/>
      <w:widowControl w:val="0"/>
      <w:spacing w:line="360" w:lineRule="auto"/>
      <w:jc w:val="both"/>
      <w:outlineLvl w:val="4"/>
    </w:pPr>
    <w:rPr>
      <w:rFonts w:ascii="Times New Roman" w:hAnsi="Times New Roman"/>
      <w:bCs/>
      <w:sz w:val="24"/>
    </w:rPr>
  </w:style>
  <w:style w:type="paragraph" w:styleId="Heading6">
    <w:name w:val="heading 6"/>
    <w:basedOn w:val="Normal"/>
    <w:next w:val="Normal"/>
    <w:link w:val="Heading6Char"/>
    <w:qFormat/>
    <w:rsid w:val="00534C63"/>
    <w:pPr>
      <w:keepNext/>
      <w:outlineLvl w:val="5"/>
    </w:pPr>
    <w:rPr>
      <w:rFonts w:ascii="Times New Roman" w:hAnsi="Times New Roman"/>
      <w:b/>
      <w:bCs/>
      <w:sz w:val="22"/>
    </w:rPr>
  </w:style>
  <w:style w:type="paragraph" w:styleId="Heading7">
    <w:name w:val="heading 7"/>
    <w:basedOn w:val="Normal"/>
    <w:next w:val="Normal"/>
    <w:link w:val="Heading7Char"/>
    <w:qFormat/>
    <w:rsid w:val="00534C63"/>
    <w:pPr>
      <w:keepNext/>
      <w:spacing w:line="360" w:lineRule="auto"/>
      <w:jc w:val="center"/>
      <w:outlineLvl w:val="6"/>
    </w:pPr>
    <w:rPr>
      <w:rFonts w:ascii="Garamond" w:hAnsi="Garamond"/>
      <w:b/>
      <w:caps/>
      <w:sz w:val="12"/>
      <w:szCs w:val="1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C63"/>
    <w:rPr>
      <w:rFonts w:ascii="Arial" w:eastAsia="Times New Roman" w:hAnsi="Arial" w:cs="Arial"/>
      <w:b/>
      <w:bCs/>
      <w:kern w:val="32"/>
      <w:sz w:val="24"/>
      <w:szCs w:val="32"/>
    </w:rPr>
  </w:style>
  <w:style w:type="character" w:customStyle="1" w:styleId="Heading2Char">
    <w:name w:val="Heading 2 Char"/>
    <w:basedOn w:val="DefaultParagraphFont"/>
    <w:link w:val="Heading2"/>
    <w:rsid w:val="00534C63"/>
    <w:rPr>
      <w:rFonts w:ascii="Arial" w:eastAsia="Times New Roman" w:hAnsi="Arial" w:cs="Arial"/>
      <w:b/>
      <w:bCs/>
      <w:iCs/>
      <w:sz w:val="20"/>
      <w:szCs w:val="28"/>
    </w:rPr>
  </w:style>
  <w:style w:type="character" w:customStyle="1" w:styleId="Heading3Char">
    <w:name w:val="Heading 3 Char"/>
    <w:basedOn w:val="DefaultParagraphFont"/>
    <w:link w:val="Heading3"/>
    <w:uiPriority w:val="9"/>
    <w:rsid w:val="00534C63"/>
    <w:rPr>
      <w:rFonts w:ascii="Arial" w:eastAsia="Times New Roman" w:hAnsi="Arial" w:cs="Arial"/>
      <w:bCs/>
      <w:sz w:val="20"/>
      <w:szCs w:val="26"/>
    </w:rPr>
  </w:style>
  <w:style w:type="character" w:customStyle="1" w:styleId="Heading4Char">
    <w:name w:val="Heading 4 Char"/>
    <w:basedOn w:val="DefaultParagraphFont"/>
    <w:link w:val="Heading4"/>
    <w:rsid w:val="00534C63"/>
    <w:rPr>
      <w:rFonts w:ascii="Times New Roman" w:eastAsia="Times New Roman" w:hAnsi="Times New Roman" w:cs="Times New Roman"/>
      <w:b/>
      <w:sz w:val="24"/>
      <w:szCs w:val="24"/>
    </w:rPr>
  </w:style>
  <w:style w:type="character" w:customStyle="1" w:styleId="Heading5Char">
    <w:name w:val="Heading 5 Char"/>
    <w:basedOn w:val="DefaultParagraphFont"/>
    <w:link w:val="Heading5"/>
    <w:uiPriority w:val="9"/>
    <w:rsid w:val="00534C63"/>
    <w:rPr>
      <w:rFonts w:ascii="Times New Roman" w:eastAsia="Times New Roman" w:hAnsi="Times New Roman" w:cs="Times New Roman"/>
      <w:bCs/>
      <w:sz w:val="24"/>
      <w:szCs w:val="24"/>
    </w:rPr>
  </w:style>
  <w:style w:type="character" w:customStyle="1" w:styleId="Heading6Char">
    <w:name w:val="Heading 6 Char"/>
    <w:basedOn w:val="DefaultParagraphFont"/>
    <w:link w:val="Heading6"/>
    <w:rsid w:val="00534C63"/>
    <w:rPr>
      <w:rFonts w:ascii="Times New Roman" w:eastAsia="Times New Roman" w:hAnsi="Times New Roman" w:cs="Times New Roman"/>
      <w:b/>
      <w:bCs/>
      <w:szCs w:val="24"/>
    </w:rPr>
  </w:style>
  <w:style w:type="character" w:customStyle="1" w:styleId="Heading7Char">
    <w:name w:val="Heading 7 Char"/>
    <w:basedOn w:val="DefaultParagraphFont"/>
    <w:link w:val="Heading7"/>
    <w:rsid w:val="00534C63"/>
    <w:rPr>
      <w:rFonts w:ascii="Garamond" w:eastAsia="Times New Roman" w:hAnsi="Garamond" w:cs="Times New Roman"/>
      <w:b/>
      <w:caps/>
      <w:sz w:val="12"/>
      <w:szCs w:val="12"/>
    </w:rPr>
  </w:style>
  <w:style w:type="character" w:styleId="Hyperlink">
    <w:name w:val="Hyperlink"/>
    <w:basedOn w:val="DefaultParagraphFont"/>
    <w:uiPriority w:val="99"/>
    <w:rsid w:val="00534C63"/>
    <w:rPr>
      <w:rFonts w:ascii="Arial" w:hAnsi="Arial"/>
      <w:dstrike w:val="0"/>
      <w:color w:val="auto"/>
      <w:sz w:val="20"/>
      <w:szCs w:val="20"/>
      <w:u w:val="none"/>
      <w:vertAlign w:val="baseline"/>
    </w:rPr>
  </w:style>
  <w:style w:type="paragraph" w:styleId="NormalWeb">
    <w:name w:val="Normal (Web)"/>
    <w:basedOn w:val="Normal"/>
    <w:uiPriority w:val="99"/>
    <w:rsid w:val="00534C63"/>
  </w:style>
  <w:style w:type="paragraph" w:customStyle="1" w:styleId="AutoEnding">
    <w:name w:val="AutoEnding"/>
    <w:basedOn w:val="Normal"/>
    <w:next w:val="Normal"/>
    <w:rsid w:val="00534C63"/>
    <w:pPr>
      <w:jc w:val="both"/>
    </w:pPr>
    <w:rPr>
      <w:rFonts w:cs="Arial"/>
    </w:rPr>
  </w:style>
  <w:style w:type="paragraph" w:customStyle="1" w:styleId="msolistparagraph0">
    <w:name w:val="msolistparagraph"/>
    <w:basedOn w:val="Normal"/>
    <w:rsid w:val="00534C63"/>
    <w:pPr>
      <w:spacing w:after="200" w:line="276" w:lineRule="auto"/>
      <w:ind w:left="720"/>
    </w:pPr>
    <w:rPr>
      <w:rFonts w:ascii="Calibri" w:hAnsi="Calibri" w:cs="Arial"/>
      <w:sz w:val="22"/>
      <w:szCs w:val="22"/>
    </w:rPr>
  </w:style>
  <w:style w:type="paragraph" w:styleId="BodyText">
    <w:name w:val="Body Text"/>
    <w:basedOn w:val="Normal"/>
    <w:link w:val="BodyTextChar"/>
    <w:semiHidden/>
    <w:rsid w:val="00534C63"/>
    <w:pPr>
      <w:widowControl w:val="0"/>
      <w:spacing w:line="360" w:lineRule="auto"/>
      <w:jc w:val="both"/>
      <w:outlineLvl w:val="0"/>
    </w:pPr>
    <w:rPr>
      <w:rFonts w:ascii="Times New Roman" w:hAnsi="Times New Roman"/>
      <w:bCs/>
      <w:sz w:val="24"/>
    </w:rPr>
  </w:style>
  <w:style w:type="character" w:customStyle="1" w:styleId="BodyTextChar">
    <w:name w:val="Body Text Char"/>
    <w:basedOn w:val="DefaultParagraphFont"/>
    <w:link w:val="BodyText"/>
    <w:semiHidden/>
    <w:rsid w:val="00534C63"/>
    <w:rPr>
      <w:rFonts w:ascii="Times New Roman" w:eastAsia="Times New Roman" w:hAnsi="Times New Roman" w:cs="Times New Roman"/>
      <w:bCs/>
      <w:sz w:val="24"/>
      <w:szCs w:val="24"/>
    </w:rPr>
  </w:style>
  <w:style w:type="paragraph" w:styleId="Footer">
    <w:name w:val="footer"/>
    <w:basedOn w:val="Normal"/>
    <w:link w:val="FooterChar"/>
    <w:uiPriority w:val="99"/>
    <w:rsid w:val="00534C63"/>
    <w:pPr>
      <w:tabs>
        <w:tab w:val="center" w:pos="4320"/>
        <w:tab w:val="right" w:pos="8640"/>
      </w:tabs>
    </w:pPr>
  </w:style>
  <w:style w:type="character" w:customStyle="1" w:styleId="FooterChar">
    <w:name w:val="Footer Char"/>
    <w:basedOn w:val="DefaultParagraphFont"/>
    <w:link w:val="Footer"/>
    <w:uiPriority w:val="99"/>
    <w:rsid w:val="00534C63"/>
    <w:rPr>
      <w:rFonts w:ascii="Arial" w:eastAsia="Times New Roman" w:hAnsi="Arial" w:cs="Times New Roman"/>
      <w:sz w:val="20"/>
      <w:szCs w:val="24"/>
    </w:rPr>
  </w:style>
  <w:style w:type="paragraph" w:styleId="TOC1">
    <w:name w:val="toc 1"/>
    <w:basedOn w:val="Normal"/>
    <w:next w:val="Normal"/>
    <w:autoRedefine/>
    <w:uiPriority w:val="39"/>
    <w:qFormat/>
    <w:rsid w:val="00534C63"/>
    <w:pPr>
      <w:tabs>
        <w:tab w:val="left" w:pos="480"/>
        <w:tab w:val="right" w:leader="dot" w:pos="8630"/>
      </w:tabs>
      <w:spacing w:line="360" w:lineRule="auto"/>
      <w:jc w:val="both"/>
    </w:pPr>
    <w:rPr>
      <w:rFonts w:ascii="Times New Roman" w:hAnsi="Times New Roman"/>
      <w:b/>
      <w:noProof/>
      <w:sz w:val="28"/>
      <w:lang w:val="en-ZA"/>
    </w:rPr>
  </w:style>
  <w:style w:type="character" w:styleId="PageNumber">
    <w:name w:val="page number"/>
    <w:basedOn w:val="DefaultParagraphFont"/>
    <w:semiHidden/>
    <w:rsid w:val="00534C63"/>
  </w:style>
  <w:style w:type="paragraph" w:styleId="TOC2">
    <w:name w:val="toc 2"/>
    <w:basedOn w:val="Normal"/>
    <w:next w:val="Normal"/>
    <w:autoRedefine/>
    <w:uiPriority w:val="39"/>
    <w:qFormat/>
    <w:rsid w:val="00534C63"/>
    <w:pPr>
      <w:numPr>
        <w:numId w:val="15"/>
      </w:numPr>
      <w:tabs>
        <w:tab w:val="left" w:pos="720"/>
        <w:tab w:val="right" w:leader="dot" w:pos="2160"/>
      </w:tabs>
      <w:ind w:hanging="1640"/>
    </w:pPr>
  </w:style>
  <w:style w:type="paragraph" w:styleId="DocumentMap">
    <w:name w:val="Document Map"/>
    <w:basedOn w:val="Normal"/>
    <w:link w:val="DocumentMapChar"/>
    <w:semiHidden/>
    <w:rsid w:val="00534C63"/>
    <w:pPr>
      <w:shd w:val="clear" w:color="auto" w:fill="000080"/>
    </w:pPr>
    <w:rPr>
      <w:rFonts w:ascii="Tahoma" w:hAnsi="Tahoma" w:cs="Tahoma"/>
      <w:szCs w:val="20"/>
    </w:rPr>
  </w:style>
  <w:style w:type="character" w:customStyle="1" w:styleId="DocumentMapChar">
    <w:name w:val="Document Map Char"/>
    <w:basedOn w:val="DefaultParagraphFont"/>
    <w:link w:val="DocumentMap"/>
    <w:semiHidden/>
    <w:rsid w:val="00534C63"/>
    <w:rPr>
      <w:rFonts w:ascii="Tahoma" w:eastAsia="Times New Roman" w:hAnsi="Tahoma" w:cs="Tahoma"/>
      <w:sz w:val="20"/>
      <w:szCs w:val="20"/>
      <w:shd w:val="clear" w:color="auto" w:fill="000080"/>
    </w:rPr>
  </w:style>
  <w:style w:type="paragraph" w:styleId="BalloonText">
    <w:name w:val="Balloon Text"/>
    <w:basedOn w:val="Normal"/>
    <w:link w:val="BalloonTextChar"/>
    <w:uiPriority w:val="99"/>
    <w:semiHidden/>
    <w:rsid w:val="00534C63"/>
    <w:rPr>
      <w:rFonts w:ascii="Tahoma" w:hAnsi="Tahoma" w:cs="Tahoma"/>
      <w:sz w:val="16"/>
      <w:szCs w:val="16"/>
    </w:rPr>
  </w:style>
  <w:style w:type="character" w:customStyle="1" w:styleId="BalloonTextChar">
    <w:name w:val="Balloon Text Char"/>
    <w:basedOn w:val="DefaultParagraphFont"/>
    <w:link w:val="BalloonText"/>
    <w:uiPriority w:val="99"/>
    <w:semiHidden/>
    <w:rsid w:val="00534C63"/>
    <w:rPr>
      <w:rFonts w:ascii="Tahoma" w:eastAsia="Times New Roman" w:hAnsi="Tahoma" w:cs="Tahoma"/>
      <w:sz w:val="16"/>
      <w:szCs w:val="16"/>
    </w:rPr>
  </w:style>
  <w:style w:type="paragraph" w:styleId="BodyText2">
    <w:name w:val="Body Text 2"/>
    <w:basedOn w:val="Normal"/>
    <w:link w:val="BodyText2Char"/>
    <w:semiHidden/>
    <w:rsid w:val="00534C63"/>
    <w:pPr>
      <w:spacing w:line="360" w:lineRule="auto"/>
    </w:pPr>
    <w:rPr>
      <w:rFonts w:ascii="Times New Roman" w:hAnsi="Times New Roman"/>
      <w:sz w:val="24"/>
    </w:rPr>
  </w:style>
  <w:style w:type="character" w:customStyle="1" w:styleId="BodyText2Char">
    <w:name w:val="Body Text 2 Char"/>
    <w:basedOn w:val="DefaultParagraphFont"/>
    <w:link w:val="BodyText2"/>
    <w:semiHidden/>
    <w:rsid w:val="00534C63"/>
    <w:rPr>
      <w:rFonts w:ascii="Times New Roman" w:eastAsia="Times New Roman" w:hAnsi="Times New Roman" w:cs="Times New Roman"/>
      <w:sz w:val="24"/>
      <w:szCs w:val="24"/>
    </w:rPr>
  </w:style>
  <w:style w:type="paragraph" w:styleId="BodyText3">
    <w:name w:val="Body Text 3"/>
    <w:basedOn w:val="Normal"/>
    <w:link w:val="BodyText3Char"/>
    <w:semiHidden/>
    <w:rsid w:val="00534C63"/>
    <w:pPr>
      <w:widowControl w:val="0"/>
      <w:spacing w:line="360" w:lineRule="auto"/>
      <w:jc w:val="both"/>
    </w:pPr>
    <w:rPr>
      <w:rFonts w:ascii="Times New Roman" w:hAnsi="Times New Roman"/>
      <w:color w:val="FF0000"/>
      <w:sz w:val="24"/>
    </w:rPr>
  </w:style>
  <w:style w:type="character" w:customStyle="1" w:styleId="BodyText3Char">
    <w:name w:val="Body Text 3 Char"/>
    <w:basedOn w:val="DefaultParagraphFont"/>
    <w:link w:val="BodyText3"/>
    <w:semiHidden/>
    <w:rsid w:val="00534C63"/>
    <w:rPr>
      <w:rFonts w:ascii="Times New Roman" w:eastAsia="Times New Roman" w:hAnsi="Times New Roman" w:cs="Times New Roman"/>
      <w:color w:val="FF0000"/>
      <w:sz w:val="24"/>
      <w:szCs w:val="24"/>
    </w:rPr>
  </w:style>
  <w:style w:type="character" w:styleId="HTMLCite">
    <w:name w:val="HTML Cite"/>
    <w:basedOn w:val="DefaultParagraphFont"/>
    <w:uiPriority w:val="99"/>
    <w:semiHidden/>
    <w:rsid w:val="00534C63"/>
    <w:rPr>
      <w:i w:val="0"/>
      <w:iCs w:val="0"/>
      <w:color w:val="008000"/>
    </w:rPr>
  </w:style>
  <w:style w:type="paragraph" w:styleId="FootnoteText">
    <w:name w:val="footnote text"/>
    <w:basedOn w:val="Normal"/>
    <w:link w:val="FootnoteTextChar"/>
    <w:uiPriority w:val="99"/>
    <w:semiHidden/>
    <w:rsid w:val="00534C63"/>
    <w:rPr>
      <w:szCs w:val="20"/>
    </w:rPr>
  </w:style>
  <w:style w:type="character" w:customStyle="1" w:styleId="FootnoteTextChar">
    <w:name w:val="Footnote Text Char"/>
    <w:basedOn w:val="DefaultParagraphFont"/>
    <w:link w:val="FootnoteText"/>
    <w:uiPriority w:val="99"/>
    <w:semiHidden/>
    <w:rsid w:val="00534C63"/>
    <w:rPr>
      <w:rFonts w:ascii="Arial" w:eastAsia="Times New Roman" w:hAnsi="Arial" w:cs="Times New Roman"/>
      <w:sz w:val="20"/>
      <w:szCs w:val="20"/>
    </w:rPr>
  </w:style>
  <w:style w:type="character" w:styleId="FootnoteReference">
    <w:name w:val="footnote reference"/>
    <w:basedOn w:val="DefaultParagraphFont"/>
    <w:uiPriority w:val="99"/>
    <w:semiHidden/>
    <w:rsid w:val="00534C63"/>
    <w:rPr>
      <w:vertAlign w:val="superscript"/>
    </w:rPr>
  </w:style>
  <w:style w:type="paragraph" w:styleId="ListParagraph">
    <w:name w:val="List Paragraph"/>
    <w:basedOn w:val="Normal"/>
    <w:autoRedefine/>
    <w:uiPriority w:val="34"/>
    <w:qFormat/>
    <w:rsid w:val="00534C63"/>
    <w:pPr>
      <w:keepNext/>
      <w:numPr>
        <w:ilvl w:val="3"/>
        <w:numId w:val="19"/>
      </w:numPr>
      <w:tabs>
        <w:tab w:val="left" w:pos="360"/>
        <w:tab w:val="left" w:pos="720"/>
      </w:tabs>
      <w:spacing w:after="200" w:line="276" w:lineRule="auto"/>
      <w:ind w:left="709" w:hanging="709"/>
      <w:contextualSpacing/>
    </w:pPr>
    <w:rPr>
      <w:rFonts w:ascii="Times New Roman" w:eastAsia="Calibri" w:hAnsi="Times New Roman"/>
      <w:i/>
      <w:position w:val="6"/>
      <w:sz w:val="24"/>
      <w:lang w:val="en-ZA"/>
    </w:rPr>
  </w:style>
  <w:style w:type="paragraph" w:customStyle="1" w:styleId="Default">
    <w:name w:val="Default"/>
    <w:rsid w:val="00534C63"/>
    <w:pPr>
      <w:autoSpaceDE w:val="0"/>
      <w:autoSpaceDN w:val="0"/>
      <w:adjustRightInd w:val="0"/>
      <w:spacing w:after="0" w:line="240" w:lineRule="auto"/>
    </w:pPr>
    <w:rPr>
      <w:rFonts w:ascii="Franklin Gothic Book" w:eastAsia="Calibri" w:hAnsi="Franklin Gothic Book" w:cs="Franklin Gothic Book"/>
      <w:color w:val="000000"/>
      <w:sz w:val="24"/>
      <w:szCs w:val="24"/>
      <w:lang w:val="en-ZA" w:eastAsia="en-ZA"/>
    </w:rPr>
  </w:style>
  <w:style w:type="paragraph" w:customStyle="1" w:styleId="whp20100506">
    <w:name w:val="whp 2010 05 06"/>
    <w:basedOn w:val="Normal"/>
    <w:link w:val="whp20100506Char"/>
    <w:qFormat/>
    <w:rsid w:val="00534C63"/>
    <w:pPr>
      <w:widowControl w:val="0"/>
      <w:spacing w:line="360" w:lineRule="auto"/>
      <w:outlineLvl w:val="0"/>
    </w:pPr>
    <w:rPr>
      <w:rFonts w:ascii="Times New Roman" w:hAnsi="Times New Roman"/>
      <w:sz w:val="24"/>
    </w:rPr>
  </w:style>
  <w:style w:type="character" w:styleId="CommentReference">
    <w:name w:val="annotation reference"/>
    <w:basedOn w:val="DefaultParagraphFont"/>
    <w:uiPriority w:val="99"/>
    <w:semiHidden/>
    <w:unhideWhenUsed/>
    <w:rsid w:val="00534C63"/>
    <w:rPr>
      <w:sz w:val="16"/>
      <w:szCs w:val="16"/>
    </w:rPr>
  </w:style>
  <w:style w:type="character" w:customStyle="1" w:styleId="whp20100506Char">
    <w:name w:val="whp 2010 05 06 Char"/>
    <w:basedOn w:val="DefaultParagraphFont"/>
    <w:link w:val="whp20100506"/>
    <w:rsid w:val="00534C63"/>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rsid w:val="00534C63"/>
    <w:pPr>
      <w:spacing w:after="200"/>
    </w:pPr>
    <w:rPr>
      <w:rFonts w:ascii="Calibri" w:eastAsia="Calibri" w:hAnsi="Calibri"/>
      <w:position w:val="6"/>
      <w:szCs w:val="20"/>
      <w:lang w:val="en-ZA"/>
    </w:rPr>
  </w:style>
  <w:style w:type="character" w:customStyle="1" w:styleId="CommentTextChar">
    <w:name w:val="Comment Text Char"/>
    <w:basedOn w:val="DefaultParagraphFont"/>
    <w:link w:val="CommentText"/>
    <w:uiPriority w:val="99"/>
    <w:semiHidden/>
    <w:rsid w:val="00534C63"/>
    <w:rPr>
      <w:rFonts w:ascii="Calibri" w:eastAsia="Calibri" w:hAnsi="Calibri" w:cs="Times New Roman"/>
      <w:position w:val="6"/>
      <w:sz w:val="20"/>
      <w:szCs w:val="20"/>
      <w:lang w:val="en-ZA"/>
    </w:rPr>
  </w:style>
  <w:style w:type="paragraph" w:styleId="Header">
    <w:name w:val="header"/>
    <w:basedOn w:val="Normal"/>
    <w:link w:val="HeaderChar"/>
    <w:uiPriority w:val="99"/>
    <w:unhideWhenUsed/>
    <w:rsid w:val="00534C63"/>
    <w:pPr>
      <w:tabs>
        <w:tab w:val="center" w:pos="4513"/>
        <w:tab w:val="right" w:pos="9026"/>
      </w:tabs>
    </w:pPr>
    <w:rPr>
      <w:rFonts w:ascii="Calibri" w:eastAsia="Calibri" w:hAnsi="Calibri"/>
      <w:position w:val="6"/>
      <w:sz w:val="22"/>
      <w:szCs w:val="22"/>
      <w:lang w:val="en-ZA"/>
    </w:rPr>
  </w:style>
  <w:style w:type="character" w:customStyle="1" w:styleId="HeaderChar">
    <w:name w:val="Header Char"/>
    <w:basedOn w:val="DefaultParagraphFont"/>
    <w:link w:val="Header"/>
    <w:uiPriority w:val="99"/>
    <w:rsid w:val="00534C63"/>
    <w:rPr>
      <w:rFonts w:ascii="Calibri" w:eastAsia="Calibri" w:hAnsi="Calibri" w:cs="Times New Roman"/>
      <w:position w:val="6"/>
      <w:lang w:val="en-ZA"/>
    </w:rPr>
  </w:style>
  <w:style w:type="character" w:styleId="Strong">
    <w:name w:val="Strong"/>
    <w:basedOn w:val="DefaultParagraphFont"/>
    <w:uiPriority w:val="22"/>
    <w:qFormat/>
    <w:rsid w:val="00534C63"/>
    <w:rPr>
      <w:b/>
      <w:bCs/>
    </w:rPr>
  </w:style>
  <w:style w:type="character" w:styleId="Emphasis">
    <w:name w:val="Emphasis"/>
    <w:basedOn w:val="DefaultParagraphFont"/>
    <w:uiPriority w:val="20"/>
    <w:qFormat/>
    <w:rsid w:val="00534C63"/>
    <w:rPr>
      <w:i/>
      <w:iCs/>
    </w:rPr>
  </w:style>
  <w:style w:type="paragraph" w:styleId="Bibliography">
    <w:name w:val="Bibliography"/>
    <w:basedOn w:val="Normal"/>
    <w:next w:val="Normal"/>
    <w:uiPriority w:val="37"/>
    <w:unhideWhenUsed/>
    <w:rsid w:val="00534C63"/>
    <w:pPr>
      <w:spacing w:after="200" w:line="276" w:lineRule="auto"/>
    </w:pPr>
    <w:rPr>
      <w:rFonts w:ascii="Calibri" w:eastAsia="Calibri" w:hAnsi="Calibri"/>
      <w:position w:val="6"/>
      <w:sz w:val="22"/>
      <w:szCs w:val="22"/>
      <w:lang w:val="en-ZA"/>
    </w:rPr>
  </w:style>
  <w:style w:type="paragraph" w:styleId="Caption">
    <w:name w:val="caption"/>
    <w:basedOn w:val="Normal"/>
    <w:next w:val="Normal"/>
    <w:uiPriority w:val="35"/>
    <w:unhideWhenUsed/>
    <w:qFormat/>
    <w:rsid w:val="00534C63"/>
    <w:pPr>
      <w:spacing w:after="200" w:line="276" w:lineRule="auto"/>
    </w:pPr>
    <w:rPr>
      <w:rFonts w:ascii="Calibri" w:eastAsia="Calibri" w:hAnsi="Calibri"/>
      <w:b/>
      <w:bCs/>
      <w:position w:val="6"/>
      <w:szCs w:val="20"/>
      <w:lang w:val="en-ZA"/>
    </w:rPr>
  </w:style>
  <w:style w:type="character" w:customStyle="1" w:styleId="mw-headline">
    <w:name w:val="mw-headline"/>
    <w:basedOn w:val="DefaultParagraphFont"/>
    <w:rsid w:val="00534C63"/>
  </w:style>
  <w:style w:type="paragraph" w:styleId="TableofFigures">
    <w:name w:val="table of figures"/>
    <w:basedOn w:val="Normal"/>
    <w:next w:val="Normal"/>
    <w:uiPriority w:val="99"/>
    <w:unhideWhenUsed/>
    <w:rsid w:val="00534C63"/>
    <w:pPr>
      <w:spacing w:line="276" w:lineRule="auto"/>
    </w:pPr>
    <w:rPr>
      <w:rFonts w:ascii="Calibri" w:eastAsia="Calibri" w:hAnsi="Calibri"/>
      <w:position w:val="6"/>
      <w:sz w:val="22"/>
      <w:szCs w:val="22"/>
      <w:lang w:val="en-ZA"/>
    </w:rPr>
  </w:style>
  <w:style w:type="character" w:customStyle="1" w:styleId="editsection">
    <w:name w:val="editsection"/>
    <w:basedOn w:val="DefaultParagraphFont"/>
    <w:rsid w:val="00534C63"/>
  </w:style>
  <w:style w:type="paragraph" w:styleId="TOCHeading">
    <w:name w:val="TOC Heading"/>
    <w:basedOn w:val="Heading1"/>
    <w:next w:val="Normal"/>
    <w:uiPriority w:val="39"/>
    <w:semiHidden/>
    <w:unhideWhenUsed/>
    <w:qFormat/>
    <w:rsid w:val="00534C63"/>
    <w:pPr>
      <w:keepLines/>
      <w:spacing w:before="480" w:after="0" w:line="276" w:lineRule="auto"/>
      <w:outlineLvl w:val="9"/>
    </w:pPr>
    <w:rPr>
      <w:rFonts w:ascii="Cambria" w:hAnsi="Cambria" w:cs="Times New Roman"/>
      <w:color w:val="365F91"/>
      <w:kern w:val="0"/>
      <w:position w:val="6"/>
      <w:sz w:val="28"/>
      <w:szCs w:val="28"/>
    </w:rPr>
  </w:style>
  <w:style w:type="paragraph" w:styleId="TOC3">
    <w:name w:val="toc 3"/>
    <w:basedOn w:val="Normal"/>
    <w:next w:val="Normal"/>
    <w:autoRedefine/>
    <w:uiPriority w:val="39"/>
    <w:unhideWhenUsed/>
    <w:qFormat/>
    <w:rsid w:val="00534C63"/>
    <w:pPr>
      <w:spacing w:after="100" w:line="276" w:lineRule="auto"/>
      <w:ind w:left="440"/>
    </w:pPr>
    <w:rPr>
      <w:rFonts w:ascii="Calibri" w:hAnsi="Calibri"/>
      <w:position w:val="6"/>
      <w:sz w:val="22"/>
      <w:szCs w:val="22"/>
    </w:rPr>
  </w:style>
  <w:style w:type="paragraph" w:styleId="CommentSubject">
    <w:name w:val="annotation subject"/>
    <w:basedOn w:val="CommentText"/>
    <w:next w:val="CommentText"/>
    <w:link w:val="CommentSubjectChar"/>
    <w:uiPriority w:val="99"/>
    <w:semiHidden/>
    <w:unhideWhenUsed/>
    <w:rsid w:val="00534C63"/>
    <w:rPr>
      <w:b/>
      <w:bCs/>
    </w:rPr>
  </w:style>
  <w:style w:type="character" w:customStyle="1" w:styleId="CommentSubjectChar">
    <w:name w:val="Comment Subject Char"/>
    <w:basedOn w:val="CommentTextChar"/>
    <w:link w:val="CommentSubject"/>
    <w:uiPriority w:val="99"/>
    <w:semiHidden/>
    <w:rsid w:val="00534C63"/>
    <w:rPr>
      <w:b/>
      <w:bCs/>
    </w:rPr>
  </w:style>
  <w:style w:type="paragraph" w:styleId="TOC4">
    <w:name w:val="toc 4"/>
    <w:basedOn w:val="Normal"/>
    <w:next w:val="Normal"/>
    <w:autoRedefine/>
    <w:uiPriority w:val="39"/>
    <w:unhideWhenUsed/>
    <w:rsid w:val="00534C63"/>
    <w:pPr>
      <w:spacing w:after="100" w:line="276" w:lineRule="auto"/>
      <w:ind w:left="660"/>
    </w:pPr>
    <w:rPr>
      <w:rFonts w:ascii="Calibri" w:hAnsi="Calibri"/>
      <w:sz w:val="22"/>
      <w:szCs w:val="22"/>
      <w:lang w:val="en-ZA" w:eastAsia="en-ZA"/>
    </w:rPr>
  </w:style>
  <w:style w:type="paragraph" w:styleId="TOC5">
    <w:name w:val="toc 5"/>
    <w:basedOn w:val="Normal"/>
    <w:next w:val="Normal"/>
    <w:autoRedefine/>
    <w:uiPriority w:val="39"/>
    <w:unhideWhenUsed/>
    <w:rsid w:val="00534C63"/>
    <w:pPr>
      <w:spacing w:after="100" w:line="276" w:lineRule="auto"/>
      <w:ind w:left="880"/>
    </w:pPr>
    <w:rPr>
      <w:rFonts w:ascii="Calibri" w:hAnsi="Calibri"/>
      <w:sz w:val="22"/>
      <w:szCs w:val="22"/>
      <w:lang w:val="en-ZA" w:eastAsia="en-ZA"/>
    </w:rPr>
  </w:style>
  <w:style w:type="paragraph" w:styleId="TOC6">
    <w:name w:val="toc 6"/>
    <w:basedOn w:val="Normal"/>
    <w:next w:val="Normal"/>
    <w:autoRedefine/>
    <w:uiPriority w:val="39"/>
    <w:unhideWhenUsed/>
    <w:rsid w:val="00534C63"/>
    <w:pPr>
      <w:spacing w:after="100" w:line="276" w:lineRule="auto"/>
      <w:ind w:left="1100"/>
    </w:pPr>
    <w:rPr>
      <w:rFonts w:ascii="Calibri" w:hAnsi="Calibri"/>
      <w:sz w:val="22"/>
      <w:szCs w:val="22"/>
      <w:lang w:val="en-ZA" w:eastAsia="en-ZA"/>
    </w:rPr>
  </w:style>
  <w:style w:type="paragraph" w:styleId="TOC7">
    <w:name w:val="toc 7"/>
    <w:basedOn w:val="Normal"/>
    <w:next w:val="Normal"/>
    <w:autoRedefine/>
    <w:uiPriority w:val="39"/>
    <w:unhideWhenUsed/>
    <w:rsid w:val="00534C63"/>
    <w:pPr>
      <w:spacing w:after="100" w:line="276" w:lineRule="auto"/>
      <w:ind w:left="1320"/>
    </w:pPr>
    <w:rPr>
      <w:rFonts w:ascii="Calibri" w:hAnsi="Calibri"/>
      <w:sz w:val="22"/>
      <w:szCs w:val="22"/>
      <w:lang w:val="en-ZA" w:eastAsia="en-ZA"/>
    </w:rPr>
  </w:style>
  <w:style w:type="paragraph" w:styleId="TOC8">
    <w:name w:val="toc 8"/>
    <w:basedOn w:val="Normal"/>
    <w:next w:val="Normal"/>
    <w:autoRedefine/>
    <w:uiPriority w:val="39"/>
    <w:unhideWhenUsed/>
    <w:rsid w:val="00534C63"/>
    <w:pPr>
      <w:spacing w:after="100" w:line="276" w:lineRule="auto"/>
      <w:ind w:left="1540"/>
    </w:pPr>
    <w:rPr>
      <w:rFonts w:ascii="Calibri" w:hAnsi="Calibri"/>
      <w:sz w:val="22"/>
      <w:szCs w:val="22"/>
      <w:lang w:val="en-ZA" w:eastAsia="en-ZA"/>
    </w:rPr>
  </w:style>
  <w:style w:type="paragraph" w:styleId="TOC9">
    <w:name w:val="toc 9"/>
    <w:basedOn w:val="Normal"/>
    <w:next w:val="Normal"/>
    <w:autoRedefine/>
    <w:uiPriority w:val="39"/>
    <w:unhideWhenUsed/>
    <w:rsid w:val="00534C63"/>
    <w:pPr>
      <w:spacing w:after="100" w:line="276" w:lineRule="auto"/>
      <w:ind w:left="1760"/>
    </w:pPr>
    <w:rPr>
      <w:rFonts w:ascii="Calibri" w:hAnsi="Calibri"/>
      <w:sz w:val="22"/>
      <w:szCs w:val="22"/>
      <w:lang w:val="en-ZA" w:eastAsia="en-ZA"/>
    </w:rPr>
  </w:style>
  <w:style w:type="table" w:styleId="TableGrid">
    <w:name w:val="Table Grid"/>
    <w:basedOn w:val="TableNormal"/>
    <w:uiPriority w:val="59"/>
    <w:rsid w:val="00534C63"/>
    <w:pPr>
      <w:spacing w:after="0" w:line="240" w:lineRule="auto"/>
    </w:pPr>
    <w:rPr>
      <w:rFonts w:ascii="Times New Roman" w:eastAsia="Times New Roman" w:hAnsi="Times New Roman" w:cs="Times New Roman"/>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vision">
    <w:name w:val="Revision"/>
    <w:hidden/>
    <w:uiPriority w:val="99"/>
    <w:semiHidden/>
    <w:rsid w:val="00534C63"/>
    <w:pPr>
      <w:spacing w:after="0" w:line="240" w:lineRule="auto"/>
    </w:pPr>
    <w:rPr>
      <w:rFonts w:ascii="Arial" w:eastAsia="Times New Roman" w:hAnsi="Arial" w:cs="Times New Roman"/>
      <w:sz w:val="20"/>
      <w:szCs w:val="24"/>
      <w:lang w:val="en-US"/>
    </w:rPr>
  </w:style>
  <w:style w:type="paragraph" w:styleId="EndnoteText">
    <w:name w:val="endnote text"/>
    <w:basedOn w:val="Normal"/>
    <w:link w:val="EndnoteTextChar"/>
    <w:uiPriority w:val="99"/>
    <w:semiHidden/>
    <w:unhideWhenUsed/>
    <w:rsid w:val="00534C63"/>
    <w:rPr>
      <w:szCs w:val="20"/>
    </w:rPr>
  </w:style>
  <w:style w:type="character" w:customStyle="1" w:styleId="EndnoteTextChar">
    <w:name w:val="Endnote Text Char"/>
    <w:basedOn w:val="DefaultParagraphFont"/>
    <w:link w:val="EndnoteText"/>
    <w:uiPriority w:val="99"/>
    <w:semiHidden/>
    <w:rsid w:val="00534C63"/>
    <w:rPr>
      <w:rFonts w:ascii="Arial" w:eastAsia="Times New Roman" w:hAnsi="Arial" w:cs="Times New Roman"/>
      <w:sz w:val="20"/>
      <w:szCs w:val="20"/>
    </w:rPr>
  </w:style>
  <w:style w:type="character" w:styleId="EndnoteReference">
    <w:name w:val="endnote reference"/>
    <w:basedOn w:val="DefaultParagraphFont"/>
    <w:uiPriority w:val="99"/>
    <w:semiHidden/>
    <w:unhideWhenUsed/>
    <w:rsid w:val="00534C63"/>
    <w:rPr>
      <w:vertAlign w:val="superscript"/>
    </w:rPr>
  </w:style>
  <w:style w:type="character" w:customStyle="1" w:styleId="searchword">
    <w:name w:val="searchword"/>
    <w:basedOn w:val="DefaultParagraphFont"/>
    <w:rsid w:val="00534C63"/>
    <w:rPr>
      <w:shd w:val="clear" w:color="auto" w:fill="FFFF00"/>
    </w:rPr>
  </w:style>
  <w:style w:type="paragraph" w:styleId="HTMLPreformatted">
    <w:name w:val="HTML Preformatted"/>
    <w:basedOn w:val="Normal"/>
    <w:link w:val="HTMLPreformattedChar"/>
    <w:uiPriority w:val="99"/>
    <w:semiHidden/>
    <w:unhideWhenUsed/>
    <w:rsid w:val="00534C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lang w:val="en-US"/>
    </w:rPr>
  </w:style>
  <w:style w:type="character" w:customStyle="1" w:styleId="HTMLPreformattedChar">
    <w:name w:val="HTML Preformatted Char"/>
    <w:basedOn w:val="DefaultParagraphFont"/>
    <w:link w:val="HTMLPreformatted"/>
    <w:uiPriority w:val="99"/>
    <w:semiHidden/>
    <w:rsid w:val="00534C63"/>
    <w:rPr>
      <w:rFonts w:ascii="Courier New" w:eastAsia="Times New Roman" w:hAnsi="Courier New" w:cs="Courier New"/>
      <w:sz w:val="20"/>
      <w:szCs w:val="20"/>
      <w:lang w:val="en-US"/>
    </w:rPr>
  </w:style>
  <w:style w:type="character" w:customStyle="1" w:styleId="googqs-tidbit1">
    <w:name w:val="goog_qs-tidbit1"/>
    <w:basedOn w:val="DefaultParagraphFont"/>
    <w:rsid w:val="0094127D"/>
    <w:rPr>
      <w:vanish w:val="0"/>
      <w:webHidden w:val="0"/>
      <w:specVanish w:val="0"/>
    </w:rPr>
  </w:style>
  <w:style w:type="character" w:customStyle="1" w:styleId="ff21">
    <w:name w:val="ff21"/>
    <w:basedOn w:val="DefaultParagraphFont"/>
    <w:rsid w:val="003A01C4"/>
    <w:rPr>
      <w:rFonts w:ascii="ff2" w:hAnsi="ff2" w:hint="defaul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areit.com" TargetMode="External"/><Relationship Id="rId18" Type="http://schemas.openxmlformats.org/officeDocument/2006/relationships/hyperlink" Target="javascript:void(0);" TargetMode="External"/><Relationship Id="rId26" Type="http://schemas.microsoft.com/office/2007/relationships/diagramDrawing" Target="diagrams/drawing1.xml"/><Relationship Id="rId39" Type="http://schemas.openxmlformats.org/officeDocument/2006/relationships/hyperlink" Target="javascript:void(0);" TargetMode="External"/><Relationship Id="rId21" Type="http://schemas.openxmlformats.org/officeDocument/2006/relationships/hyperlink" Target="javascript:void(0);" TargetMode="External"/><Relationship Id="rId34" Type="http://schemas.openxmlformats.org/officeDocument/2006/relationships/diagramData" Target="diagrams/data3.xml"/><Relationship Id="rId42" Type="http://schemas.openxmlformats.org/officeDocument/2006/relationships/diagramQuickStyle" Target="diagrams/quickStyle4.xml"/><Relationship Id="rId47" Type="http://schemas.openxmlformats.org/officeDocument/2006/relationships/diagramQuickStyle" Target="diagrams/quickStyle5.xml"/><Relationship Id="rId50" Type="http://schemas.openxmlformats.org/officeDocument/2006/relationships/hyperlink" Target="javascript:void(0);" TargetMode="External"/><Relationship Id="rId55" Type="http://schemas.openxmlformats.org/officeDocument/2006/relationships/hyperlink" Target="javascript:void(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javascript:void(0);" TargetMode="External"/><Relationship Id="rId20" Type="http://schemas.openxmlformats.org/officeDocument/2006/relationships/hyperlink" Target="javascript:void(0);" TargetMode="External"/><Relationship Id="rId29" Type="http://schemas.openxmlformats.org/officeDocument/2006/relationships/diagramData" Target="diagrams/data2.xml"/><Relationship Id="rId41" Type="http://schemas.openxmlformats.org/officeDocument/2006/relationships/diagramLayout" Target="diagrams/layout4.xml"/><Relationship Id="rId54" Type="http://schemas.openxmlformats.org/officeDocument/2006/relationships/hyperlink" Target="javascript:void(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diagramQuickStyle" Target="diagrams/quickStyle1.xml"/><Relationship Id="rId32" Type="http://schemas.openxmlformats.org/officeDocument/2006/relationships/diagramColors" Target="diagrams/colors2.xml"/><Relationship Id="rId37" Type="http://schemas.openxmlformats.org/officeDocument/2006/relationships/diagramColors" Target="diagrams/colors3.xml"/><Relationship Id="rId40" Type="http://schemas.openxmlformats.org/officeDocument/2006/relationships/diagramData" Target="diagrams/data4.xml"/><Relationship Id="rId45" Type="http://schemas.openxmlformats.org/officeDocument/2006/relationships/diagramData" Target="diagrams/data5.xml"/><Relationship Id="rId53" Type="http://schemas.openxmlformats.org/officeDocument/2006/relationships/hyperlink" Target="javascript:void(0);" TargetMode="External"/><Relationship Id="rId58" Type="http://schemas.openxmlformats.org/officeDocument/2006/relationships/hyperlink" Target="http://onlinelibrary.wiley.com/doi/10.1111/jofi.2005.60.issue-6/issuetoc" TargetMode="External"/><Relationship Id="rId5" Type="http://schemas.openxmlformats.org/officeDocument/2006/relationships/webSettings" Target="webSettings.xml"/><Relationship Id="rId15" Type="http://schemas.openxmlformats.org/officeDocument/2006/relationships/hyperlink" Target="http://www.reit.com" TargetMode="External"/><Relationship Id="rId23" Type="http://schemas.openxmlformats.org/officeDocument/2006/relationships/diagramLayout" Target="diagrams/layout1.xml"/><Relationship Id="rId28" Type="http://schemas.openxmlformats.org/officeDocument/2006/relationships/hyperlink" Target="javascript:void(0);" TargetMode="External"/><Relationship Id="rId36" Type="http://schemas.openxmlformats.org/officeDocument/2006/relationships/diagramQuickStyle" Target="diagrams/quickStyle3.xml"/><Relationship Id="rId49" Type="http://schemas.microsoft.com/office/2007/relationships/diagramDrawing" Target="diagrams/drawing5.xml"/><Relationship Id="rId57" Type="http://schemas.openxmlformats.org/officeDocument/2006/relationships/hyperlink" Target="http://ideas.repec.org/s/kap/jrefec.html" TargetMode="External"/><Relationship Id="rId61" Type="http://schemas.openxmlformats.org/officeDocument/2006/relationships/fontTable" Target="fontTable.xml"/><Relationship Id="rId10" Type="http://schemas.openxmlformats.org/officeDocument/2006/relationships/hyperlink" Target="http://www.nareit.com" TargetMode="External"/><Relationship Id="rId19" Type="http://schemas.openxmlformats.org/officeDocument/2006/relationships/hyperlink" Target="javascript:void(0);" TargetMode="External"/><Relationship Id="rId31" Type="http://schemas.openxmlformats.org/officeDocument/2006/relationships/diagramQuickStyle" Target="diagrams/quickStyle2.xml"/><Relationship Id="rId44" Type="http://schemas.microsoft.com/office/2007/relationships/diagramDrawing" Target="diagrams/drawing4.xml"/><Relationship Id="rId52" Type="http://schemas.openxmlformats.org/officeDocument/2006/relationships/hyperlink" Target="javascript:void(0);"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answers.com/topic/gross-income" TargetMode="External"/><Relationship Id="rId22" Type="http://schemas.openxmlformats.org/officeDocument/2006/relationships/diagramData" Target="diagrams/data1.xml"/><Relationship Id="rId27" Type="http://schemas.openxmlformats.org/officeDocument/2006/relationships/hyperlink" Target="javascript:void(0);" TargetMode="External"/><Relationship Id="rId30" Type="http://schemas.openxmlformats.org/officeDocument/2006/relationships/diagramLayout" Target="diagrams/layout2.xml"/><Relationship Id="rId35" Type="http://schemas.openxmlformats.org/officeDocument/2006/relationships/diagramLayout" Target="diagrams/layout3.xml"/><Relationship Id="rId43" Type="http://schemas.openxmlformats.org/officeDocument/2006/relationships/diagramColors" Target="diagrams/colors4.xml"/><Relationship Id="rId48" Type="http://schemas.openxmlformats.org/officeDocument/2006/relationships/diagramColors" Target="diagrams/colors5.xml"/><Relationship Id="rId56" Type="http://schemas.openxmlformats.org/officeDocument/2006/relationships/hyperlink" Target="javascript:void(0);" TargetMode="External"/><Relationship Id="rId8" Type="http://schemas.openxmlformats.org/officeDocument/2006/relationships/chart" Target="charts/chart1.xml"/><Relationship Id="rId51" Type="http://schemas.openxmlformats.org/officeDocument/2006/relationships/hyperlink" Target="javascript:void(0);" TargetMode="Externa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javascript:void(0);" TargetMode="External"/><Relationship Id="rId25" Type="http://schemas.openxmlformats.org/officeDocument/2006/relationships/diagramColors" Target="diagrams/colors1.xml"/><Relationship Id="rId33" Type="http://schemas.microsoft.com/office/2007/relationships/diagramDrawing" Target="diagrams/drawing2.xml"/><Relationship Id="rId38" Type="http://schemas.microsoft.com/office/2007/relationships/diagramDrawing" Target="diagrams/drawing3.xml"/><Relationship Id="rId46" Type="http://schemas.openxmlformats.org/officeDocument/2006/relationships/diagramLayout" Target="diagrams/layout5.xml"/><Relationship Id="rId59" Type="http://schemas.openxmlformats.org/officeDocument/2006/relationships/hyperlink" Target="http://www.ingentaconnect.com/content/bpl/reec;jsessionid=ked4ixd2v3qt.alexandr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owman.co.za" TargetMode="External"/><Relationship Id="rId2" Type="http://schemas.openxmlformats.org/officeDocument/2006/relationships/hyperlink" Target="http://www.nareit.com/epubs/2006" TargetMode="External"/><Relationship Id="rId1" Type="http://schemas.openxmlformats.org/officeDocument/2006/relationships/hyperlink" Target="http://www.usreitfodesk.com/introduction"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manualLayout>
          <c:layoutTarget val="inner"/>
          <c:xMode val="edge"/>
          <c:yMode val="edge"/>
          <c:x val="0.18761061946902671"/>
          <c:y val="8.3922176394619422E-2"/>
          <c:w val="0.49244513706620008"/>
          <c:h val="0.90047110777819461"/>
        </c:manualLayout>
      </c:layout>
      <c:pieChart>
        <c:varyColors val="1"/>
        <c:ser>
          <c:idx val="0"/>
          <c:order val="0"/>
          <c:tx>
            <c:strRef>
              <c:f>Sheet1!$A$2</c:f>
              <c:strCache>
                <c:ptCount val="1"/>
                <c:pt idx="0">
                  <c:v>REIT Investment Types</c:v>
                </c:pt>
              </c:strCache>
            </c:strRef>
          </c:tx>
          <c:spPr>
            <a:solidFill>
              <a:srgbClr val="9999FF"/>
            </a:solidFill>
            <a:ln w="12700">
              <a:solidFill>
                <a:srgbClr val="000000"/>
              </a:solidFill>
              <a:prstDash val="solid"/>
            </a:ln>
          </c:spPr>
          <c:explosion val="6"/>
          <c:dPt>
            <c:idx val="1"/>
            <c:spPr>
              <a:solidFill>
                <a:srgbClr val="993366"/>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Pt>
            <c:idx val="6"/>
            <c:spPr>
              <a:solidFill>
                <a:srgbClr val="0066CC"/>
              </a:solidFill>
              <a:ln w="12700">
                <a:solidFill>
                  <a:srgbClr val="000000"/>
                </a:solidFill>
                <a:prstDash val="solid"/>
              </a:ln>
            </c:spPr>
          </c:dPt>
          <c:dPt>
            <c:idx val="7"/>
            <c:spPr>
              <a:solidFill>
                <a:srgbClr val="CCCCFF"/>
              </a:solidFill>
              <a:ln w="12700">
                <a:solidFill>
                  <a:srgbClr val="000000"/>
                </a:solidFill>
                <a:prstDash val="solid"/>
              </a:ln>
            </c:spPr>
          </c:dPt>
          <c:dPt>
            <c:idx val="8"/>
            <c:spPr>
              <a:solidFill>
                <a:srgbClr val="000080"/>
              </a:solidFill>
              <a:ln w="12700">
                <a:solidFill>
                  <a:srgbClr val="000000"/>
                </a:solidFill>
                <a:prstDash val="solid"/>
              </a:ln>
            </c:spPr>
          </c:dPt>
          <c:dPt>
            <c:idx val="9"/>
            <c:spPr>
              <a:solidFill>
                <a:srgbClr val="FF00FF"/>
              </a:solidFill>
              <a:ln w="12700">
                <a:solidFill>
                  <a:srgbClr val="000000"/>
                </a:solidFill>
                <a:prstDash val="solid"/>
              </a:ln>
            </c:spPr>
          </c:dPt>
          <c:dPt>
            <c:idx val="10"/>
            <c:spPr>
              <a:solidFill>
                <a:srgbClr val="FFFF00"/>
              </a:solidFill>
              <a:ln w="12700">
                <a:solidFill>
                  <a:srgbClr val="000000"/>
                </a:solidFill>
                <a:prstDash val="solid"/>
              </a:ln>
            </c:spPr>
          </c:dPt>
          <c:dPt>
            <c:idx val="11"/>
            <c:spPr>
              <a:solidFill>
                <a:srgbClr val="00FFFF"/>
              </a:solidFill>
              <a:ln w="12700">
                <a:solidFill>
                  <a:srgbClr val="000000"/>
                </a:solidFill>
                <a:prstDash val="solid"/>
              </a:ln>
            </c:spPr>
          </c:dPt>
          <c:dPt>
            <c:idx val="12"/>
            <c:spPr>
              <a:solidFill>
                <a:srgbClr val="800080"/>
              </a:solidFill>
              <a:ln w="12700">
                <a:solidFill>
                  <a:srgbClr val="000000"/>
                </a:solidFill>
                <a:prstDash val="solid"/>
              </a:ln>
            </c:spPr>
          </c:dPt>
          <c:dPt>
            <c:idx val="13"/>
            <c:spPr>
              <a:solidFill>
                <a:srgbClr val="800000"/>
              </a:solidFill>
              <a:ln w="12700">
                <a:solidFill>
                  <a:srgbClr val="000000"/>
                </a:solidFill>
                <a:prstDash val="solid"/>
              </a:ln>
            </c:spPr>
          </c:dPt>
          <c:dPt>
            <c:idx val="14"/>
            <c:spPr>
              <a:solidFill>
                <a:srgbClr val="008080"/>
              </a:solidFill>
              <a:ln w="12700">
                <a:solidFill>
                  <a:srgbClr val="000000"/>
                </a:solidFill>
                <a:prstDash val="solid"/>
              </a:ln>
            </c:spPr>
          </c:dPt>
          <c:dLbls>
            <c:dLbl>
              <c:idx val="0"/>
              <c:layout>
                <c:manualLayout>
                  <c:x val="-2.3148148148148147E-3"/>
                  <c:y val="-3.8095238095238099E-2"/>
                </c:manualLayout>
              </c:layout>
              <c:dLblPos val="bestFit"/>
              <c:showVal val="1"/>
              <c:showCatName val="1"/>
            </c:dLbl>
            <c:dLbl>
              <c:idx val="1"/>
              <c:layout>
                <c:manualLayout>
                  <c:x val="-5.0925925925925999E-2"/>
                  <c:y val="8.4656084656085148E-3"/>
                </c:manualLayout>
              </c:layout>
              <c:dLblPos val="bestFit"/>
              <c:showVal val="1"/>
              <c:showCatName val="1"/>
            </c:dLbl>
            <c:dLbl>
              <c:idx val="2"/>
              <c:layout>
                <c:manualLayout>
                  <c:x val="-1.3888888888888987E-2"/>
                  <c:y val="0"/>
                </c:manualLayout>
              </c:layout>
              <c:dLblPos val="bestFit"/>
              <c:showVal val="1"/>
              <c:showCatName val="1"/>
            </c:dLbl>
            <c:dLbl>
              <c:idx val="3"/>
              <c:layout>
                <c:manualLayout>
                  <c:x val="-4.6296296296296537E-2"/>
                  <c:y val="-1.6931216931216932E-2"/>
                </c:manualLayout>
              </c:layout>
              <c:dLblPos val="bestFit"/>
              <c:showVal val="1"/>
              <c:showCatName val="1"/>
            </c:dLbl>
            <c:dLbl>
              <c:idx val="4"/>
              <c:layout>
                <c:manualLayout>
                  <c:x val="1.6203703703703758E-2"/>
                  <c:y val="-2.5396825396825397E-2"/>
                </c:manualLayout>
              </c:layout>
              <c:dLblPos val="bestFit"/>
              <c:showVal val="1"/>
              <c:showCatName val="1"/>
            </c:dLbl>
            <c:dLbl>
              <c:idx val="5"/>
              <c:layout>
                <c:manualLayout>
                  <c:x val="3.7037037037037181E-2"/>
                  <c:y val="-2.5396825396825418E-2"/>
                </c:manualLayout>
              </c:layout>
              <c:dLblPos val="bestFit"/>
              <c:showVal val="1"/>
              <c:showCatName val="1"/>
            </c:dLbl>
            <c:dLbl>
              <c:idx val="6"/>
              <c:layout>
                <c:manualLayout>
                  <c:x val="1.3888888888888987E-2"/>
                  <c:y val="-3.8095238095238099E-2"/>
                </c:manualLayout>
              </c:layout>
              <c:dLblPos val="bestFit"/>
              <c:showVal val="1"/>
              <c:showCatName val="1"/>
            </c:dLbl>
            <c:dLbl>
              <c:idx val="7"/>
              <c:layout>
                <c:manualLayout>
                  <c:x val="3.2407407407407642E-2"/>
                  <c:y val="-8.4656084656085148E-3"/>
                </c:manualLayout>
              </c:layout>
              <c:dLblPos val="bestFit"/>
              <c:showVal val="1"/>
              <c:showCatName val="1"/>
            </c:dLbl>
            <c:dLbl>
              <c:idx val="8"/>
              <c:layout>
                <c:manualLayout>
                  <c:x val="1.851851851851859E-2"/>
                  <c:y val="8.4656084656085148E-3"/>
                </c:manualLayout>
              </c:layout>
              <c:dLblPos val="bestFit"/>
              <c:showVal val="1"/>
              <c:showCatName val="1"/>
            </c:dLbl>
            <c:dLbl>
              <c:idx val="9"/>
              <c:layout>
                <c:manualLayout>
                  <c:x val="2.0833333333333454E-2"/>
                  <c:y val="7.7600514486980543E-17"/>
                </c:manualLayout>
              </c:layout>
              <c:dLblPos val="bestFit"/>
              <c:showVal val="1"/>
              <c:showCatName val="1"/>
            </c:dLbl>
            <c:dLbl>
              <c:idx val="10"/>
              <c:layout>
                <c:manualLayout>
                  <c:x val="3.7037037037037125E-2"/>
                  <c:y val="1.6931216931216932E-2"/>
                </c:manualLayout>
              </c:layout>
              <c:dLblPos val="bestFit"/>
              <c:showVal val="1"/>
              <c:showCatName val="1"/>
            </c:dLbl>
            <c:dLbl>
              <c:idx val="11"/>
              <c:layout>
                <c:manualLayout>
                  <c:x val="3.2407407407407642E-2"/>
                  <c:y val="0"/>
                </c:manualLayout>
              </c:layout>
              <c:dLblPos val="bestFit"/>
              <c:showVal val="1"/>
              <c:showCatName val="1"/>
            </c:dLbl>
            <c:dLbl>
              <c:idx val="12"/>
              <c:layout>
                <c:manualLayout>
                  <c:x val="-3.0092592592592608E-2"/>
                  <c:y val="0"/>
                </c:manualLayout>
              </c:layout>
              <c:dLblPos val="bestFit"/>
              <c:showVal val="1"/>
              <c:showCatName val="1"/>
            </c:dLbl>
            <c:dLbl>
              <c:idx val="13"/>
              <c:layout>
                <c:manualLayout>
                  <c:x val="-4.8611111111111133E-2"/>
                  <c:y val="1.2698412698412735E-2"/>
                </c:manualLayout>
              </c:layout>
              <c:dLblPos val="bestFit"/>
              <c:showVal val="1"/>
              <c:showCatName val="1"/>
            </c:dLbl>
            <c:dLbl>
              <c:idx val="14"/>
              <c:layout>
                <c:manualLayout>
                  <c:x val="-2.5462962962963059E-2"/>
                  <c:y val="4.2328042328043172E-3"/>
                </c:manualLayout>
              </c:layout>
              <c:dLblPos val="bestFit"/>
              <c:showVal val="1"/>
              <c:showCatName val="1"/>
            </c:dLbl>
            <c:spPr>
              <a:noFill/>
              <a:ln w="25400">
                <a:noFill/>
              </a:ln>
            </c:spPr>
            <c:dLblPos val="outEnd"/>
            <c:showVal val="1"/>
            <c:showCatName val="1"/>
            <c:showLeaderLines val="1"/>
          </c:dLbls>
          <c:cat>
            <c:strRef>
              <c:f>Sheet1!$B$1:$P$1</c:f>
              <c:strCache>
                <c:ptCount val="15"/>
                <c:pt idx="0">
                  <c:v>Office Buildings</c:v>
                </c:pt>
                <c:pt idx="1">
                  <c:v>Industrial Facilities</c:v>
                </c:pt>
                <c:pt idx="2">
                  <c:v>Mixed</c:v>
                </c:pt>
                <c:pt idx="3">
                  <c:v>Shopping Centres</c:v>
                </c:pt>
                <c:pt idx="4">
                  <c:v>Regional Malls</c:v>
                </c:pt>
                <c:pt idx="5">
                  <c:v>Freestanding Retail</c:v>
                </c:pt>
                <c:pt idx="6">
                  <c:v>Apartments</c:v>
                </c:pt>
                <c:pt idx="7">
                  <c:v>Manufactured Homes</c:v>
                </c:pt>
                <c:pt idx="8">
                  <c:v>Diversified</c:v>
                </c:pt>
                <c:pt idx="9">
                  <c:v>Lodging / Resorts</c:v>
                </c:pt>
                <c:pt idx="10">
                  <c:v>Self Storage</c:v>
                </c:pt>
                <c:pt idx="11">
                  <c:v>Health Care</c:v>
                </c:pt>
                <c:pt idx="12">
                  <c:v>Speciality</c:v>
                </c:pt>
                <c:pt idx="13">
                  <c:v>Hybrid</c:v>
                </c:pt>
                <c:pt idx="14">
                  <c:v>Mortgage</c:v>
                </c:pt>
              </c:strCache>
            </c:strRef>
          </c:cat>
          <c:val>
            <c:numRef>
              <c:f>Sheet1!$B$2:$P$2</c:f>
              <c:numCache>
                <c:formatCode>0%</c:formatCode>
                <c:ptCount val="15"/>
                <c:pt idx="0">
                  <c:v>0.11000000000000018</c:v>
                </c:pt>
                <c:pt idx="1">
                  <c:v>3.0000000000000332E-2</c:v>
                </c:pt>
                <c:pt idx="2">
                  <c:v>3.0000000000000332E-2</c:v>
                </c:pt>
                <c:pt idx="3">
                  <c:v>3.0000000000000332E-2</c:v>
                </c:pt>
                <c:pt idx="4">
                  <c:v>0.1</c:v>
                </c:pt>
                <c:pt idx="5">
                  <c:v>7.0000000000000034E-2</c:v>
                </c:pt>
                <c:pt idx="6">
                  <c:v>2.0000000000000052E-2</c:v>
                </c:pt>
                <c:pt idx="7">
                  <c:v>1.0000000000000083E-2</c:v>
                </c:pt>
                <c:pt idx="8">
                  <c:v>6.0000000000000581E-2</c:v>
                </c:pt>
                <c:pt idx="9">
                  <c:v>3.0000000000000332E-2</c:v>
                </c:pt>
                <c:pt idx="10">
                  <c:v>3.0000000000000332E-2</c:v>
                </c:pt>
                <c:pt idx="11">
                  <c:v>0.13</c:v>
                </c:pt>
                <c:pt idx="12">
                  <c:v>9.0000000000000066E-2</c:v>
                </c:pt>
                <c:pt idx="13">
                  <c:v>1.0000000000000083E-2</c:v>
                </c:pt>
                <c:pt idx="14">
                  <c:v>0.1</c:v>
                </c:pt>
              </c:numCache>
            </c:numRef>
          </c:val>
        </c:ser>
        <c:ser>
          <c:idx val="1"/>
          <c:order val="1"/>
          <c:tx>
            <c:strRef>
              <c:f>Sheet1!$A$3</c:f>
              <c:strCache>
                <c:ptCount val="1"/>
              </c:strCache>
            </c:strRef>
          </c:tx>
          <c:spPr>
            <a:solidFill>
              <a:srgbClr val="993366"/>
            </a:solidFill>
            <a:ln w="12700">
              <a:solidFill>
                <a:srgbClr val="000000"/>
              </a:solidFill>
              <a:prstDash val="solid"/>
            </a:ln>
          </c:spPr>
          <c:dPt>
            <c:idx val="0"/>
            <c:spPr>
              <a:solidFill>
                <a:srgbClr val="9999FF"/>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Pt>
            <c:idx val="6"/>
            <c:spPr>
              <a:solidFill>
                <a:srgbClr val="0066CC"/>
              </a:solidFill>
              <a:ln w="12700">
                <a:solidFill>
                  <a:srgbClr val="000000"/>
                </a:solidFill>
                <a:prstDash val="solid"/>
              </a:ln>
            </c:spPr>
          </c:dPt>
          <c:dPt>
            <c:idx val="7"/>
            <c:spPr>
              <a:solidFill>
                <a:srgbClr val="CCCCFF"/>
              </a:solidFill>
              <a:ln w="12700">
                <a:solidFill>
                  <a:srgbClr val="000000"/>
                </a:solidFill>
                <a:prstDash val="solid"/>
              </a:ln>
            </c:spPr>
          </c:dPt>
          <c:dPt>
            <c:idx val="8"/>
            <c:spPr>
              <a:solidFill>
                <a:srgbClr val="000080"/>
              </a:solidFill>
              <a:ln w="12700">
                <a:solidFill>
                  <a:srgbClr val="000000"/>
                </a:solidFill>
                <a:prstDash val="solid"/>
              </a:ln>
            </c:spPr>
          </c:dPt>
          <c:dPt>
            <c:idx val="9"/>
            <c:spPr>
              <a:solidFill>
                <a:srgbClr val="FF00FF"/>
              </a:solidFill>
              <a:ln w="12700">
                <a:solidFill>
                  <a:srgbClr val="000000"/>
                </a:solidFill>
                <a:prstDash val="solid"/>
              </a:ln>
            </c:spPr>
          </c:dPt>
          <c:dPt>
            <c:idx val="10"/>
            <c:spPr>
              <a:solidFill>
                <a:srgbClr val="FFFF00"/>
              </a:solidFill>
              <a:ln w="12700">
                <a:solidFill>
                  <a:srgbClr val="000000"/>
                </a:solidFill>
                <a:prstDash val="solid"/>
              </a:ln>
            </c:spPr>
          </c:dPt>
          <c:dPt>
            <c:idx val="11"/>
            <c:spPr>
              <a:solidFill>
                <a:srgbClr val="00FFFF"/>
              </a:solidFill>
              <a:ln w="12700">
                <a:solidFill>
                  <a:srgbClr val="000000"/>
                </a:solidFill>
                <a:prstDash val="solid"/>
              </a:ln>
            </c:spPr>
          </c:dPt>
          <c:dPt>
            <c:idx val="12"/>
            <c:spPr>
              <a:solidFill>
                <a:srgbClr val="800080"/>
              </a:solidFill>
              <a:ln w="12700">
                <a:solidFill>
                  <a:srgbClr val="000000"/>
                </a:solidFill>
                <a:prstDash val="solid"/>
              </a:ln>
            </c:spPr>
          </c:dPt>
          <c:dPt>
            <c:idx val="13"/>
            <c:spPr>
              <a:solidFill>
                <a:srgbClr val="800000"/>
              </a:solidFill>
              <a:ln w="12700">
                <a:solidFill>
                  <a:srgbClr val="000000"/>
                </a:solidFill>
                <a:prstDash val="solid"/>
              </a:ln>
            </c:spPr>
          </c:dPt>
          <c:dPt>
            <c:idx val="14"/>
            <c:spPr>
              <a:solidFill>
                <a:srgbClr val="008080"/>
              </a:solidFill>
              <a:ln w="12700">
                <a:solidFill>
                  <a:srgbClr val="000000"/>
                </a:solidFill>
                <a:prstDash val="solid"/>
              </a:ln>
            </c:spPr>
          </c:dPt>
          <c:dLbls>
            <c:spPr>
              <a:noFill/>
              <a:ln w="25400">
                <a:noFill/>
              </a:ln>
            </c:spPr>
            <c:showVal val="1"/>
            <c:showCatName val="1"/>
            <c:showLeaderLines val="1"/>
          </c:dLbls>
          <c:cat>
            <c:strRef>
              <c:f>Sheet1!$B$1:$P$1</c:f>
              <c:strCache>
                <c:ptCount val="15"/>
                <c:pt idx="0">
                  <c:v>Office Buildings</c:v>
                </c:pt>
                <c:pt idx="1">
                  <c:v>Industrial Facilities</c:v>
                </c:pt>
                <c:pt idx="2">
                  <c:v>Mixed</c:v>
                </c:pt>
                <c:pt idx="3">
                  <c:v>Shopping Centres</c:v>
                </c:pt>
                <c:pt idx="4">
                  <c:v>Regional Malls</c:v>
                </c:pt>
                <c:pt idx="5">
                  <c:v>Freestanding Retail</c:v>
                </c:pt>
                <c:pt idx="6">
                  <c:v>Apartments</c:v>
                </c:pt>
                <c:pt idx="7">
                  <c:v>Manufactured Homes</c:v>
                </c:pt>
                <c:pt idx="8">
                  <c:v>Diversified</c:v>
                </c:pt>
                <c:pt idx="9">
                  <c:v>Lodging / Resorts</c:v>
                </c:pt>
                <c:pt idx="10">
                  <c:v>Self Storage</c:v>
                </c:pt>
                <c:pt idx="11">
                  <c:v>Health Care</c:v>
                </c:pt>
                <c:pt idx="12">
                  <c:v>Speciality</c:v>
                </c:pt>
                <c:pt idx="13">
                  <c:v>Hybrid</c:v>
                </c:pt>
                <c:pt idx="14">
                  <c:v>Mortgage</c:v>
                </c:pt>
              </c:strCache>
            </c:strRef>
          </c:cat>
          <c:val>
            <c:numRef>
              <c:f>Sheet1!$B$3:$P$3</c:f>
              <c:numCache>
                <c:formatCode>General</c:formatCode>
                <c:ptCount val="15"/>
              </c:numCache>
            </c:numRef>
          </c:val>
        </c:ser>
        <c:ser>
          <c:idx val="2"/>
          <c:order val="2"/>
          <c:tx>
            <c:strRef>
              <c:f>Sheet1!$A$4</c:f>
              <c:strCache>
                <c:ptCount val="1"/>
              </c:strCache>
            </c:strRef>
          </c:tx>
          <c:spPr>
            <a:solidFill>
              <a:srgbClr val="FFFFCC"/>
            </a:solidFill>
            <a:ln w="12700">
              <a:solidFill>
                <a:srgbClr val="000000"/>
              </a:solidFill>
              <a:prstDash val="solid"/>
            </a:ln>
          </c:spPr>
          <c:dPt>
            <c:idx val="0"/>
            <c:spPr>
              <a:solidFill>
                <a:srgbClr val="9999FF"/>
              </a:solidFill>
              <a:ln w="12700">
                <a:solidFill>
                  <a:srgbClr val="000000"/>
                </a:solidFill>
                <a:prstDash val="solid"/>
              </a:ln>
            </c:spPr>
          </c:dPt>
          <c:dPt>
            <c:idx val="1"/>
            <c:spPr>
              <a:solidFill>
                <a:srgbClr val="993366"/>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Pt>
            <c:idx val="6"/>
            <c:spPr>
              <a:solidFill>
                <a:srgbClr val="0066CC"/>
              </a:solidFill>
              <a:ln w="12700">
                <a:solidFill>
                  <a:srgbClr val="000000"/>
                </a:solidFill>
                <a:prstDash val="solid"/>
              </a:ln>
            </c:spPr>
          </c:dPt>
          <c:dPt>
            <c:idx val="7"/>
            <c:spPr>
              <a:solidFill>
                <a:srgbClr val="CCCCFF"/>
              </a:solidFill>
              <a:ln w="12700">
                <a:solidFill>
                  <a:srgbClr val="000000"/>
                </a:solidFill>
                <a:prstDash val="solid"/>
              </a:ln>
            </c:spPr>
          </c:dPt>
          <c:dPt>
            <c:idx val="8"/>
            <c:spPr>
              <a:solidFill>
                <a:srgbClr val="000080"/>
              </a:solidFill>
              <a:ln w="12700">
                <a:solidFill>
                  <a:srgbClr val="000000"/>
                </a:solidFill>
                <a:prstDash val="solid"/>
              </a:ln>
            </c:spPr>
          </c:dPt>
          <c:dPt>
            <c:idx val="9"/>
            <c:spPr>
              <a:solidFill>
                <a:srgbClr val="FF00FF"/>
              </a:solidFill>
              <a:ln w="12700">
                <a:solidFill>
                  <a:srgbClr val="000000"/>
                </a:solidFill>
                <a:prstDash val="solid"/>
              </a:ln>
            </c:spPr>
          </c:dPt>
          <c:dPt>
            <c:idx val="10"/>
            <c:spPr>
              <a:solidFill>
                <a:srgbClr val="FFFF00"/>
              </a:solidFill>
              <a:ln w="12700">
                <a:solidFill>
                  <a:srgbClr val="000000"/>
                </a:solidFill>
                <a:prstDash val="solid"/>
              </a:ln>
            </c:spPr>
          </c:dPt>
          <c:dPt>
            <c:idx val="11"/>
            <c:spPr>
              <a:solidFill>
                <a:srgbClr val="00FFFF"/>
              </a:solidFill>
              <a:ln w="12700">
                <a:solidFill>
                  <a:srgbClr val="000000"/>
                </a:solidFill>
                <a:prstDash val="solid"/>
              </a:ln>
            </c:spPr>
          </c:dPt>
          <c:dPt>
            <c:idx val="12"/>
            <c:spPr>
              <a:solidFill>
                <a:srgbClr val="800080"/>
              </a:solidFill>
              <a:ln w="12700">
                <a:solidFill>
                  <a:srgbClr val="000000"/>
                </a:solidFill>
                <a:prstDash val="solid"/>
              </a:ln>
            </c:spPr>
          </c:dPt>
          <c:dPt>
            <c:idx val="13"/>
            <c:spPr>
              <a:solidFill>
                <a:srgbClr val="800000"/>
              </a:solidFill>
              <a:ln w="12700">
                <a:solidFill>
                  <a:srgbClr val="000000"/>
                </a:solidFill>
                <a:prstDash val="solid"/>
              </a:ln>
            </c:spPr>
          </c:dPt>
          <c:dPt>
            <c:idx val="14"/>
            <c:spPr>
              <a:solidFill>
                <a:srgbClr val="008080"/>
              </a:solidFill>
              <a:ln w="12700">
                <a:solidFill>
                  <a:srgbClr val="000000"/>
                </a:solidFill>
                <a:prstDash val="solid"/>
              </a:ln>
            </c:spPr>
          </c:dPt>
          <c:dLbls>
            <c:spPr>
              <a:noFill/>
              <a:ln w="25400">
                <a:noFill/>
              </a:ln>
            </c:spPr>
            <c:showVal val="1"/>
            <c:showCatName val="1"/>
            <c:showLeaderLines val="1"/>
          </c:dLbls>
          <c:cat>
            <c:strRef>
              <c:f>Sheet1!$B$1:$P$1</c:f>
              <c:strCache>
                <c:ptCount val="15"/>
                <c:pt idx="0">
                  <c:v>Office Buildings</c:v>
                </c:pt>
                <c:pt idx="1">
                  <c:v>Industrial Facilities</c:v>
                </c:pt>
                <c:pt idx="2">
                  <c:v>Mixed</c:v>
                </c:pt>
                <c:pt idx="3">
                  <c:v>Shopping Centres</c:v>
                </c:pt>
                <c:pt idx="4">
                  <c:v>Regional Malls</c:v>
                </c:pt>
                <c:pt idx="5">
                  <c:v>Freestanding Retail</c:v>
                </c:pt>
                <c:pt idx="6">
                  <c:v>Apartments</c:v>
                </c:pt>
                <c:pt idx="7">
                  <c:v>Manufactured Homes</c:v>
                </c:pt>
                <c:pt idx="8">
                  <c:v>Diversified</c:v>
                </c:pt>
                <c:pt idx="9">
                  <c:v>Lodging / Resorts</c:v>
                </c:pt>
                <c:pt idx="10">
                  <c:v>Self Storage</c:v>
                </c:pt>
                <c:pt idx="11">
                  <c:v>Health Care</c:v>
                </c:pt>
                <c:pt idx="12">
                  <c:v>Speciality</c:v>
                </c:pt>
                <c:pt idx="13">
                  <c:v>Hybrid</c:v>
                </c:pt>
                <c:pt idx="14">
                  <c:v>Mortgage</c:v>
                </c:pt>
              </c:strCache>
            </c:strRef>
          </c:cat>
          <c:val>
            <c:numRef>
              <c:f>Sheet1!$B$4:$P$4</c:f>
              <c:numCache>
                <c:formatCode>General</c:formatCode>
                <c:ptCount val="15"/>
              </c:numCache>
            </c:numRef>
          </c:val>
        </c:ser>
        <c:dLbls>
          <c:showVal val="1"/>
          <c:showCatName val="1"/>
        </c:dLbls>
        <c:firstSliceAng val="270"/>
      </c:pieChart>
      <c:spPr>
        <a:solidFill>
          <a:srgbClr val="FFFFFF"/>
        </a:solidFill>
        <a:ln w="25400">
          <a:noFill/>
        </a:ln>
      </c:spPr>
    </c:plotArea>
    <c:plotVisOnly val="1"/>
    <c:dispBlanksAs val="zero"/>
  </c:chart>
  <c:spPr>
    <a:solidFill>
      <a:srgbClr val="FFFFFF"/>
    </a:solidFill>
    <a:ln>
      <a:noFill/>
    </a:ln>
  </c:spPr>
  <c:txPr>
    <a:bodyPr/>
    <a:lstStyle/>
    <a:p>
      <a:pPr>
        <a:defRPr sz="900" b="0" i="0" u="none" strike="noStrike" baseline="0">
          <a:solidFill>
            <a:srgbClr val="000000"/>
          </a:solidFill>
          <a:latin typeface="Calibri"/>
          <a:ea typeface="Calibri"/>
          <a:cs typeface="Calibri"/>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manualLayout>
          <c:layoutTarget val="inner"/>
          <c:xMode val="edge"/>
          <c:yMode val="edge"/>
          <c:x val="0.13494209057201637"/>
          <c:y val="7.2370416888073524E-2"/>
          <c:w val="0.58636253801607097"/>
          <c:h val="0.90652367840523007"/>
        </c:manualLayout>
      </c:layout>
      <c:pieChart>
        <c:varyColors val="1"/>
        <c:ser>
          <c:idx val="0"/>
          <c:order val="0"/>
          <c:tx>
            <c:strRef>
              <c:f>Sheet1!$A$3</c:f>
              <c:strCache>
                <c:ptCount val="1"/>
                <c:pt idx="0">
                  <c:v>REIT Funds</c:v>
                </c:pt>
              </c:strCache>
            </c:strRef>
          </c:tx>
          <c:spPr>
            <a:solidFill>
              <a:srgbClr val="9999FF"/>
            </a:solidFill>
            <a:ln w="12700">
              <a:solidFill>
                <a:srgbClr val="000000"/>
              </a:solidFill>
              <a:prstDash val="solid"/>
            </a:ln>
          </c:spPr>
          <c:explosion val="7"/>
          <c:dPt>
            <c:idx val="1"/>
            <c:spPr>
              <a:solidFill>
                <a:srgbClr val="993366"/>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Pt>
            <c:idx val="6"/>
            <c:spPr>
              <a:solidFill>
                <a:srgbClr val="0066CC"/>
              </a:solidFill>
              <a:ln w="12700">
                <a:solidFill>
                  <a:srgbClr val="000000"/>
                </a:solidFill>
                <a:prstDash val="solid"/>
              </a:ln>
            </c:spPr>
          </c:dPt>
          <c:dPt>
            <c:idx val="7"/>
            <c:spPr>
              <a:solidFill>
                <a:srgbClr val="CCCCFF"/>
              </a:solidFill>
              <a:ln w="12700">
                <a:solidFill>
                  <a:srgbClr val="000000"/>
                </a:solidFill>
                <a:prstDash val="solid"/>
              </a:ln>
            </c:spPr>
          </c:dPt>
          <c:dPt>
            <c:idx val="8"/>
            <c:spPr>
              <a:solidFill>
                <a:srgbClr val="000080"/>
              </a:solidFill>
              <a:ln w="12700">
                <a:solidFill>
                  <a:srgbClr val="000000"/>
                </a:solidFill>
                <a:prstDash val="solid"/>
              </a:ln>
            </c:spPr>
          </c:dPt>
          <c:dPt>
            <c:idx val="9"/>
            <c:spPr>
              <a:solidFill>
                <a:srgbClr val="FF00FF"/>
              </a:solidFill>
              <a:ln w="12700">
                <a:solidFill>
                  <a:srgbClr val="000000"/>
                </a:solidFill>
                <a:prstDash val="solid"/>
              </a:ln>
            </c:spPr>
          </c:dPt>
          <c:dPt>
            <c:idx val="10"/>
            <c:spPr>
              <a:solidFill>
                <a:srgbClr val="FFFF00"/>
              </a:solidFill>
              <a:ln w="12700">
                <a:solidFill>
                  <a:srgbClr val="000000"/>
                </a:solidFill>
                <a:prstDash val="solid"/>
              </a:ln>
            </c:spPr>
          </c:dPt>
          <c:dPt>
            <c:idx val="11"/>
            <c:spPr>
              <a:solidFill>
                <a:srgbClr val="00FFFF"/>
              </a:solidFill>
              <a:ln w="12700">
                <a:solidFill>
                  <a:srgbClr val="000000"/>
                </a:solidFill>
                <a:prstDash val="solid"/>
              </a:ln>
            </c:spPr>
          </c:dPt>
          <c:dPt>
            <c:idx val="12"/>
            <c:spPr>
              <a:solidFill>
                <a:srgbClr val="800080"/>
              </a:solidFill>
              <a:ln w="12700">
                <a:solidFill>
                  <a:srgbClr val="000000"/>
                </a:solidFill>
                <a:prstDash val="solid"/>
              </a:ln>
            </c:spPr>
          </c:dPt>
          <c:dPt>
            <c:idx val="13"/>
            <c:spPr>
              <a:solidFill>
                <a:srgbClr val="800000"/>
              </a:solidFill>
              <a:ln w="12700">
                <a:solidFill>
                  <a:srgbClr val="000000"/>
                </a:solidFill>
                <a:prstDash val="solid"/>
              </a:ln>
            </c:spPr>
          </c:dPt>
          <c:dPt>
            <c:idx val="14"/>
            <c:spPr>
              <a:solidFill>
                <a:srgbClr val="008080"/>
              </a:solidFill>
              <a:ln w="12700">
                <a:solidFill>
                  <a:srgbClr val="000000"/>
                </a:solidFill>
                <a:prstDash val="solid"/>
              </a:ln>
            </c:spPr>
          </c:dPt>
          <c:dPt>
            <c:idx val="15"/>
            <c:spPr>
              <a:solidFill>
                <a:srgbClr val="0000FF"/>
              </a:solidFill>
              <a:ln w="12700">
                <a:solidFill>
                  <a:srgbClr val="000000"/>
                </a:solidFill>
                <a:prstDash val="solid"/>
              </a:ln>
            </c:spPr>
          </c:dPt>
          <c:dLbls>
            <c:dLbl>
              <c:idx val="0"/>
              <c:layout>
                <c:manualLayout>
                  <c:x val="4.5360824742267963E-2"/>
                  <c:y val="-1.6326530612244903E-2"/>
                </c:manualLayout>
              </c:layout>
              <c:dLblPos val="bestFit"/>
              <c:showLegendKey val="1"/>
              <c:showVal val="1"/>
              <c:showCatName val="1"/>
            </c:dLbl>
            <c:dLbl>
              <c:idx val="1"/>
              <c:layout>
                <c:manualLayout>
                  <c:x val="-3.9175257731958762E-2"/>
                  <c:y val="3.6734693877551045E-2"/>
                </c:manualLayout>
              </c:layout>
              <c:dLblPos val="bestFit"/>
              <c:showLegendKey val="1"/>
              <c:showVal val="1"/>
              <c:showCatName val="1"/>
            </c:dLbl>
            <c:dLbl>
              <c:idx val="2"/>
              <c:layout>
                <c:manualLayout>
                  <c:x val="-3.9175257731958762E-2"/>
                  <c:y val="1.2244897959183673E-2"/>
                </c:manualLayout>
              </c:layout>
              <c:dLblPos val="bestFit"/>
              <c:showLegendKey val="1"/>
              <c:showVal val="1"/>
              <c:showCatName val="1"/>
            </c:dLbl>
            <c:dLbl>
              <c:idx val="3"/>
              <c:layout>
                <c:manualLayout>
                  <c:x val="-3.5051546391752578E-2"/>
                  <c:y val="1.2244897959183673E-2"/>
                </c:manualLayout>
              </c:layout>
              <c:dLblPos val="bestFit"/>
              <c:showLegendKey val="1"/>
              <c:showVal val="1"/>
              <c:showCatName val="1"/>
            </c:dLbl>
            <c:dLbl>
              <c:idx val="4"/>
              <c:layout>
                <c:manualLayout>
                  <c:x val="-2.8865979381443412E-2"/>
                  <c:y val="2.0408163265306142E-2"/>
                </c:manualLayout>
              </c:layout>
              <c:dLblPos val="bestFit"/>
              <c:showLegendKey val="1"/>
              <c:showVal val="1"/>
              <c:showCatName val="1"/>
            </c:dLbl>
            <c:dLbl>
              <c:idx val="5"/>
              <c:layout>
                <c:manualLayout>
                  <c:x val="-4.3825310495981797E-2"/>
                  <c:y val="-4.0816326530612561E-3"/>
                </c:manualLayout>
              </c:layout>
              <c:dLblPos val="bestFit"/>
              <c:showLegendKey val="1"/>
              <c:showVal val="1"/>
              <c:showCatName val="1"/>
            </c:dLbl>
            <c:dLbl>
              <c:idx val="6"/>
              <c:layout>
                <c:manualLayout>
                  <c:x val="-1.8556701030927845E-2"/>
                  <c:y val="-1.6326530612244903E-2"/>
                </c:manualLayout>
              </c:layout>
              <c:dLblPos val="bestFit"/>
              <c:showLegendKey val="1"/>
              <c:showVal val="1"/>
              <c:showCatName val="1"/>
            </c:dLbl>
            <c:dLbl>
              <c:idx val="7"/>
              <c:layout>
                <c:manualLayout>
                  <c:x val="-2.0618556701030927E-2"/>
                  <c:y val="-8.1632653061224497E-3"/>
                </c:manualLayout>
              </c:layout>
              <c:dLblPos val="bestFit"/>
              <c:showLegendKey val="1"/>
              <c:showVal val="1"/>
              <c:showCatName val="1"/>
            </c:dLbl>
            <c:dLbl>
              <c:idx val="8"/>
              <c:layout>
                <c:manualLayout>
                  <c:x val="-2.8865979381443412E-2"/>
                  <c:y val="-3.673469387755101E-2"/>
                </c:manualLayout>
              </c:layout>
              <c:dLblPos val="bestFit"/>
              <c:showLegendKey val="1"/>
              <c:showVal val="1"/>
              <c:showCatName val="1"/>
            </c:dLbl>
            <c:dLbl>
              <c:idx val="9"/>
              <c:layout>
                <c:manualLayout>
                  <c:x val="-2.4742268041237109E-2"/>
                  <c:y val="-8.1632653061224497E-3"/>
                </c:manualLayout>
              </c:layout>
              <c:dLblPos val="bestFit"/>
              <c:showLegendKey val="1"/>
              <c:showVal val="1"/>
              <c:showCatName val="1"/>
            </c:dLbl>
            <c:dLbl>
              <c:idx val="10"/>
              <c:layout>
                <c:manualLayout>
                  <c:x val="1.8556701030927845E-2"/>
                  <c:y val="-2.0408163265306142E-2"/>
                </c:manualLayout>
              </c:layout>
              <c:dLblPos val="bestFit"/>
              <c:showLegendKey val="1"/>
              <c:showVal val="1"/>
              <c:showCatName val="1"/>
            </c:dLbl>
            <c:dLbl>
              <c:idx val="11"/>
              <c:layout>
                <c:manualLayout>
                  <c:x val="4.1237113402061855E-2"/>
                  <c:y val="-2.4489795918367412E-2"/>
                </c:manualLayout>
              </c:layout>
              <c:dLblPos val="bestFit"/>
              <c:showLegendKey val="1"/>
              <c:showVal val="1"/>
              <c:showCatName val="1"/>
            </c:dLbl>
            <c:dLbl>
              <c:idx val="12"/>
              <c:layout>
                <c:manualLayout>
                  <c:x val="2.6804123711340201E-2"/>
                  <c:y val="-2.4489795918367412E-2"/>
                </c:manualLayout>
              </c:layout>
              <c:dLblPos val="bestFit"/>
              <c:showLegendKey val="1"/>
              <c:showVal val="1"/>
              <c:showCatName val="1"/>
            </c:dLbl>
            <c:dLbl>
              <c:idx val="13"/>
              <c:layout>
                <c:manualLayout>
                  <c:x val="3.2989690721649492E-2"/>
                  <c:y val="-1.2244897959183673E-2"/>
                </c:manualLayout>
              </c:layout>
              <c:dLblPos val="bestFit"/>
              <c:showLegendKey val="1"/>
              <c:showVal val="1"/>
              <c:showCatName val="1"/>
            </c:dLbl>
            <c:dLbl>
              <c:idx val="14"/>
              <c:layout>
                <c:manualLayout>
                  <c:x val="2.4742268041237109E-2"/>
                  <c:y val="4.0816326530612561E-3"/>
                </c:manualLayout>
              </c:layout>
              <c:dLblPos val="bestFit"/>
              <c:showLegendKey val="1"/>
              <c:showVal val="1"/>
              <c:showCatName val="1"/>
            </c:dLbl>
            <c:dLbl>
              <c:idx val="15"/>
              <c:layout>
                <c:manualLayout>
                  <c:x val="2.4742268041237109E-2"/>
                  <c:y val="1.6326530612244903E-2"/>
                </c:manualLayout>
              </c:layout>
              <c:dLblPos val="bestFit"/>
              <c:showLegendKey val="1"/>
              <c:showVal val="1"/>
              <c:showCatName val="1"/>
            </c:dLbl>
            <c:spPr>
              <a:noFill/>
              <a:ln w="25399">
                <a:noFill/>
              </a:ln>
            </c:spPr>
            <c:txPr>
              <a:bodyPr/>
              <a:lstStyle/>
              <a:p>
                <a:pPr>
                  <a:defRPr lang="en-GB" sz="800" b="1" i="0" u="none" strike="noStrike" baseline="0">
                    <a:solidFill>
                      <a:srgbClr val="000000"/>
                    </a:solidFill>
                    <a:latin typeface="Calibri"/>
                    <a:ea typeface="Calibri"/>
                    <a:cs typeface="Calibri"/>
                  </a:defRPr>
                </a:pPr>
                <a:endParaRPr lang="en-US"/>
              </a:p>
            </c:txPr>
            <c:dLblPos val="outEnd"/>
            <c:showLegendKey val="1"/>
            <c:showVal val="1"/>
            <c:showCatName val="1"/>
            <c:showLeaderLines val="1"/>
          </c:dLbls>
          <c:cat>
            <c:strRef>
              <c:f>Sheet1!$B$1:$Q$1</c:f>
              <c:strCache>
                <c:ptCount val="16"/>
                <c:pt idx="0">
                  <c:v>USA - 142</c:v>
                </c:pt>
                <c:pt idx="1">
                  <c:v>Canada - 30</c:v>
                </c:pt>
                <c:pt idx="2">
                  <c:v>Belgium - 15</c:v>
                </c:pt>
                <c:pt idx="3">
                  <c:v>France - 44</c:v>
                </c:pt>
                <c:pt idx="4">
                  <c:v>Germanay - 4</c:v>
                </c:pt>
                <c:pt idx="5">
                  <c:v>Netherlands - 6</c:v>
                </c:pt>
                <c:pt idx="6">
                  <c:v>South Africa - 5</c:v>
                </c:pt>
                <c:pt idx="7">
                  <c:v>Turkey - 13</c:v>
                </c:pt>
                <c:pt idx="8">
                  <c:v>UK - 20</c:v>
                </c:pt>
                <c:pt idx="9">
                  <c:v>Australia - 57</c:v>
                </c:pt>
                <c:pt idx="10">
                  <c:v>New Zealand - 8</c:v>
                </c:pt>
                <c:pt idx="11">
                  <c:v>Japan - 41</c:v>
                </c:pt>
                <c:pt idx="12">
                  <c:v>Hong Kong - 7</c:v>
                </c:pt>
                <c:pt idx="13">
                  <c:v>Malaysia - 12</c:v>
                </c:pt>
                <c:pt idx="14">
                  <c:v>Singapore - 20</c:v>
                </c:pt>
                <c:pt idx="15">
                  <c:v>South Korea - 3</c:v>
                </c:pt>
              </c:strCache>
            </c:strRef>
          </c:cat>
          <c:val>
            <c:numRef>
              <c:f>Sheet1!$B$3:$Q$3</c:f>
              <c:numCache>
                <c:formatCode>General</c:formatCode>
                <c:ptCount val="16"/>
                <c:pt idx="0">
                  <c:v>142</c:v>
                </c:pt>
                <c:pt idx="1">
                  <c:v>30</c:v>
                </c:pt>
                <c:pt idx="2">
                  <c:v>15</c:v>
                </c:pt>
                <c:pt idx="3">
                  <c:v>44</c:v>
                </c:pt>
                <c:pt idx="4">
                  <c:v>4</c:v>
                </c:pt>
                <c:pt idx="5">
                  <c:v>6</c:v>
                </c:pt>
                <c:pt idx="6">
                  <c:v>5</c:v>
                </c:pt>
                <c:pt idx="7">
                  <c:v>13</c:v>
                </c:pt>
                <c:pt idx="8">
                  <c:v>20</c:v>
                </c:pt>
                <c:pt idx="9">
                  <c:v>57</c:v>
                </c:pt>
                <c:pt idx="10">
                  <c:v>8</c:v>
                </c:pt>
                <c:pt idx="11">
                  <c:v>41</c:v>
                </c:pt>
                <c:pt idx="12">
                  <c:v>7</c:v>
                </c:pt>
                <c:pt idx="13">
                  <c:v>12</c:v>
                </c:pt>
                <c:pt idx="14">
                  <c:v>20</c:v>
                </c:pt>
                <c:pt idx="15">
                  <c:v>3</c:v>
                </c:pt>
              </c:numCache>
            </c:numRef>
          </c:val>
        </c:ser>
        <c:ser>
          <c:idx val="1"/>
          <c:order val="1"/>
          <c:tx>
            <c:strRef>
              <c:f>Sheet1!$A$4</c:f>
              <c:strCache>
                <c:ptCount val="1"/>
              </c:strCache>
            </c:strRef>
          </c:tx>
          <c:spPr>
            <a:solidFill>
              <a:srgbClr val="993366"/>
            </a:solidFill>
            <a:ln w="12700">
              <a:solidFill>
                <a:srgbClr val="000000"/>
              </a:solidFill>
              <a:prstDash val="solid"/>
            </a:ln>
          </c:spPr>
          <c:explosion val="7"/>
          <c:dPt>
            <c:idx val="0"/>
            <c:spPr>
              <a:solidFill>
                <a:srgbClr val="9999FF"/>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Pt>
            <c:idx val="6"/>
            <c:spPr>
              <a:solidFill>
                <a:srgbClr val="0066CC"/>
              </a:solidFill>
              <a:ln w="12700">
                <a:solidFill>
                  <a:srgbClr val="000000"/>
                </a:solidFill>
                <a:prstDash val="solid"/>
              </a:ln>
            </c:spPr>
          </c:dPt>
          <c:dPt>
            <c:idx val="7"/>
            <c:spPr>
              <a:solidFill>
                <a:srgbClr val="CCCCFF"/>
              </a:solidFill>
              <a:ln w="12700">
                <a:solidFill>
                  <a:srgbClr val="000000"/>
                </a:solidFill>
                <a:prstDash val="solid"/>
              </a:ln>
            </c:spPr>
          </c:dPt>
          <c:dPt>
            <c:idx val="8"/>
            <c:spPr>
              <a:solidFill>
                <a:srgbClr val="000080"/>
              </a:solidFill>
              <a:ln w="12700">
                <a:solidFill>
                  <a:srgbClr val="000000"/>
                </a:solidFill>
                <a:prstDash val="solid"/>
              </a:ln>
            </c:spPr>
          </c:dPt>
          <c:dPt>
            <c:idx val="9"/>
            <c:spPr>
              <a:solidFill>
                <a:srgbClr val="FF00FF"/>
              </a:solidFill>
              <a:ln w="12700">
                <a:solidFill>
                  <a:srgbClr val="000000"/>
                </a:solidFill>
                <a:prstDash val="solid"/>
              </a:ln>
            </c:spPr>
          </c:dPt>
          <c:dPt>
            <c:idx val="10"/>
            <c:spPr>
              <a:solidFill>
                <a:srgbClr val="FFFF00"/>
              </a:solidFill>
              <a:ln w="12700">
                <a:solidFill>
                  <a:srgbClr val="000000"/>
                </a:solidFill>
                <a:prstDash val="solid"/>
              </a:ln>
            </c:spPr>
          </c:dPt>
          <c:dPt>
            <c:idx val="11"/>
            <c:spPr>
              <a:solidFill>
                <a:srgbClr val="00FFFF"/>
              </a:solidFill>
              <a:ln w="12700">
                <a:solidFill>
                  <a:srgbClr val="000000"/>
                </a:solidFill>
                <a:prstDash val="solid"/>
              </a:ln>
            </c:spPr>
          </c:dPt>
          <c:dPt>
            <c:idx val="12"/>
            <c:spPr>
              <a:solidFill>
                <a:srgbClr val="800080"/>
              </a:solidFill>
              <a:ln w="12700">
                <a:solidFill>
                  <a:srgbClr val="000000"/>
                </a:solidFill>
                <a:prstDash val="solid"/>
              </a:ln>
            </c:spPr>
          </c:dPt>
          <c:dPt>
            <c:idx val="13"/>
            <c:spPr>
              <a:solidFill>
                <a:srgbClr val="800000"/>
              </a:solidFill>
              <a:ln w="12700">
                <a:solidFill>
                  <a:srgbClr val="000000"/>
                </a:solidFill>
                <a:prstDash val="solid"/>
              </a:ln>
            </c:spPr>
          </c:dPt>
          <c:dPt>
            <c:idx val="14"/>
            <c:spPr>
              <a:solidFill>
                <a:srgbClr val="008080"/>
              </a:solidFill>
              <a:ln w="12700">
                <a:solidFill>
                  <a:srgbClr val="000000"/>
                </a:solidFill>
                <a:prstDash val="solid"/>
              </a:ln>
            </c:spPr>
          </c:dPt>
          <c:dPt>
            <c:idx val="15"/>
            <c:spPr>
              <a:solidFill>
                <a:srgbClr val="0000FF"/>
              </a:solidFill>
              <a:ln w="12700">
                <a:solidFill>
                  <a:srgbClr val="000000"/>
                </a:solidFill>
                <a:prstDash val="solid"/>
              </a:ln>
            </c:spPr>
          </c:dPt>
          <c:cat>
            <c:strRef>
              <c:f>Sheet1!$B$1:$Q$1</c:f>
              <c:strCache>
                <c:ptCount val="16"/>
                <c:pt idx="0">
                  <c:v>USA - 142</c:v>
                </c:pt>
                <c:pt idx="1">
                  <c:v>Canada - 30</c:v>
                </c:pt>
                <c:pt idx="2">
                  <c:v>Belgium - 15</c:v>
                </c:pt>
                <c:pt idx="3">
                  <c:v>France - 44</c:v>
                </c:pt>
                <c:pt idx="4">
                  <c:v>Germanay - 4</c:v>
                </c:pt>
                <c:pt idx="5">
                  <c:v>Netherlands - 6</c:v>
                </c:pt>
                <c:pt idx="6">
                  <c:v>South Africa - 5</c:v>
                </c:pt>
                <c:pt idx="7">
                  <c:v>Turkey - 13</c:v>
                </c:pt>
                <c:pt idx="8">
                  <c:v>UK - 20</c:v>
                </c:pt>
                <c:pt idx="9">
                  <c:v>Australia - 57</c:v>
                </c:pt>
                <c:pt idx="10">
                  <c:v>New Zealand - 8</c:v>
                </c:pt>
                <c:pt idx="11">
                  <c:v>Japan - 41</c:v>
                </c:pt>
                <c:pt idx="12">
                  <c:v>Hong Kong - 7</c:v>
                </c:pt>
                <c:pt idx="13">
                  <c:v>Malaysia - 12</c:v>
                </c:pt>
                <c:pt idx="14">
                  <c:v>Singapore - 20</c:v>
                </c:pt>
                <c:pt idx="15">
                  <c:v>South Korea - 3</c:v>
                </c:pt>
              </c:strCache>
            </c:strRef>
          </c:cat>
          <c:val>
            <c:numRef>
              <c:f>Sheet1!$B$4:$Q$4</c:f>
              <c:numCache>
                <c:formatCode>General</c:formatCode>
                <c:ptCount val="16"/>
              </c:numCache>
            </c:numRef>
          </c:val>
        </c:ser>
        <c:ser>
          <c:idx val="2"/>
          <c:order val="2"/>
          <c:tx>
            <c:strRef>
              <c:f>Sheet1!$A$5</c:f>
              <c:strCache>
                <c:ptCount val="1"/>
              </c:strCache>
            </c:strRef>
          </c:tx>
          <c:spPr>
            <a:solidFill>
              <a:srgbClr val="FFFFCC"/>
            </a:solidFill>
            <a:ln w="12700">
              <a:solidFill>
                <a:srgbClr val="000000"/>
              </a:solidFill>
              <a:prstDash val="solid"/>
            </a:ln>
          </c:spPr>
          <c:explosion val="7"/>
          <c:dPt>
            <c:idx val="0"/>
            <c:spPr>
              <a:solidFill>
                <a:srgbClr val="9999FF"/>
              </a:solidFill>
              <a:ln w="12700">
                <a:solidFill>
                  <a:srgbClr val="000000"/>
                </a:solidFill>
                <a:prstDash val="solid"/>
              </a:ln>
            </c:spPr>
          </c:dPt>
          <c:dPt>
            <c:idx val="1"/>
            <c:spPr>
              <a:solidFill>
                <a:srgbClr val="993366"/>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Pt>
            <c:idx val="6"/>
            <c:spPr>
              <a:solidFill>
                <a:srgbClr val="0066CC"/>
              </a:solidFill>
              <a:ln w="12700">
                <a:solidFill>
                  <a:srgbClr val="000000"/>
                </a:solidFill>
                <a:prstDash val="solid"/>
              </a:ln>
            </c:spPr>
          </c:dPt>
          <c:dPt>
            <c:idx val="7"/>
            <c:spPr>
              <a:solidFill>
                <a:srgbClr val="CCCCFF"/>
              </a:solidFill>
              <a:ln w="12700">
                <a:solidFill>
                  <a:srgbClr val="000000"/>
                </a:solidFill>
                <a:prstDash val="solid"/>
              </a:ln>
            </c:spPr>
          </c:dPt>
          <c:dPt>
            <c:idx val="8"/>
            <c:spPr>
              <a:solidFill>
                <a:srgbClr val="000080"/>
              </a:solidFill>
              <a:ln w="12700">
                <a:solidFill>
                  <a:srgbClr val="000000"/>
                </a:solidFill>
                <a:prstDash val="solid"/>
              </a:ln>
            </c:spPr>
          </c:dPt>
          <c:dPt>
            <c:idx val="9"/>
            <c:spPr>
              <a:solidFill>
                <a:srgbClr val="FF00FF"/>
              </a:solidFill>
              <a:ln w="12700">
                <a:solidFill>
                  <a:srgbClr val="000000"/>
                </a:solidFill>
                <a:prstDash val="solid"/>
              </a:ln>
            </c:spPr>
          </c:dPt>
          <c:dPt>
            <c:idx val="10"/>
            <c:spPr>
              <a:solidFill>
                <a:srgbClr val="FFFF00"/>
              </a:solidFill>
              <a:ln w="12700">
                <a:solidFill>
                  <a:srgbClr val="000000"/>
                </a:solidFill>
                <a:prstDash val="solid"/>
              </a:ln>
            </c:spPr>
          </c:dPt>
          <c:dPt>
            <c:idx val="11"/>
            <c:spPr>
              <a:solidFill>
                <a:srgbClr val="00FFFF"/>
              </a:solidFill>
              <a:ln w="12700">
                <a:solidFill>
                  <a:srgbClr val="000000"/>
                </a:solidFill>
                <a:prstDash val="solid"/>
              </a:ln>
            </c:spPr>
          </c:dPt>
          <c:dPt>
            <c:idx val="12"/>
            <c:spPr>
              <a:solidFill>
                <a:srgbClr val="800080"/>
              </a:solidFill>
              <a:ln w="12700">
                <a:solidFill>
                  <a:srgbClr val="000000"/>
                </a:solidFill>
                <a:prstDash val="solid"/>
              </a:ln>
            </c:spPr>
          </c:dPt>
          <c:dPt>
            <c:idx val="13"/>
            <c:spPr>
              <a:solidFill>
                <a:srgbClr val="800000"/>
              </a:solidFill>
              <a:ln w="12700">
                <a:solidFill>
                  <a:srgbClr val="000000"/>
                </a:solidFill>
                <a:prstDash val="solid"/>
              </a:ln>
            </c:spPr>
          </c:dPt>
          <c:dPt>
            <c:idx val="14"/>
            <c:spPr>
              <a:solidFill>
                <a:srgbClr val="008080"/>
              </a:solidFill>
              <a:ln w="12700">
                <a:solidFill>
                  <a:srgbClr val="000000"/>
                </a:solidFill>
                <a:prstDash val="solid"/>
              </a:ln>
            </c:spPr>
          </c:dPt>
          <c:dPt>
            <c:idx val="15"/>
            <c:spPr>
              <a:solidFill>
                <a:srgbClr val="0000FF"/>
              </a:solidFill>
              <a:ln w="12700">
                <a:solidFill>
                  <a:srgbClr val="000000"/>
                </a:solidFill>
                <a:prstDash val="solid"/>
              </a:ln>
            </c:spPr>
          </c:dPt>
          <c:cat>
            <c:strRef>
              <c:f>Sheet1!$B$1:$Q$1</c:f>
              <c:strCache>
                <c:ptCount val="16"/>
                <c:pt idx="0">
                  <c:v>USA - 142</c:v>
                </c:pt>
                <c:pt idx="1">
                  <c:v>Canada - 30</c:v>
                </c:pt>
                <c:pt idx="2">
                  <c:v>Belgium - 15</c:v>
                </c:pt>
                <c:pt idx="3">
                  <c:v>France - 44</c:v>
                </c:pt>
                <c:pt idx="4">
                  <c:v>Germanay - 4</c:v>
                </c:pt>
                <c:pt idx="5">
                  <c:v>Netherlands - 6</c:v>
                </c:pt>
                <c:pt idx="6">
                  <c:v>South Africa - 5</c:v>
                </c:pt>
                <c:pt idx="7">
                  <c:v>Turkey - 13</c:v>
                </c:pt>
                <c:pt idx="8">
                  <c:v>UK - 20</c:v>
                </c:pt>
                <c:pt idx="9">
                  <c:v>Australia - 57</c:v>
                </c:pt>
                <c:pt idx="10">
                  <c:v>New Zealand - 8</c:v>
                </c:pt>
                <c:pt idx="11">
                  <c:v>Japan - 41</c:v>
                </c:pt>
                <c:pt idx="12">
                  <c:v>Hong Kong - 7</c:v>
                </c:pt>
                <c:pt idx="13">
                  <c:v>Malaysia - 12</c:v>
                </c:pt>
                <c:pt idx="14">
                  <c:v>Singapore - 20</c:v>
                </c:pt>
                <c:pt idx="15">
                  <c:v>South Korea - 3</c:v>
                </c:pt>
              </c:strCache>
            </c:strRef>
          </c:cat>
          <c:val>
            <c:numRef>
              <c:f>Sheet1!$B$5:$Q$5</c:f>
              <c:numCache>
                <c:formatCode>General</c:formatCode>
                <c:ptCount val="16"/>
              </c:numCache>
            </c:numRef>
          </c:val>
        </c:ser>
        <c:firstSliceAng val="90"/>
      </c:pieChart>
      <c:spPr>
        <a:solidFill>
          <a:srgbClr val="FFFFFF"/>
        </a:solidFill>
        <a:ln w="25399">
          <a:noFill/>
        </a:ln>
      </c:spPr>
    </c:plotArea>
    <c:plotVisOnly val="1"/>
    <c:dispBlanksAs val="zero"/>
  </c:chart>
  <c:spPr>
    <a:noFill/>
    <a:ln>
      <a:noFill/>
    </a:ln>
  </c:spPr>
  <c:txPr>
    <a:bodyPr/>
    <a:lstStyle/>
    <a:p>
      <a:pPr>
        <a:defRPr sz="525" b="1" i="0" u="none" strike="noStrike" baseline="0">
          <a:solidFill>
            <a:srgbClr val="000000"/>
          </a:solidFill>
          <a:latin typeface="Calibri"/>
          <a:ea typeface="Calibri"/>
          <a:cs typeface="Calibri"/>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manualLayout>
          <c:layoutTarget val="inner"/>
          <c:xMode val="edge"/>
          <c:yMode val="edge"/>
          <c:x val="0.10954063604240299"/>
          <c:y val="0.14467005076142353"/>
          <c:w val="0.84805653710247364"/>
          <c:h val="0.6142131979695431"/>
        </c:manualLayout>
      </c:layout>
      <c:barChart>
        <c:barDir val="col"/>
        <c:grouping val="clustered"/>
        <c:ser>
          <c:idx val="0"/>
          <c:order val="0"/>
          <c:tx>
            <c:strRef>
              <c:f>Sheet1!$A$2</c:f>
              <c:strCache>
                <c:ptCount val="1"/>
                <c:pt idx="0">
                  <c:v>Size ($)</c:v>
                </c:pt>
              </c:strCache>
            </c:strRef>
          </c:tx>
          <c:spPr>
            <a:solidFill>
              <a:srgbClr val="808080"/>
            </a:solidFill>
            <a:ln w="12700">
              <a:solidFill>
                <a:srgbClr val="000000"/>
              </a:solidFill>
              <a:prstDash val="solid"/>
            </a:ln>
          </c:spPr>
          <c:dLbls>
            <c:spPr>
              <a:noFill/>
              <a:ln w="25399">
                <a:noFill/>
              </a:ln>
            </c:spPr>
            <c:showVal val="1"/>
          </c:dLbls>
          <c:cat>
            <c:strRef>
              <c:f>Sheet1!$B$1:$Q$1</c:f>
              <c:strCache>
                <c:ptCount val="16"/>
                <c:pt idx="0">
                  <c:v>Australia</c:v>
                </c:pt>
                <c:pt idx="1">
                  <c:v>Belgium</c:v>
                </c:pt>
                <c:pt idx="2">
                  <c:v>Canada</c:v>
                </c:pt>
                <c:pt idx="3">
                  <c:v>France</c:v>
                </c:pt>
                <c:pt idx="4">
                  <c:v>Germany </c:v>
                </c:pt>
                <c:pt idx="5">
                  <c:v>Hong Kong</c:v>
                </c:pt>
                <c:pt idx="6">
                  <c:v>Japan </c:v>
                </c:pt>
                <c:pt idx="7">
                  <c:v>Malaysia</c:v>
                </c:pt>
                <c:pt idx="8">
                  <c:v>Netherlands</c:v>
                </c:pt>
                <c:pt idx="9">
                  <c:v>New Zealand</c:v>
                </c:pt>
                <c:pt idx="10">
                  <c:v>Singapore </c:v>
                </c:pt>
                <c:pt idx="11">
                  <c:v>South Africa</c:v>
                </c:pt>
                <c:pt idx="12">
                  <c:v>South Korea</c:v>
                </c:pt>
                <c:pt idx="13">
                  <c:v>Turkey</c:v>
                </c:pt>
                <c:pt idx="14">
                  <c:v>UK</c:v>
                </c:pt>
                <c:pt idx="15">
                  <c:v>USA</c:v>
                </c:pt>
              </c:strCache>
            </c:strRef>
          </c:cat>
          <c:val>
            <c:numRef>
              <c:f>Sheet1!$B$2:$Q$2</c:f>
              <c:numCache>
                <c:formatCode>General</c:formatCode>
                <c:ptCount val="16"/>
                <c:pt idx="0">
                  <c:v>70.747000000000227</c:v>
                </c:pt>
                <c:pt idx="1">
                  <c:v>6.7610000000000001</c:v>
                </c:pt>
                <c:pt idx="2">
                  <c:v>20.610000000000031</c:v>
                </c:pt>
                <c:pt idx="3">
                  <c:v>64.525999999999982</c:v>
                </c:pt>
                <c:pt idx="4">
                  <c:v>0.71300000000000063</c:v>
                </c:pt>
                <c:pt idx="5">
                  <c:v>9.5179999999999989</c:v>
                </c:pt>
                <c:pt idx="6">
                  <c:v>29.431999999999999</c:v>
                </c:pt>
                <c:pt idx="7">
                  <c:v>1.542</c:v>
                </c:pt>
                <c:pt idx="8">
                  <c:v>11.234</c:v>
                </c:pt>
                <c:pt idx="9">
                  <c:v>2.54</c:v>
                </c:pt>
                <c:pt idx="10">
                  <c:v>23.134000000000135</c:v>
                </c:pt>
                <c:pt idx="11">
                  <c:v>3.4</c:v>
                </c:pt>
                <c:pt idx="12">
                  <c:v>0.13200000000000001</c:v>
                </c:pt>
                <c:pt idx="13">
                  <c:v>1.889</c:v>
                </c:pt>
                <c:pt idx="14">
                  <c:v>37.176000000000002</c:v>
                </c:pt>
                <c:pt idx="15">
                  <c:v>271.85000000000002</c:v>
                </c:pt>
              </c:numCache>
            </c:numRef>
          </c:val>
        </c:ser>
        <c:dLbls>
          <c:showVal val="1"/>
        </c:dLbls>
        <c:axId val="69696512"/>
        <c:axId val="69727360"/>
      </c:barChart>
      <c:catAx>
        <c:axId val="69696512"/>
        <c:scaling>
          <c:orientation val="minMax"/>
        </c:scaling>
        <c:axPos val="b"/>
        <c:title>
          <c:tx>
            <c:rich>
              <a:bodyPr/>
              <a:lstStyle/>
              <a:p>
                <a:pPr>
                  <a:defRPr/>
                </a:pPr>
                <a:r>
                  <a:rPr lang="en-GB"/>
                  <a:t>Countries</a:t>
                </a:r>
              </a:p>
            </c:rich>
          </c:tx>
          <c:layout>
            <c:manualLayout>
              <c:xMode val="edge"/>
              <c:yMode val="edge"/>
              <c:x val="0.48939929328622372"/>
              <c:y val="0.92131979695431476"/>
            </c:manualLayout>
          </c:layout>
          <c:spPr>
            <a:noFill/>
            <a:ln w="25399">
              <a:noFill/>
            </a:ln>
          </c:spPr>
        </c:title>
        <c:numFmt formatCode="@" sourceLinked="0"/>
        <c:tickLblPos val="nextTo"/>
        <c:spPr>
          <a:ln w="3175">
            <a:solidFill>
              <a:srgbClr val="000000"/>
            </a:solidFill>
            <a:prstDash val="solid"/>
          </a:ln>
        </c:spPr>
        <c:txPr>
          <a:bodyPr rot="-2640000" vert="horz"/>
          <a:lstStyle/>
          <a:p>
            <a:pPr>
              <a:defRPr/>
            </a:pPr>
            <a:endParaRPr lang="en-US"/>
          </a:p>
        </c:txPr>
        <c:crossAx val="69727360"/>
        <c:crosses val="autoZero"/>
        <c:auto val="1"/>
        <c:lblAlgn val="ctr"/>
        <c:lblOffset val="100"/>
        <c:tickLblSkip val="1"/>
        <c:tickMarkSkip val="1"/>
      </c:catAx>
      <c:valAx>
        <c:axId val="69727360"/>
        <c:scaling>
          <c:orientation val="minMax"/>
        </c:scaling>
        <c:axPos val="l"/>
        <c:majorGridlines>
          <c:spPr>
            <a:ln w="3175">
              <a:solidFill>
                <a:srgbClr val="000000"/>
              </a:solidFill>
              <a:prstDash val="solid"/>
            </a:ln>
          </c:spPr>
        </c:majorGridlines>
        <c:title>
          <c:tx>
            <c:rich>
              <a:bodyPr/>
              <a:lstStyle/>
              <a:p>
                <a:pPr>
                  <a:defRPr/>
                </a:pPr>
                <a:r>
                  <a:rPr lang="en-GB"/>
                  <a:t>Billion ($)</a:t>
                </a:r>
              </a:p>
            </c:rich>
          </c:tx>
          <c:layout>
            <c:manualLayout>
              <c:xMode val="edge"/>
              <c:yMode val="edge"/>
              <c:x val="1.7667844522968205E-2"/>
              <c:y val="0.38832487309646146"/>
            </c:manualLayout>
          </c:layout>
          <c:spPr>
            <a:noFill/>
            <a:ln w="25399">
              <a:noFill/>
            </a:ln>
          </c:spPr>
        </c:title>
        <c:numFmt formatCode="General" sourceLinked="1"/>
        <c:tickLblPos val="nextTo"/>
        <c:spPr>
          <a:ln w="3175">
            <a:solidFill>
              <a:srgbClr val="000000"/>
            </a:solidFill>
            <a:prstDash val="solid"/>
          </a:ln>
        </c:spPr>
        <c:txPr>
          <a:bodyPr rot="0" vert="horz"/>
          <a:lstStyle/>
          <a:p>
            <a:pPr>
              <a:defRPr/>
            </a:pPr>
            <a:endParaRPr lang="en-US"/>
          </a:p>
        </c:txPr>
        <c:crossAx val="69696512"/>
        <c:crosses val="autoZero"/>
        <c:crossBetween val="between"/>
      </c:valAx>
      <c:spPr>
        <a:solidFill>
          <a:srgbClr val="FFFFFF"/>
        </a:solidFill>
        <a:ln w="25399">
          <a:noFill/>
        </a:ln>
      </c:spPr>
    </c:plotArea>
    <c:plotVisOnly val="1"/>
    <c:dispBlanksAs val="gap"/>
  </c:chart>
  <c:spPr>
    <a:solidFill>
      <a:srgbClr val="FFFFFF"/>
    </a:solidFill>
    <a:ln>
      <a:noFill/>
    </a:ln>
  </c:spPr>
  <c:txPr>
    <a:bodyPr/>
    <a:lstStyle/>
    <a:p>
      <a:pPr>
        <a:defRPr sz="900" b="1" i="0" u="none" strike="noStrike" baseline="0">
          <a:solidFill>
            <a:srgbClr val="000000"/>
          </a:solidFill>
          <a:latin typeface="Calibri"/>
          <a:ea typeface="Calibri"/>
          <a:cs typeface="Calibri"/>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a:t>US $ (B)</a:t>
            </a:r>
          </a:p>
        </c:rich>
      </c:tx>
      <c:layout>
        <c:manualLayout>
          <c:xMode val="edge"/>
          <c:yMode val="edge"/>
          <c:x val="0.46127366609294557"/>
          <c:y val="2.197802197802199E-2"/>
        </c:manualLayout>
      </c:layout>
      <c:spPr>
        <a:noFill/>
        <a:ln w="19062">
          <a:noFill/>
        </a:ln>
      </c:spPr>
    </c:title>
    <c:plotArea>
      <c:layout>
        <c:manualLayout>
          <c:layoutTarget val="inner"/>
          <c:xMode val="edge"/>
          <c:yMode val="edge"/>
          <c:x val="7.745266781411457E-2"/>
          <c:y val="0.2747252747252748"/>
          <c:w val="0.89845094664371772"/>
          <c:h val="0.52747252747252749"/>
        </c:manualLayout>
      </c:layout>
      <c:lineChart>
        <c:grouping val="standard"/>
        <c:ser>
          <c:idx val="0"/>
          <c:order val="0"/>
          <c:tx>
            <c:strRef>
              <c:f>Sheet1!$A$2</c:f>
              <c:strCache>
                <c:ptCount val="1"/>
                <c:pt idx="0">
                  <c:v>Global REIT Capitalisation ($B)</c:v>
                </c:pt>
              </c:strCache>
            </c:strRef>
          </c:tx>
          <c:spPr>
            <a:ln w="9531">
              <a:solidFill>
                <a:srgbClr val="000080"/>
              </a:solidFill>
              <a:prstDash val="solid"/>
            </a:ln>
          </c:spPr>
          <c:marker>
            <c:symbol val="none"/>
          </c:marker>
          <c:dLbls>
            <c:spPr>
              <a:solidFill>
                <a:srgbClr val="FFFFFF"/>
              </a:solidFill>
              <a:ln w="2383">
                <a:solidFill>
                  <a:srgbClr val="000000"/>
                </a:solidFill>
                <a:prstDash val="solid"/>
              </a:ln>
              <a:effectLst>
                <a:outerShdw dist="35921" dir="2700000" algn="br">
                  <a:srgbClr val="000000"/>
                </a:outerShdw>
              </a:effectLst>
            </c:spPr>
            <c:showVal val="1"/>
          </c:dLbls>
          <c:cat>
            <c:strRef>
              <c:f>Sheet1!$B$1:$F$1</c:f>
              <c:strCache>
                <c:ptCount val="5"/>
                <c:pt idx="0">
                  <c:v>2006 June</c:v>
                </c:pt>
                <c:pt idx="1">
                  <c:v>2007 June</c:v>
                </c:pt>
                <c:pt idx="2">
                  <c:v>2008 June</c:v>
                </c:pt>
                <c:pt idx="3">
                  <c:v>2009 June</c:v>
                </c:pt>
                <c:pt idx="4">
                  <c:v>2009 Dec</c:v>
                </c:pt>
              </c:strCache>
            </c:strRef>
          </c:cat>
          <c:val>
            <c:numRef>
              <c:f>Sheet1!$B$2:$F$2</c:f>
              <c:numCache>
                <c:formatCode>General</c:formatCode>
                <c:ptCount val="5"/>
                <c:pt idx="0">
                  <c:v>721</c:v>
                </c:pt>
                <c:pt idx="1">
                  <c:v>829</c:v>
                </c:pt>
                <c:pt idx="2">
                  <c:v>624</c:v>
                </c:pt>
                <c:pt idx="3">
                  <c:v>430</c:v>
                </c:pt>
                <c:pt idx="4">
                  <c:v>568</c:v>
                </c:pt>
              </c:numCache>
            </c:numRef>
          </c:val>
        </c:ser>
        <c:dLbls>
          <c:showVal val="1"/>
        </c:dLbls>
        <c:marker val="1"/>
        <c:axId val="69743360"/>
        <c:axId val="69744896"/>
      </c:lineChart>
      <c:catAx>
        <c:axId val="69743360"/>
        <c:scaling>
          <c:orientation val="minMax"/>
        </c:scaling>
        <c:axPos val="b"/>
        <c:numFmt formatCode="mmm\-yy" sourceLinked="1"/>
        <c:tickLblPos val="nextTo"/>
        <c:spPr>
          <a:ln w="2383">
            <a:solidFill>
              <a:srgbClr val="000000"/>
            </a:solidFill>
            <a:prstDash val="solid"/>
          </a:ln>
        </c:spPr>
        <c:txPr>
          <a:bodyPr rot="0" vert="horz"/>
          <a:lstStyle/>
          <a:p>
            <a:pPr>
              <a:defRPr/>
            </a:pPr>
            <a:endParaRPr lang="en-US"/>
          </a:p>
        </c:txPr>
        <c:crossAx val="69744896"/>
        <c:crosses val="autoZero"/>
        <c:auto val="1"/>
        <c:lblAlgn val="ctr"/>
        <c:lblOffset val="100"/>
        <c:tickLblSkip val="1"/>
        <c:tickMarkSkip val="1"/>
      </c:catAx>
      <c:valAx>
        <c:axId val="69744896"/>
        <c:scaling>
          <c:orientation val="minMax"/>
        </c:scaling>
        <c:axPos val="l"/>
        <c:majorGridlines>
          <c:spPr>
            <a:ln w="2383">
              <a:solidFill>
                <a:srgbClr val="000000"/>
              </a:solidFill>
              <a:prstDash val="solid"/>
            </a:ln>
          </c:spPr>
        </c:majorGridlines>
        <c:numFmt formatCode="General" sourceLinked="1"/>
        <c:tickLblPos val="nextTo"/>
        <c:spPr>
          <a:ln w="2383">
            <a:solidFill>
              <a:srgbClr val="000000"/>
            </a:solidFill>
            <a:prstDash val="solid"/>
          </a:ln>
        </c:spPr>
        <c:txPr>
          <a:bodyPr rot="0" vert="horz"/>
          <a:lstStyle/>
          <a:p>
            <a:pPr>
              <a:defRPr/>
            </a:pPr>
            <a:endParaRPr lang="en-US"/>
          </a:p>
        </c:txPr>
        <c:crossAx val="69743360"/>
        <c:crosses val="autoZero"/>
        <c:crossBetween val="between"/>
      </c:valAx>
      <c:spPr>
        <a:solidFill>
          <a:srgbClr val="FFFFFF"/>
        </a:solidFill>
        <a:ln w="19062">
          <a:noFill/>
        </a:ln>
      </c:spPr>
    </c:plotArea>
    <c:plotVisOnly val="1"/>
    <c:dispBlanksAs val="gap"/>
  </c:chart>
  <c:spPr>
    <a:solidFill>
      <a:srgbClr val="FFFFFF"/>
    </a:solidFill>
    <a:ln>
      <a:noFill/>
    </a:ln>
  </c:spPr>
  <c:txPr>
    <a:bodyPr/>
    <a:lstStyle/>
    <a:p>
      <a:pPr>
        <a:defRPr sz="900" b="0" i="0" u="none" strike="noStrike" baseline="0">
          <a:solidFill>
            <a:srgbClr val="000000"/>
          </a:solidFill>
          <a:latin typeface="Calibri"/>
          <a:ea typeface="Calibri"/>
          <a:cs typeface="Calibri"/>
        </a:defRPr>
      </a:pPr>
      <a:endParaRPr lang="en-US"/>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F91163-B52D-435D-B143-632B850E1B4E}" type="doc">
      <dgm:prSet loTypeId="urn:microsoft.com/office/officeart/2005/8/layout/radial1" loCatId="relationship" qsTypeId="urn:microsoft.com/office/officeart/2005/8/quickstyle/simple1" qsCatId="simple" csTypeId="urn:microsoft.com/office/officeart/2005/8/colors/accent1_2" csCatId="accent1" phldr="1"/>
      <dgm:spPr/>
    </dgm:pt>
    <dgm:pt modelId="{CDD9C3BB-6694-478D-A21E-5B1734D844C9}">
      <dgm:prSet custT="1"/>
      <dgm:spPr>
        <a:solidFill>
          <a:schemeClr val="bg1">
            <a:lumMod val="85000"/>
          </a:schemeClr>
        </a:solidFill>
        <a:ln>
          <a:solidFill>
            <a:schemeClr val="tx1"/>
          </a:solidFill>
        </a:ln>
      </dgm:spPr>
      <dgm:t>
        <a:bodyPr/>
        <a:lstStyle/>
        <a:p>
          <a:pPr marR="0" algn="ctr" rtl="0"/>
          <a:r>
            <a:rPr lang="en-ZA" sz="1050" b="1" i="0" baseline="0" smtClean="0">
              <a:solidFill>
                <a:sysClr val="windowText" lastClr="000000"/>
              </a:solidFill>
              <a:latin typeface="Calibri"/>
            </a:rPr>
            <a:t>CISPs  Exposuire to Legislation</a:t>
          </a:r>
          <a:endParaRPr lang="en-GB" sz="1050" b="1" i="0" baseline="0" smtClean="0">
            <a:solidFill>
              <a:sysClr val="windowText" lastClr="000000"/>
            </a:solidFill>
          </a:endParaRPr>
        </a:p>
      </dgm:t>
    </dgm:pt>
    <dgm:pt modelId="{750C9696-D660-4F82-84A8-37444D8D8EFC}" type="parTrans" cxnId="{9C9D98DA-FB11-4956-8841-C878CA20A543}">
      <dgm:prSet/>
      <dgm:spPr/>
      <dgm:t>
        <a:bodyPr/>
        <a:lstStyle/>
        <a:p>
          <a:endParaRPr lang="en-US"/>
        </a:p>
      </dgm:t>
    </dgm:pt>
    <dgm:pt modelId="{84247C02-B6D6-43F6-9C3E-5ECE47BFF65F}" type="sibTrans" cxnId="{9C9D98DA-FB11-4956-8841-C878CA20A543}">
      <dgm:prSet/>
      <dgm:spPr/>
      <dgm:t>
        <a:bodyPr/>
        <a:lstStyle/>
        <a:p>
          <a:endParaRPr lang="en-US"/>
        </a:p>
      </dgm:t>
    </dgm:pt>
    <dgm:pt modelId="{544D06C9-212A-4C74-9B09-F284298D89F7}">
      <dgm:prSet custT="1"/>
      <dgm:spPr>
        <a:noFill/>
        <a:ln cmpd="sng">
          <a:solidFill>
            <a:schemeClr val="tx1">
              <a:alpha val="77000"/>
            </a:schemeClr>
          </a:solidFill>
        </a:ln>
      </dgm:spPr>
      <dgm:t>
        <a:bodyPr/>
        <a:lstStyle/>
        <a:p>
          <a:pPr marR="0" algn="ctr" rtl="0"/>
          <a:r>
            <a:rPr lang="en-ZA" sz="1050" b="0" i="0" baseline="0" smtClean="0">
              <a:solidFill>
                <a:sysClr val="windowText" lastClr="000000"/>
              </a:solidFill>
              <a:latin typeface="Calibri"/>
            </a:rPr>
            <a:t>Collective Investment Scheme in Property Act 45 of 2002</a:t>
          </a:r>
          <a:endParaRPr lang="en-GB" sz="1050" b="0" i="0" baseline="0" smtClean="0">
            <a:solidFill>
              <a:sysClr val="windowText" lastClr="000000"/>
            </a:solidFill>
          </a:endParaRPr>
        </a:p>
      </dgm:t>
    </dgm:pt>
    <dgm:pt modelId="{B0F4213E-D150-45F3-B47D-29CA95C866F2}" type="parTrans" cxnId="{F3541199-21D3-4372-80C3-DE5A1D143F63}">
      <dgm:prSet/>
      <dgm:spPr/>
      <dgm:t>
        <a:bodyPr/>
        <a:lstStyle/>
        <a:p>
          <a:endParaRPr lang="en-GB"/>
        </a:p>
      </dgm:t>
    </dgm:pt>
    <dgm:pt modelId="{5ECAE9C2-C59C-40CE-A2E2-3DCEBE8A16A5}" type="sibTrans" cxnId="{F3541199-21D3-4372-80C3-DE5A1D143F63}">
      <dgm:prSet/>
      <dgm:spPr/>
      <dgm:t>
        <a:bodyPr/>
        <a:lstStyle/>
        <a:p>
          <a:endParaRPr lang="en-US"/>
        </a:p>
      </dgm:t>
    </dgm:pt>
    <dgm:pt modelId="{64257145-B8DB-4C7E-9751-C1C3A054016C}">
      <dgm:prSet custT="1"/>
      <dgm:spPr>
        <a:noFill/>
        <a:ln cmpd="sng">
          <a:solidFill>
            <a:schemeClr val="tx1">
              <a:alpha val="77000"/>
            </a:schemeClr>
          </a:solidFill>
        </a:ln>
      </dgm:spPr>
      <dgm:t>
        <a:bodyPr/>
        <a:lstStyle/>
        <a:p>
          <a:pPr marR="0" algn="ctr" rtl="0"/>
          <a:r>
            <a:rPr lang="en-ZA" sz="1050" b="0" i="0" baseline="0" smtClean="0">
              <a:solidFill>
                <a:sysClr val="windowText" lastClr="000000"/>
              </a:solidFill>
              <a:latin typeface="Calibri"/>
            </a:rPr>
            <a:t>Income Tax Act 58 of 1962</a:t>
          </a:r>
          <a:endParaRPr lang="en-GB" sz="1050" b="0" i="0" baseline="0" smtClean="0">
            <a:solidFill>
              <a:sysClr val="windowText" lastClr="000000"/>
            </a:solidFill>
          </a:endParaRPr>
        </a:p>
      </dgm:t>
    </dgm:pt>
    <dgm:pt modelId="{DF9A3B89-890C-400D-9FB1-AC42F13F4C90}" type="parTrans" cxnId="{DD4B69FF-9D92-496A-B19A-41D22C03690B}">
      <dgm:prSet/>
      <dgm:spPr/>
      <dgm:t>
        <a:bodyPr/>
        <a:lstStyle/>
        <a:p>
          <a:endParaRPr lang="en-GB"/>
        </a:p>
      </dgm:t>
    </dgm:pt>
    <dgm:pt modelId="{A65EB9D9-0766-4186-80C0-7C5DA0F74B8F}" type="sibTrans" cxnId="{DD4B69FF-9D92-496A-B19A-41D22C03690B}">
      <dgm:prSet/>
      <dgm:spPr/>
      <dgm:t>
        <a:bodyPr/>
        <a:lstStyle/>
        <a:p>
          <a:endParaRPr lang="en-US"/>
        </a:p>
      </dgm:t>
    </dgm:pt>
    <dgm:pt modelId="{1D5EE281-CB56-41F1-84E3-962BED440F76}">
      <dgm:prSet custT="1"/>
      <dgm:spPr>
        <a:noFill/>
        <a:ln cmpd="sng">
          <a:solidFill>
            <a:schemeClr val="tx1">
              <a:alpha val="77000"/>
            </a:schemeClr>
          </a:solidFill>
        </a:ln>
      </dgm:spPr>
      <dgm:t>
        <a:bodyPr/>
        <a:lstStyle/>
        <a:p>
          <a:pPr marR="0" algn="ctr" rtl="0"/>
          <a:r>
            <a:rPr lang="en-ZA" sz="1050" b="0" i="0" baseline="0" smtClean="0">
              <a:solidFill>
                <a:sysClr val="windowText" lastClr="000000"/>
              </a:solidFill>
              <a:latin typeface="Calibri"/>
            </a:rPr>
            <a:t>Johannesburg Stock Exchange</a:t>
          </a:r>
          <a:endParaRPr lang="en-GB" sz="1050" b="0" i="0" baseline="0" smtClean="0">
            <a:solidFill>
              <a:sysClr val="windowText" lastClr="000000"/>
            </a:solidFill>
          </a:endParaRPr>
        </a:p>
      </dgm:t>
    </dgm:pt>
    <dgm:pt modelId="{FAD1A87E-36FF-47E6-B752-B04752C0FB9C}" type="parTrans" cxnId="{DDE622FA-C3C5-4196-B9B2-09579CDAF7D3}">
      <dgm:prSet/>
      <dgm:spPr/>
      <dgm:t>
        <a:bodyPr/>
        <a:lstStyle/>
        <a:p>
          <a:endParaRPr lang="en-GB"/>
        </a:p>
      </dgm:t>
    </dgm:pt>
    <dgm:pt modelId="{703F3505-5910-4F95-9AA7-39909B62AAF2}" type="sibTrans" cxnId="{DDE622FA-C3C5-4196-B9B2-09579CDAF7D3}">
      <dgm:prSet/>
      <dgm:spPr/>
      <dgm:t>
        <a:bodyPr/>
        <a:lstStyle/>
        <a:p>
          <a:endParaRPr lang="en-US"/>
        </a:p>
      </dgm:t>
    </dgm:pt>
    <dgm:pt modelId="{A9A24D5D-CAB8-4646-8601-2942133966AE}">
      <dgm:prSet custT="1"/>
      <dgm:spPr>
        <a:noFill/>
        <a:ln cmpd="sng">
          <a:solidFill>
            <a:schemeClr val="tx1">
              <a:alpha val="77000"/>
            </a:schemeClr>
          </a:solidFill>
        </a:ln>
      </dgm:spPr>
      <dgm:t>
        <a:bodyPr/>
        <a:lstStyle/>
        <a:p>
          <a:pPr marR="0" algn="ctr" rtl="0"/>
          <a:r>
            <a:rPr lang="en-ZA" sz="1050" b="0" i="0" baseline="0" smtClean="0">
              <a:solidFill>
                <a:sysClr val="windowText" lastClr="000000"/>
              </a:solidFill>
              <a:latin typeface="Calibri"/>
            </a:rPr>
            <a:t>Financial Services Board</a:t>
          </a:r>
          <a:endParaRPr lang="en-GB" sz="1050" b="0" i="0" baseline="0" smtClean="0">
            <a:solidFill>
              <a:sysClr val="windowText" lastClr="000000"/>
            </a:solidFill>
          </a:endParaRPr>
        </a:p>
      </dgm:t>
    </dgm:pt>
    <dgm:pt modelId="{97D98E81-E64A-4ACD-B335-8A81BB898239}" type="parTrans" cxnId="{375243C4-DB08-4FBE-97B0-C6B7F0C1AECE}">
      <dgm:prSet/>
      <dgm:spPr/>
      <dgm:t>
        <a:bodyPr/>
        <a:lstStyle/>
        <a:p>
          <a:endParaRPr lang="en-GB"/>
        </a:p>
      </dgm:t>
    </dgm:pt>
    <dgm:pt modelId="{D9B56DA2-E253-45ED-B091-C11DC0688CA5}" type="sibTrans" cxnId="{375243C4-DB08-4FBE-97B0-C6B7F0C1AECE}">
      <dgm:prSet/>
      <dgm:spPr/>
      <dgm:t>
        <a:bodyPr/>
        <a:lstStyle/>
        <a:p>
          <a:endParaRPr lang="en-US"/>
        </a:p>
      </dgm:t>
    </dgm:pt>
    <dgm:pt modelId="{A701B0F5-8A72-44FD-9F5B-7449B7FC5302}" type="pres">
      <dgm:prSet presAssocID="{AFF91163-B52D-435D-B143-632B850E1B4E}" presName="cycle" presStyleCnt="0">
        <dgm:presLayoutVars>
          <dgm:chMax val="1"/>
          <dgm:dir/>
          <dgm:animLvl val="ctr"/>
          <dgm:resizeHandles val="exact"/>
        </dgm:presLayoutVars>
      </dgm:prSet>
      <dgm:spPr/>
    </dgm:pt>
    <dgm:pt modelId="{D3624A2D-B310-4B6F-8B4A-8D984EE1D7A5}" type="pres">
      <dgm:prSet presAssocID="{CDD9C3BB-6694-478D-A21E-5B1734D844C9}" presName="centerShape" presStyleLbl="node0" presStyleIdx="0" presStyleCnt="1" custScaleX="124868"/>
      <dgm:spPr>
        <a:prstGeom prst="rect">
          <a:avLst/>
        </a:prstGeom>
      </dgm:spPr>
      <dgm:t>
        <a:bodyPr/>
        <a:lstStyle/>
        <a:p>
          <a:endParaRPr lang="en-US"/>
        </a:p>
      </dgm:t>
    </dgm:pt>
    <dgm:pt modelId="{47CDCD52-BF53-4149-B5AB-F53DF6B785C9}" type="pres">
      <dgm:prSet presAssocID="{B0F4213E-D150-45F3-B47D-29CA95C866F2}" presName="Name9" presStyleLbl="parChTrans1D2" presStyleIdx="0" presStyleCnt="4"/>
      <dgm:spPr/>
      <dgm:t>
        <a:bodyPr/>
        <a:lstStyle/>
        <a:p>
          <a:endParaRPr lang="en-US"/>
        </a:p>
      </dgm:t>
    </dgm:pt>
    <dgm:pt modelId="{DCA2E333-9A2E-4639-9305-AF8DDC7284BD}" type="pres">
      <dgm:prSet presAssocID="{B0F4213E-D150-45F3-B47D-29CA95C866F2}" presName="connTx" presStyleLbl="parChTrans1D2" presStyleIdx="0" presStyleCnt="4"/>
      <dgm:spPr/>
      <dgm:t>
        <a:bodyPr/>
        <a:lstStyle/>
        <a:p>
          <a:endParaRPr lang="en-US"/>
        </a:p>
      </dgm:t>
    </dgm:pt>
    <dgm:pt modelId="{BDD45EF6-604C-4CF2-883D-A13C43EBB921}" type="pres">
      <dgm:prSet presAssocID="{544D06C9-212A-4C74-9B09-F284298D89F7}" presName="node" presStyleLbl="node1" presStyleIdx="0" presStyleCnt="4" custScaleX="120273">
        <dgm:presLayoutVars>
          <dgm:bulletEnabled val="1"/>
        </dgm:presLayoutVars>
      </dgm:prSet>
      <dgm:spPr>
        <a:prstGeom prst="rect">
          <a:avLst/>
        </a:prstGeom>
      </dgm:spPr>
      <dgm:t>
        <a:bodyPr/>
        <a:lstStyle/>
        <a:p>
          <a:endParaRPr lang="en-US"/>
        </a:p>
      </dgm:t>
    </dgm:pt>
    <dgm:pt modelId="{9CEEA763-678C-4F8F-B86B-957F3670919B}" type="pres">
      <dgm:prSet presAssocID="{DF9A3B89-890C-400D-9FB1-AC42F13F4C90}" presName="Name9" presStyleLbl="parChTrans1D2" presStyleIdx="1" presStyleCnt="4"/>
      <dgm:spPr/>
      <dgm:t>
        <a:bodyPr/>
        <a:lstStyle/>
        <a:p>
          <a:endParaRPr lang="en-US"/>
        </a:p>
      </dgm:t>
    </dgm:pt>
    <dgm:pt modelId="{F08BE0D5-B4EE-4E91-BC98-C351F5AA7F9A}" type="pres">
      <dgm:prSet presAssocID="{DF9A3B89-890C-400D-9FB1-AC42F13F4C90}" presName="connTx" presStyleLbl="parChTrans1D2" presStyleIdx="1" presStyleCnt="4"/>
      <dgm:spPr/>
      <dgm:t>
        <a:bodyPr/>
        <a:lstStyle/>
        <a:p>
          <a:endParaRPr lang="en-US"/>
        </a:p>
      </dgm:t>
    </dgm:pt>
    <dgm:pt modelId="{CE0211BD-0D3B-4AF9-A3C0-B83272EBA6DF}" type="pres">
      <dgm:prSet presAssocID="{64257145-B8DB-4C7E-9751-C1C3A054016C}" presName="node" presStyleLbl="node1" presStyleIdx="1" presStyleCnt="4" custScaleX="121658" custRadScaleRad="121184">
        <dgm:presLayoutVars>
          <dgm:bulletEnabled val="1"/>
        </dgm:presLayoutVars>
      </dgm:prSet>
      <dgm:spPr>
        <a:prstGeom prst="rect">
          <a:avLst/>
        </a:prstGeom>
      </dgm:spPr>
      <dgm:t>
        <a:bodyPr/>
        <a:lstStyle/>
        <a:p>
          <a:endParaRPr lang="en-US"/>
        </a:p>
      </dgm:t>
    </dgm:pt>
    <dgm:pt modelId="{5B148DCE-BC1C-44B8-BED2-823241C10BCA}" type="pres">
      <dgm:prSet presAssocID="{FAD1A87E-36FF-47E6-B752-B04752C0FB9C}" presName="Name9" presStyleLbl="parChTrans1D2" presStyleIdx="2" presStyleCnt="4"/>
      <dgm:spPr/>
      <dgm:t>
        <a:bodyPr/>
        <a:lstStyle/>
        <a:p>
          <a:endParaRPr lang="en-US"/>
        </a:p>
      </dgm:t>
    </dgm:pt>
    <dgm:pt modelId="{1C5AEC54-2ADD-4E76-9D88-092E01B0ED91}" type="pres">
      <dgm:prSet presAssocID="{FAD1A87E-36FF-47E6-B752-B04752C0FB9C}" presName="connTx" presStyleLbl="parChTrans1D2" presStyleIdx="2" presStyleCnt="4"/>
      <dgm:spPr/>
      <dgm:t>
        <a:bodyPr/>
        <a:lstStyle/>
        <a:p>
          <a:endParaRPr lang="en-US"/>
        </a:p>
      </dgm:t>
    </dgm:pt>
    <dgm:pt modelId="{FAC8B511-7BA0-4DAC-A3EF-D3C2FAA38FCF}" type="pres">
      <dgm:prSet presAssocID="{1D5EE281-CB56-41F1-84E3-962BED440F76}" presName="node" presStyleLbl="node1" presStyleIdx="2" presStyleCnt="4" custScaleX="114144">
        <dgm:presLayoutVars>
          <dgm:bulletEnabled val="1"/>
        </dgm:presLayoutVars>
      </dgm:prSet>
      <dgm:spPr>
        <a:prstGeom prst="rect">
          <a:avLst/>
        </a:prstGeom>
      </dgm:spPr>
      <dgm:t>
        <a:bodyPr/>
        <a:lstStyle/>
        <a:p>
          <a:endParaRPr lang="en-US"/>
        </a:p>
      </dgm:t>
    </dgm:pt>
    <dgm:pt modelId="{D64FB33F-220D-40E0-9BFB-B367798CDE80}" type="pres">
      <dgm:prSet presAssocID="{97D98E81-E64A-4ACD-B335-8A81BB898239}" presName="Name9" presStyleLbl="parChTrans1D2" presStyleIdx="3" presStyleCnt="4"/>
      <dgm:spPr/>
      <dgm:t>
        <a:bodyPr/>
        <a:lstStyle/>
        <a:p>
          <a:endParaRPr lang="en-US"/>
        </a:p>
      </dgm:t>
    </dgm:pt>
    <dgm:pt modelId="{A7D368C4-6FBA-43FC-8D88-10CD0568C702}" type="pres">
      <dgm:prSet presAssocID="{97D98E81-E64A-4ACD-B335-8A81BB898239}" presName="connTx" presStyleLbl="parChTrans1D2" presStyleIdx="3" presStyleCnt="4"/>
      <dgm:spPr/>
      <dgm:t>
        <a:bodyPr/>
        <a:lstStyle/>
        <a:p>
          <a:endParaRPr lang="en-US"/>
        </a:p>
      </dgm:t>
    </dgm:pt>
    <dgm:pt modelId="{F60DB496-2B5E-4B7E-B286-13DBDBBDE690}" type="pres">
      <dgm:prSet presAssocID="{A9A24D5D-CAB8-4646-8601-2942133966AE}" presName="node" presStyleLbl="node1" presStyleIdx="3" presStyleCnt="4" custScaleX="115730" custRadScaleRad="127069">
        <dgm:presLayoutVars>
          <dgm:bulletEnabled val="1"/>
        </dgm:presLayoutVars>
      </dgm:prSet>
      <dgm:spPr>
        <a:prstGeom prst="rect">
          <a:avLst/>
        </a:prstGeom>
      </dgm:spPr>
      <dgm:t>
        <a:bodyPr/>
        <a:lstStyle/>
        <a:p>
          <a:endParaRPr lang="en-US"/>
        </a:p>
      </dgm:t>
    </dgm:pt>
  </dgm:ptLst>
  <dgm:cxnLst>
    <dgm:cxn modelId="{DD4B69FF-9D92-496A-B19A-41D22C03690B}" srcId="{CDD9C3BB-6694-478D-A21E-5B1734D844C9}" destId="{64257145-B8DB-4C7E-9751-C1C3A054016C}" srcOrd="1" destOrd="0" parTransId="{DF9A3B89-890C-400D-9FB1-AC42F13F4C90}" sibTransId="{A65EB9D9-0766-4186-80C0-7C5DA0F74B8F}"/>
    <dgm:cxn modelId="{266211CE-C071-4318-A893-85DF577BE14F}" type="presOf" srcId="{64257145-B8DB-4C7E-9751-C1C3A054016C}" destId="{CE0211BD-0D3B-4AF9-A3C0-B83272EBA6DF}" srcOrd="0" destOrd="0" presId="urn:microsoft.com/office/officeart/2005/8/layout/radial1"/>
    <dgm:cxn modelId="{5312ED27-3FBC-41F5-AB60-1C0E9B1A2C02}" type="presOf" srcId="{FAD1A87E-36FF-47E6-B752-B04752C0FB9C}" destId="{5B148DCE-BC1C-44B8-BED2-823241C10BCA}" srcOrd="0" destOrd="0" presId="urn:microsoft.com/office/officeart/2005/8/layout/radial1"/>
    <dgm:cxn modelId="{74A7D4C4-D7A8-4A74-A11E-EA36FD0C0324}" type="presOf" srcId="{B0F4213E-D150-45F3-B47D-29CA95C866F2}" destId="{47CDCD52-BF53-4149-B5AB-F53DF6B785C9}" srcOrd="0" destOrd="0" presId="urn:microsoft.com/office/officeart/2005/8/layout/radial1"/>
    <dgm:cxn modelId="{4A204FCA-A4F5-4A70-8E8D-1586A21AAF6D}" type="presOf" srcId="{97D98E81-E64A-4ACD-B335-8A81BB898239}" destId="{D64FB33F-220D-40E0-9BFB-B367798CDE80}" srcOrd="0" destOrd="0" presId="urn:microsoft.com/office/officeart/2005/8/layout/radial1"/>
    <dgm:cxn modelId="{9C9D98DA-FB11-4956-8841-C878CA20A543}" srcId="{AFF91163-B52D-435D-B143-632B850E1B4E}" destId="{CDD9C3BB-6694-478D-A21E-5B1734D844C9}" srcOrd="0" destOrd="0" parTransId="{750C9696-D660-4F82-84A8-37444D8D8EFC}" sibTransId="{84247C02-B6D6-43F6-9C3E-5ECE47BFF65F}"/>
    <dgm:cxn modelId="{3760D91D-C05C-484A-A1FE-1B47995CEF60}" type="presOf" srcId="{AFF91163-B52D-435D-B143-632B850E1B4E}" destId="{A701B0F5-8A72-44FD-9F5B-7449B7FC5302}" srcOrd="0" destOrd="0" presId="urn:microsoft.com/office/officeart/2005/8/layout/radial1"/>
    <dgm:cxn modelId="{E4848B13-8B76-4F83-A79E-B16D60C644F5}" type="presOf" srcId="{DF9A3B89-890C-400D-9FB1-AC42F13F4C90}" destId="{F08BE0D5-B4EE-4E91-BC98-C351F5AA7F9A}" srcOrd="1" destOrd="0" presId="urn:microsoft.com/office/officeart/2005/8/layout/radial1"/>
    <dgm:cxn modelId="{C9F8BA6B-AE23-436B-8765-C496E167D460}" type="presOf" srcId="{DF9A3B89-890C-400D-9FB1-AC42F13F4C90}" destId="{9CEEA763-678C-4F8F-B86B-957F3670919B}" srcOrd="0" destOrd="0" presId="urn:microsoft.com/office/officeart/2005/8/layout/radial1"/>
    <dgm:cxn modelId="{6242288C-3A64-4096-B5B0-6646151ECE61}" type="presOf" srcId="{1D5EE281-CB56-41F1-84E3-962BED440F76}" destId="{FAC8B511-7BA0-4DAC-A3EF-D3C2FAA38FCF}" srcOrd="0" destOrd="0" presId="urn:microsoft.com/office/officeart/2005/8/layout/radial1"/>
    <dgm:cxn modelId="{57C6E4F4-EDD0-4DE0-8A95-F82F92657CEF}" type="presOf" srcId="{A9A24D5D-CAB8-4646-8601-2942133966AE}" destId="{F60DB496-2B5E-4B7E-B286-13DBDBBDE690}" srcOrd="0" destOrd="0" presId="urn:microsoft.com/office/officeart/2005/8/layout/radial1"/>
    <dgm:cxn modelId="{F3541199-21D3-4372-80C3-DE5A1D143F63}" srcId="{CDD9C3BB-6694-478D-A21E-5B1734D844C9}" destId="{544D06C9-212A-4C74-9B09-F284298D89F7}" srcOrd="0" destOrd="0" parTransId="{B0F4213E-D150-45F3-B47D-29CA95C866F2}" sibTransId="{5ECAE9C2-C59C-40CE-A2E2-3DCEBE8A16A5}"/>
    <dgm:cxn modelId="{375243C4-DB08-4FBE-97B0-C6B7F0C1AECE}" srcId="{CDD9C3BB-6694-478D-A21E-5B1734D844C9}" destId="{A9A24D5D-CAB8-4646-8601-2942133966AE}" srcOrd="3" destOrd="0" parTransId="{97D98E81-E64A-4ACD-B335-8A81BB898239}" sibTransId="{D9B56DA2-E253-45ED-B091-C11DC0688CA5}"/>
    <dgm:cxn modelId="{DDE622FA-C3C5-4196-B9B2-09579CDAF7D3}" srcId="{CDD9C3BB-6694-478D-A21E-5B1734D844C9}" destId="{1D5EE281-CB56-41F1-84E3-962BED440F76}" srcOrd="2" destOrd="0" parTransId="{FAD1A87E-36FF-47E6-B752-B04752C0FB9C}" sibTransId="{703F3505-5910-4F95-9AA7-39909B62AAF2}"/>
    <dgm:cxn modelId="{2F286061-7865-4A13-AF31-59E0FB6C651C}" type="presOf" srcId="{FAD1A87E-36FF-47E6-B752-B04752C0FB9C}" destId="{1C5AEC54-2ADD-4E76-9D88-092E01B0ED91}" srcOrd="1" destOrd="0" presId="urn:microsoft.com/office/officeart/2005/8/layout/radial1"/>
    <dgm:cxn modelId="{F8DC5A63-8256-4DBB-BE6A-EA9393092FD3}" type="presOf" srcId="{97D98E81-E64A-4ACD-B335-8A81BB898239}" destId="{A7D368C4-6FBA-43FC-8D88-10CD0568C702}" srcOrd="1" destOrd="0" presId="urn:microsoft.com/office/officeart/2005/8/layout/radial1"/>
    <dgm:cxn modelId="{9CA563D9-140D-4372-862F-12A4E765CB57}" type="presOf" srcId="{544D06C9-212A-4C74-9B09-F284298D89F7}" destId="{BDD45EF6-604C-4CF2-883D-A13C43EBB921}" srcOrd="0" destOrd="0" presId="urn:microsoft.com/office/officeart/2005/8/layout/radial1"/>
    <dgm:cxn modelId="{23970F31-6B79-4E53-B4F5-A107BF8F82A0}" type="presOf" srcId="{B0F4213E-D150-45F3-B47D-29CA95C866F2}" destId="{DCA2E333-9A2E-4639-9305-AF8DDC7284BD}" srcOrd="1" destOrd="0" presId="urn:microsoft.com/office/officeart/2005/8/layout/radial1"/>
    <dgm:cxn modelId="{33EF2860-4D2E-4676-A55E-F89E47663F0F}" type="presOf" srcId="{CDD9C3BB-6694-478D-A21E-5B1734D844C9}" destId="{D3624A2D-B310-4B6F-8B4A-8D984EE1D7A5}" srcOrd="0" destOrd="0" presId="urn:microsoft.com/office/officeart/2005/8/layout/radial1"/>
    <dgm:cxn modelId="{3BC1D6A7-BA78-452D-8C6B-BC166CFB26BC}" type="presParOf" srcId="{A701B0F5-8A72-44FD-9F5B-7449B7FC5302}" destId="{D3624A2D-B310-4B6F-8B4A-8D984EE1D7A5}" srcOrd="0" destOrd="0" presId="urn:microsoft.com/office/officeart/2005/8/layout/radial1"/>
    <dgm:cxn modelId="{91C8CDFB-688D-42E2-9DE4-BF941C421B10}" type="presParOf" srcId="{A701B0F5-8A72-44FD-9F5B-7449B7FC5302}" destId="{47CDCD52-BF53-4149-B5AB-F53DF6B785C9}" srcOrd="1" destOrd="0" presId="urn:microsoft.com/office/officeart/2005/8/layout/radial1"/>
    <dgm:cxn modelId="{E60ACEBE-CC64-4ABE-BCDE-BB5B0AACFCC3}" type="presParOf" srcId="{47CDCD52-BF53-4149-B5AB-F53DF6B785C9}" destId="{DCA2E333-9A2E-4639-9305-AF8DDC7284BD}" srcOrd="0" destOrd="0" presId="urn:microsoft.com/office/officeart/2005/8/layout/radial1"/>
    <dgm:cxn modelId="{2B8CB237-F353-4D2D-9D59-BDECD71D3E4D}" type="presParOf" srcId="{A701B0F5-8A72-44FD-9F5B-7449B7FC5302}" destId="{BDD45EF6-604C-4CF2-883D-A13C43EBB921}" srcOrd="2" destOrd="0" presId="urn:microsoft.com/office/officeart/2005/8/layout/radial1"/>
    <dgm:cxn modelId="{4C8B7A5E-0B54-41DD-BBF5-EA015E4E6D86}" type="presParOf" srcId="{A701B0F5-8A72-44FD-9F5B-7449B7FC5302}" destId="{9CEEA763-678C-4F8F-B86B-957F3670919B}" srcOrd="3" destOrd="0" presId="urn:microsoft.com/office/officeart/2005/8/layout/radial1"/>
    <dgm:cxn modelId="{9F9B872C-2D50-4A9F-8882-0EB6DA1B9FB7}" type="presParOf" srcId="{9CEEA763-678C-4F8F-B86B-957F3670919B}" destId="{F08BE0D5-B4EE-4E91-BC98-C351F5AA7F9A}" srcOrd="0" destOrd="0" presId="urn:microsoft.com/office/officeart/2005/8/layout/radial1"/>
    <dgm:cxn modelId="{FE069847-09B3-4112-A7E0-EEC19D2C7B72}" type="presParOf" srcId="{A701B0F5-8A72-44FD-9F5B-7449B7FC5302}" destId="{CE0211BD-0D3B-4AF9-A3C0-B83272EBA6DF}" srcOrd="4" destOrd="0" presId="urn:microsoft.com/office/officeart/2005/8/layout/radial1"/>
    <dgm:cxn modelId="{60AF5749-F585-465C-A284-BC4E047D2283}" type="presParOf" srcId="{A701B0F5-8A72-44FD-9F5B-7449B7FC5302}" destId="{5B148DCE-BC1C-44B8-BED2-823241C10BCA}" srcOrd="5" destOrd="0" presId="urn:microsoft.com/office/officeart/2005/8/layout/radial1"/>
    <dgm:cxn modelId="{57E05288-B277-48F0-8CA8-9FF3178BC0BA}" type="presParOf" srcId="{5B148DCE-BC1C-44B8-BED2-823241C10BCA}" destId="{1C5AEC54-2ADD-4E76-9D88-092E01B0ED91}" srcOrd="0" destOrd="0" presId="urn:microsoft.com/office/officeart/2005/8/layout/radial1"/>
    <dgm:cxn modelId="{6280CD20-EE73-4883-BD11-9545BED62466}" type="presParOf" srcId="{A701B0F5-8A72-44FD-9F5B-7449B7FC5302}" destId="{FAC8B511-7BA0-4DAC-A3EF-D3C2FAA38FCF}" srcOrd="6" destOrd="0" presId="urn:microsoft.com/office/officeart/2005/8/layout/radial1"/>
    <dgm:cxn modelId="{C719BA5B-D465-4511-BFF3-7730F4263FF9}" type="presParOf" srcId="{A701B0F5-8A72-44FD-9F5B-7449B7FC5302}" destId="{D64FB33F-220D-40E0-9BFB-B367798CDE80}" srcOrd="7" destOrd="0" presId="urn:microsoft.com/office/officeart/2005/8/layout/radial1"/>
    <dgm:cxn modelId="{4A716DE3-65BD-4E34-9044-8DCEDD32C79B}" type="presParOf" srcId="{D64FB33F-220D-40E0-9BFB-B367798CDE80}" destId="{A7D368C4-6FBA-43FC-8D88-10CD0568C702}" srcOrd="0" destOrd="0" presId="urn:microsoft.com/office/officeart/2005/8/layout/radial1"/>
    <dgm:cxn modelId="{AA5D807C-9FFF-4369-9A53-C71413E0F147}" type="presParOf" srcId="{A701B0F5-8A72-44FD-9F5B-7449B7FC5302}" destId="{F60DB496-2B5E-4B7E-B286-13DBDBBDE690}" srcOrd="8" destOrd="0" presId="urn:microsoft.com/office/officeart/2005/8/layout/radial1"/>
  </dgm:cxnLst>
  <dgm:bg/>
  <dgm:whole>
    <a:ln>
      <a:noFill/>
    </a:ln>
  </dgm:whole>
  <dgm:extLst>
    <a:ext uri="http://schemas.microsoft.com/office/drawing/2008/diagram">
      <dsp:dataModelExt xmlns:dsp="http://schemas.microsoft.com/office/drawing/2008/diagram" xmlns="" relId="rId2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BC74B47-D73A-4330-B7B5-895BD25F437B}" type="doc">
      <dgm:prSet loTypeId="urn:microsoft.com/office/officeart/2005/8/layout/orgChart1" loCatId="hierarchy" qsTypeId="urn:microsoft.com/office/officeart/2005/8/quickstyle/simple1" qsCatId="simple" csTypeId="urn:microsoft.com/office/officeart/2005/8/colors/accent1_2" csCatId="accent1" phldr="1"/>
      <dgm:spPr/>
    </dgm:pt>
    <dgm:pt modelId="{1E1A9F75-6360-4A6D-986C-66B7D193A597}">
      <dgm:prSet/>
      <dgm:spPr>
        <a:noFill/>
        <a:ln>
          <a:solidFill>
            <a:schemeClr val="tx1"/>
          </a:solidFill>
        </a:ln>
      </dgm:spPr>
      <dgm:t>
        <a:bodyPr/>
        <a:lstStyle/>
        <a:p>
          <a:pPr marR="0" algn="ctr" rtl="0"/>
          <a:r>
            <a:rPr lang="en-GB" b="0" baseline="0" smtClean="0">
              <a:solidFill>
                <a:sysClr val="windowText" lastClr="000000"/>
              </a:solidFill>
              <a:latin typeface="Calibri"/>
            </a:rPr>
            <a:t>Investor: Participatory Interest Holder (PIH) </a:t>
          </a:r>
          <a:endParaRPr lang="en-GB" b="0" smtClean="0">
            <a:solidFill>
              <a:sysClr val="windowText" lastClr="000000"/>
            </a:solidFill>
          </a:endParaRPr>
        </a:p>
      </dgm:t>
    </dgm:pt>
    <dgm:pt modelId="{C5BF5DB1-B694-42A3-A18F-2BBD0AB43AD6}" type="parTrans" cxnId="{5C691DC5-8FF5-44ED-A1CC-6231DDEAF334}">
      <dgm:prSet/>
      <dgm:spPr/>
      <dgm:t>
        <a:bodyPr/>
        <a:lstStyle/>
        <a:p>
          <a:endParaRPr lang="en-US" b="0">
            <a:solidFill>
              <a:sysClr val="windowText" lastClr="000000"/>
            </a:solidFill>
          </a:endParaRPr>
        </a:p>
      </dgm:t>
    </dgm:pt>
    <dgm:pt modelId="{C560AC8C-DF6D-4C90-A1C2-54FC00EA4B06}" type="sibTrans" cxnId="{5C691DC5-8FF5-44ED-A1CC-6231DDEAF334}">
      <dgm:prSet/>
      <dgm:spPr/>
      <dgm:t>
        <a:bodyPr/>
        <a:lstStyle/>
        <a:p>
          <a:endParaRPr lang="en-US" b="0">
            <a:solidFill>
              <a:sysClr val="windowText" lastClr="000000"/>
            </a:solidFill>
          </a:endParaRPr>
        </a:p>
      </dgm:t>
    </dgm:pt>
    <dgm:pt modelId="{4B4E0AEA-276E-4A91-BDA0-CA1B6591735A}">
      <dgm:prSet/>
      <dgm:spPr>
        <a:noFill/>
        <a:ln>
          <a:solidFill>
            <a:schemeClr val="tx1"/>
          </a:solidFill>
        </a:ln>
      </dgm:spPr>
      <dgm:t>
        <a:bodyPr/>
        <a:lstStyle/>
        <a:p>
          <a:pPr marR="0" algn="ctr" rtl="0"/>
          <a:r>
            <a:rPr lang="en-GB" b="0" baseline="0" smtClean="0">
              <a:solidFill>
                <a:sysClr val="windowText" lastClr="000000"/>
              </a:solidFill>
              <a:latin typeface="Calibri"/>
            </a:rPr>
            <a:t>Vehicle: Collective Investment Scheme in Property (CISP) </a:t>
          </a:r>
          <a:endParaRPr lang="en-GB" b="0" smtClean="0">
            <a:solidFill>
              <a:sysClr val="windowText" lastClr="000000"/>
            </a:solidFill>
          </a:endParaRPr>
        </a:p>
      </dgm:t>
    </dgm:pt>
    <dgm:pt modelId="{FBDA54F9-E3E2-492C-BF02-D4776028D1B6}" type="parTrans" cxnId="{A58C767D-6117-45C9-892B-AC349AE45570}">
      <dgm:prSet/>
      <dgm:spPr/>
      <dgm:t>
        <a:bodyPr/>
        <a:lstStyle/>
        <a:p>
          <a:endParaRPr lang="en-US" b="0">
            <a:solidFill>
              <a:sysClr val="windowText" lastClr="000000"/>
            </a:solidFill>
          </a:endParaRPr>
        </a:p>
      </dgm:t>
    </dgm:pt>
    <dgm:pt modelId="{E545CCBC-7F8D-41C8-8712-6DDF010C2991}" type="sibTrans" cxnId="{A58C767D-6117-45C9-892B-AC349AE45570}">
      <dgm:prSet/>
      <dgm:spPr/>
      <dgm:t>
        <a:bodyPr/>
        <a:lstStyle/>
        <a:p>
          <a:endParaRPr lang="en-US" b="0">
            <a:solidFill>
              <a:sysClr val="windowText" lastClr="000000"/>
            </a:solidFill>
          </a:endParaRPr>
        </a:p>
      </dgm:t>
    </dgm:pt>
    <dgm:pt modelId="{D43CCA50-8DF9-4BEF-947D-301657F4F84D}">
      <dgm:prSet/>
      <dgm:spPr>
        <a:noFill/>
        <a:ln>
          <a:solidFill>
            <a:schemeClr val="tx1"/>
          </a:solidFill>
        </a:ln>
      </dgm:spPr>
      <dgm:t>
        <a:bodyPr/>
        <a:lstStyle/>
        <a:p>
          <a:pPr marR="0" algn="ctr" rtl="0"/>
          <a:r>
            <a:rPr lang="en-GB" b="0" baseline="0" smtClean="0">
              <a:solidFill>
                <a:sysClr val="windowText" lastClr="000000"/>
              </a:solidFill>
              <a:latin typeface="Calibri"/>
            </a:rPr>
            <a:t>Underlying Income Generating Asset: Fixed Property Asset (FPA)</a:t>
          </a:r>
          <a:endParaRPr lang="en-GB" b="0" smtClean="0">
            <a:solidFill>
              <a:sysClr val="windowText" lastClr="000000"/>
            </a:solidFill>
          </a:endParaRPr>
        </a:p>
      </dgm:t>
    </dgm:pt>
    <dgm:pt modelId="{FA095484-295F-4858-A4E3-11C3C9F1035A}" type="parTrans" cxnId="{397CB0F9-2CB8-4B81-B8E3-8660D44F6837}">
      <dgm:prSet/>
      <dgm:spPr/>
      <dgm:t>
        <a:bodyPr/>
        <a:lstStyle/>
        <a:p>
          <a:endParaRPr lang="en-US" b="0">
            <a:solidFill>
              <a:sysClr val="windowText" lastClr="000000"/>
            </a:solidFill>
          </a:endParaRPr>
        </a:p>
      </dgm:t>
    </dgm:pt>
    <dgm:pt modelId="{40C99608-D656-4185-996C-147BB14CDD3E}" type="sibTrans" cxnId="{397CB0F9-2CB8-4B81-B8E3-8660D44F6837}">
      <dgm:prSet/>
      <dgm:spPr/>
      <dgm:t>
        <a:bodyPr/>
        <a:lstStyle/>
        <a:p>
          <a:endParaRPr lang="en-US" b="0">
            <a:solidFill>
              <a:sysClr val="windowText" lastClr="000000"/>
            </a:solidFill>
          </a:endParaRPr>
        </a:p>
      </dgm:t>
    </dgm:pt>
    <dgm:pt modelId="{956E41FA-1D5F-4B25-9BF4-8A9EAE8D2492}" type="pres">
      <dgm:prSet presAssocID="{CBC74B47-D73A-4330-B7B5-895BD25F437B}" presName="hierChild1" presStyleCnt="0">
        <dgm:presLayoutVars>
          <dgm:orgChart val="1"/>
          <dgm:chPref val="1"/>
          <dgm:dir/>
          <dgm:animOne val="branch"/>
          <dgm:animLvl val="lvl"/>
          <dgm:resizeHandles/>
        </dgm:presLayoutVars>
      </dgm:prSet>
      <dgm:spPr/>
    </dgm:pt>
    <dgm:pt modelId="{84CC7016-BCFA-4D85-9C9C-CB28D16BFF52}" type="pres">
      <dgm:prSet presAssocID="{1E1A9F75-6360-4A6D-986C-66B7D193A597}" presName="hierRoot1" presStyleCnt="0">
        <dgm:presLayoutVars>
          <dgm:hierBranch/>
        </dgm:presLayoutVars>
      </dgm:prSet>
      <dgm:spPr/>
    </dgm:pt>
    <dgm:pt modelId="{811879B4-DD7F-432B-B470-734184A357BF}" type="pres">
      <dgm:prSet presAssocID="{1E1A9F75-6360-4A6D-986C-66B7D193A597}" presName="rootComposite1" presStyleCnt="0"/>
      <dgm:spPr/>
    </dgm:pt>
    <dgm:pt modelId="{5078FCE1-888E-4F57-878A-38F4B58F687B}" type="pres">
      <dgm:prSet presAssocID="{1E1A9F75-6360-4A6D-986C-66B7D193A597}" presName="rootText1" presStyleLbl="node0" presStyleIdx="0" presStyleCnt="1" custScaleX="200890" custScaleY="98668">
        <dgm:presLayoutVars>
          <dgm:chPref val="3"/>
        </dgm:presLayoutVars>
      </dgm:prSet>
      <dgm:spPr>
        <a:prstGeom prst="rect">
          <a:avLst/>
        </a:prstGeom>
      </dgm:spPr>
      <dgm:t>
        <a:bodyPr/>
        <a:lstStyle/>
        <a:p>
          <a:endParaRPr lang="en-US"/>
        </a:p>
      </dgm:t>
    </dgm:pt>
    <dgm:pt modelId="{A8C382CE-B344-4680-8474-31F5B51F6778}" type="pres">
      <dgm:prSet presAssocID="{1E1A9F75-6360-4A6D-986C-66B7D193A597}" presName="rootConnector1" presStyleLbl="node1" presStyleIdx="0" presStyleCnt="0"/>
      <dgm:spPr/>
      <dgm:t>
        <a:bodyPr/>
        <a:lstStyle/>
        <a:p>
          <a:endParaRPr lang="en-US"/>
        </a:p>
      </dgm:t>
    </dgm:pt>
    <dgm:pt modelId="{93F65219-4922-4C63-AFB5-440D04C2568B}" type="pres">
      <dgm:prSet presAssocID="{1E1A9F75-6360-4A6D-986C-66B7D193A597}" presName="hierChild2" presStyleCnt="0"/>
      <dgm:spPr/>
    </dgm:pt>
    <dgm:pt modelId="{3BA04488-C802-43F6-B81A-EA34299D20DA}" type="pres">
      <dgm:prSet presAssocID="{FBDA54F9-E3E2-492C-BF02-D4776028D1B6}" presName="Name35" presStyleLbl="parChTrans1D2" presStyleIdx="0" presStyleCnt="1"/>
      <dgm:spPr/>
      <dgm:t>
        <a:bodyPr/>
        <a:lstStyle/>
        <a:p>
          <a:endParaRPr lang="en-US"/>
        </a:p>
      </dgm:t>
    </dgm:pt>
    <dgm:pt modelId="{E47F4CD4-78D6-472E-81CC-0E47CA0EE934}" type="pres">
      <dgm:prSet presAssocID="{4B4E0AEA-276E-4A91-BDA0-CA1B6591735A}" presName="hierRoot2" presStyleCnt="0">
        <dgm:presLayoutVars>
          <dgm:hierBranch/>
        </dgm:presLayoutVars>
      </dgm:prSet>
      <dgm:spPr/>
    </dgm:pt>
    <dgm:pt modelId="{BCCDA045-3A76-4AB9-8469-71E145285F4D}" type="pres">
      <dgm:prSet presAssocID="{4B4E0AEA-276E-4A91-BDA0-CA1B6591735A}" presName="rootComposite" presStyleCnt="0"/>
      <dgm:spPr/>
    </dgm:pt>
    <dgm:pt modelId="{98513BA9-CC90-4436-9C1F-08568F6124B6}" type="pres">
      <dgm:prSet presAssocID="{4B4E0AEA-276E-4A91-BDA0-CA1B6591735A}" presName="rootText" presStyleLbl="node2" presStyleIdx="0" presStyleCnt="1" custScaleX="200890" custScaleY="98668">
        <dgm:presLayoutVars>
          <dgm:chPref val="3"/>
        </dgm:presLayoutVars>
      </dgm:prSet>
      <dgm:spPr>
        <a:prstGeom prst="rect">
          <a:avLst/>
        </a:prstGeom>
      </dgm:spPr>
      <dgm:t>
        <a:bodyPr/>
        <a:lstStyle/>
        <a:p>
          <a:endParaRPr lang="en-US"/>
        </a:p>
      </dgm:t>
    </dgm:pt>
    <dgm:pt modelId="{D36D55BF-10FF-43CE-B9E8-902F9C3468AD}" type="pres">
      <dgm:prSet presAssocID="{4B4E0AEA-276E-4A91-BDA0-CA1B6591735A}" presName="rootConnector" presStyleLbl="node2" presStyleIdx="0" presStyleCnt="1"/>
      <dgm:spPr/>
      <dgm:t>
        <a:bodyPr/>
        <a:lstStyle/>
        <a:p>
          <a:endParaRPr lang="en-US"/>
        </a:p>
      </dgm:t>
    </dgm:pt>
    <dgm:pt modelId="{D12FE6F1-FBE1-4009-A130-02DBDA9C8F43}" type="pres">
      <dgm:prSet presAssocID="{4B4E0AEA-276E-4A91-BDA0-CA1B6591735A}" presName="hierChild4" presStyleCnt="0"/>
      <dgm:spPr/>
    </dgm:pt>
    <dgm:pt modelId="{5862E167-6557-4D37-B9FC-7E8A99A9999B}" type="pres">
      <dgm:prSet presAssocID="{FA095484-295F-4858-A4E3-11C3C9F1035A}" presName="Name35" presStyleLbl="parChTrans1D3" presStyleIdx="0" presStyleCnt="1"/>
      <dgm:spPr/>
      <dgm:t>
        <a:bodyPr/>
        <a:lstStyle/>
        <a:p>
          <a:endParaRPr lang="en-US"/>
        </a:p>
      </dgm:t>
    </dgm:pt>
    <dgm:pt modelId="{BAAFE03A-27E0-43AE-9A0D-89F3DE35FF54}" type="pres">
      <dgm:prSet presAssocID="{D43CCA50-8DF9-4BEF-947D-301657F4F84D}" presName="hierRoot2" presStyleCnt="0">
        <dgm:presLayoutVars>
          <dgm:hierBranch val="r"/>
        </dgm:presLayoutVars>
      </dgm:prSet>
      <dgm:spPr/>
    </dgm:pt>
    <dgm:pt modelId="{0681C5BE-16A3-4EB2-BB67-6327E75E9037}" type="pres">
      <dgm:prSet presAssocID="{D43CCA50-8DF9-4BEF-947D-301657F4F84D}" presName="rootComposite" presStyleCnt="0"/>
      <dgm:spPr/>
    </dgm:pt>
    <dgm:pt modelId="{D8B0987F-5331-4891-8458-B5138D43C5D9}" type="pres">
      <dgm:prSet presAssocID="{D43CCA50-8DF9-4BEF-947D-301657F4F84D}" presName="rootText" presStyleLbl="node3" presStyleIdx="0" presStyleCnt="1" custScaleX="200890" custScaleY="98668">
        <dgm:presLayoutVars>
          <dgm:chPref val="3"/>
        </dgm:presLayoutVars>
      </dgm:prSet>
      <dgm:spPr>
        <a:prstGeom prst="rect">
          <a:avLst/>
        </a:prstGeom>
      </dgm:spPr>
      <dgm:t>
        <a:bodyPr/>
        <a:lstStyle/>
        <a:p>
          <a:endParaRPr lang="en-US"/>
        </a:p>
      </dgm:t>
    </dgm:pt>
    <dgm:pt modelId="{54DA8B92-7107-435A-A288-E30858F7C4CE}" type="pres">
      <dgm:prSet presAssocID="{D43CCA50-8DF9-4BEF-947D-301657F4F84D}" presName="rootConnector" presStyleLbl="node3" presStyleIdx="0" presStyleCnt="1"/>
      <dgm:spPr/>
      <dgm:t>
        <a:bodyPr/>
        <a:lstStyle/>
        <a:p>
          <a:endParaRPr lang="en-US"/>
        </a:p>
      </dgm:t>
    </dgm:pt>
    <dgm:pt modelId="{C150F382-2D06-421C-BF49-AB521705EE56}" type="pres">
      <dgm:prSet presAssocID="{D43CCA50-8DF9-4BEF-947D-301657F4F84D}" presName="hierChild4" presStyleCnt="0"/>
      <dgm:spPr/>
    </dgm:pt>
    <dgm:pt modelId="{3383CBCC-2149-4791-97C4-B9007DFDFBA4}" type="pres">
      <dgm:prSet presAssocID="{D43CCA50-8DF9-4BEF-947D-301657F4F84D}" presName="hierChild5" presStyleCnt="0"/>
      <dgm:spPr/>
    </dgm:pt>
    <dgm:pt modelId="{85192470-2E66-4FC2-9E86-E2708C21EED7}" type="pres">
      <dgm:prSet presAssocID="{4B4E0AEA-276E-4A91-BDA0-CA1B6591735A}" presName="hierChild5" presStyleCnt="0"/>
      <dgm:spPr/>
    </dgm:pt>
    <dgm:pt modelId="{A2728BF0-84A6-4527-9E3D-4D55133B35AD}" type="pres">
      <dgm:prSet presAssocID="{1E1A9F75-6360-4A6D-986C-66B7D193A597}" presName="hierChild3" presStyleCnt="0"/>
      <dgm:spPr/>
    </dgm:pt>
  </dgm:ptLst>
  <dgm:cxnLst>
    <dgm:cxn modelId="{0158F815-01B8-4ED1-B9C7-9635AA7D2831}" type="presOf" srcId="{4B4E0AEA-276E-4A91-BDA0-CA1B6591735A}" destId="{D36D55BF-10FF-43CE-B9E8-902F9C3468AD}" srcOrd="1" destOrd="0" presId="urn:microsoft.com/office/officeart/2005/8/layout/orgChart1"/>
    <dgm:cxn modelId="{062D312B-7ED0-43E5-ABB1-EDF138CC8C69}" type="presOf" srcId="{1E1A9F75-6360-4A6D-986C-66B7D193A597}" destId="{5078FCE1-888E-4F57-878A-38F4B58F687B}" srcOrd="0" destOrd="0" presId="urn:microsoft.com/office/officeart/2005/8/layout/orgChart1"/>
    <dgm:cxn modelId="{56055455-8737-4E1C-94F6-182B60608F23}" type="presOf" srcId="{1E1A9F75-6360-4A6D-986C-66B7D193A597}" destId="{A8C382CE-B344-4680-8474-31F5B51F6778}" srcOrd="1" destOrd="0" presId="urn:microsoft.com/office/officeart/2005/8/layout/orgChart1"/>
    <dgm:cxn modelId="{4CB2F5ED-C1E1-41EC-96CD-6611952F44DB}" type="presOf" srcId="{FA095484-295F-4858-A4E3-11C3C9F1035A}" destId="{5862E167-6557-4D37-B9FC-7E8A99A9999B}" srcOrd="0" destOrd="0" presId="urn:microsoft.com/office/officeart/2005/8/layout/orgChart1"/>
    <dgm:cxn modelId="{13019FC7-E587-42A5-828A-FEA462155A7D}" type="presOf" srcId="{D43CCA50-8DF9-4BEF-947D-301657F4F84D}" destId="{D8B0987F-5331-4891-8458-B5138D43C5D9}" srcOrd="0" destOrd="0" presId="urn:microsoft.com/office/officeart/2005/8/layout/orgChart1"/>
    <dgm:cxn modelId="{F45AA687-2BEF-473D-9409-6250E2E06110}" type="presOf" srcId="{D43CCA50-8DF9-4BEF-947D-301657F4F84D}" destId="{54DA8B92-7107-435A-A288-E30858F7C4CE}" srcOrd="1" destOrd="0" presId="urn:microsoft.com/office/officeart/2005/8/layout/orgChart1"/>
    <dgm:cxn modelId="{A58C767D-6117-45C9-892B-AC349AE45570}" srcId="{1E1A9F75-6360-4A6D-986C-66B7D193A597}" destId="{4B4E0AEA-276E-4A91-BDA0-CA1B6591735A}" srcOrd="0" destOrd="0" parTransId="{FBDA54F9-E3E2-492C-BF02-D4776028D1B6}" sibTransId="{E545CCBC-7F8D-41C8-8712-6DDF010C2991}"/>
    <dgm:cxn modelId="{397CB0F9-2CB8-4B81-B8E3-8660D44F6837}" srcId="{4B4E0AEA-276E-4A91-BDA0-CA1B6591735A}" destId="{D43CCA50-8DF9-4BEF-947D-301657F4F84D}" srcOrd="0" destOrd="0" parTransId="{FA095484-295F-4858-A4E3-11C3C9F1035A}" sibTransId="{40C99608-D656-4185-996C-147BB14CDD3E}"/>
    <dgm:cxn modelId="{C334B0C8-3E72-413C-938B-E9D2F9495FFE}" type="presOf" srcId="{4B4E0AEA-276E-4A91-BDA0-CA1B6591735A}" destId="{98513BA9-CC90-4436-9C1F-08568F6124B6}" srcOrd="0" destOrd="0" presId="urn:microsoft.com/office/officeart/2005/8/layout/orgChart1"/>
    <dgm:cxn modelId="{5C691DC5-8FF5-44ED-A1CC-6231DDEAF334}" srcId="{CBC74B47-D73A-4330-B7B5-895BD25F437B}" destId="{1E1A9F75-6360-4A6D-986C-66B7D193A597}" srcOrd="0" destOrd="0" parTransId="{C5BF5DB1-B694-42A3-A18F-2BBD0AB43AD6}" sibTransId="{C560AC8C-DF6D-4C90-A1C2-54FC00EA4B06}"/>
    <dgm:cxn modelId="{4D87A188-4849-47E6-9AB5-63F30C136933}" type="presOf" srcId="{FBDA54F9-E3E2-492C-BF02-D4776028D1B6}" destId="{3BA04488-C802-43F6-B81A-EA34299D20DA}" srcOrd="0" destOrd="0" presId="urn:microsoft.com/office/officeart/2005/8/layout/orgChart1"/>
    <dgm:cxn modelId="{D3735B4D-51B1-45BB-81E4-9DD7A770817A}" type="presOf" srcId="{CBC74B47-D73A-4330-B7B5-895BD25F437B}" destId="{956E41FA-1D5F-4B25-9BF4-8A9EAE8D2492}" srcOrd="0" destOrd="0" presId="urn:microsoft.com/office/officeart/2005/8/layout/orgChart1"/>
    <dgm:cxn modelId="{18686E6F-E6E9-4213-8450-49E552B9BA7E}" type="presParOf" srcId="{956E41FA-1D5F-4B25-9BF4-8A9EAE8D2492}" destId="{84CC7016-BCFA-4D85-9C9C-CB28D16BFF52}" srcOrd="0" destOrd="0" presId="urn:microsoft.com/office/officeart/2005/8/layout/orgChart1"/>
    <dgm:cxn modelId="{E0839772-E5A2-4C65-9347-742CEC8F38D1}" type="presParOf" srcId="{84CC7016-BCFA-4D85-9C9C-CB28D16BFF52}" destId="{811879B4-DD7F-432B-B470-734184A357BF}" srcOrd="0" destOrd="0" presId="urn:microsoft.com/office/officeart/2005/8/layout/orgChart1"/>
    <dgm:cxn modelId="{265BE237-099C-475F-95DA-BA57779E494F}" type="presParOf" srcId="{811879B4-DD7F-432B-B470-734184A357BF}" destId="{5078FCE1-888E-4F57-878A-38F4B58F687B}" srcOrd="0" destOrd="0" presId="urn:microsoft.com/office/officeart/2005/8/layout/orgChart1"/>
    <dgm:cxn modelId="{A5790115-BC1D-42B8-86F0-D62BDE1A66F1}" type="presParOf" srcId="{811879B4-DD7F-432B-B470-734184A357BF}" destId="{A8C382CE-B344-4680-8474-31F5B51F6778}" srcOrd="1" destOrd="0" presId="urn:microsoft.com/office/officeart/2005/8/layout/orgChart1"/>
    <dgm:cxn modelId="{10E3DD00-E63F-4A78-B1A9-8A71E56F1CFE}" type="presParOf" srcId="{84CC7016-BCFA-4D85-9C9C-CB28D16BFF52}" destId="{93F65219-4922-4C63-AFB5-440D04C2568B}" srcOrd="1" destOrd="0" presId="urn:microsoft.com/office/officeart/2005/8/layout/orgChart1"/>
    <dgm:cxn modelId="{AB433527-D747-44E3-8D5A-57B051917E18}" type="presParOf" srcId="{93F65219-4922-4C63-AFB5-440D04C2568B}" destId="{3BA04488-C802-43F6-B81A-EA34299D20DA}" srcOrd="0" destOrd="0" presId="urn:microsoft.com/office/officeart/2005/8/layout/orgChart1"/>
    <dgm:cxn modelId="{EC21054A-6F27-45CD-B8EC-BB813448DD05}" type="presParOf" srcId="{93F65219-4922-4C63-AFB5-440D04C2568B}" destId="{E47F4CD4-78D6-472E-81CC-0E47CA0EE934}" srcOrd="1" destOrd="0" presId="urn:microsoft.com/office/officeart/2005/8/layout/orgChart1"/>
    <dgm:cxn modelId="{41DBD2BE-3836-4FAC-8411-020772D124C3}" type="presParOf" srcId="{E47F4CD4-78D6-472E-81CC-0E47CA0EE934}" destId="{BCCDA045-3A76-4AB9-8469-71E145285F4D}" srcOrd="0" destOrd="0" presId="urn:microsoft.com/office/officeart/2005/8/layout/orgChart1"/>
    <dgm:cxn modelId="{19C475BD-E5E1-44AD-9778-547DB320E069}" type="presParOf" srcId="{BCCDA045-3A76-4AB9-8469-71E145285F4D}" destId="{98513BA9-CC90-4436-9C1F-08568F6124B6}" srcOrd="0" destOrd="0" presId="urn:microsoft.com/office/officeart/2005/8/layout/orgChart1"/>
    <dgm:cxn modelId="{86CA5CC7-470F-40ED-B90D-70AF6769DF9C}" type="presParOf" srcId="{BCCDA045-3A76-4AB9-8469-71E145285F4D}" destId="{D36D55BF-10FF-43CE-B9E8-902F9C3468AD}" srcOrd="1" destOrd="0" presId="urn:microsoft.com/office/officeart/2005/8/layout/orgChart1"/>
    <dgm:cxn modelId="{C011BFA7-FDB0-4C47-A4A9-15EE10E1E01F}" type="presParOf" srcId="{E47F4CD4-78D6-472E-81CC-0E47CA0EE934}" destId="{D12FE6F1-FBE1-4009-A130-02DBDA9C8F43}" srcOrd="1" destOrd="0" presId="urn:microsoft.com/office/officeart/2005/8/layout/orgChart1"/>
    <dgm:cxn modelId="{B1F1565D-943F-4BBD-9924-130410E1C24F}" type="presParOf" srcId="{D12FE6F1-FBE1-4009-A130-02DBDA9C8F43}" destId="{5862E167-6557-4D37-B9FC-7E8A99A9999B}" srcOrd="0" destOrd="0" presId="urn:microsoft.com/office/officeart/2005/8/layout/orgChart1"/>
    <dgm:cxn modelId="{55C58B2E-2626-4E93-B18B-544AE1754351}" type="presParOf" srcId="{D12FE6F1-FBE1-4009-A130-02DBDA9C8F43}" destId="{BAAFE03A-27E0-43AE-9A0D-89F3DE35FF54}" srcOrd="1" destOrd="0" presId="urn:microsoft.com/office/officeart/2005/8/layout/orgChart1"/>
    <dgm:cxn modelId="{AA7D92D3-2ACE-4193-9AA0-552CC16ED495}" type="presParOf" srcId="{BAAFE03A-27E0-43AE-9A0D-89F3DE35FF54}" destId="{0681C5BE-16A3-4EB2-BB67-6327E75E9037}" srcOrd="0" destOrd="0" presId="urn:microsoft.com/office/officeart/2005/8/layout/orgChart1"/>
    <dgm:cxn modelId="{B44A63A7-97CE-4F94-BB8E-00AAD10222E9}" type="presParOf" srcId="{0681C5BE-16A3-4EB2-BB67-6327E75E9037}" destId="{D8B0987F-5331-4891-8458-B5138D43C5D9}" srcOrd="0" destOrd="0" presId="urn:microsoft.com/office/officeart/2005/8/layout/orgChart1"/>
    <dgm:cxn modelId="{E660AD96-CFF9-4C53-A7C7-A5A20949BD8B}" type="presParOf" srcId="{0681C5BE-16A3-4EB2-BB67-6327E75E9037}" destId="{54DA8B92-7107-435A-A288-E30858F7C4CE}" srcOrd="1" destOrd="0" presId="urn:microsoft.com/office/officeart/2005/8/layout/orgChart1"/>
    <dgm:cxn modelId="{272F92AE-5EB4-41F6-9DD9-198C8D586904}" type="presParOf" srcId="{BAAFE03A-27E0-43AE-9A0D-89F3DE35FF54}" destId="{C150F382-2D06-421C-BF49-AB521705EE56}" srcOrd="1" destOrd="0" presId="urn:microsoft.com/office/officeart/2005/8/layout/orgChart1"/>
    <dgm:cxn modelId="{62083F39-63EA-4570-A8B7-B2922A2D85E6}" type="presParOf" srcId="{BAAFE03A-27E0-43AE-9A0D-89F3DE35FF54}" destId="{3383CBCC-2149-4791-97C4-B9007DFDFBA4}" srcOrd="2" destOrd="0" presId="urn:microsoft.com/office/officeart/2005/8/layout/orgChart1"/>
    <dgm:cxn modelId="{386AE47F-5E5C-4B60-9F96-608E2C45CE43}" type="presParOf" srcId="{E47F4CD4-78D6-472E-81CC-0E47CA0EE934}" destId="{85192470-2E66-4FC2-9E86-E2708C21EED7}" srcOrd="2" destOrd="0" presId="urn:microsoft.com/office/officeart/2005/8/layout/orgChart1"/>
    <dgm:cxn modelId="{990A42D3-88B2-46E3-8AC1-C3CA4FB82C7C}" type="presParOf" srcId="{84CC7016-BCFA-4D85-9C9C-CB28D16BFF52}" destId="{A2728BF0-84A6-4527-9E3D-4D55133B35AD}" srcOrd="2" destOrd="0" presId="urn:microsoft.com/office/officeart/2005/8/layout/orgChart1"/>
  </dgm:cxnLst>
  <dgm:bg>
    <a:noFill/>
  </dgm:bg>
  <dgm:whole/>
  <dgm:extLst>
    <a:ext uri="http://schemas.microsoft.com/office/drawing/2008/diagram">
      <dsp:dataModelExt xmlns:dsp="http://schemas.microsoft.com/office/drawing/2008/diagram" xmlns="" relId="rId3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3820458-83B7-4C53-A526-B1BFA39DECEA}" type="doc">
      <dgm:prSet loTypeId="urn:microsoft.com/office/officeart/2005/8/layout/orgChart1" loCatId="hierarchy" qsTypeId="urn:microsoft.com/office/officeart/2005/8/quickstyle/simple1" qsCatId="simple" csTypeId="urn:microsoft.com/office/officeart/2005/8/colors/accent1_2" csCatId="accent1" phldr="1"/>
      <dgm:spPr/>
    </dgm:pt>
    <dgm:pt modelId="{4639B9EE-FDCC-433A-80F3-FB78EBB15C6A}">
      <dgm:prSet custT="1"/>
      <dgm:spPr>
        <a:solidFill>
          <a:schemeClr val="bg1">
            <a:lumMod val="85000"/>
          </a:schemeClr>
        </a:solidFill>
        <a:ln>
          <a:solidFill>
            <a:schemeClr val="tx1"/>
          </a:solidFill>
        </a:ln>
        <a:effectLst>
          <a:outerShdw blurRad="50800" dist="50800" dir="5400000" algn="ctr" rotWithShape="0">
            <a:schemeClr val="bg1">
              <a:lumMod val="85000"/>
            </a:schemeClr>
          </a:outerShdw>
        </a:effectLst>
      </dgm:spPr>
      <dgm:t>
        <a:bodyPr/>
        <a:lstStyle/>
        <a:p>
          <a:pPr marR="0" algn="ctr" rtl="0"/>
          <a:r>
            <a:rPr lang="en-GB" sz="900" b="1" baseline="0" smtClean="0">
              <a:solidFill>
                <a:sysClr val="windowText" lastClr="000000"/>
              </a:solidFill>
              <a:latin typeface="Calibri"/>
            </a:rPr>
            <a:t>Underlying Investment Assets of a primary CISP </a:t>
          </a:r>
        </a:p>
        <a:p>
          <a:pPr marR="0" algn="ctr" rtl="0"/>
          <a:r>
            <a:rPr lang="en-GB" sz="900" b="1" baseline="0" smtClean="0">
              <a:solidFill>
                <a:sysClr val="windowText" lastClr="000000"/>
              </a:solidFill>
              <a:latin typeface="Calibri"/>
            </a:rPr>
            <a:t>(any combination of 1-3)</a:t>
          </a:r>
        </a:p>
        <a:p>
          <a:pPr marR="0" algn="ctr" rtl="0"/>
          <a:r>
            <a:rPr lang="en-GB" sz="900" b="1" baseline="0" smtClean="0">
              <a:solidFill>
                <a:sysClr val="windowText" lastClr="000000"/>
              </a:solidFill>
              <a:latin typeface="Calibri"/>
            </a:rPr>
            <a:t>(CISP 1)</a:t>
          </a:r>
          <a:endParaRPr lang="en-GB" sz="900" b="1" smtClean="0">
            <a:solidFill>
              <a:sysClr val="windowText" lastClr="000000"/>
            </a:solidFill>
          </a:endParaRPr>
        </a:p>
      </dgm:t>
    </dgm:pt>
    <dgm:pt modelId="{C3470B4B-E3C7-4F8E-BF59-E57CF4E93585}" type="parTrans" cxnId="{1564CE24-C934-4E1F-AD91-210C2062E32D}">
      <dgm:prSet/>
      <dgm:spPr/>
      <dgm:t>
        <a:bodyPr/>
        <a:lstStyle/>
        <a:p>
          <a:pPr algn="l"/>
          <a:endParaRPr lang="en-US" sz="1000" b="0"/>
        </a:p>
      </dgm:t>
    </dgm:pt>
    <dgm:pt modelId="{AEE5CB82-AB91-46B6-A666-1229C11DF9EA}" type="sibTrans" cxnId="{1564CE24-C934-4E1F-AD91-210C2062E32D}">
      <dgm:prSet/>
      <dgm:spPr/>
      <dgm:t>
        <a:bodyPr/>
        <a:lstStyle/>
        <a:p>
          <a:pPr algn="l"/>
          <a:endParaRPr lang="en-US" sz="1000" b="0"/>
        </a:p>
      </dgm:t>
    </dgm:pt>
    <dgm:pt modelId="{5CDE10AA-4027-4577-9124-EC2BB55C3CCE}" type="asst">
      <dgm:prSet custT="1"/>
      <dgm:spPr>
        <a:noFill/>
        <a:ln>
          <a:solidFill>
            <a:schemeClr val="tx1"/>
          </a:solidFill>
        </a:ln>
      </dgm:spPr>
      <dgm:t>
        <a:bodyPr/>
        <a:lstStyle/>
        <a:p>
          <a:pPr marR="0" algn="ctr" rtl="0"/>
          <a:r>
            <a:rPr lang="en-GB" sz="1000" b="0" baseline="0" smtClean="0">
              <a:solidFill>
                <a:sysClr val="windowText" lastClr="000000"/>
              </a:solidFill>
              <a:latin typeface="Calibri"/>
            </a:rPr>
            <a:t>1. Holding Company s47(1) </a:t>
          </a:r>
        </a:p>
        <a:p>
          <a:pPr marR="0" algn="ctr" rtl="0"/>
          <a:r>
            <a:rPr lang="en-GB" sz="1000" b="0" baseline="0" smtClean="0">
              <a:solidFill>
                <a:sysClr val="windowText" lastClr="000000"/>
              </a:solidFill>
              <a:latin typeface="Calibri"/>
            </a:rPr>
            <a:t> (i.e CISP 2)</a:t>
          </a:r>
        </a:p>
        <a:p>
          <a:pPr marR="0" algn="ctr" rtl="0"/>
          <a:r>
            <a:rPr lang="en-GB" sz="1000" b="0" baseline="0" smtClean="0">
              <a:solidFill>
                <a:sysClr val="windowText" lastClr="000000"/>
              </a:solidFill>
              <a:latin typeface="Times New Roman"/>
            </a:rPr>
            <a:t>	</a:t>
          </a:r>
          <a:endParaRPr lang="en-GB" sz="1000" b="0" smtClean="0">
            <a:solidFill>
              <a:sysClr val="windowText" lastClr="000000"/>
            </a:solidFill>
          </a:endParaRPr>
        </a:p>
      </dgm:t>
    </dgm:pt>
    <dgm:pt modelId="{937E6870-9335-4000-BFC6-07204ABE8438}" type="parTrans" cxnId="{C51BDD5A-2368-4F39-9183-9CBFE8717067}">
      <dgm:prSet/>
      <dgm:spPr/>
      <dgm:t>
        <a:bodyPr/>
        <a:lstStyle/>
        <a:p>
          <a:pPr algn="l"/>
          <a:endParaRPr lang="en-US" sz="1000" b="0"/>
        </a:p>
      </dgm:t>
    </dgm:pt>
    <dgm:pt modelId="{583DE13B-D989-4CE6-BE19-28BE30EAE43C}" type="sibTrans" cxnId="{C51BDD5A-2368-4F39-9183-9CBFE8717067}">
      <dgm:prSet/>
      <dgm:spPr/>
      <dgm:t>
        <a:bodyPr/>
        <a:lstStyle/>
        <a:p>
          <a:pPr algn="l"/>
          <a:endParaRPr lang="en-US" sz="1000" b="0"/>
        </a:p>
      </dgm:t>
    </dgm:pt>
    <dgm:pt modelId="{8B498A41-EF31-4591-97DA-15A8FD88FB0A}">
      <dgm:prSet custT="1"/>
      <dgm:spPr>
        <a:noFill/>
        <a:ln w="6350">
          <a:solidFill>
            <a:schemeClr val="tx1"/>
          </a:solidFill>
          <a:prstDash val="sysDot"/>
        </a:ln>
      </dgm:spPr>
      <dgm:t>
        <a:bodyPr/>
        <a:lstStyle/>
        <a:p>
          <a:pPr marR="0" algn="ctr" rtl="0"/>
          <a:r>
            <a:rPr lang="en-GB" sz="800" b="0" baseline="0" smtClean="0">
              <a:solidFill>
                <a:sysClr val="windowText" lastClr="000000"/>
              </a:solidFill>
              <a:latin typeface="Calibri"/>
            </a:rPr>
            <a:t>Fixed</a:t>
          </a:r>
        </a:p>
        <a:p>
          <a:pPr marR="0" algn="ctr" rtl="0"/>
          <a:r>
            <a:rPr lang="en-GB" sz="800" b="0" baseline="0" smtClean="0">
              <a:solidFill>
                <a:sysClr val="windowText" lastClr="000000"/>
              </a:solidFill>
              <a:latin typeface="Calibri"/>
            </a:rPr>
            <a:t>Property Company s47(1) </a:t>
          </a:r>
          <a:endParaRPr lang="en-GB" sz="800" b="0" smtClean="0">
            <a:solidFill>
              <a:sysClr val="windowText" lastClr="000000"/>
            </a:solidFill>
          </a:endParaRPr>
        </a:p>
      </dgm:t>
    </dgm:pt>
    <dgm:pt modelId="{3F8BE251-AE62-4346-8390-10E5CCF7A9BD}" type="parTrans" cxnId="{EDC522A4-991C-4455-AD52-B22701EB608A}">
      <dgm:prSet/>
      <dgm:spPr/>
      <dgm:t>
        <a:bodyPr/>
        <a:lstStyle/>
        <a:p>
          <a:pPr algn="l"/>
          <a:endParaRPr lang="en-US" sz="1000" b="0"/>
        </a:p>
      </dgm:t>
    </dgm:pt>
    <dgm:pt modelId="{9C74CD1B-B723-4989-87B4-27C382C897FE}" type="sibTrans" cxnId="{EDC522A4-991C-4455-AD52-B22701EB608A}">
      <dgm:prSet/>
      <dgm:spPr/>
      <dgm:t>
        <a:bodyPr/>
        <a:lstStyle/>
        <a:p>
          <a:pPr algn="l"/>
          <a:endParaRPr lang="en-US" sz="1000" b="0"/>
        </a:p>
      </dgm:t>
    </dgm:pt>
    <dgm:pt modelId="{3A6BB556-3C78-47A1-BB56-759B4DFF84B9}" type="asst">
      <dgm:prSet custT="1"/>
      <dgm:spPr>
        <a:noFill/>
        <a:ln>
          <a:solidFill>
            <a:schemeClr val="tx1"/>
          </a:solidFill>
        </a:ln>
      </dgm:spPr>
      <dgm:t>
        <a:bodyPr/>
        <a:lstStyle/>
        <a:p>
          <a:pPr marR="0" algn="ctr" rtl="0"/>
          <a:r>
            <a:rPr lang="en-GB" sz="1000" b="0" baseline="0" smtClean="0">
              <a:solidFill>
                <a:sysClr val="windowText" lastClr="000000"/>
              </a:solidFill>
              <a:latin typeface="Calibri"/>
            </a:rPr>
            <a:t>2. Fixed Property Company </a:t>
          </a:r>
        </a:p>
        <a:p>
          <a:pPr marR="0" algn="ctr" rtl="0"/>
          <a:r>
            <a:rPr lang="en-GB" sz="1000" b="0" baseline="0" smtClean="0">
              <a:solidFill>
                <a:sysClr val="windowText" lastClr="000000"/>
              </a:solidFill>
              <a:latin typeface="Calibri"/>
            </a:rPr>
            <a:t>s47(1)</a:t>
          </a:r>
          <a:endParaRPr lang="en-GB" sz="1000" b="0" smtClean="0">
            <a:solidFill>
              <a:sysClr val="windowText" lastClr="000000"/>
            </a:solidFill>
          </a:endParaRPr>
        </a:p>
      </dgm:t>
    </dgm:pt>
    <dgm:pt modelId="{D405D66B-C9BC-48EA-8216-AD2D7F381441}" type="parTrans" cxnId="{362B7E96-79BD-46DD-A956-75D6201032E5}">
      <dgm:prSet/>
      <dgm:spPr/>
      <dgm:t>
        <a:bodyPr/>
        <a:lstStyle/>
        <a:p>
          <a:pPr algn="l"/>
          <a:endParaRPr lang="en-US" sz="1000" b="0"/>
        </a:p>
      </dgm:t>
    </dgm:pt>
    <dgm:pt modelId="{A6FF7E62-B9B1-4084-8D0C-A1A215BFDD30}" type="sibTrans" cxnId="{362B7E96-79BD-46DD-A956-75D6201032E5}">
      <dgm:prSet/>
      <dgm:spPr/>
      <dgm:t>
        <a:bodyPr/>
        <a:lstStyle/>
        <a:p>
          <a:pPr algn="l"/>
          <a:endParaRPr lang="en-US" sz="1000" b="0"/>
        </a:p>
      </dgm:t>
    </dgm:pt>
    <dgm:pt modelId="{8DDDF13A-93D6-4F50-84B8-1F82B727A5E8}" type="asst">
      <dgm:prSet custT="1"/>
      <dgm:spPr>
        <a:noFill/>
        <a:ln>
          <a:solidFill>
            <a:schemeClr val="tx1"/>
          </a:solidFill>
        </a:ln>
      </dgm:spPr>
      <dgm:t>
        <a:bodyPr/>
        <a:lstStyle/>
        <a:p>
          <a:pPr marR="0" algn="ctr" rtl="0"/>
          <a:r>
            <a:rPr lang="en-GB" sz="1000" b="0" baseline="0" smtClean="0">
              <a:solidFill>
                <a:sysClr val="windowText" lastClr="000000"/>
              </a:solidFill>
              <a:latin typeface="Calibri"/>
            </a:rPr>
            <a:t>3. International Company s47(2)</a:t>
          </a:r>
          <a:endParaRPr lang="en-GB" sz="1000" b="0" smtClean="0">
            <a:solidFill>
              <a:sysClr val="windowText" lastClr="000000"/>
            </a:solidFill>
          </a:endParaRPr>
        </a:p>
      </dgm:t>
    </dgm:pt>
    <dgm:pt modelId="{1C327818-51E2-4741-A499-C76CDD424DA3}" type="parTrans" cxnId="{153C4D4B-CABF-4FFD-9DDE-D7C1F25A8629}">
      <dgm:prSet/>
      <dgm:spPr/>
      <dgm:t>
        <a:bodyPr/>
        <a:lstStyle/>
        <a:p>
          <a:pPr algn="l"/>
          <a:endParaRPr lang="en-US" sz="1000" b="0"/>
        </a:p>
      </dgm:t>
    </dgm:pt>
    <dgm:pt modelId="{4F626142-96EF-4DDF-90E8-E90F9660F323}" type="sibTrans" cxnId="{153C4D4B-CABF-4FFD-9DDE-D7C1F25A8629}">
      <dgm:prSet/>
      <dgm:spPr/>
      <dgm:t>
        <a:bodyPr/>
        <a:lstStyle/>
        <a:p>
          <a:pPr algn="l"/>
          <a:endParaRPr lang="en-US" sz="1000" b="0"/>
        </a:p>
      </dgm:t>
    </dgm:pt>
    <dgm:pt modelId="{92C330C0-33F9-4122-931C-2CF872FD7B4E}">
      <dgm:prSet custT="1"/>
      <dgm:spPr>
        <a:noFill/>
        <a:ln w="6350">
          <a:solidFill>
            <a:schemeClr val="tx1"/>
          </a:solidFill>
          <a:prstDash val="sysDot"/>
        </a:ln>
      </dgm:spPr>
      <dgm:t>
        <a:bodyPr/>
        <a:lstStyle/>
        <a:p>
          <a:pPr marR="0" algn="ctr" rtl="0"/>
          <a:r>
            <a:rPr lang="en-GB" sz="800" b="0" baseline="0" smtClean="0">
              <a:solidFill>
                <a:sysClr val="windowText" lastClr="000000"/>
              </a:solidFill>
              <a:latin typeface="Calibri"/>
            </a:rPr>
            <a:t>International Holding Company S49 </a:t>
          </a:r>
        </a:p>
        <a:p>
          <a:pPr marR="0" algn="ctr" rtl="0"/>
          <a:r>
            <a:rPr lang="en-GB" sz="800" b="0" baseline="0" smtClean="0">
              <a:solidFill>
                <a:sysClr val="windowText" lastClr="000000"/>
              </a:solidFill>
              <a:latin typeface="Calibri"/>
            </a:rPr>
            <a:t>(i.e. CISP no 3)</a:t>
          </a:r>
          <a:endParaRPr lang="en-GB" sz="800" b="0" smtClean="0">
            <a:solidFill>
              <a:sysClr val="windowText" lastClr="000000"/>
            </a:solidFill>
          </a:endParaRPr>
        </a:p>
      </dgm:t>
    </dgm:pt>
    <dgm:pt modelId="{BE554380-E87B-4165-9933-D178F3BBBF55}" type="parTrans" cxnId="{CE96A820-3BA0-4319-A37F-9999FEF0F79A}">
      <dgm:prSet/>
      <dgm:spPr/>
      <dgm:t>
        <a:bodyPr/>
        <a:lstStyle/>
        <a:p>
          <a:pPr algn="l"/>
          <a:endParaRPr lang="en-US" sz="1000" b="0"/>
        </a:p>
      </dgm:t>
    </dgm:pt>
    <dgm:pt modelId="{6D1E9829-A617-40E8-B7C7-82E85EF0F60E}" type="sibTrans" cxnId="{CE96A820-3BA0-4319-A37F-9999FEF0F79A}">
      <dgm:prSet/>
      <dgm:spPr/>
      <dgm:t>
        <a:bodyPr/>
        <a:lstStyle/>
        <a:p>
          <a:pPr algn="l"/>
          <a:endParaRPr lang="en-US" sz="1000" b="0"/>
        </a:p>
      </dgm:t>
    </dgm:pt>
    <dgm:pt modelId="{83DB415E-33F7-4489-9248-8199BB5D162D}">
      <dgm:prSet custT="1"/>
      <dgm:spPr>
        <a:noFill/>
        <a:ln w="6350">
          <a:solidFill>
            <a:schemeClr val="tx1"/>
          </a:solidFill>
          <a:prstDash val="sysDot"/>
        </a:ln>
      </dgm:spPr>
      <dgm:t>
        <a:bodyPr/>
        <a:lstStyle/>
        <a:p>
          <a:pPr marR="0" algn="ctr" rtl="0"/>
          <a:r>
            <a:rPr lang="en-GB" sz="800" b="0" baseline="0" smtClean="0">
              <a:solidFill>
                <a:sysClr val="windowText" lastClr="000000"/>
              </a:solidFill>
              <a:latin typeface="Calibri"/>
            </a:rPr>
            <a:t>International Fixed</a:t>
          </a:r>
        </a:p>
        <a:p>
          <a:pPr marR="0" algn="ctr" rtl="0"/>
          <a:r>
            <a:rPr lang="en-GB" sz="800" b="0" baseline="0" smtClean="0">
              <a:solidFill>
                <a:sysClr val="windowText" lastClr="000000"/>
              </a:solidFill>
              <a:latin typeface="Calibri"/>
            </a:rPr>
            <a:t>Property Company </a:t>
          </a:r>
        </a:p>
        <a:p>
          <a:pPr marR="0" algn="ctr" rtl="0"/>
          <a:r>
            <a:rPr lang="en-GB" sz="800" b="0" baseline="0" smtClean="0">
              <a:solidFill>
                <a:sysClr val="windowText" lastClr="000000"/>
              </a:solidFill>
              <a:latin typeface="Calibri"/>
            </a:rPr>
            <a:t>s49</a:t>
          </a:r>
          <a:endParaRPr lang="en-GB" sz="800" b="0" smtClean="0">
            <a:solidFill>
              <a:sysClr val="windowText" lastClr="000000"/>
            </a:solidFill>
          </a:endParaRPr>
        </a:p>
      </dgm:t>
    </dgm:pt>
    <dgm:pt modelId="{C6B5BDE1-7A96-4AA1-A3DB-A87933D28144}" type="parTrans" cxnId="{A0893665-E85A-41C0-AB57-808F6009756E}">
      <dgm:prSet/>
      <dgm:spPr/>
      <dgm:t>
        <a:bodyPr/>
        <a:lstStyle/>
        <a:p>
          <a:pPr algn="l"/>
          <a:endParaRPr lang="en-US" sz="1000" b="0"/>
        </a:p>
      </dgm:t>
    </dgm:pt>
    <dgm:pt modelId="{337FA241-9CB9-4B9E-B377-A0B17733A286}" type="sibTrans" cxnId="{A0893665-E85A-41C0-AB57-808F6009756E}">
      <dgm:prSet/>
      <dgm:spPr/>
      <dgm:t>
        <a:bodyPr/>
        <a:lstStyle/>
        <a:p>
          <a:pPr algn="l"/>
          <a:endParaRPr lang="en-US" sz="1000" b="0"/>
        </a:p>
      </dgm:t>
    </dgm:pt>
    <dgm:pt modelId="{D9DD4AC8-306D-4C51-98EC-FA63608048A1}" type="pres">
      <dgm:prSet presAssocID="{73820458-83B7-4C53-A526-B1BFA39DECEA}" presName="hierChild1" presStyleCnt="0">
        <dgm:presLayoutVars>
          <dgm:orgChart val="1"/>
          <dgm:chPref val="1"/>
          <dgm:dir/>
          <dgm:animOne val="branch"/>
          <dgm:animLvl val="lvl"/>
          <dgm:resizeHandles/>
        </dgm:presLayoutVars>
      </dgm:prSet>
      <dgm:spPr/>
    </dgm:pt>
    <dgm:pt modelId="{8C841592-4658-48E0-B2DB-274C4FD7A6A3}" type="pres">
      <dgm:prSet presAssocID="{4639B9EE-FDCC-433A-80F3-FB78EBB15C6A}" presName="hierRoot1" presStyleCnt="0">
        <dgm:presLayoutVars>
          <dgm:hierBranch/>
        </dgm:presLayoutVars>
      </dgm:prSet>
      <dgm:spPr/>
    </dgm:pt>
    <dgm:pt modelId="{6796EF87-9E40-450B-8ECA-5DFF84880F92}" type="pres">
      <dgm:prSet presAssocID="{4639B9EE-FDCC-433A-80F3-FB78EBB15C6A}" presName="rootComposite1" presStyleCnt="0"/>
      <dgm:spPr/>
    </dgm:pt>
    <dgm:pt modelId="{0B691DCB-BCD7-4CB1-9D23-A5742895FAA4}" type="pres">
      <dgm:prSet presAssocID="{4639B9EE-FDCC-433A-80F3-FB78EBB15C6A}" presName="rootText1" presStyleLbl="node0" presStyleIdx="0" presStyleCnt="1" custScaleX="243919" custScaleY="131356" custLinFactNeighborY="-472">
        <dgm:presLayoutVars>
          <dgm:chPref val="3"/>
        </dgm:presLayoutVars>
      </dgm:prSet>
      <dgm:spPr/>
      <dgm:t>
        <a:bodyPr/>
        <a:lstStyle/>
        <a:p>
          <a:endParaRPr lang="en-US"/>
        </a:p>
      </dgm:t>
    </dgm:pt>
    <dgm:pt modelId="{CFFDDC0C-EA74-4D3A-9020-83239BBE3142}" type="pres">
      <dgm:prSet presAssocID="{4639B9EE-FDCC-433A-80F3-FB78EBB15C6A}" presName="rootConnector1" presStyleLbl="node1" presStyleIdx="0" presStyleCnt="0"/>
      <dgm:spPr/>
      <dgm:t>
        <a:bodyPr/>
        <a:lstStyle/>
        <a:p>
          <a:endParaRPr lang="en-US"/>
        </a:p>
      </dgm:t>
    </dgm:pt>
    <dgm:pt modelId="{AE3CDF47-3193-4CB1-9043-FB6A9FB633C3}" type="pres">
      <dgm:prSet presAssocID="{4639B9EE-FDCC-433A-80F3-FB78EBB15C6A}" presName="hierChild2" presStyleCnt="0"/>
      <dgm:spPr/>
    </dgm:pt>
    <dgm:pt modelId="{CFE4C008-F37A-4E3A-962C-7B2DECA04B05}" type="pres">
      <dgm:prSet presAssocID="{4639B9EE-FDCC-433A-80F3-FB78EBB15C6A}" presName="hierChild3" presStyleCnt="0"/>
      <dgm:spPr/>
    </dgm:pt>
    <dgm:pt modelId="{DC18F6B0-5047-47A7-BFE0-096A726C96B0}" type="pres">
      <dgm:prSet presAssocID="{937E6870-9335-4000-BFC6-07204ABE8438}" presName="Name111" presStyleLbl="parChTrans1D2" presStyleIdx="0" presStyleCnt="3"/>
      <dgm:spPr/>
      <dgm:t>
        <a:bodyPr/>
        <a:lstStyle/>
        <a:p>
          <a:endParaRPr lang="en-US"/>
        </a:p>
      </dgm:t>
    </dgm:pt>
    <dgm:pt modelId="{BEDAB809-F6A0-4F8D-8D04-B72DDAD4A886}" type="pres">
      <dgm:prSet presAssocID="{5CDE10AA-4027-4577-9124-EC2BB55C3CCE}" presName="hierRoot3" presStyleCnt="0">
        <dgm:presLayoutVars>
          <dgm:hierBranch val="r"/>
        </dgm:presLayoutVars>
      </dgm:prSet>
      <dgm:spPr/>
    </dgm:pt>
    <dgm:pt modelId="{DBB416BB-58D0-47D2-B81C-72B42081EA93}" type="pres">
      <dgm:prSet presAssocID="{5CDE10AA-4027-4577-9124-EC2BB55C3CCE}" presName="rootComposite3" presStyleCnt="0"/>
      <dgm:spPr/>
    </dgm:pt>
    <dgm:pt modelId="{7D88CC12-A21F-464B-805C-EB68B33C4A81}" type="pres">
      <dgm:prSet presAssocID="{5CDE10AA-4027-4577-9124-EC2BB55C3CCE}" presName="rootText3" presStyleLbl="asst1" presStyleIdx="0" presStyleCnt="3" custScaleX="166449" custScaleY="165640" custLinFactNeighborX="61313" custLinFactNeighborY="1743">
        <dgm:presLayoutVars>
          <dgm:chPref val="3"/>
        </dgm:presLayoutVars>
      </dgm:prSet>
      <dgm:spPr/>
      <dgm:t>
        <a:bodyPr/>
        <a:lstStyle/>
        <a:p>
          <a:endParaRPr lang="en-US"/>
        </a:p>
      </dgm:t>
    </dgm:pt>
    <dgm:pt modelId="{BA9A0F3B-3720-4630-8000-DB23F991DB2A}" type="pres">
      <dgm:prSet presAssocID="{5CDE10AA-4027-4577-9124-EC2BB55C3CCE}" presName="rootConnector3" presStyleLbl="asst1" presStyleIdx="0" presStyleCnt="3"/>
      <dgm:spPr/>
      <dgm:t>
        <a:bodyPr/>
        <a:lstStyle/>
        <a:p>
          <a:endParaRPr lang="en-US"/>
        </a:p>
      </dgm:t>
    </dgm:pt>
    <dgm:pt modelId="{488295BE-BAC4-42AF-9722-3735F49B8A61}" type="pres">
      <dgm:prSet presAssocID="{5CDE10AA-4027-4577-9124-EC2BB55C3CCE}" presName="hierChild6" presStyleCnt="0"/>
      <dgm:spPr/>
    </dgm:pt>
    <dgm:pt modelId="{C32EA445-105B-4D37-858C-A2A257C0C57D}" type="pres">
      <dgm:prSet presAssocID="{3F8BE251-AE62-4346-8390-10E5CCF7A9BD}" presName="Name50" presStyleLbl="parChTrans1D3" presStyleIdx="0" presStyleCnt="3"/>
      <dgm:spPr/>
      <dgm:t>
        <a:bodyPr/>
        <a:lstStyle/>
        <a:p>
          <a:endParaRPr lang="en-US"/>
        </a:p>
      </dgm:t>
    </dgm:pt>
    <dgm:pt modelId="{D64349EA-F1D6-4187-A37D-13C820876BA3}" type="pres">
      <dgm:prSet presAssocID="{8B498A41-EF31-4591-97DA-15A8FD88FB0A}" presName="hierRoot2" presStyleCnt="0">
        <dgm:presLayoutVars>
          <dgm:hierBranch val="r"/>
        </dgm:presLayoutVars>
      </dgm:prSet>
      <dgm:spPr/>
    </dgm:pt>
    <dgm:pt modelId="{73C1DD6D-9FD4-4F8B-B53C-57A9A7EE2012}" type="pres">
      <dgm:prSet presAssocID="{8B498A41-EF31-4591-97DA-15A8FD88FB0A}" presName="rootComposite" presStyleCnt="0"/>
      <dgm:spPr/>
    </dgm:pt>
    <dgm:pt modelId="{E428EF98-9959-40BD-936A-2EBEBF5B2E5D}" type="pres">
      <dgm:prSet presAssocID="{8B498A41-EF31-4591-97DA-15A8FD88FB0A}" presName="rootText" presStyleLbl="node3" presStyleIdx="0" presStyleCnt="3" custScaleX="99797" custLinFactNeighborX="-72324" custLinFactNeighborY="-1742">
        <dgm:presLayoutVars>
          <dgm:chPref val="3"/>
        </dgm:presLayoutVars>
      </dgm:prSet>
      <dgm:spPr/>
      <dgm:t>
        <a:bodyPr/>
        <a:lstStyle/>
        <a:p>
          <a:endParaRPr lang="en-US"/>
        </a:p>
      </dgm:t>
    </dgm:pt>
    <dgm:pt modelId="{335D91E1-AC9D-449C-A17B-43E5537BE884}" type="pres">
      <dgm:prSet presAssocID="{8B498A41-EF31-4591-97DA-15A8FD88FB0A}" presName="rootConnector" presStyleLbl="node3" presStyleIdx="0" presStyleCnt="3"/>
      <dgm:spPr/>
      <dgm:t>
        <a:bodyPr/>
        <a:lstStyle/>
        <a:p>
          <a:endParaRPr lang="en-US"/>
        </a:p>
      </dgm:t>
    </dgm:pt>
    <dgm:pt modelId="{68F9F7E1-8251-4E9C-89D8-7759CF9043D3}" type="pres">
      <dgm:prSet presAssocID="{8B498A41-EF31-4591-97DA-15A8FD88FB0A}" presName="hierChild4" presStyleCnt="0"/>
      <dgm:spPr/>
    </dgm:pt>
    <dgm:pt modelId="{3E3A99A0-7549-4175-8A75-6555D710DDCF}" type="pres">
      <dgm:prSet presAssocID="{8B498A41-EF31-4591-97DA-15A8FD88FB0A}" presName="hierChild5" presStyleCnt="0"/>
      <dgm:spPr/>
    </dgm:pt>
    <dgm:pt modelId="{28CAB241-F644-457C-B353-6313AFEAB274}" type="pres">
      <dgm:prSet presAssocID="{5CDE10AA-4027-4577-9124-EC2BB55C3CCE}" presName="hierChild7" presStyleCnt="0"/>
      <dgm:spPr/>
    </dgm:pt>
    <dgm:pt modelId="{C2E00C12-1FAE-4260-9AFE-B043D1D5EBA7}" type="pres">
      <dgm:prSet presAssocID="{D405D66B-C9BC-48EA-8216-AD2D7F381441}" presName="Name111" presStyleLbl="parChTrans1D2" presStyleIdx="1" presStyleCnt="3"/>
      <dgm:spPr/>
      <dgm:t>
        <a:bodyPr/>
        <a:lstStyle/>
        <a:p>
          <a:endParaRPr lang="en-US"/>
        </a:p>
      </dgm:t>
    </dgm:pt>
    <dgm:pt modelId="{14E603DE-84C1-41A1-8722-2FD5B5356249}" type="pres">
      <dgm:prSet presAssocID="{3A6BB556-3C78-47A1-BB56-759B4DFF84B9}" presName="hierRoot3" presStyleCnt="0">
        <dgm:presLayoutVars>
          <dgm:hierBranch/>
        </dgm:presLayoutVars>
      </dgm:prSet>
      <dgm:spPr/>
    </dgm:pt>
    <dgm:pt modelId="{5B1FB2AF-F10C-4C91-BE0F-C25DB4B4CF79}" type="pres">
      <dgm:prSet presAssocID="{3A6BB556-3C78-47A1-BB56-759B4DFF84B9}" presName="rootComposite3" presStyleCnt="0"/>
      <dgm:spPr/>
    </dgm:pt>
    <dgm:pt modelId="{03D95CCB-AE5E-4738-8F5C-AFADE89E960E}" type="pres">
      <dgm:prSet presAssocID="{3A6BB556-3C78-47A1-BB56-759B4DFF84B9}" presName="rootText3" presStyleLbl="asst1" presStyleIdx="1" presStyleCnt="3" custScaleX="154811" custScaleY="172286" custLinFactNeighborX="48684" custLinFactNeighborY="-1852">
        <dgm:presLayoutVars>
          <dgm:chPref val="3"/>
        </dgm:presLayoutVars>
      </dgm:prSet>
      <dgm:spPr/>
      <dgm:t>
        <a:bodyPr/>
        <a:lstStyle/>
        <a:p>
          <a:endParaRPr lang="en-US"/>
        </a:p>
      </dgm:t>
    </dgm:pt>
    <dgm:pt modelId="{0A144281-A049-435E-920E-CDA932D08F82}" type="pres">
      <dgm:prSet presAssocID="{3A6BB556-3C78-47A1-BB56-759B4DFF84B9}" presName="rootConnector3" presStyleLbl="asst1" presStyleIdx="1" presStyleCnt="3"/>
      <dgm:spPr/>
      <dgm:t>
        <a:bodyPr/>
        <a:lstStyle/>
        <a:p>
          <a:endParaRPr lang="en-US"/>
        </a:p>
      </dgm:t>
    </dgm:pt>
    <dgm:pt modelId="{632FAD00-FABE-486C-98B8-2E8AE0FD4654}" type="pres">
      <dgm:prSet presAssocID="{3A6BB556-3C78-47A1-BB56-759B4DFF84B9}" presName="hierChild6" presStyleCnt="0"/>
      <dgm:spPr/>
    </dgm:pt>
    <dgm:pt modelId="{DA4EE70A-8550-4A2D-8DB5-BF0EFED86E8C}" type="pres">
      <dgm:prSet presAssocID="{3A6BB556-3C78-47A1-BB56-759B4DFF84B9}" presName="hierChild7" presStyleCnt="0"/>
      <dgm:spPr/>
    </dgm:pt>
    <dgm:pt modelId="{69384981-6F43-4AC0-AC9B-1A5A86F46721}" type="pres">
      <dgm:prSet presAssocID="{1C327818-51E2-4741-A499-C76CDD424DA3}" presName="Name111" presStyleLbl="parChTrans1D2" presStyleIdx="2" presStyleCnt="3"/>
      <dgm:spPr/>
      <dgm:t>
        <a:bodyPr/>
        <a:lstStyle/>
        <a:p>
          <a:endParaRPr lang="en-US"/>
        </a:p>
      </dgm:t>
    </dgm:pt>
    <dgm:pt modelId="{55C7D267-9EAF-4A95-9E1E-50940DDCDCF6}" type="pres">
      <dgm:prSet presAssocID="{8DDDF13A-93D6-4F50-84B8-1F82B727A5E8}" presName="hierRoot3" presStyleCnt="0">
        <dgm:presLayoutVars>
          <dgm:hierBranch/>
        </dgm:presLayoutVars>
      </dgm:prSet>
      <dgm:spPr/>
    </dgm:pt>
    <dgm:pt modelId="{D5D64240-B86B-4A89-B914-AF11F1320F7D}" type="pres">
      <dgm:prSet presAssocID="{8DDDF13A-93D6-4F50-84B8-1F82B727A5E8}" presName="rootComposite3" presStyleCnt="0"/>
      <dgm:spPr/>
    </dgm:pt>
    <dgm:pt modelId="{91BBF94B-FB16-4DA9-9396-710123F0FF81}" type="pres">
      <dgm:prSet presAssocID="{8DDDF13A-93D6-4F50-84B8-1F82B727A5E8}" presName="rootText3" presStyleLbl="asst1" presStyleIdx="2" presStyleCnt="3" custScaleX="192779" custScaleY="142992" custLinFactNeighborX="25964" custLinFactNeighborY="-15145">
        <dgm:presLayoutVars>
          <dgm:chPref val="3"/>
        </dgm:presLayoutVars>
      </dgm:prSet>
      <dgm:spPr/>
      <dgm:t>
        <a:bodyPr/>
        <a:lstStyle/>
        <a:p>
          <a:endParaRPr lang="en-US"/>
        </a:p>
      </dgm:t>
    </dgm:pt>
    <dgm:pt modelId="{84530917-4442-4683-BF99-772498308B00}" type="pres">
      <dgm:prSet presAssocID="{8DDDF13A-93D6-4F50-84B8-1F82B727A5E8}" presName="rootConnector3" presStyleLbl="asst1" presStyleIdx="2" presStyleCnt="3"/>
      <dgm:spPr/>
      <dgm:t>
        <a:bodyPr/>
        <a:lstStyle/>
        <a:p>
          <a:endParaRPr lang="en-US"/>
        </a:p>
      </dgm:t>
    </dgm:pt>
    <dgm:pt modelId="{222BD262-5761-4CA2-BEFB-3CCEB337CEBA}" type="pres">
      <dgm:prSet presAssocID="{8DDDF13A-93D6-4F50-84B8-1F82B727A5E8}" presName="hierChild6" presStyleCnt="0"/>
      <dgm:spPr/>
    </dgm:pt>
    <dgm:pt modelId="{B53943D2-C646-4BF0-B30F-78222A69E0D2}" type="pres">
      <dgm:prSet presAssocID="{BE554380-E87B-4165-9933-D178F3BBBF55}" presName="Name35" presStyleLbl="parChTrans1D3" presStyleIdx="1" presStyleCnt="3"/>
      <dgm:spPr/>
      <dgm:t>
        <a:bodyPr/>
        <a:lstStyle/>
        <a:p>
          <a:endParaRPr lang="en-US"/>
        </a:p>
      </dgm:t>
    </dgm:pt>
    <dgm:pt modelId="{57C7E345-72B3-4713-8919-3E96BF86C6A3}" type="pres">
      <dgm:prSet presAssocID="{92C330C0-33F9-4122-931C-2CF872FD7B4E}" presName="hierRoot2" presStyleCnt="0">
        <dgm:presLayoutVars>
          <dgm:hierBranch val="r"/>
        </dgm:presLayoutVars>
      </dgm:prSet>
      <dgm:spPr/>
    </dgm:pt>
    <dgm:pt modelId="{D4BEEF14-8884-4E5B-BE88-C3DDD74294D0}" type="pres">
      <dgm:prSet presAssocID="{92C330C0-33F9-4122-931C-2CF872FD7B4E}" presName="rootComposite" presStyleCnt="0"/>
      <dgm:spPr/>
    </dgm:pt>
    <dgm:pt modelId="{76BFBD6B-5188-4C7A-B1AF-62FC4C2014AF}" type="pres">
      <dgm:prSet presAssocID="{92C330C0-33F9-4122-931C-2CF872FD7B4E}" presName="rootText" presStyleLbl="node3" presStyleIdx="1" presStyleCnt="3" custScaleX="113753" custLinFactNeighborY="473">
        <dgm:presLayoutVars>
          <dgm:chPref val="3"/>
        </dgm:presLayoutVars>
      </dgm:prSet>
      <dgm:spPr/>
      <dgm:t>
        <a:bodyPr/>
        <a:lstStyle/>
        <a:p>
          <a:endParaRPr lang="en-US"/>
        </a:p>
      </dgm:t>
    </dgm:pt>
    <dgm:pt modelId="{042520DD-4EBB-4885-A937-B57643ED16E1}" type="pres">
      <dgm:prSet presAssocID="{92C330C0-33F9-4122-931C-2CF872FD7B4E}" presName="rootConnector" presStyleLbl="node3" presStyleIdx="1" presStyleCnt="3"/>
      <dgm:spPr/>
      <dgm:t>
        <a:bodyPr/>
        <a:lstStyle/>
        <a:p>
          <a:endParaRPr lang="en-US"/>
        </a:p>
      </dgm:t>
    </dgm:pt>
    <dgm:pt modelId="{93A24AE1-49C7-483D-A6DE-222C855084FD}" type="pres">
      <dgm:prSet presAssocID="{92C330C0-33F9-4122-931C-2CF872FD7B4E}" presName="hierChild4" presStyleCnt="0"/>
      <dgm:spPr/>
    </dgm:pt>
    <dgm:pt modelId="{AA323CD5-E870-459E-8FDC-F6EE54CA9E9F}" type="pres">
      <dgm:prSet presAssocID="{92C330C0-33F9-4122-931C-2CF872FD7B4E}" presName="hierChild5" presStyleCnt="0"/>
      <dgm:spPr/>
    </dgm:pt>
    <dgm:pt modelId="{009B5076-84F6-4CC0-A233-0706307F5FB3}" type="pres">
      <dgm:prSet presAssocID="{C6B5BDE1-7A96-4AA1-A3DB-A87933D28144}" presName="Name35" presStyleLbl="parChTrans1D3" presStyleIdx="2" presStyleCnt="3"/>
      <dgm:spPr/>
      <dgm:t>
        <a:bodyPr/>
        <a:lstStyle/>
        <a:p>
          <a:endParaRPr lang="en-US"/>
        </a:p>
      </dgm:t>
    </dgm:pt>
    <dgm:pt modelId="{F6D32527-5F93-44CA-88C9-B1C7481A9FEB}" type="pres">
      <dgm:prSet presAssocID="{83DB415E-33F7-4489-9248-8199BB5D162D}" presName="hierRoot2" presStyleCnt="0">
        <dgm:presLayoutVars>
          <dgm:hierBranch val="r"/>
        </dgm:presLayoutVars>
      </dgm:prSet>
      <dgm:spPr/>
    </dgm:pt>
    <dgm:pt modelId="{44C7A9FC-279F-4CBA-A6C2-B81B1AE9206A}" type="pres">
      <dgm:prSet presAssocID="{83DB415E-33F7-4489-9248-8199BB5D162D}" presName="rootComposite" presStyleCnt="0"/>
      <dgm:spPr/>
    </dgm:pt>
    <dgm:pt modelId="{A54C76D2-6BB6-4B95-A666-C35678B78875}" type="pres">
      <dgm:prSet presAssocID="{83DB415E-33F7-4489-9248-8199BB5D162D}" presName="rootText" presStyleLbl="node3" presStyleIdx="2" presStyleCnt="3" custScaleX="135485" custLinFactNeighborY="473">
        <dgm:presLayoutVars>
          <dgm:chPref val="3"/>
        </dgm:presLayoutVars>
      </dgm:prSet>
      <dgm:spPr/>
      <dgm:t>
        <a:bodyPr/>
        <a:lstStyle/>
        <a:p>
          <a:endParaRPr lang="en-US"/>
        </a:p>
      </dgm:t>
    </dgm:pt>
    <dgm:pt modelId="{AA091C41-4930-4431-B679-E41768F4EAF4}" type="pres">
      <dgm:prSet presAssocID="{83DB415E-33F7-4489-9248-8199BB5D162D}" presName="rootConnector" presStyleLbl="node3" presStyleIdx="2" presStyleCnt="3"/>
      <dgm:spPr/>
      <dgm:t>
        <a:bodyPr/>
        <a:lstStyle/>
        <a:p>
          <a:endParaRPr lang="en-US"/>
        </a:p>
      </dgm:t>
    </dgm:pt>
    <dgm:pt modelId="{B11FB6BF-39E6-48B8-B8B5-4330B2952861}" type="pres">
      <dgm:prSet presAssocID="{83DB415E-33F7-4489-9248-8199BB5D162D}" presName="hierChild4" presStyleCnt="0"/>
      <dgm:spPr/>
    </dgm:pt>
    <dgm:pt modelId="{93326DEE-89CB-4303-8ABA-6A09B2E998E2}" type="pres">
      <dgm:prSet presAssocID="{83DB415E-33F7-4489-9248-8199BB5D162D}" presName="hierChild5" presStyleCnt="0"/>
      <dgm:spPr/>
    </dgm:pt>
    <dgm:pt modelId="{E698334C-D8C0-4921-BCB4-15A6BEEE91B3}" type="pres">
      <dgm:prSet presAssocID="{8DDDF13A-93D6-4F50-84B8-1F82B727A5E8}" presName="hierChild7" presStyleCnt="0"/>
      <dgm:spPr/>
    </dgm:pt>
  </dgm:ptLst>
  <dgm:cxnLst>
    <dgm:cxn modelId="{362B7E96-79BD-46DD-A956-75D6201032E5}" srcId="{4639B9EE-FDCC-433A-80F3-FB78EBB15C6A}" destId="{3A6BB556-3C78-47A1-BB56-759B4DFF84B9}" srcOrd="1" destOrd="0" parTransId="{D405D66B-C9BC-48EA-8216-AD2D7F381441}" sibTransId="{A6FF7E62-B9B1-4084-8D0C-A1A215BFDD30}"/>
    <dgm:cxn modelId="{15752207-6A44-4164-A501-74DCF02F3C23}" type="presOf" srcId="{1C327818-51E2-4741-A499-C76CDD424DA3}" destId="{69384981-6F43-4AC0-AC9B-1A5A86F46721}" srcOrd="0" destOrd="0" presId="urn:microsoft.com/office/officeart/2005/8/layout/orgChart1"/>
    <dgm:cxn modelId="{F2E7BCB5-75A5-4B0F-9349-78894F2308C8}" type="presOf" srcId="{BE554380-E87B-4165-9933-D178F3BBBF55}" destId="{B53943D2-C646-4BF0-B30F-78222A69E0D2}" srcOrd="0" destOrd="0" presId="urn:microsoft.com/office/officeart/2005/8/layout/orgChart1"/>
    <dgm:cxn modelId="{1564CE24-C934-4E1F-AD91-210C2062E32D}" srcId="{73820458-83B7-4C53-A526-B1BFA39DECEA}" destId="{4639B9EE-FDCC-433A-80F3-FB78EBB15C6A}" srcOrd="0" destOrd="0" parTransId="{C3470B4B-E3C7-4F8E-BF59-E57CF4E93585}" sibTransId="{AEE5CB82-AB91-46B6-A666-1229C11DF9EA}"/>
    <dgm:cxn modelId="{54409B73-CA4A-4419-8042-E03878F7E5AF}" type="presOf" srcId="{C6B5BDE1-7A96-4AA1-A3DB-A87933D28144}" destId="{009B5076-84F6-4CC0-A233-0706307F5FB3}" srcOrd="0" destOrd="0" presId="urn:microsoft.com/office/officeart/2005/8/layout/orgChart1"/>
    <dgm:cxn modelId="{7730040B-4227-4DAA-9CB2-FF557BB7FF9F}" type="presOf" srcId="{4639B9EE-FDCC-433A-80F3-FB78EBB15C6A}" destId="{CFFDDC0C-EA74-4D3A-9020-83239BBE3142}" srcOrd="1" destOrd="0" presId="urn:microsoft.com/office/officeart/2005/8/layout/orgChart1"/>
    <dgm:cxn modelId="{6F043C69-D5DD-4DFE-96EF-CE4E0D0AA004}" type="presOf" srcId="{8DDDF13A-93D6-4F50-84B8-1F82B727A5E8}" destId="{91BBF94B-FB16-4DA9-9396-710123F0FF81}" srcOrd="0" destOrd="0" presId="urn:microsoft.com/office/officeart/2005/8/layout/orgChart1"/>
    <dgm:cxn modelId="{1575B414-B29A-494C-9400-32645EFE432E}" type="presOf" srcId="{3A6BB556-3C78-47A1-BB56-759B4DFF84B9}" destId="{03D95CCB-AE5E-4738-8F5C-AFADE89E960E}" srcOrd="0" destOrd="0" presId="urn:microsoft.com/office/officeart/2005/8/layout/orgChart1"/>
    <dgm:cxn modelId="{EDC522A4-991C-4455-AD52-B22701EB608A}" srcId="{5CDE10AA-4027-4577-9124-EC2BB55C3CCE}" destId="{8B498A41-EF31-4591-97DA-15A8FD88FB0A}" srcOrd="0" destOrd="0" parTransId="{3F8BE251-AE62-4346-8390-10E5CCF7A9BD}" sibTransId="{9C74CD1B-B723-4989-87B4-27C382C897FE}"/>
    <dgm:cxn modelId="{2AE1BEF2-A77D-4701-BF71-4D7FC20338F9}" type="presOf" srcId="{92C330C0-33F9-4122-931C-2CF872FD7B4E}" destId="{76BFBD6B-5188-4C7A-B1AF-62FC4C2014AF}" srcOrd="0" destOrd="0" presId="urn:microsoft.com/office/officeart/2005/8/layout/orgChart1"/>
    <dgm:cxn modelId="{9E23428C-5A42-405C-A255-3F4729468B86}" type="presOf" srcId="{8B498A41-EF31-4591-97DA-15A8FD88FB0A}" destId="{E428EF98-9959-40BD-936A-2EBEBF5B2E5D}" srcOrd="0" destOrd="0" presId="urn:microsoft.com/office/officeart/2005/8/layout/orgChart1"/>
    <dgm:cxn modelId="{59863604-12EE-4D05-8AFF-92E04DECE6E9}" type="presOf" srcId="{83DB415E-33F7-4489-9248-8199BB5D162D}" destId="{AA091C41-4930-4431-B679-E41768F4EAF4}" srcOrd="1" destOrd="0" presId="urn:microsoft.com/office/officeart/2005/8/layout/orgChart1"/>
    <dgm:cxn modelId="{C591A78D-CD7B-439E-9D8B-CA024522FA0E}" type="presOf" srcId="{D405D66B-C9BC-48EA-8216-AD2D7F381441}" destId="{C2E00C12-1FAE-4260-9AFE-B043D1D5EBA7}" srcOrd="0" destOrd="0" presId="urn:microsoft.com/office/officeart/2005/8/layout/orgChart1"/>
    <dgm:cxn modelId="{90473DF1-D018-4E3F-902B-055B74C4D791}" type="presOf" srcId="{3A6BB556-3C78-47A1-BB56-759B4DFF84B9}" destId="{0A144281-A049-435E-920E-CDA932D08F82}" srcOrd="1" destOrd="0" presId="urn:microsoft.com/office/officeart/2005/8/layout/orgChart1"/>
    <dgm:cxn modelId="{347FB9A5-20B7-4C92-ADDE-66E54D82428D}" type="presOf" srcId="{83DB415E-33F7-4489-9248-8199BB5D162D}" destId="{A54C76D2-6BB6-4B95-A666-C35678B78875}" srcOrd="0" destOrd="0" presId="urn:microsoft.com/office/officeart/2005/8/layout/orgChart1"/>
    <dgm:cxn modelId="{CE96A820-3BA0-4319-A37F-9999FEF0F79A}" srcId="{8DDDF13A-93D6-4F50-84B8-1F82B727A5E8}" destId="{92C330C0-33F9-4122-931C-2CF872FD7B4E}" srcOrd="0" destOrd="0" parTransId="{BE554380-E87B-4165-9933-D178F3BBBF55}" sibTransId="{6D1E9829-A617-40E8-B7C7-82E85EF0F60E}"/>
    <dgm:cxn modelId="{C51BDD5A-2368-4F39-9183-9CBFE8717067}" srcId="{4639B9EE-FDCC-433A-80F3-FB78EBB15C6A}" destId="{5CDE10AA-4027-4577-9124-EC2BB55C3CCE}" srcOrd="0" destOrd="0" parTransId="{937E6870-9335-4000-BFC6-07204ABE8438}" sibTransId="{583DE13B-D989-4CE6-BE19-28BE30EAE43C}"/>
    <dgm:cxn modelId="{0114EA15-F312-4684-A9D9-E80D51F49B7C}" type="presOf" srcId="{5CDE10AA-4027-4577-9124-EC2BB55C3CCE}" destId="{BA9A0F3B-3720-4630-8000-DB23F991DB2A}" srcOrd="1" destOrd="0" presId="urn:microsoft.com/office/officeart/2005/8/layout/orgChart1"/>
    <dgm:cxn modelId="{90425024-DD20-4524-96BA-BB487767E3EF}" type="presOf" srcId="{92C330C0-33F9-4122-931C-2CF872FD7B4E}" destId="{042520DD-4EBB-4885-A937-B57643ED16E1}" srcOrd="1" destOrd="0" presId="urn:microsoft.com/office/officeart/2005/8/layout/orgChart1"/>
    <dgm:cxn modelId="{6927D0FA-0C2F-4DC2-823F-13E536BB08B3}" type="presOf" srcId="{8DDDF13A-93D6-4F50-84B8-1F82B727A5E8}" destId="{84530917-4442-4683-BF99-772498308B00}" srcOrd="1" destOrd="0" presId="urn:microsoft.com/office/officeart/2005/8/layout/orgChart1"/>
    <dgm:cxn modelId="{DBEB53DC-F646-4C35-B9E9-8A348CD81E93}" type="presOf" srcId="{73820458-83B7-4C53-A526-B1BFA39DECEA}" destId="{D9DD4AC8-306D-4C51-98EC-FA63608048A1}" srcOrd="0" destOrd="0" presId="urn:microsoft.com/office/officeart/2005/8/layout/orgChart1"/>
    <dgm:cxn modelId="{DA205D43-EBA2-498F-91D0-83C7F87E5A43}" type="presOf" srcId="{5CDE10AA-4027-4577-9124-EC2BB55C3CCE}" destId="{7D88CC12-A21F-464B-805C-EB68B33C4A81}" srcOrd="0" destOrd="0" presId="urn:microsoft.com/office/officeart/2005/8/layout/orgChart1"/>
    <dgm:cxn modelId="{C546093C-071B-44AA-8C7E-3872A7DF12DF}" type="presOf" srcId="{3F8BE251-AE62-4346-8390-10E5CCF7A9BD}" destId="{C32EA445-105B-4D37-858C-A2A257C0C57D}" srcOrd="0" destOrd="0" presId="urn:microsoft.com/office/officeart/2005/8/layout/orgChart1"/>
    <dgm:cxn modelId="{E80A0821-EFF2-4906-AF15-9A02401CFF26}" type="presOf" srcId="{8B498A41-EF31-4591-97DA-15A8FD88FB0A}" destId="{335D91E1-AC9D-449C-A17B-43E5537BE884}" srcOrd="1" destOrd="0" presId="urn:microsoft.com/office/officeart/2005/8/layout/orgChart1"/>
    <dgm:cxn modelId="{153C4D4B-CABF-4FFD-9DDE-D7C1F25A8629}" srcId="{4639B9EE-FDCC-433A-80F3-FB78EBB15C6A}" destId="{8DDDF13A-93D6-4F50-84B8-1F82B727A5E8}" srcOrd="2" destOrd="0" parTransId="{1C327818-51E2-4741-A499-C76CDD424DA3}" sibTransId="{4F626142-96EF-4DDF-90E8-E90F9660F323}"/>
    <dgm:cxn modelId="{A0893665-E85A-41C0-AB57-808F6009756E}" srcId="{8DDDF13A-93D6-4F50-84B8-1F82B727A5E8}" destId="{83DB415E-33F7-4489-9248-8199BB5D162D}" srcOrd="1" destOrd="0" parTransId="{C6B5BDE1-7A96-4AA1-A3DB-A87933D28144}" sibTransId="{337FA241-9CB9-4B9E-B377-A0B17733A286}"/>
    <dgm:cxn modelId="{110B2DE3-64BB-43F2-8EF2-D41009238A85}" type="presOf" srcId="{4639B9EE-FDCC-433A-80F3-FB78EBB15C6A}" destId="{0B691DCB-BCD7-4CB1-9D23-A5742895FAA4}" srcOrd="0" destOrd="0" presId="urn:microsoft.com/office/officeart/2005/8/layout/orgChart1"/>
    <dgm:cxn modelId="{B9893776-7231-46F3-ADD4-3E03179E55E0}" type="presOf" srcId="{937E6870-9335-4000-BFC6-07204ABE8438}" destId="{DC18F6B0-5047-47A7-BFE0-096A726C96B0}" srcOrd="0" destOrd="0" presId="urn:microsoft.com/office/officeart/2005/8/layout/orgChart1"/>
    <dgm:cxn modelId="{6006A8B8-6AD0-41B3-9C3E-C0EF6D2186C2}" type="presParOf" srcId="{D9DD4AC8-306D-4C51-98EC-FA63608048A1}" destId="{8C841592-4658-48E0-B2DB-274C4FD7A6A3}" srcOrd="0" destOrd="0" presId="urn:microsoft.com/office/officeart/2005/8/layout/orgChart1"/>
    <dgm:cxn modelId="{3879149A-82BA-41E4-89F0-E0E57E78651C}" type="presParOf" srcId="{8C841592-4658-48E0-B2DB-274C4FD7A6A3}" destId="{6796EF87-9E40-450B-8ECA-5DFF84880F92}" srcOrd="0" destOrd="0" presId="urn:microsoft.com/office/officeart/2005/8/layout/orgChart1"/>
    <dgm:cxn modelId="{F71800A9-9135-4410-99BB-DC22B1C18764}" type="presParOf" srcId="{6796EF87-9E40-450B-8ECA-5DFF84880F92}" destId="{0B691DCB-BCD7-4CB1-9D23-A5742895FAA4}" srcOrd="0" destOrd="0" presId="urn:microsoft.com/office/officeart/2005/8/layout/orgChart1"/>
    <dgm:cxn modelId="{173BC732-F7F9-4EAF-B765-CC630F12DCAE}" type="presParOf" srcId="{6796EF87-9E40-450B-8ECA-5DFF84880F92}" destId="{CFFDDC0C-EA74-4D3A-9020-83239BBE3142}" srcOrd="1" destOrd="0" presId="urn:microsoft.com/office/officeart/2005/8/layout/orgChart1"/>
    <dgm:cxn modelId="{EED0851F-6E3B-4C3A-A445-4F7ADE79293A}" type="presParOf" srcId="{8C841592-4658-48E0-B2DB-274C4FD7A6A3}" destId="{AE3CDF47-3193-4CB1-9043-FB6A9FB633C3}" srcOrd="1" destOrd="0" presId="urn:microsoft.com/office/officeart/2005/8/layout/orgChart1"/>
    <dgm:cxn modelId="{7BA712E0-AF55-49E5-8B7C-8389B9AFC939}" type="presParOf" srcId="{8C841592-4658-48E0-B2DB-274C4FD7A6A3}" destId="{CFE4C008-F37A-4E3A-962C-7B2DECA04B05}" srcOrd="2" destOrd="0" presId="urn:microsoft.com/office/officeart/2005/8/layout/orgChart1"/>
    <dgm:cxn modelId="{D27581E0-22AC-47A3-8517-DB56C5F18F7F}" type="presParOf" srcId="{CFE4C008-F37A-4E3A-962C-7B2DECA04B05}" destId="{DC18F6B0-5047-47A7-BFE0-096A726C96B0}" srcOrd="0" destOrd="0" presId="urn:microsoft.com/office/officeart/2005/8/layout/orgChart1"/>
    <dgm:cxn modelId="{D1E2CEAC-70A4-41DF-A36A-542E428E8E74}" type="presParOf" srcId="{CFE4C008-F37A-4E3A-962C-7B2DECA04B05}" destId="{BEDAB809-F6A0-4F8D-8D04-B72DDAD4A886}" srcOrd="1" destOrd="0" presId="urn:microsoft.com/office/officeart/2005/8/layout/orgChart1"/>
    <dgm:cxn modelId="{95DED49D-ED93-4CC8-B4DC-7B5A81C1B8BD}" type="presParOf" srcId="{BEDAB809-F6A0-4F8D-8D04-B72DDAD4A886}" destId="{DBB416BB-58D0-47D2-B81C-72B42081EA93}" srcOrd="0" destOrd="0" presId="urn:microsoft.com/office/officeart/2005/8/layout/orgChart1"/>
    <dgm:cxn modelId="{A63617A6-0DB8-4008-84E7-D18747EBBF5A}" type="presParOf" srcId="{DBB416BB-58D0-47D2-B81C-72B42081EA93}" destId="{7D88CC12-A21F-464B-805C-EB68B33C4A81}" srcOrd="0" destOrd="0" presId="urn:microsoft.com/office/officeart/2005/8/layout/orgChart1"/>
    <dgm:cxn modelId="{13CA0EB9-2D91-4F36-9865-44BF63F98991}" type="presParOf" srcId="{DBB416BB-58D0-47D2-B81C-72B42081EA93}" destId="{BA9A0F3B-3720-4630-8000-DB23F991DB2A}" srcOrd="1" destOrd="0" presId="urn:microsoft.com/office/officeart/2005/8/layout/orgChart1"/>
    <dgm:cxn modelId="{DA83995E-F41F-45DC-8ECB-BE1BE724AA1B}" type="presParOf" srcId="{BEDAB809-F6A0-4F8D-8D04-B72DDAD4A886}" destId="{488295BE-BAC4-42AF-9722-3735F49B8A61}" srcOrd="1" destOrd="0" presId="urn:microsoft.com/office/officeart/2005/8/layout/orgChart1"/>
    <dgm:cxn modelId="{CCD0AF78-D932-4DD0-9495-DF2720CEB6C7}" type="presParOf" srcId="{488295BE-BAC4-42AF-9722-3735F49B8A61}" destId="{C32EA445-105B-4D37-858C-A2A257C0C57D}" srcOrd="0" destOrd="0" presId="urn:microsoft.com/office/officeart/2005/8/layout/orgChart1"/>
    <dgm:cxn modelId="{2CA066B8-D19C-46D8-BB77-16E0EE5321F6}" type="presParOf" srcId="{488295BE-BAC4-42AF-9722-3735F49B8A61}" destId="{D64349EA-F1D6-4187-A37D-13C820876BA3}" srcOrd="1" destOrd="0" presId="urn:microsoft.com/office/officeart/2005/8/layout/orgChart1"/>
    <dgm:cxn modelId="{D5B003AF-DE83-4F10-AAF7-21F82420F335}" type="presParOf" srcId="{D64349EA-F1D6-4187-A37D-13C820876BA3}" destId="{73C1DD6D-9FD4-4F8B-B53C-57A9A7EE2012}" srcOrd="0" destOrd="0" presId="urn:microsoft.com/office/officeart/2005/8/layout/orgChart1"/>
    <dgm:cxn modelId="{083BDF95-0296-4964-91F5-41611852976E}" type="presParOf" srcId="{73C1DD6D-9FD4-4F8B-B53C-57A9A7EE2012}" destId="{E428EF98-9959-40BD-936A-2EBEBF5B2E5D}" srcOrd="0" destOrd="0" presId="urn:microsoft.com/office/officeart/2005/8/layout/orgChart1"/>
    <dgm:cxn modelId="{9B0DC400-F888-49E0-ABDA-F96BB52CCD4A}" type="presParOf" srcId="{73C1DD6D-9FD4-4F8B-B53C-57A9A7EE2012}" destId="{335D91E1-AC9D-449C-A17B-43E5537BE884}" srcOrd="1" destOrd="0" presId="urn:microsoft.com/office/officeart/2005/8/layout/orgChart1"/>
    <dgm:cxn modelId="{E951E2F0-FC18-41D6-8A5A-9C4B732FA7F8}" type="presParOf" srcId="{D64349EA-F1D6-4187-A37D-13C820876BA3}" destId="{68F9F7E1-8251-4E9C-89D8-7759CF9043D3}" srcOrd="1" destOrd="0" presId="urn:microsoft.com/office/officeart/2005/8/layout/orgChart1"/>
    <dgm:cxn modelId="{D5889135-BEC4-455C-855C-A952A40F857A}" type="presParOf" srcId="{D64349EA-F1D6-4187-A37D-13C820876BA3}" destId="{3E3A99A0-7549-4175-8A75-6555D710DDCF}" srcOrd="2" destOrd="0" presId="urn:microsoft.com/office/officeart/2005/8/layout/orgChart1"/>
    <dgm:cxn modelId="{A8123CE3-E254-41E4-98DA-97C36127E072}" type="presParOf" srcId="{BEDAB809-F6A0-4F8D-8D04-B72DDAD4A886}" destId="{28CAB241-F644-457C-B353-6313AFEAB274}" srcOrd="2" destOrd="0" presId="urn:microsoft.com/office/officeart/2005/8/layout/orgChart1"/>
    <dgm:cxn modelId="{A9DA0CDD-7F97-40FD-AF60-7C57D7956A8D}" type="presParOf" srcId="{CFE4C008-F37A-4E3A-962C-7B2DECA04B05}" destId="{C2E00C12-1FAE-4260-9AFE-B043D1D5EBA7}" srcOrd="2" destOrd="0" presId="urn:microsoft.com/office/officeart/2005/8/layout/orgChart1"/>
    <dgm:cxn modelId="{3EA038A5-8CE4-4B56-8EF9-D3E6F12B1746}" type="presParOf" srcId="{CFE4C008-F37A-4E3A-962C-7B2DECA04B05}" destId="{14E603DE-84C1-41A1-8722-2FD5B5356249}" srcOrd="3" destOrd="0" presId="urn:microsoft.com/office/officeart/2005/8/layout/orgChart1"/>
    <dgm:cxn modelId="{EE1C8901-4AEB-47C2-B200-78892BC48953}" type="presParOf" srcId="{14E603DE-84C1-41A1-8722-2FD5B5356249}" destId="{5B1FB2AF-F10C-4C91-BE0F-C25DB4B4CF79}" srcOrd="0" destOrd="0" presId="urn:microsoft.com/office/officeart/2005/8/layout/orgChart1"/>
    <dgm:cxn modelId="{681C39E6-9F75-49B1-A19C-167634BBFC59}" type="presParOf" srcId="{5B1FB2AF-F10C-4C91-BE0F-C25DB4B4CF79}" destId="{03D95CCB-AE5E-4738-8F5C-AFADE89E960E}" srcOrd="0" destOrd="0" presId="urn:microsoft.com/office/officeart/2005/8/layout/orgChart1"/>
    <dgm:cxn modelId="{DB71C198-127F-4D19-AEB9-68FB788C5824}" type="presParOf" srcId="{5B1FB2AF-F10C-4C91-BE0F-C25DB4B4CF79}" destId="{0A144281-A049-435E-920E-CDA932D08F82}" srcOrd="1" destOrd="0" presId="urn:microsoft.com/office/officeart/2005/8/layout/orgChart1"/>
    <dgm:cxn modelId="{CB541F5D-2C8B-49C8-B813-940996E8AA08}" type="presParOf" srcId="{14E603DE-84C1-41A1-8722-2FD5B5356249}" destId="{632FAD00-FABE-486C-98B8-2E8AE0FD4654}" srcOrd="1" destOrd="0" presId="urn:microsoft.com/office/officeart/2005/8/layout/orgChart1"/>
    <dgm:cxn modelId="{8957B8F3-65A5-4F8A-8399-150F09DE0156}" type="presParOf" srcId="{14E603DE-84C1-41A1-8722-2FD5B5356249}" destId="{DA4EE70A-8550-4A2D-8DB5-BF0EFED86E8C}" srcOrd="2" destOrd="0" presId="urn:microsoft.com/office/officeart/2005/8/layout/orgChart1"/>
    <dgm:cxn modelId="{A0672FFA-1089-48B9-82F5-1258A2AB79DE}" type="presParOf" srcId="{CFE4C008-F37A-4E3A-962C-7B2DECA04B05}" destId="{69384981-6F43-4AC0-AC9B-1A5A86F46721}" srcOrd="4" destOrd="0" presId="urn:microsoft.com/office/officeart/2005/8/layout/orgChart1"/>
    <dgm:cxn modelId="{0CFA56C5-F854-4336-AD52-EE4BD82540B4}" type="presParOf" srcId="{CFE4C008-F37A-4E3A-962C-7B2DECA04B05}" destId="{55C7D267-9EAF-4A95-9E1E-50940DDCDCF6}" srcOrd="5" destOrd="0" presId="urn:microsoft.com/office/officeart/2005/8/layout/orgChart1"/>
    <dgm:cxn modelId="{B83F8958-6035-4763-8150-9A4DF29549B3}" type="presParOf" srcId="{55C7D267-9EAF-4A95-9E1E-50940DDCDCF6}" destId="{D5D64240-B86B-4A89-B914-AF11F1320F7D}" srcOrd="0" destOrd="0" presId="urn:microsoft.com/office/officeart/2005/8/layout/orgChart1"/>
    <dgm:cxn modelId="{FF3D5052-DC67-431D-911B-6437FDAB3FA4}" type="presParOf" srcId="{D5D64240-B86B-4A89-B914-AF11F1320F7D}" destId="{91BBF94B-FB16-4DA9-9396-710123F0FF81}" srcOrd="0" destOrd="0" presId="urn:microsoft.com/office/officeart/2005/8/layout/orgChart1"/>
    <dgm:cxn modelId="{B46C937F-F954-4B5D-BA0B-5C757472E8A5}" type="presParOf" srcId="{D5D64240-B86B-4A89-B914-AF11F1320F7D}" destId="{84530917-4442-4683-BF99-772498308B00}" srcOrd="1" destOrd="0" presId="urn:microsoft.com/office/officeart/2005/8/layout/orgChart1"/>
    <dgm:cxn modelId="{9AC809A8-90F4-428A-85BC-B909722D165B}" type="presParOf" srcId="{55C7D267-9EAF-4A95-9E1E-50940DDCDCF6}" destId="{222BD262-5761-4CA2-BEFB-3CCEB337CEBA}" srcOrd="1" destOrd="0" presId="urn:microsoft.com/office/officeart/2005/8/layout/orgChart1"/>
    <dgm:cxn modelId="{11169276-1749-4B44-B988-5C04B9C733A5}" type="presParOf" srcId="{222BD262-5761-4CA2-BEFB-3CCEB337CEBA}" destId="{B53943D2-C646-4BF0-B30F-78222A69E0D2}" srcOrd="0" destOrd="0" presId="urn:microsoft.com/office/officeart/2005/8/layout/orgChart1"/>
    <dgm:cxn modelId="{0A757141-CECB-4538-818E-473BB3C07A79}" type="presParOf" srcId="{222BD262-5761-4CA2-BEFB-3CCEB337CEBA}" destId="{57C7E345-72B3-4713-8919-3E96BF86C6A3}" srcOrd="1" destOrd="0" presId="urn:microsoft.com/office/officeart/2005/8/layout/orgChart1"/>
    <dgm:cxn modelId="{39CDAA6F-FE38-4BE9-870B-342D8A5CAA1C}" type="presParOf" srcId="{57C7E345-72B3-4713-8919-3E96BF86C6A3}" destId="{D4BEEF14-8884-4E5B-BE88-C3DDD74294D0}" srcOrd="0" destOrd="0" presId="urn:microsoft.com/office/officeart/2005/8/layout/orgChart1"/>
    <dgm:cxn modelId="{06B3E73C-FDF1-4E89-8629-FC4A84410D9B}" type="presParOf" srcId="{D4BEEF14-8884-4E5B-BE88-C3DDD74294D0}" destId="{76BFBD6B-5188-4C7A-B1AF-62FC4C2014AF}" srcOrd="0" destOrd="0" presId="urn:microsoft.com/office/officeart/2005/8/layout/orgChart1"/>
    <dgm:cxn modelId="{2C63440F-4E79-4A3F-A6A4-0A3C1B784E91}" type="presParOf" srcId="{D4BEEF14-8884-4E5B-BE88-C3DDD74294D0}" destId="{042520DD-4EBB-4885-A937-B57643ED16E1}" srcOrd="1" destOrd="0" presId="urn:microsoft.com/office/officeart/2005/8/layout/orgChart1"/>
    <dgm:cxn modelId="{4C7F1D8E-CD2F-4CE5-9314-29749D3D5E31}" type="presParOf" srcId="{57C7E345-72B3-4713-8919-3E96BF86C6A3}" destId="{93A24AE1-49C7-483D-A6DE-222C855084FD}" srcOrd="1" destOrd="0" presId="urn:microsoft.com/office/officeart/2005/8/layout/orgChart1"/>
    <dgm:cxn modelId="{8F4B33C9-0CC9-4BF1-84CF-2CC66E3CEF81}" type="presParOf" srcId="{57C7E345-72B3-4713-8919-3E96BF86C6A3}" destId="{AA323CD5-E870-459E-8FDC-F6EE54CA9E9F}" srcOrd="2" destOrd="0" presId="urn:microsoft.com/office/officeart/2005/8/layout/orgChart1"/>
    <dgm:cxn modelId="{9C09A7A9-8468-4540-BAEB-B6FDD996A768}" type="presParOf" srcId="{222BD262-5761-4CA2-BEFB-3CCEB337CEBA}" destId="{009B5076-84F6-4CC0-A233-0706307F5FB3}" srcOrd="2" destOrd="0" presId="urn:microsoft.com/office/officeart/2005/8/layout/orgChart1"/>
    <dgm:cxn modelId="{1E917B0C-0947-4493-AC78-D1D61F1A1685}" type="presParOf" srcId="{222BD262-5761-4CA2-BEFB-3CCEB337CEBA}" destId="{F6D32527-5F93-44CA-88C9-B1C7481A9FEB}" srcOrd="3" destOrd="0" presId="urn:microsoft.com/office/officeart/2005/8/layout/orgChart1"/>
    <dgm:cxn modelId="{57229EE9-F869-496D-A7E8-C7B976B1922E}" type="presParOf" srcId="{F6D32527-5F93-44CA-88C9-B1C7481A9FEB}" destId="{44C7A9FC-279F-4CBA-A6C2-B81B1AE9206A}" srcOrd="0" destOrd="0" presId="urn:microsoft.com/office/officeart/2005/8/layout/orgChart1"/>
    <dgm:cxn modelId="{271F83D9-033D-459D-A5D7-386CA6FA90FE}" type="presParOf" srcId="{44C7A9FC-279F-4CBA-A6C2-B81B1AE9206A}" destId="{A54C76D2-6BB6-4B95-A666-C35678B78875}" srcOrd="0" destOrd="0" presId="urn:microsoft.com/office/officeart/2005/8/layout/orgChart1"/>
    <dgm:cxn modelId="{C2331E98-B470-47EF-B371-0F92117D1C1C}" type="presParOf" srcId="{44C7A9FC-279F-4CBA-A6C2-B81B1AE9206A}" destId="{AA091C41-4930-4431-B679-E41768F4EAF4}" srcOrd="1" destOrd="0" presId="urn:microsoft.com/office/officeart/2005/8/layout/orgChart1"/>
    <dgm:cxn modelId="{58957405-BA77-4C15-BFF6-ACB6FE29B3EF}" type="presParOf" srcId="{F6D32527-5F93-44CA-88C9-B1C7481A9FEB}" destId="{B11FB6BF-39E6-48B8-B8B5-4330B2952861}" srcOrd="1" destOrd="0" presId="urn:microsoft.com/office/officeart/2005/8/layout/orgChart1"/>
    <dgm:cxn modelId="{50828436-5360-4B0B-A747-D9FBEA91024C}" type="presParOf" srcId="{F6D32527-5F93-44CA-88C9-B1C7481A9FEB}" destId="{93326DEE-89CB-4303-8ABA-6A09B2E998E2}" srcOrd="2" destOrd="0" presId="urn:microsoft.com/office/officeart/2005/8/layout/orgChart1"/>
    <dgm:cxn modelId="{E868C522-932C-4223-B8E8-888061A84124}" type="presParOf" srcId="{55C7D267-9EAF-4A95-9E1E-50940DDCDCF6}" destId="{E698334C-D8C0-4921-BCB4-15A6BEEE91B3}" srcOrd="2" destOrd="0" presId="urn:microsoft.com/office/officeart/2005/8/layout/orgChart1"/>
  </dgm:cxnLst>
  <dgm:bg/>
  <dgm:whole/>
  <dgm:extLst>
    <a:ext uri="http://schemas.microsoft.com/office/drawing/2008/diagram">
      <dsp:dataModelExt xmlns:dsp="http://schemas.microsoft.com/office/drawing/2008/diagram" xmlns="" relId="rId3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F6450E9-A431-4D39-A90F-D8E758F1BA6B}" type="doc">
      <dgm:prSet loTypeId="urn:microsoft.com/office/officeart/2005/8/layout/radial1" loCatId="relationship" qsTypeId="urn:microsoft.com/office/officeart/2005/8/quickstyle/simple1" qsCatId="simple" csTypeId="urn:microsoft.com/office/officeart/2005/8/colors/accent1_2" csCatId="accent1" phldr="1"/>
      <dgm:spPr/>
    </dgm:pt>
    <dgm:pt modelId="{56E30FF0-79F4-4539-8A1E-44476DE71AC1}">
      <dgm:prSet custT="1"/>
      <dgm:spPr>
        <a:solidFill>
          <a:schemeClr val="bg1">
            <a:lumMod val="85000"/>
          </a:schemeClr>
        </a:solidFill>
        <a:ln>
          <a:solidFill>
            <a:schemeClr val="tx1"/>
          </a:solidFill>
        </a:ln>
      </dgm:spPr>
      <dgm:t>
        <a:bodyPr/>
        <a:lstStyle/>
        <a:p>
          <a:pPr marR="0" algn="ctr" rtl="0"/>
          <a:r>
            <a:rPr lang="en-ZA" sz="1000" b="1" baseline="0" smtClean="0">
              <a:solidFill>
                <a:sysClr val="windowText" lastClr="000000"/>
              </a:solidFill>
              <a:latin typeface="Calibri"/>
            </a:rPr>
            <a:t>PLS  exposure to Legislation</a:t>
          </a:r>
          <a:endParaRPr lang="en-GB" sz="1000" b="1" smtClean="0">
            <a:solidFill>
              <a:sysClr val="windowText" lastClr="000000"/>
            </a:solidFill>
          </a:endParaRPr>
        </a:p>
      </dgm:t>
    </dgm:pt>
    <dgm:pt modelId="{F4B275C9-56C8-43EF-A446-59419C6661D5}" type="parTrans" cxnId="{5C3CFF11-6EE9-4AD3-8873-AC21049106DC}">
      <dgm:prSet/>
      <dgm:spPr/>
      <dgm:t>
        <a:bodyPr/>
        <a:lstStyle/>
        <a:p>
          <a:pPr algn="ctr"/>
          <a:endParaRPr lang="en-US" sz="1100">
            <a:solidFill>
              <a:sysClr val="windowText" lastClr="000000"/>
            </a:solidFill>
          </a:endParaRPr>
        </a:p>
      </dgm:t>
    </dgm:pt>
    <dgm:pt modelId="{FEDA331A-3BAD-4A58-B357-6D95170D7D0D}" type="sibTrans" cxnId="{5C3CFF11-6EE9-4AD3-8873-AC21049106DC}">
      <dgm:prSet/>
      <dgm:spPr/>
      <dgm:t>
        <a:bodyPr/>
        <a:lstStyle/>
        <a:p>
          <a:pPr algn="ctr"/>
          <a:endParaRPr lang="en-US" sz="1100">
            <a:solidFill>
              <a:sysClr val="windowText" lastClr="000000"/>
            </a:solidFill>
          </a:endParaRPr>
        </a:p>
      </dgm:t>
    </dgm:pt>
    <dgm:pt modelId="{E01D1339-68F5-4972-9929-A11A588E5F9B}">
      <dgm:prSet custT="1"/>
      <dgm:spPr>
        <a:noFill/>
        <a:ln>
          <a:solidFill>
            <a:schemeClr val="tx1"/>
          </a:solidFill>
        </a:ln>
      </dgm:spPr>
      <dgm:t>
        <a:bodyPr/>
        <a:lstStyle/>
        <a:p>
          <a:pPr marR="0" algn="ctr" rtl="0"/>
          <a:r>
            <a:rPr lang="en-ZA" sz="900" b="1" baseline="0" smtClean="0">
              <a:solidFill>
                <a:sysClr val="windowText" lastClr="000000"/>
              </a:solidFill>
              <a:latin typeface="Calibri"/>
            </a:rPr>
            <a:t>Income Tax Act 58 of 1962</a:t>
          </a:r>
          <a:endParaRPr lang="en-GB" sz="900" b="1" smtClean="0">
            <a:solidFill>
              <a:sysClr val="windowText" lastClr="000000"/>
            </a:solidFill>
          </a:endParaRPr>
        </a:p>
      </dgm:t>
    </dgm:pt>
    <dgm:pt modelId="{1ABEBCFE-2F74-42B0-A419-5B63C61E01D6}" type="parTrans" cxnId="{88114881-F3B9-4166-8B4B-2EBB1C7695CF}">
      <dgm:prSet custT="1"/>
      <dgm:spPr/>
      <dgm:t>
        <a:bodyPr/>
        <a:lstStyle/>
        <a:p>
          <a:pPr algn="ctr"/>
          <a:endParaRPr lang="en-GB" sz="1100">
            <a:solidFill>
              <a:sysClr val="windowText" lastClr="000000"/>
            </a:solidFill>
          </a:endParaRPr>
        </a:p>
      </dgm:t>
    </dgm:pt>
    <dgm:pt modelId="{34E76B05-45A8-49F6-9A84-183AA0DB7A70}" type="sibTrans" cxnId="{88114881-F3B9-4166-8B4B-2EBB1C7695CF}">
      <dgm:prSet/>
      <dgm:spPr/>
      <dgm:t>
        <a:bodyPr/>
        <a:lstStyle/>
        <a:p>
          <a:pPr algn="ctr"/>
          <a:endParaRPr lang="en-US" sz="1100">
            <a:solidFill>
              <a:sysClr val="windowText" lastClr="000000"/>
            </a:solidFill>
          </a:endParaRPr>
        </a:p>
      </dgm:t>
    </dgm:pt>
    <dgm:pt modelId="{1823F351-54E7-461C-93CA-E08F0B225854}">
      <dgm:prSet custT="1"/>
      <dgm:spPr>
        <a:noFill/>
        <a:ln>
          <a:solidFill>
            <a:schemeClr val="tx1"/>
          </a:solidFill>
        </a:ln>
      </dgm:spPr>
      <dgm:t>
        <a:bodyPr/>
        <a:lstStyle/>
        <a:p>
          <a:pPr marR="0" algn="ctr" rtl="0"/>
          <a:r>
            <a:rPr lang="en-ZA" sz="800" b="1" baseline="0" smtClean="0">
              <a:solidFill>
                <a:sysClr val="windowText" lastClr="000000"/>
              </a:solidFill>
              <a:latin typeface="Calibri"/>
            </a:rPr>
            <a:t>Jhb Stock Exchange</a:t>
          </a:r>
          <a:endParaRPr lang="en-GB" sz="800" b="1" smtClean="0">
            <a:solidFill>
              <a:sysClr val="windowText" lastClr="000000"/>
            </a:solidFill>
          </a:endParaRPr>
        </a:p>
      </dgm:t>
    </dgm:pt>
    <dgm:pt modelId="{131EFE9F-45B6-42D2-8F1A-357ED8914C20}" type="parTrans" cxnId="{1B2456D8-A326-4C08-A45B-5A3EF578C3DD}">
      <dgm:prSet custT="1"/>
      <dgm:spPr/>
      <dgm:t>
        <a:bodyPr/>
        <a:lstStyle/>
        <a:p>
          <a:pPr algn="ctr"/>
          <a:endParaRPr lang="en-GB" sz="1100">
            <a:solidFill>
              <a:sysClr val="windowText" lastClr="000000"/>
            </a:solidFill>
          </a:endParaRPr>
        </a:p>
      </dgm:t>
    </dgm:pt>
    <dgm:pt modelId="{D57B6679-851E-46DB-8B2C-BA440AF21452}" type="sibTrans" cxnId="{1B2456D8-A326-4C08-A45B-5A3EF578C3DD}">
      <dgm:prSet/>
      <dgm:spPr/>
      <dgm:t>
        <a:bodyPr/>
        <a:lstStyle/>
        <a:p>
          <a:pPr algn="ctr"/>
          <a:endParaRPr lang="en-US" sz="1100">
            <a:solidFill>
              <a:sysClr val="windowText" lastClr="000000"/>
            </a:solidFill>
          </a:endParaRPr>
        </a:p>
      </dgm:t>
    </dgm:pt>
    <dgm:pt modelId="{4CD93132-4128-47F7-9099-A4D767BCEC79}">
      <dgm:prSet custT="1"/>
      <dgm:spPr>
        <a:noFill/>
        <a:ln>
          <a:solidFill>
            <a:schemeClr val="tx1"/>
          </a:solidFill>
        </a:ln>
      </dgm:spPr>
      <dgm:t>
        <a:bodyPr/>
        <a:lstStyle/>
        <a:p>
          <a:pPr marR="0" algn="ctr" rtl="0"/>
          <a:r>
            <a:rPr lang="en-ZA" sz="800" b="1" baseline="0" smtClean="0">
              <a:solidFill>
                <a:sysClr val="windowText" lastClr="000000"/>
              </a:solidFill>
              <a:latin typeface="Calibri"/>
            </a:rPr>
            <a:t>Companies Act 61 of 1973</a:t>
          </a:r>
          <a:endParaRPr lang="en-GB" sz="800" b="1" smtClean="0">
            <a:solidFill>
              <a:sysClr val="windowText" lastClr="000000"/>
            </a:solidFill>
          </a:endParaRPr>
        </a:p>
      </dgm:t>
    </dgm:pt>
    <dgm:pt modelId="{38BD337E-27EB-4692-839F-F8E17FD5743F}" type="parTrans" cxnId="{653B6DE3-E218-4D86-8A47-4CB1A6397C02}">
      <dgm:prSet custT="1"/>
      <dgm:spPr/>
      <dgm:t>
        <a:bodyPr/>
        <a:lstStyle/>
        <a:p>
          <a:pPr algn="ctr"/>
          <a:endParaRPr lang="en-GB" sz="1100">
            <a:solidFill>
              <a:sysClr val="windowText" lastClr="000000"/>
            </a:solidFill>
          </a:endParaRPr>
        </a:p>
      </dgm:t>
    </dgm:pt>
    <dgm:pt modelId="{68FE3FBA-2D30-4045-9BF0-459C150672FF}" type="sibTrans" cxnId="{653B6DE3-E218-4D86-8A47-4CB1A6397C02}">
      <dgm:prSet/>
      <dgm:spPr/>
      <dgm:t>
        <a:bodyPr/>
        <a:lstStyle/>
        <a:p>
          <a:pPr algn="ctr"/>
          <a:endParaRPr lang="en-US" sz="1100">
            <a:solidFill>
              <a:sysClr val="windowText" lastClr="000000"/>
            </a:solidFill>
          </a:endParaRPr>
        </a:p>
      </dgm:t>
    </dgm:pt>
    <dgm:pt modelId="{A424DB61-73C9-4AAA-97BD-F21A964DB58B}" type="pres">
      <dgm:prSet presAssocID="{FF6450E9-A431-4D39-A90F-D8E758F1BA6B}" presName="cycle" presStyleCnt="0">
        <dgm:presLayoutVars>
          <dgm:chMax val="1"/>
          <dgm:dir/>
          <dgm:animLvl val="ctr"/>
          <dgm:resizeHandles val="exact"/>
        </dgm:presLayoutVars>
      </dgm:prSet>
      <dgm:spPr/>
    </dgm:pt>
    <dgm:pt modelId="{C44731A7-DD21-4D31-AF01-CBA15407A61D}" type="pres">
      <dgm:prSet presAssocID="{56E30FF0-79F4-4539-8A1E-44476DE71AC1}" presName="centerShape" presStyleLbl="node0" presStyleIdx="0" presStyleCnt="1" custLinFactNeighborX="-1300" custLinFactNeighborY="-58"/>
      <dgm:spPr>
        <a:prstGeom prst="rect">
          <a:avLst/>
        </a:prstGeom>
      </dgm:spPr>
      <dgm:t>
        <a:bodyPr/>
        <a:lstStyle/>
        <a:p>
          <a:endParaRPr lang="en-US"/>
        </a:p>
      </dgm:t>
    </dgm:pt>
    <dgm:pt modelId="{25D6BD56-B805-439E-A32C-10435F8E8A91}" type="pres">
      <dgm:prSet presAssocID="{1ABEBCFE-2F74-42B0-A419-5B63C61E01D6}" presName="Name9" presStyleLbl="parChTrans1D2" presStyleIdx="0" presStyleCnt="3"/>
      <dgm:spPr/>
      <dgm:t>
        <a:bodyPr/>
        <a:lstStyle/>
        <a:p>
          <a:endParaRPr lang="en-US"/>
        </a:p>
      </dgm:t>
    </dgm:pt>
    <dgm:pt modelId="{A82C66D3-CA6B-4518-BA18-D342BA1CF143}" type="pres">
      <dgm:prSet presAssocID="{1ABEBCFE-2F74-42B0-A419-5B63C61E01D6}" presName="connTx" presStyleLbl="parChTrans1D2" presStyleIdx="0" presStyleCnt="3"/>
      <dgm:spPr/>
      <dgm:t>
        <a:bodyPr/>
        <a:lstStyle/>
        <a:p>
          <a:endParaRPr lang="en-US"/>
        </a:p>
      </dgm:t>
    </dgm:pt>
    <dgm:pt modelId="{4323DBBC-69C6-4019-8940-B6DFAF8E34A5}" type="pres">
      <dgm:prSet presAssocID="{E01D1339-68F5-4972-9929-A11A588E5F9B}" presName="node" presStyleLbl="node1" presStyleIdx="0" presStyleCnt="3" custScaleX="141991" custRadScaleRad="100149" custRadScaleInc="-2479">
        <dgm:presLayoutVars>
          <dgm:bulletEnabled val="1"/>
        </dgm:presLayoutVars>
      </dgm:prSet>
      <dgm:spPr>
        <a:prstGeom prst="rect">
          <a:avLst/>
        </a:prstGeom>
      </dgm:spPr>
      <dgm:t>
        <a:bodyPr/>
        <a:lstStyle/>
        <a:p>
          <a:endParaRPr lang="en-US"/>
        </a:p>
      </dgm:t>
    </dgm:pt>
    <dgm:pt modelId="{A02E65FC-157C-43F8-B424-3FE065391863}" type="pres">
      <dgm:prSet presAssocID="{131EFE9F-45B6-42D2-8F1A-357ED8914C20}" presName="Name9" presStyleLbl="parChTrans1D2" presStyleIdx="1" presStyleCnt="3"/>
      <dgm:spPr/>
      <dgm:t>
        <a:bodyPr/>
        <a:lstStyle/>
        <a:p>
          <a:endParaRPr lang="en-US"/>
        </a:p>
      </dgm:t>
    </dgm:pt>
    <dgm:pt modelId="{F401177C-7A76-450D-BA48-2162A29BADA0}" type="pres">
      <dgm:prSet presAssocID="{131EFE9F-45B6-42D2-8F1A-357ED8914C20}" presName="connTx" presStyleLbl="parChTrans1D2" presStyleIdx="1" presStyleCnt="3"/>
      <dgm:spPr/>
      <dgm:t>
        <a:bodyPr/>
        <a:lstStyle/>
        <a:p>
          <a:endParaRPr lang="en-US"/>
        </a:p>
      </dgm:t>
    </dgm:pt>
    <dgm:pt modelId="{A1D15926-1784-4745-9CB2-DBBCACD7C846}" type="pres">
      <dgm:prSet presAssocID="{1823F351-54E7-461C-93CA-E08F0B225854}" presName="node" presStyleLbl="node1" presStyleIdx="1" presStyleCnt="3" custScaleX="122941" custRadScaleRad="112659" custRadScaleInc="-5979">
        <dgm:presLayoutVars>
          <dgm:bulletEnabled val="1"/>
        </dgm:presLayoutVars>
      </dgm:prSet>
      <dgm:spPr>
        <a:prstGeom prst="rect">
          <a:avLst/>
        </a:prstGeom>
      </dgm:spPr>
      <dgm:t>
        <a:bodyPr/>
        <a:lstStyle/>
        <a:p>
          <a:endParaRPr lang="en-US"/>
        </a:p>
      </dgm:t>
    </dgm:pt>
    <dgm:pt modelId="{008F4CB2-F685-4A5C-A8C7-DDB56EB15DDC}" type="pres">
      <dgm:prSet presAssocID="{38BD337E-27EB-4692-839F-F8E17FD5743F}" presName="Name9" presStyleLbl="parChTrans1D2" presStyleIdx="2" presStyleCnt="3"/>
      <dgm:spPr/>
      <dgm:t>
        <a:bodyPr/>
        <a:lstStyle/>
        <a:p>
          <a:endParaRPr lang="en-US"/>
        </a:p>
      </dgm:t>
    </dgm:pt>
    <dgm:pt modelId="{6FABCD01-EF3D-400E-9223-256B00968437}" type="pres">
      <dgm:prSet presAssocID="{38BD337E-27EB-4692-839F-F8E17FD5743F}" presName="connTx" presStyleLbl="parChTrans1D2" presStyleIdx="2" presStyleCnt="3"/>
      <dgm:spPr/>
      <dgm:t>
        <a:bodyPr/>
        <a:lstStyle/>
        <a:p>
          <a:endParaRPr lang="en-US"/>
        </a:p>
      </dgm:t>
    </dgm:pt>
    <dgm:pt modelId="{DD569991-1B06-41FC-B96D-663AD0FD2A23}" type="pres">
      <dgm:prSet presAssocID="{4CD93132-4128-47F7-9099-A4D767BCEC79}" presName="node" presStyleLbl="node1" presStyleIdx="2" presStyleCnt="3" custScaleX="122941" custRadScaleRad="117339" custRadScaleInc="7861">
        <dgm:presLayoutVars>
          <dgm:bulletEnabled val="1"/>
        </dgm:presLayoutVars>
      </dgm:prSet>
      <dgm:spPr>
        <a:prstGeom prst="rect">
          <a:avLst/>
        </a:prstGeom>
      </dgm:spPr>
      <dgm:t>
        <a:bodyPr/>
        <a:lstStyle/>
        <a:p>
          <a:endParaRPr lang="en-US"/>
        </a:p>
      </dgm:t>
    </dgm:pt>
  </dgm:ptLst>
  <dgm:cxnLst>
    <dgm:cxn modelId="{669E321B-A8B8-44FF-B547-17B3D8B78A86}" type="presOf" srcId="{38BD337E-27EB-4692-839F-F8E17FD5743F}" destId="{6FABCD01-EF3D-400E-9223-256B00968437}" srcOrd="1" destOrd="0" presId="urn:microsoft.com/office/officeart/2005/8/layout/radial1"/>
    <dgm:cxn modelId="{1E0FF4B2-DFB4-470C-B5DE-55A71F04B53C}" type="presOf" srcId="{4CD93132-4128-47F7-9099-A4D767BCEC79}" destId="{DD569991-1B06-41FC-B96D-663AD0FD2A23}" srcOrd="0" destOrd="0" presId="urn:microsoft.com/office/officeart/2005/8/layout/radial1"/>
    <dgm:cxn modelId="{05C67DF0-C3EB-44B6-9847-F047ECBD4F42}" type="presOf" srcId="{131EFE9F-45B6-42D2-8F1A-357ED8914C20}" destId="{A02E65FC-157C-43F8-B424-3FE065391863}" srcOrd="0" destOrd="0" presId="urn:microsoft.com/office/officeart/2005/8/layout/radial1"/>
    <dgm:cxn modelId="{88114881-F3B9-4166-8B4B-2EBB1C7695CF}" srcId="{56E30FF0-79F4-4539-8A1E-44476DE71AC1}" destId="{E01D1339-68F5-4972-9929-A11A588E5F9B}" srcOrd="0" destOrd="0" parTransId="{1ABEBCFE-2F74-42B0-A419-5B63C61E01D6}" sibTransId="{34E76B05-45A8-49F6-9A84-183AA0DB7A70}"/>
    <dgm:cxn modelId="{589559C4-184C-4AD4-8067-517518F28351}" type="presOf" srcId="{38BD337E-27EB-4692-839F-F8E17FD5743F}" destId="{008F4CB2-F685-4A5C-A8C7-DDB56EB15DDC}" srcOrd="0" destOrd="0" presId="urn:microsoft.com/office/officeart/2005/8/layout/radial1"/>
    <dgm:cxn modelId="{EECDC3A0-073E-4B3A-B862-DCA96F69D003}" type="presOf" srcId="{1ABEBCFE-2F74-42B0-A419-5B63C61E01D6}" destId="{A82C66D3-CA6B-4518-BA18-D342BA1CF143}" srcOrd="1" destOrd="0" presId="urn:microsoft.com/office/officeart/2005/8/layout/radial1"/>
    <dgm:cxn modelId="{1B99DEBC-B0E1-4804-93AA-4879F8048799}" type="presOf" srcId="{E01D1339-68F5-4972-9929-A11A588E5F9B}" destId="{4323DBBC-69C6-4019-8940-B6DFAF8E34A5}" srcOrd="0" destOrd="0" presId="urn:microsoft.com/office/officeart/2005/8/layout/radial1"/>
    <dgm:cxn modelId="{653B6DE3-E218-4D86-8A47-4CB1A6397C02}" srcId="{56E30FF0-79F4-4539-8A1E-44476DE71AC1}" destId="{4CD93132-4128-47F7-9099-A4D767BCEC79}" srcOrd="2" destOrd="0" parTransId="{38BD337E-27EB-4692-839F-F8E17FD5743F}" sibTransId="{68FE3FBA-2D30-4045-9BF0-459C150672FF}"/>
    <dgm:cxn modelId="{7F87910C-9A0C-439A-A3D0-7D437269479F}" type="presOf" srcId="{131EFE9F-45B6-42D2-8F1A-357ED8914C20}" destId="{F401177C-7A76-450D-BA48-2162A29BADA0}" srcOrd="1" destOrd="0" presId="urn:microsoft.com/office/officeart/2005/8/layout/radial1"/>
    <dgm:cxn modelId="{1B2456D8-A326-4C08-A45B-5A3EF578C3DD}" srcId="{56E30FF0-79F4-4539-8A1E-44476DE71AC1}" destId="{1823F351-54E7-461C-93CA-E08F0B225854}" srcOrd="1" destOrd="0" parTransId="{131EFE9F-45B6-42D2-8F1A-357ED8914C20}" sibTransId="{D57B6679-851E-46DB-8B2C-BA440AF21452}"/>
    <dgm:cxn modelId="{6CD5ECB3-5975-44F7-862C-EF1B319B9982}" type="presOf" srcId="{1ABEBCFE-2F74-42B0-A419-5B63C61E01D6}" destId="{25D6BD56-B805-439E-A32C-10435F8E8A91}" srcOrd="0" destOrd="0" presId="urn:microsoft.com/office/officeart/2005/8/layout/radial1"/>
    <dgm:cxn modelId="{B8ED20FC-CE28-490D-A9D7-927989B17BDD}" type="presOf" srcId="{56E30FF0-79F4-4539-8A1E-44476DE71AC1}" destId="{C44731A7-DD21-4D31-AF01-CBA15407A61D}" srcOrd="0" destOrd="0" presId="urn:microsoft.com/office/officeart/2005/8/layout/radial1"/>
    <dgm:cxn modelId="{55745031-9033-4D41-9F71-750DC40D9271}" type="presOf" srcId="{FF6450E9-A431-4D39-A90F-D8E758F1BA6B}" destId="{A424DB61-73C9-4AAA-97BD-F21A964DB58B}" srcOrd="0" destOrd="0" presId="urn:microsoft.com/office/officeart/2005/8/layout/radial1"/>
    <dgm:cxn modelId="{5C3CFF11-6EE9-4AD3-8873-AC21049106DC}" srcId="{FF6450E9-A431-4D39-A90F-D8E758F1BA6B}" destId="{56E30FF0-79F4-4539-8A1E-44476DE71AC1}" srcOrd="0" destOrd="0" parTransId="{F4B275C9-56C8-43EF-A446-59419C6661D5}" sibTransId="{FEDA331A-3BAD-4A58-B357-6D95170D7D0D}"/>
    <dgm:cxn modelId="{C0D2A569-3974-46C9-A14D-79F734B14012}" type="presOf" srcId="{1823F351-54E7-461C-93CA-E08F0B225854}" destId="{A1D15926-1784-4745-9CB2-DBBCACD7C846}" srcOrd="0" destOrd="0" presId="urn:microsoft.com/office/officeart/2005/8/layout/radial1"/>
    <dgm:cxn modelId="{809D8CBE-1758-45FA-9675-A9562537592C}" type="presParOf" srcId="{A424DB61-73C9-4AAA-97BD-F21A964DB58B}" destId="{C44731A7-DD21-4D31-AF01-CBA15407A61D}" srcOrd="0" destOrd="0" presId="urn:microsoft.com/office/officeart/2005/8/layout/radial1"/>
    <dgm:cxn modelId="{57BBE772-D754-4370-A539-C31BEF477709}" type="presParOf" srcId="{A424DB61-73C9-4AAA-97BD-F21A964DB58B}" destId="{25D6BD56-B805-439E-A32C-10435F8E8A91}" srcOrd="1" destOrd="0" presId="urn:microsoft.com/office/officeart/2005/8/layout/radial1"/>
    <dgm:cxn modelId="{C0B13DBB-A9B9-477E-84BF-5FD7E6B338BC}" type="presParOf" srcId="{25D6BD56-B805-439E-A32C-10435F8E8A91}" destId="{A82C66D3-CA6B-4518-BA18-D342BA1CF143}" srcOrd="0" destOrd="0" presId="urn:microsoft.com/office/officeart/2005/8/layout/radial1"/>
    <dgm:cxn modelId="{AF80A255-16B7-41AD-898F-7EF9CA054DC2}" type="presParOf" srcId="{A424DB61-73C9-4AAA-97BD-F21A964DB58B}" destId="{4323DBBC-69C6-4019-8940-B6DFAF8E34A5}" srcOrd="2" destOrd="0" presId="urn:microsoft.com/office/officeart/2005/8/layout/radial1"/>
    <dgm:cxn modelId="{8385739C-63D9-413F-8811-0525A1F47AEA}" type="presParOf" srcId="{A424DB61-73C9-4AAA-97BD-F21A964DB58B}" destId="{A02E65FC-157C-43F8-B424-3FE065391863}" srcOrd="3" destOrd="0" presId="urn:microsoft.com/office/officeart/2005/8/layout/radial1"/>
    <dgm:cxn modelId="{51B5C05B-1BDB-421D-A863-C90491037C1E}" type="presParOf" srcId="{A02E65FC-157C-43F8-B424-3FE065391863}" destId="{F401177C-7A76-450D-BA48-2162A29BADA0}" srcOrd="0" destOrd="0" presId="urn:microsoft.com/office/officeart/2005/8/layout/radial1"/>
    <dgm:cxn modelId="{76FF1157-15A6-41D3-884E-11F703A27B38}" type="presParOf" srcId="{A424DB61-73C9-4AAA-97BD-F21A964DB58B}" destId="{A1D15926-1784-4745-9CB2-DBBCACD7C846}" srcOrd="4" destOrd="0" presId="urn:microsoft.com/office/officeart/2005/8/layout/radial1"/>
    <dgm:cxn modelId="{E2915F0B-ECFF-4B90-90C7-CF63D44DB79C}" type="presParOf" srcId="{A424DB61-73C9-4AAA-97BD-F21A964DB58B}" destId="{008F4CB2-F685-4A5C-A8C7-DDB56EB15DDC}" srcOrd="5" destOrd="0" presId="urn:microsoft.com/office/officeart/2005/8/layout/radial1"/>
    <dgm:cxn modelId="{31695077-BC55-467A-ADB9-A617D35D7296}" type="presParOf" srcId="{008F4CB2-F685-4A5C-A8C7-DDB56EB15DDC}" destId="{6FABCD01-EF3D-400E-9223-256B00968437}" srcOrd="0" destOrd="0" presId="urn:microsoft.com/office/officeart/2005/8/layout/radial1"/>
    <dgm:cxn modelId="{0E466EB1-B1BD-49EB-85DF-B28693C054E8}" type="presParOf" srcId="{A424DB61-73C9-4AAA-97BD-F21A964DB58B}" destId="{DD569991-1B06-41FC-B96D-663AD0FD2A23}" srcOrd="6" destOrd="0" presId="urn:microsoft.com/office/officeart/2005/8/layout/radial1"/>
  </dgm:cxnLst>
  <dgm:bg>
    <a:noFill/>
  </dgm:bg>
  <dgm:whole>
    <a:ln>
      <a:noFill/>
    </a:ln>
  </dgm:whole>
  <dgm:extLst>
    <a:ext uri="http://schemas.microsoft.com/office/drawing/2008/diagram">
      <dsp:dataModelExt xmlns:dsp="http://schemas.microsoft.com/office/drawing/2008/diagram" xmlns="" relId="rId4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5C1BF5A-146D-4E7C-8B2C-1F27D80A9CB0}" type="doc">
      <dgm:prSet loTypeId="urn:microsoft.com/office/officeart/2005/8/layout/orgChart1" loCatId="hierarchy" qsTypeId="urn:microsoft.com/office/officeart/2005/8/quickstyle/simple1" qsCatId="simple" csTypeId="urn:microsoft.com/office/officeart/2005/8/colors/accent1_2" csCatId="accent1" phldr="1"/>
      <dgm:spPr/>
    </dgm:pt>
    <dgm:pt modelId="{6E38A921-A4FB-4ED2-9C5A-7DDB1D414419}">
      <dgm:prSet custT="1"/>
      <dgm:spPr>
        <a:noFill/>
        <a:ln>
          <a:solidFill>
            <a:schemeClr val="tx1"/>
          </a:solidFill>
        </a:ln>
      </dgm:spPr>
      <dgm:t>
        <a:bodyPr/>
        <a:lstStyle/>
        <a:p>
          <a:pPr marR="0" algn="ctr" rtl="0"/>
          <a:r>
            <a:rPr lang="en-GB" sz="1100" b="0" baseline="0" smtClean="0">
              <a:solidFill>
                <a:sysClr val="windowText" lastClr="000000"/>
              </a:solidFill>
              <a:latin typeface="Calibri"/>
            </a:rPr>
            <a:t>Investor: Linked Unit Holder (LUH) </a:t>
          </a:r>
          <a:endParaRPr lang="en-GB" sz="1100" b="0" smtClean="0">
            <a:solidFill>
              <a:sysClr val="windowText" lastClr="000000"/>
            </a:solidFill>
          </a:endParaRPr>
        </a:p>
      </dgm:t>
    </dgm:pt>
    <dgm:pt modelId="{E03DD56B-A0C3-4513-9D49-CA086CF474D7}" type="parTrans" cxnId="{77271057-FF0B-40C5-9614-51D9B4B65DE6}">
      <dgm:prSet/>
      <dgm:spPr/>
      <dgm:t>
        <a:bodyPr/>
        <a:lstStyle/>
        <a:p>
          <a:endParaRPr lang="en-US" sz="1200" b="0"/>
        </a:p>
      </dgm:t>
    </dgm:pt>
    <dgm:pt modelId="{EED3FBF3-21B5-486D-BF7B-02B0731F4989}" type="sibTrans" cxnId="{77271057-FF0B-40C5-9614-51D9B4B65DE6}">
      <dgm:prSet/>
      <dgm:spPr/>
      <dgm:t>
        <a:bodyPr/>
        <a:lstStyle/>
        <a:p>
          <a:endParaRPr lang="en-US" sz="1200" b="0"/>
        </a:p>
      </dgm:t>
    </dgm:pt>
    <dgm:pt modelId="{37F12741-C24B-4676-8543-0B50ED355BC2}">
      <dgm:prSet custT="1"/>
      <dgm:spPr>
        <a:noFill/>
        <a:ln>
          <a:solidFill>
            <a:schemeClr val="tx1"/>
          </a:solidFill>
        </a:ln>
      </dgm:spPr>
      <dgm:t>
        <a:bodyPr/>
        <a:lstStyle/>
        <a:p>
          <a:pPr marR="0" algn="ctr" rtl="0"/>
          <a:r>
            <a:rPr lang="en-ZA" sz="1100" b="0" baseline="0" smtClean="0">
              <a:solidFill>
                <a:sysClr val="windowText" lastClr="000000"/>
              </a:solidFill>
              <a:latin typeface="Calibri"/>
            </a:rPr>
            <a:t>Asset: Property Loan Stock (PLS)</a:t>
          </a:r>
          <a:endParaRPr lang="en-GB" sz="1100" b="0" smtClean="0">
            <a:solidFill>
              <a:sysClr val="windowText" lastClr="000000"/>
            </a:solidFill>
          </a:endParaRPr>
        </a:p>
      </dgm:t>
    </dgm:pt>
    <dgm:pt modelId="{59EC50F7-15F6-469A-ACC5-5B81C557AA92}" type="parTrans" cxnId="{F491D4A6-54BD-4FEB-863F-6DAC8BACEB2A}">
      <dgm:prSet/>
      <dgm:spPr/>
      <dgm:t>
        <a:bodyPr/>
        <a:lstStyle/>
        <a:p>
          <a:endParaRPr lang="en-US" sz="1200" b="0"/>
        </a:p>
      </dgm:t>
    </dgm:pt>
    <dgm:pt modelId="{DC6A74E0-493A-4466-B6B7-32501C617645}" type="sibTrans" cxnId="{F491D4A6-54BD-4FEB-863F-6DAC8BACEB2A}">
      <dgm:prSet/>
      <dgm:spPr/>
      <dgm:t>
        <a:bodyPr/>
        <a:lstStyle/>
        <a:p>
          <a:endParaRPr lang="en-US" sz="1200" b="0"/>
        </a:p>
      </dgm:t>
    </dgm:pt>
    <dgm:pt modelId="{85B764BF-745D-4CF1-BCCB-EF10CBEE40C3}">
      <dgm:prSet custT="1"/>
      <dgm:spPr>
        <a:noFill/>
        <a:ln>
          <a:solidFill>
            <a:schemeClr val="tx1"/>
          </a:solidFill>
        </a:ln>
      </dgm:spPr>
      <dgm:t>
        <a:bodyPr/>
        <a:lstStyle/>
        <a:p>
          <a:pPr marR="0" algn="ctr" rtl="0"/>
          <a:r>
            <a:rPr lang="en-ZA" sz="1100" b="0" baseline="0" smtClean="0">
              <a:solidFill>
                <a:sysClr val="windowText" lastClr="000000"/>
              </a:solidFill>
              <a:latin typeface="Calibri"/>
            </a:rPr>
            <a:t>Underlying Income Generating Asset: Property Asset</a:t>
          </a:r>
          <a:endParaRPr lang="en-GB" sz="1100" b="0" smtClean="0">
            <a:solidFill>
              <a:sysClr val="windowText" lastClr="000000"/>
            </a:solidFill>
          </a:endParaRPr>
        </a:p>
      </dgm:t>
    </dgm:pt>
    <dgm:pt modelId="{1773B5B0-059A-4E58-B43E-9CAA01C3505F}" type="parTrans" cxnId="{6CBFCEF6-C1FE-4670-A74E-8DD29CFCB0A2}">
      <dgm:prSet/>
      <dgm:spPr/>
      <dgm:t>
        <a:bodyPr/>
        <a:lstStyle/>
        <a:p>
          <a:endParaRPr lang="en-US" sz="1200" b="0"/>
        </a:p>
      </dgm:t>
    </dgm:pt>
    <dgm:pt modelId="{D58FF868-B6E1-492A-B6BF-91BEC5A4FC4B}" type="sibTrans" cxnId="{6CBFCEF6-C1FE-4670-A74E-8DD29CFCB0A2}">
      <dgm:prSet/>
      <dgm:spPr/>
      <dgm:t>
        <a:bodyPr/>
        <a:lstStyle/>
        <a:p>
          <a:endParaRPr lang="en-US" sz="1200" b="0"/>
        </a:p>
      </dgm:t>
    </dgm:pt>
    <dgm:pt modelId="{35198AF5-1EA5-465C-974F-9E3705F0469A}" type="pres">
      <dgm:prSet presAssocID="{15C1BF5A-146D-4E7C-8B2C-1F27D80A9CB0}" presName="hierChild1" presStyleCnt="0">
        <dgm:presLayoutVars>
          <dgm:orgChart val="1"/>
          <dgm:chPref val="1"/>
          <dgm:dir/>
          <dgm:animOne val="branch"/>
          <dgm:animLvl val="lvl"/>
          <dgm:resizeHandles/>
        </dgm:presLayoutVars>
      </dgm:prSet>
      <dgm:spPr/>
    </dgm:pt>
    <dgm:pt modelId="{7FEDCEB3-F987-4538-91FC-45A5ECA2075D}" type="pres">
      <dgm:prSet presAssocID="{6E38A921-A4FB-4ED2-9C5A-7DDB1D414419}" presName="hierRoot1" presStyleCnt="0">
        <dgm:presLayoutVars>
          <dgm:hierBranch/>
        </dgm:presLayoutVars>
      </dgm:prSet>
      <dgm:spPr/>
    </dgm:pt>
    <dgm:pt modelId="{D0A3212B-7ED6-46C0-8E3C-30EF6F860058}" type="pres">
      <dgm:prSet presAssocID="{6E38A921-A4FB-4ED2-9C5A-7DDB1D414419}" presName="rootComposite1" presStyleCnt="0"/>
      <dgm:spPr/>
    </dgm:pt>
    <dgm:pt modelId="{86E081EE-2D3C-4746-BBF6-F69DD19C6166}" type="pres">
      <dgm:prSet presAssocID="{6E38A921-A4FB-4ED2-9C5A-7DDB1D414419}" presName="rootText1" presStyleLbl="node0" presStyleIdx="0" presStyleCnt="1" custScaleX="174128">
        <dgm:presLayoutVars>
          <dgm:chPref val="3"/>
        </dgm:presLayoutVars>
      </dgm:prSet>
      <dgm:spPr/>
      <dgm:t>
        <a:bodyPr/>
        <a:lstStyle/>
        <a:p>
          <a:endParaRPr lang="en-US"/>
        </a:p>
      </dgm:t>
    </dgm:pt>
    <dgm:pt modelId="{1504F3E9-F535-466F-BBE1-73548FE88731}" type="pres">
      <dgm:prSet presAssocID="{6E38A921-A4FB-4ED2-9C5A-7DDB1D414419}" presName="rootConnector1" presStyleLbl="node1" presStyleIdx="0" presStyleCnt="0"/>
      <dgm:spPr/>
      <dgm:t>
        <a:bodyPr/>
        <a:lstStyle/>
        <a:p>
          <a:endParaRPr lang="en-US"/>
        </a:p>
      </dgm:t>
    </dgm:pt>
    <dgm:pt modelId="{4E39DB60-D74E-4B56-80D4-DD732E815198}" type="pres">
      <dgm:prSet presAssocID="{6E38A921-A4FB-4ED2-9C5A-7DDB1D414419}" presName="hierChild2" presStyleCnt="0"/>
      <dgm:spPr/>
    </dgm:pt>
    <dgm:pt modelId="{EC299F6E-C43A-4449-87BE-C8506F004BFE}" type="pres">
      <dgm:prSet presAssocID="{59EC50F7-15F6-469A-ACC5-5B81C557AA92}" presName="Name35" presStyleLbl="parChTrans1D2" presStyleIdx="0" presStyleCnt="1"/>
      <dgm:spPr/>
      <dgm:t>
        <a:bodyPr/>
        <a:lstStyle/>
        <a:p>
          <a:endParaRPr lang="en-US"/>
        </a:p>
      </dgm:t>
    </dgm:pt>
    <dgm:pt modelId="{2D912EDD-3710-43A4-89CF-E68C497E2014}" type="pres">
      <dgm:prSet presAssocID="{37F12741-C24B-4676-8543-0B50ED355BC2}" presName="hierRoot2" presStyleCnt="0">
        <dgm:presLayoutVars>
          <dgm:hierBranch/>
        </dgm:presLayoutVars>
      </dgm:prSet>
      <dgm:spPr/>
    </dgm:pt>
    <dgm:pt modelId="{BBC83A11-1D72-4478-B079-1F251B1D00A3}" type="pres">
      <dgm:prSet presAssocID="{37F12741-C24B-4676-8543-0B50ED355BC2}" presName="rootComposite" presStyleCnt="0"/>
      <dgm:spPr/>
    </dgm:pt>
    <dgm:pt modelId="{F0FB5536-EF96-457D-B757-75C8947B9139}" type="pres">
      <dgm:prSet presAssocID="{37F12741-C24B-4676-8543-0B50ED355BC2}" presName="rootText" presStyleLbl="node2" presStyleIdx="0" presStyleCnt="1" custScaleX="174128">
        <dgm:presLayoutVars>
          <dgm:chPref val="3"/>
        </dgm:presLayoutVars>
      </dgm:prSet>
      <dgm:spPr/>
      <dgm:t>
        <a:bodyPr/>
        <a:lstStyle/>
        <a:p>
          <a:endParaRPr lang="en-US"/>
        </a:p>
      </dgm:t>
    </dgm:pt>
    <dgm:pt modelId="{00BF505E-4DA8-4FB0-8464-DD86C7D155CF}" type="pres">
      <dgm:prSet presAssocID="{37F12741-C24B-4676-8543-0B50ED355BC2}" presName="rootConnector" presStyleLbl="node2" presStyleIdx="0" presStyleCnt="1"/>
      <dgm:spPr/>
      <dgm:t>
        <a:bodyPr/>
        <a:lstStyle/>
        <a:p>
          <a:endParaRPr lang="en-US"/>
        </a:p>
      </dgm:t>
    </dgm:pt>
    <dgm:pt modelId="{51F96367-45FD-47E9-A27A-A76122C6F1CC}" type="pres">
      <dgm:prSet presAssocID="{37F12741-C24B-4676-8543-0B50ED355BC2}" presName="hierChild4" presStyleCnt="0"/>
      <dgm:spPr/>
    </dgm:pt>
    <dgm:pt modelId="{70D5937A-0ED7-451A-AFCA-F706E11A38D5}" type="pres">
      <dgm:prSet presAssocID="{1773B5B0-059A-4E58-B43E-9CAA01C3505F}" presName="Name35" presStyleLbl="parChTrans1D3" presStyleIdx="0" presStyleCnt="1"/>
      <dgm:spPr/>
      <dgm:t>
        <a:bodyPr/>
        <a:lstStyle/>
        <a:p>
          <a:endParaRPr lang="en-US"/>
        </a:p>
      </dgm:t>
    </dgm:pt>
    <dgm:pt modelId="{F5D942FE-8A66-469F-BA8A-88807F00C9ED}" type="pres">
      <dgm:prSet presAssocID="{85B764BF-745D-4CF1-BCCB-EF10CBEE40C3}" presName="hierRoot2" presStyleCnt="0">
        <dgm:presLayoutVars>
          <dgm:hierBranch val="r"/>
        </dgm:presLayoutVars>
      </dgm:prSet>
      <dgm:spPr/>
    </dgm:pt>
    <dgm:pt modelId="{3A544E73-D568-4561-B976-B152CCCD308D}" type="pres">
      <dgm:prSet presAssocID="{85B764BF-745D-4CF1-BCCB-EF10CBEE40C3}" presName="rootComposite" presStyleCnt="0"/>
      <dgm:spPr/>
    </dgm:pt>
    <dgm:pt modelId="{36C37E24-CBE8-4AA3-8AB6-B43A9E2B9FA8}" type="pres">
      <dgm:prSet presAssocID="{85B764BF-745D-4CF1-BCCB-EF10CBEE40C3}" presName="rootText" presStyleLbl="node3" presStyleIdx="0" presStyleCnt="1" custScaleX="174128">
        <dgm:presLayoutVars>
          <dgm:chPref val="3"/>
        </dgm:presLayoutVars>
      </dgm:prSet>
      <dgm:spPr/>
      <dgm:t>
        <a:bodyPr/>
        <a:lstStyle/>
        <a:p>
          <a:endParaRPr lang="en-US"/>
        </a:p>
      </dgm:t>
    </dgm:pt>
    <dgm:pt modelId="{606AC3AE-2EA8-4814-B0C1-DF83689A20EF}" type="pres">
      <dgm:prSet presAssocID="{85B764BF-745D-4CF1-BCCB-EF10CBEE40C3}" presName="rootConnector" presStyleLbl="node3" presStyleIdx="0" presStyleCnt="1"/>
      <dgm:spPr/>
      <dgm:t>
        <a:bodyPr/>
        <a:lstStyle/>
        <a:p>
          <a:endParaRPr lang="en-US"/>
        </a:p>
      </dgm:t>
    </dgm:pt>
    <dgm:pt modelId="{6D05A42F-4B8B-4907-9E4D-DF26ADCD123C}" type="pres">
      <dgm:prSet presAssocID="{85B764BF-745D-4CF1-BCCB-EF10CBEE40C3}" presName="hierChild4" presStyleCnt="0"/>
      <dgm:spPr/>
    </dgm:pt>
    <dgm:pt modelId="{0E57DC51-361A-418C-B8F0-296FC599DB14}" type="pres">
      <dgm:prSet presAssocID="{85B764BF-745D-4CF1-BCCB-EF10CBEE40C3}" presName="hierChild5" presStyleCnt="0"/>
      <dgm:spPr/>
    </dgm:pt>
    <dgm:pt modelId="{7C76C5E0-38FB-4C73-889C-D292A676BAC4}" type="pres">
      <dgm:prSet presAssocID="{37F12741-C24B-4676-8543-0B50ED355BC2}" presName="hierChild5" presStyleCnt="0"/>
      <dgm:spPr/>
    </dgm:pt>
    <dgm:pt modelId="{A4ADF6DE-BC80-4808-883F-EC7CC5674A1F}" type="pres">
      <dgm:prSet presAssocID="{6E38A921-A4FB-4ED2-9C5A-7DDB1D414419}" presName="hierChild3" presStyleCnt="0"/>
      <dgm:spPr/>
    </dgm:pt>
  </dgm:ptLst>
  <dgm:cxnLst>
    <dgm:cxn modelId="{DB2F8F2B-7BA7-486C-8F74-0A5CA526C09F}" type="presOf" srcId="{37F12741-C24B-4676-8543-0B50ED355BC2}" destId="{F0FB5536-EF96-457D-B757-75C8947B9139}" srcOrd="0" destOrd="0" presId="urn:microsoft.com/office/officeart/2005/8/layout/orgChart1"/>
    <dgm:cxn modelId="{668C1D9B-AFA3-4C04-A22B-FCBD2DE6E116}" type="presOf" srcId="{85B764BF-745D-4CF1-BCCB-EF10CBEE40C3}" destId="{606AC3AE-2EA8-4814-B0C1-DF83689A20EF}" srcOrd="1" destOrd="0" presId="urn:microsoft.com/office/officeart/2005/8/layout/orgChart1"/>
    <dgm:cxn modelId="{59C21438-C4D4-44DD-BE21-7AC6F4A38EB1}" type="presOf" srcId="{59EC50F7-15F6-469A-ACC5-5B81C557AA92}" destId="{EC299F6E-C43A-4449-87BE-C8506F004BFE}" srcOrd="0" destOrd="0" presId="urn:microsoft.com/office/officeart/2005/8/layout/orgChart1"/>
    <dgm:cxn modelId="{6CBFCEF6-C1FE-4670-A74E-8DD29CFCB0A2}" srcId="{37F12741-C24B-4676-8543-0B50ED355BC2}" destId="{85B764BF-745D-4CF1-BCCB-EF10CBEE40C3}" srcOrd="0" destOrd="0" parTransId="{1773B5B0-059A-4E58-B43E-9CAA01C3505F}" sibTransId="{D58FF868-B6E1-492A-B6BF-91BEC5A4FC4B}"/>
    <dgm:cxn modelId="{3FDFB49F-95F8-45F8-BB09-4725685EB8A2}" type="presOf" srcId="{37F12741-C24B-4676-8543-0B50ED355BC2}" destId="{00BF505E-4DA8-4FB0-8464-DD86C7D155CF}" srcOrd="1" destOrd="0" presId="urn:microsoft.com/office/officeart/2005/8/layout/orgChart1"/>
    <dgm:cxn modelId="{C568FD02-3ABF-48D0-9EC5-6CEFD4188DE1}" type="presOf" srcId="{15C1BF5A-146D-4E7C-8B2C-1F27D80A9CB0}" destId="{35198AF5-1EA5-465C-974F-9E3705F0469A}" srcOrd="0" destOrd="0" presId="urn:microsoft.com/office/officeart/2005/8/layout/orgChart1"/>
    <dgm:cxn modelId="{77271057-FF0B-40C5-9614-51D9B4B65DE6}" srcId="{15C1BF5A-146D-4E7C-8B2C-1F27D80A9CB0}" destId="{6E38A921-A4FB-4ED2-9C5A-7DDB1D414419}" srcOrd="0" destOrd="0" parTransId="{E03DD56B-A0C3-4513-9D49-CA086CF474D7}" sibTransId="{EED3FBF3-21B5-486D-BF7B-02B0731F4989}"/>
    <dgm:cxn modelId="{F491D4A6-54BD-4FEB-863F-6DAC8BACEB2A}" srcId="{6E38A921-A4FB-4ED2-9C5A-7DDB1D414419}" destId="{37F12741-C24B-4676-8543-0B50ED355BC2}" srcOrd="0" destOrd="0" parTransId="{59EC50F7-15F6-469A-ACC5-5B81C557AA92}" sibTransId="{DC6A74E0-493A-4466-B6B7-32501C617645}"/>
    <dgm:cxn modelId="{A5A4D2CE-2B39-42FA-A61C-0CCF5E05E223}" type="presOf" srcId="{85B764BF-745D-4CF1-BCCB-EF10CBEE40C3}" destId="{36C37E24-CBE8-4AA3-8AB6-B43A9E2B9FA8}" srcOrd="0" destOrd="0" presId="urn:microsoft.com/office/officeart/2005/8/layout/orgChart1"/>
    <dgm:cxn modelId="{7AE87400-AEDB-4729-9A24-FF91691FD1BF}" type="presOf" srcId="{1773B5B0-059A-4E58-B43E-9CAA01C3505F}" destId="{70D5937A-0ED7-451A-AFCA-F706E11A38D5}" srcOrd="0" destOrd="0" presId="urn:microsoft.com/office/officeart/2005/8/layout/orgChart1"/>
    <dgm:cxn modelId="{3CC7AAE6-A4C4-420A-BAB3-4389FB341078}" type="presOf" srcId="{6E38A921-A4FB-4ED2-9C5A-7DDB1D414419}" destId="{1504F3E9-F535-466F-BBE1-73548FE88731}" srcOrd="1" destOrd="0" presId="urn:microsoft.com/office/officeart/2005/8/layout/orgChart1"/>
    <dgm:cxn modelId="{55653966-12A8-454B-AEE7-7A150C2CE3CF}" type="presOf" srcId="{6E38A921-A4FB-4ED2-9C5A-7DDB1D414419}" destId="{86E081EE-2D3C-4746-BBF6-F69DD19C6166}" srcOrd="0" destOrd="0" presId="urn:microsoft.com/office/officeart/2005/8/layout/orgChart1"/>
    <dgm:cxn modelId="{87940735-49CC-4F9D-B2B5-A67AE802DC65}" type="presParOf" srcId="{35198AF5-1EA5-465C-974F-9E3705F0469A}" destId="{7FEDCEB3-F987-4538-91FC-45A5ECA2075D}" srcOrd="0" destOrd="0" presId="urn:microsoft.com/office/officeart/2005/8/layout/orgChart1"/>
    <dgm:cxn modelId="{7BF59B3E-10C7-49E7-B081-C7BC9F9BA3DA}" type="presParOf" srcId="{7FEDCEB3-F987-4538-91FC-45A5ECA2075D}" destId="{D0A3212B-7ED6-46C0-8E3C-30EF6F860058}" srcOrd="0" destOrd="0" presId="urn:microsoft.com/office/officeart/2005/8/layout/orgChart1"/>
    <dgm:cxn modelId="{A256E8D1-61BC-44D2-97BA-3C4ADD0862F8}" type="presParOf" srcId="{D0A3212B-7ED6-46C0-8E3C-30EF6F860058}" destId="{86E081EE-2D3C-4746-BBF6-F69DD19C6166}" srcOrd="0" destOrd="0" presId="urn:microsoft.com/office/officeart/2005/8/layout/orgChart1"/>
    <dgm:cxn modelId="{6F564220-9913-49E5-A821-54CF2D04E299}" type="presParOf" srcId="{D0A3212B-7ED6-46C0-8E3C-30EF6F860058}" destId="{1504F3E9-F535-466F-BBE1-73548FE88731}" srcOrd="1" destOrd="0" presId="urn:microsoft.com/office/officeart/2005/8/layout/orgChart1"/>
    <dgm:cxn modelId="{6CC0669A-3816-4E64-A7E7-1AAACD2EA64A}" type="presParOf" srcId="{7FEDCEB3-F987-4538-91FC-45A5ECA2075D}" destId="{4E39DB60-D74E-4B56-80D4-DD732E815198}" srcOrd="1" destOrd="0" presId="urn:microsoft.com/office/officeart/2005/8/layout/orgChart1"/>
    <dgm:cxn modelId="{32BDD598-6AC2-456E-95D0-589B52C997C0}" type="presParOf" srcId="{4E39DB60-D74E-4B56-80D4-DD732E815198}" destId="{EC299F6E-C43A-4449-87BE-C8506F004BFE}" srcOrd="0" destOrd="0" presId="urn:microsoft.com/office/officeart/2005/8/layout/orgChart1"/>
    <dgm:cxn modelId="{54ACFB28-9760-4198-9632-8A6C3A50C5EC}" type="presParOf" srcId="{4E39DB60-D74E-4B56-80D4-DD732E815198}" destId="{2D912EDD-3710-43A4-89CF-E68C497E2014}" srcOrd="1" destOrd="0" presId="urn:microsoft.com/office/officeart/2005/8/layout/orgChart1"/>
    <dgm:cxn modelId="{E1DF22D5-EB98-4578-BBA6-9D3F26188050}" type="presParOf" srcId="{2D912EDD-3710-43A4-89CF-E68C497E2014}" destId="{BBC83A11-1D72-4478-B079-1F251B1D00A3}" srcOrd="0" destOrd="0" presId="urn:microsoft.com/office/officeart/2005/8/layout/orgChart1"/>
    <dgm:cxn modelId="{0724C1B8-7D9F-4F05-9DCD-11B75EFD7DB3}" type="presParOf" srcId="{BBC83A11-1D72-4478-B079-1F251B1D00A3}" destId="{F0FB5536-EF96-457D-B757-75C8947B9139}" srcOrd="0" destOrd="0" presId="urn:microsoft.com/office/officeart/2005/8/layout/orgChart1"/>
    <dgm:cxn modelId="{3B477847-30ED-412C-BCE1-169050E81E0C}" type="presParOf" srcId="{BBC83A11-1D72-4478-B079-1F251B1D00A3}" destId="{00BF505E-4DA8-4FB0-8464-DD86C7D155CF}" srcOrd="1" destOrd="0" presId="urn:microsoft.com/office/officeart/2005/8/layout/orgChart1"/>
    <dgm:cxn modelId="{53131DAA-0725-4549-AB20-0EB87203FA59}" type="presParOf" srcId="{2D912EDD-3710-43A4-89CF-E68C497E2014}" destId="{51F96367-45FD-47E9-A27A-A76122C6F1CC}" srcOrd="1" destOrd="0" presId="urn:microsoft.com/office/officeart/2005/8/layout/orgChart1"/>
    <dgm:cxn modelId="{451CFED9-9AA9-48C1-B2B0-E710F6FB1419}" type="presParOf" srcId="{51F96367-45FD-47E9-A27A-A76122C6F1CC}" destId="{70D5937A-0ED7-451A-AFCA-F706E11A38D5}" srcOrd="0" destOrd="0" presId="urn:microsoft.com/office/officeart/2005/8/layout/orgChart1"/>
    <dgm:cxn modelId="{DC84084D-20D3-4AFA-8C14-FEEFF253EB21}" type="presParOf" srcId="{51F96367-45FD-47E9-A27A-A76122C6F1CC}" destId="{F5D942FE-8A66-469F-BA8A-88807F00C9ED}" srcOrd="1" destOrd="0" presId="urn:microsoft.com/office/officeart/2005/8/layout/orgChart1"/>
    <dgm:cxn modelId="{3A35AD4B-87DB-4428-9393-236C8438686C}" type="presParOf" srcId="{F5D942FE-8A66-469F-BA8A-88807F00C9ED}" destId="{3A544E73-D568-4561-B976-B152CCCD308D}" srcOrd="0" destOrd="0" presId="urn:microsoft.com/office/officeart/2005/8/layout/orgChart1"/>
    <dgm:cxn modelId="{6335BA66-C7E3-47E7-8685-48DB0D632F3C}" type="presParOf" srcId="{3A544E73-D568-4561-B976-B152CCCD308D}" destId="{36C37E24-CBE8-4AA3-8AB6-B43A9E2B9FA8}" srcOrd="0" destOrd="0" presId="urn:microsoft.com/office/officeart/2005/8/layout/orgChart1"/>
    <dgm:cxn modelId="{369A5F2E-3DB8-42E8-8C73-1435B391CE43}" type="presParOf" srcId="{3A544E73-D568-4561-B976-B152CCCD308D}" destId="{606AC3AE-2EA8-4814-B0C1-DF83689A20EF}" srcOrd="1" destOrd="0" presId="urn:microsoft.com/office/officeart/2005/8/layout/orgChart1"/>
    <dgm:cxn modelId="{6CB3DAA9-6703-4940-AAC6-73D43B6F15CD}" type="presParOf" srcId="{F5D942FE-8A66-469F-BA8A-88807F00C9ED}" destId="{6D05A42F-4B8B-4907-9E4D-DF26ADCD123C}" srcOrd="1" destOrd="0" presId="urn:microsoft.com/office/officeart/2005/8/layout/orgChart1"/>
    <dgm:cxn modelId="{5AD6A12A-7E75-488C-9B7B-AC10DB73A739}" type="presParOf" srcId="{F5D942FE-8A66-469F-BA8A-88807F00C9ED}" destId="{0E57DC51-361A-418C-B8F0-296FC599DB14}" srcOrd="2" destOrd="0" presId="urn:microsoft.com/office/officeart/2005/8/layout/orgChart1"/>
    <dgm:cxn modelId="{F2F85EF6-F58B-4231-97E5-0D1CC140ED5A}" type="presParOf" srcId="{2D912EDD-3710-43A4-89CF-E68C497E2014}" destId="{7C76C5E0-38FB-4C73-889C-D292A676BAC4}" srcOrd="2" destOrd="0" presId="urn:microsoft.com/office/officeart/2005/8/layout/orgChart1"/>
    <dgm:cxn modelId="{36F9C466-DDCA-40B3-9CAF-6946D1BACD62}" type="presParOf" srcId="{7FEDCEB3-F987-4538-91FC-45A5ECA2075D}" destId="{A4ADF6DE-BC80-4808-883F-EC7CC5674A1F}" srcOrd="2" destOrd="0" presId="urn:microsoft.com/office/officeart/2005/8/layout/orgChart1"/>
  </dgm:cxnLst>
  <dgm:bg/>
  <dgm:whole/>
  <dgm:extLst>
    <a:ext uri="http://schemas.microsoft.com/office/drawing/2008/diagram">
      <dsp:dataModelExt xmlns:dsp="http://schemas.microsoft.com/office/drawing/2008/diagram" xmlns="" relId="rId4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3624A2D-B310-4B6F-8B4A-8D984EE1D7A5}">
      <dsp:nvSpPr>
        <dsp:cNvPr id="0" name=""/>
        <dsp:cNvSpPr/>
      </dsp:nvSpPr>
      <dsp:spPr>
        <a:xfrm>
          <a:off x="1880018" y="1090494"/>
          <a:ext cx="1035043" cy="828910"/>
        </a:xfrm>
        <a:prstGeom prst="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66725" rtl="0">
            <a:lnSpc>
              <a:spcPct val="90000"/>
            </a:lnSpc>
            <a:spcBef>
              <a:spcPct val="0"/>
            </a:spcBef>
            <a:spcAft>
              <a:spcPct val="35000"/>
            </a:spcAft>
          </a:pPr>
          <a:r>
            <a:rPr lang="en-ZA" sz="1050" b="1" i="0" kern="1200" baseline="0" smtClean="0">
              <a:solidFill>
                <a:sysClr val="windowText" lastClr="000000"/>
              </a:solidFill>
              <a:latin typeface="Calibri"/>
            </a:rPr>
            <a:t>CISPs  Exposuire to Legislation</a:t>
          </a:r>
          <a:endParaRPr lang="en-GB" sz="1050" b="1" i="0" kern="1200" baseline="0" smtClean="0">
            <a:solidFill>
              <a:sysClr val="windowText" lastClr="000000"/>
            </a:solidFill>
          </a:endParaRPr>
        </a:p>
      </dsp:txBody>
      <dsp:txXfrm>
        <a:off x="1880018" y="1090494"/>
        <a:ext cx="1035043" cy="828910"/>
      </dsp:txXfrm>
    </dsp:sp>
    <dsp:sp modelId="{47CDCD52-BF53-4149-B5AB-F53DF6B785C9}">
      <dsp:nvSpPr>
        <dsp:cNvPr id="0" name=""/>
        <dsp:cNvSpPr/>
      </dsp:nvSpPr>
      <dsp:spPr>
        <a:xfrm rot="16200000">
          <a:off x="2272378" y="949853"/>
          <a:ext cx="250325" cy="30957"/>
        </a:xfrm>
        <a:custGeom>
          <a:avLst/>
          <a:gdLst/>
          <a:ahLst/>
          <a:cxnLst/>
          <a:rect l="0" t="0" r="0" b="0"/>
          <a:pathLst>
            <a:path>
              <a:moveTo>
                <a:pt x="0" y="15478"/>
              </a:moveTo>
              <a:lnTo>
                <a:pt x="250325" y="154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6200000">
        <a:off x="2391282" y="959074"/>
        <a:ext cx="12516" cy="12516"/>
      </dsp:txXfrm>
    </dsp:sp>
    <dsp:sp modelId="{BDD45EF6-604C-4CF2-883D-A13C43EBB921}">
      <dsp:nvSpPr>
        <dsp:cNvPr id="0" name=""/>
        <dsp:cNvSpPr/>
      </dsp:nvSpPr>
      <dsp:spPr>
        <a:xfrm>
          <a:off x="1899062" y="11259"/>
          <a:ext cx="996955" cy="828910"/>
        </a:xfrm>
        <a:prstGeom prst="rect">
          <a:avLst/>
        </a:prstGeom>
        <a:noFill/>
        <a:ln w="25400" cap="flat" cmpd="sng" algn="ctr">
          <a:solidFill>
            <a:schemeClr val="tx1">
              <a:alpha val="7700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66725" rtl="0">
            <a:lnSpc>
              <a:spcPct val="90000"/>
            </a:lnSpc>
            <a:spcBef>
              <a:spcPct val="0"/>
            </a:spcBef>
            <a:spcAft>
              <a:spcPct val="35000"/>
            </a:spcAft>
          </a:pPr>
          <a:r>
            <a:rPr lang="en-ZA" sz="1050" b="0" i="0" kern="1200" baseline="0" smtClean="0">
              <a:solidFill>
                <a:sysClr val="windowText" lastClr="000000"/>
              </a:solidFill>
              <a:latin typeface="Calibri"/>
            </a:rPr>
            <a:t>Collective Investment Scheme in Property Act 45 of 2002</a:t>
          </a:r>
          <a:endParaRPr lang="en-GB" sz="1050" b="0" i="0" kern="1200" baseline="0" smtClean="0">
            <a:solidFill>
              <a:sysClr val="windowText" lastClr="000000"/>
            </a:solidFill>
          </a:endParaRPr>
        </a:p>
      </dsp:txBody>
      <dsp:txXfrm>
        <a:off x="1899062" y="11259"/>
        <a:ext cx="996955" cy="828910"/>
      </dsp:txXfrm>
    </dsp:sp>
    <dsp:sp modelId="{9CEEA763-678C-4F8F-B86B-957F3670919B}">
      <dsp:nvSpPr>
        <dsp:cNvPr id="0" name=""/>
        <dsp:cNvSpPr/>
      </dsp:nvSpPr>
      <dsp:spPr>
        <a:xfrm>
          <a:off x="2915062" y="1489471"/>
          <a:ext cx="286120" cy="30957"/>
        </a:xfrm>
        <a:custGeom>
          <a:avLst/>
          <a:gdLst/>
          <a:ahLst/>
          <a:cxnLst/>
          <a:rect l="0" t="0" r="0" b="0"/>
          <a:pathLst>
            <a:path>
              <a:moveTo>
                <a:pt x="0" y="15478"/>
              </a:moveTo>
              <a:lnTo>
                <a:pt x="286120" y="154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050969" y="1497796"/>
        <a:ext cx="14306" cy="14306"/>
      </dsp:txXfrm>
    </dsp:sp>
    <dsp:sp modelId="{CE0211BD-0D3B-4AF9-A3C0-B83272EBA6DF}">
      <dsp:nvSpPr>
        <dsp:cNvPr id="0" name=""/>
        <dsp:cNvSpPr/>
      </dsp:nvSpPr>
      <dsp:spPr>
        <a:xfrm>
          <a:off x="3201183" y="1090494"/>
          <a:ext cx="1008435" cy="828910"/>
        </a:xfrm>
        <a:prstGeom prst="rect">
          <a:avLst/>
        </a:prstGeom>
        <a:noFill/>
        <a:ln w="25400" cap="flat" cmpd="sng" algn="ctr">
          <a:solidFill>
            <a:schemeClr val="tx1">
              <a:alpha val="7700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66725" rtl="0">
            <a:lnSpc>
              <a:spcPct val="90000"/>
            </a:lnSpc>
            <a:spcBef>
              <a:spcPct val="0"/>
            </a:spcBef>
            <a:spcAft>
              <a:spcPct val="35000"/>
            </a:spcAft>
          </a:pPr>
          <a:r>
            <a:rPr lang="en-ZA" sz="1050" b="0" i="0" kern="1200" baseline="0" smtClean="0">
              <a:solidFill>
                <a:sysClr val="windowText" lastClr="000000"/>
              </a:solidFill>
              <a:latin typeface="Calibri"/>
            </a:rPr>
            <a:t>Income Tax Act 58 of 1962</a:t>
          </a:r>
          <a:endParaRPr lang="en-GB" sz="1050" b="0" i="0" kern="1200" baseline="0" smtClean="0">
            <a:solidFill>
              <a:sysClr val="windowText" lastClr="000000"/>
            </a:solidFill>
          </a:endParaRPr>
        </a:p>
      </dsp:txBody>
      <dsp:txXfrm>
        <a:off x="3201183" y="1090494"/>
        <a:ext cx="1008435" cy="828910"/>
      </dsp:txXfrm>
    </dsp:sp>
    <dsp:sp modelId="{5B148DCE-BC1C-44B8-BED2-823241C10BCA}">
      <dsp:nvSpPr>
        <dsp:cNvPr id="0" name=""/>
        <dsp:cNvSpPr/>
      </dsp:nvSpPr>
      <dsp:spPr>
        <a:xfrm rot="5400000">
          <a:off x="2272378" y="2029089"/>
          <a:ext cx="250325" cy="30957"/>
        </a:xfrm>
        <a:custGeom>
          <a:avLst/>
          <a:gdLst/>
          <a:ahLst/>
          <a:cxnLst/>
          <a:rect l="0" t="0" r="0" b="0"/>
          <a:pathLst>
            <a:path>
              <a:moveTo>
                <a:pt x="0" y="15478"/>
              </a:moveTo>
              <a:lnTo>
                <a:pt x="250325" y="154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5400000">
        <a:off x="2391282" y="2038309"/>
        <a:ext cx="12516" cy="12516"/>
      </dsp:txXfrm>
    </dsp:sp>
    <dsp:sp modelId="{FAC8B511-7BA0-4DAC-A3EF-D3C2FAA38FCF}">
      <dsp:nvSpPr>
        <dsp:cNvPr id="0" name=""/>
        <dsp:cNvSpPr/>
      </dsp:nvSpPr>
      <dsp:spPr>
        <a:xfrm>
          <a:off x="1924464" y="2169730"/>
          <a:ext cx="946151" cy="828910"/>
        </a:xfrm>
        <a:prstGeom prst="rect">
          <a:avLst/>
        </a:prstGeom>
        <a:noFill/>
        <a:ln w="25400" cap="flat" cmpd="sng" algn="ctr">
          <a:solidFill>
            <a:schemeClr val="tx1">
              <a:alpha val="7700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66725" rtl="0">
            <a:lnSpc>
              <a:spcPct val="90000"/>
            </a:lnSpc>
            <a:spcBef>
              <a:spcPct val="0"/>
            </a:spcBef>
            <a:spcAft>
              <a:spcPct val="35000"/>
            </a:spcAft>
          </a:pPr>
          <a:r>
            <a:rPr lang="en-ZA" sz="1050" b="0" i="0" kern="1200" baseline="0" smtClean="0">
              <a:solidFill>
                <a:sysClr val="windowText" lastClr="000000"/>
              </a:solidFill>
              <a:latin typeface="Calibri"/>
            </a:rPr>
            <a:t>Johannesburg Stock Exchange</a:t>
          </a:r>
          <a:endParaRPr lang="en-GB" sz="1050" b="0" i="0" kern="1200" baseline="0" smtClean="0">
            <a:solidFill>
              <a:sysClr val="windowText" lastClr="000000"/>
            </a:solidFill>
          </a:endParaRPr>
        </a:p>
      </dsp:txBody>
      <dsp:txXfrm>
        <a:off x="1924464" y="2169730"/>
        <a:ext cx="946151" cy="828910"/>
      </dsp:txXfrm>
    </dsp:sp>
    <dsp:sp modelId="{D64FB33F-220D-40E0-9BFB-B367798CDE80}">
      <dsp:nvSpPr>
        <dsp:cNvPr id="0" name=""/>
        <dsp:cNvSpPr/>
      </dsp:nvSpPr>
      <dsp:spPr>
        <a:xfrm rot="10800000">
          <a:off x="1505815" y="1489471"/>
          <a:ext cx="374202" cy="30957"/>
        </a:xfrm>
        <a:custGeom>
          <a:avLst/>
          <a:gdLst/>
          <a:ahLst/>
          <a:cxnLst/>
          <a:rect l="0" t="0" r="0" b="0"/>
          <a:pathLst>
            <a:path>
              <a:moveTo>
                <a:pt x="0" y="15478"/>
              </a:moveTo>
              <a:lnTo>
                <a:pt x="374202" y="154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1683562" y="1495594"/>
        <a:ext cx="18710" cy="18710"/>
      </dsp:txXfrm>
    </dsp:sp>
    <dsp:sp modelId="{F60DB496-2B5E-4B7E-B286-13DBDBBDE690}">
      <dsp:nvSpPr>
        <dsp:cNvPr id="0" name=""/>
        <dsp:cNvSpPr/>
      </dsp:nvSpPr>
      <dsp:spPr>
        <a:xfrm>
          <a:off x="546517" y="1090494"/>
          <a:ext cx="959298" cy="828910"/>
        </a:xfrm>
        <a:prstGeom prst="rect">
          <a:avLst/>
        </a:prstGeom>
        <a:noFill/>
        <a:ln w="25400" cap="flat" cmpd="sng" algn="ctr">
          <a:solidFill>
            <a:schemeClr val="tx1">
              <a:alpha val="7700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66725" rtl="0">
            <a:lnSpc>
              <a:spcPct val="90000"/>
            </a:lnSpc>
            <a:spcBef>
              <a:spcPct val="0"/>
            </a:spcBef>
            <a:spcAft>
              <a:spcPct val="35000"/>
            </a:spcAft>
          </a:pPr>
          <a:r>
            <a:rPr lang="en-ZA" sz="1050" b="0" i="0" kern="1200" baseline="0" smtClean="0">
              <a:solidFill>
                <a:sysClr val="windowText" lastClr="000000"/>
              </a:solidFill>
              <a:latin typeface="Calibri"/>
            </a:rPr>
            <a:t>Financial Services Board</a:t>
          </a:r>
          <a:endParaRPr lang="en-GB" sz="1050" b="0" i="0" kern="1200" baseline="0" smtClean="0">
            <a:solidFill>
              <a:sysClr val="windowText" lastClr="000000"/>
            </a:solidFill>
          </a:endParaRPr>
        </a:p>
      </dsp:txBody>
      <dsp:txXfrm>
        <a:off x="546517" y="1090494"/>
        <a:ext cx="959298" cy="828910"/>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862E167-6557-4D37-B9FC-7E8A99A9999B}">
      <dsp:nvSpPr>
        <dsp:cNvPr id="0" name=""/>
        <dsp:cNvSpPr/>
      </dsp:nvSpPr>
      <dsp:spPr>
        <a:xfrm>
          <a:off x="1283017" y="1007750"/>
          <a:ext cx="91440" cy="176781"/>
        </a:xfrm>
        <a:custGeom>
          <a:avLst/>
          <a:gdLst/>
          <a:ahLst/>
          <a:cxnLst/>
          <a:rect l="0" t="0" r="0" b="0"/>
          <a:pathLst>
            <a:path>
              <a:moveTo>
                <a:pt x="45720" y="0"/>
              </a:moveTo>
              <a:lnTo>
                <a:pt x="45720" y="1767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A04488-C802-43F6-B81A-EA34299D20DA}">
      <dsp:nvSpPr>
        <dsp:cNvPr id="0" name=""/>
        <dsp:cNvSpPr/>
      </dsp:nvSpPr>
      <dsp:spPr>
        <a:xfrm>
          <a:off x="1283017" y="415668"/>
          <a:ext cx="91440" cy="176781"/>
        </a:xfrm>
        <a:custGeom>
          <a:avLst/>
          <a:gdLst/>
          <a:ahLst/>
          <a:cxnLst/>
          <a:rect l="0" t="0" r="0" b="0"/>
          <a:pathLst>
            <a:path>
              <a:moveTo>
                <a:pt x="45720" y="0"/>
              </a:moveTo>
              <a:lnTo>
                <a:pt x="45720" y="1767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078FCE1-888E-4F57-878A-38F4B58F687B}">
      <dsp:nvSpPr>
        <dsp:cNvPr id="0" name=""/>
        <dsp:cNvSpPr/>
      </dsp:nvSpPr>
      <dsp:spPr>
        <a:xfrm>
          <a:off x="483176" y="367"/>
          <a:ext cx="1691121" cy="415300"/>
        </a:xfrm>
        <a:prstGeom prst="rect">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GB" sz="900" b="0" kern="1200" baseline="0" smtClean="0">
              <a:solidFill>
                <a:sysClr val="windowText" lastClr="000000"/>
              </a:solidFill>
              <a:latin typeface="Calibri"/>
            </a:rPr>
            <a:t>Investor: Participatory Interest Holder (PIH) </a:t>
          </a:r>
          <a:endParaRPr lang="en-GB" sz="900" b="0" kern="1200" smtClean="0">
            <a:solidFill>
              <a:sysClr val="windowText" lastClr="000000"/>
            </a:solidFill>
          </a:endParaRPr>
        </a:p>
      </dsp:txBody>
      <dsp:txXfrm>
        <a:off x="483176" y="367"/>
        <a:ext cx="1691121" cy="415300"/>
      </dsp:txXfrm>
    </dsp:sp>
    <dsp:sp modelId="{98513BA9-CC90-4436-9C1F-08568F6124B6}">
      <dsp:nvSpPr>
        <dsp:cNvPr id="0" name=""/>
        <dsp:cNvSpPr/>
      </dsp:nvSpPr>
      <dsp:spPr>
        <a:xfrm>
          <a:off x="483176" y="592449"/>
          <a:ext cx="1691121" cy="415300"/>
        </a:xfrm>
        <a:prstGeom prst="rect">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GB" sz="900" b="0" kern="1200" baseline="0" smtClean="0">
              <a:solidFill>
                <a:sysClr val="windowText" lastClr="000000"/>
              </a:solidFill>
              <a:latin typeface="Calibri"/>
            </a:rPr>
            <a:t>Vehicle: Collective Investment Scheme in Property (CISP) </a:t>
          </a:r>
          <a:endParaRPr lang="en-GB" sz="900" b="0" kern="1200" smtClean="0">
            <a:solidFill>
              <a:sysClr val="windowText" lastClr="000000"/>
            </a:solidFill>
          </a:endParaRPr>
        </a:p>
      </dsp:txBody>
      <dsp:txXfrm>
        <a:off x="483176" y="592449"/>
        <a:ext cx="1691121" cy="415300"/>
      </dsp:txXfrm>
    </dsp:sp>
    <dsp:sp modelId="{D8B0987F-5331-4891-8458-B5138D43C5D9}">
      <dsp:nvSpPr>
        <dsp:cNvPr id="0" name=""/>
        <dsp:cNvSpPr/>
      </dsp:nvSpPr>
      <dsp:spPr>
        <a:xfrm>
          <a:off x="483176" y="1184531"/>
          <a:ext cx="1691121" cy="415300"/>
        </a:xfrm>
        <a:prstGeom prst="rect">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GB" sz="900" b="0" kern="1200" baseline="0" smtClean="0">
              <a:solidFill>
                <a:sysClr val="windowText" lastClr="000000"/>
              </a:solidFill>
              <a:latin typeface="Calibri"/>
            </a:rPr>
            <a:t>Underlying Income Generating Asset: Fixed Property Asset (FPA)</a:t>
          </a:r>
          <a:endParaRPr lang="en-GB" sz="900" b="0" kern="1200" smtClean="0">
            <a:solidFill>
              <a:sysClr val="windowText" lastClr="000000"/>
            </a:solidFill>
          </a:endParaRPr>
        </a:p>
      </dsp:txBody>
      <dsp:txXfrm>
        <a:off x="483176" y="1184531"/>
        <a:ext cx="1691121" cy="415300"/>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09B5076-84F6-4CC0-A233-0706307F5FB3}">
      <dsp:nvSpPr>
        <dsp:cNvPr id="0" name=""/>
        <dsp:cNvSpPr/>
      </dsp:nvSpPr>
      <dsp:spPr>
        <a:xfrm>
          <a:off x="1990368" y="3088812"/>
          <a:ext cx="392942" cy="272163"/>
        </a:xfrm>
        <a:custGeom>
          <a:avLst/>
          <a:gdLst/>
          <a:ahLst/>
          <a:cxnLst/>
          <a:rect l="0" t="0" r="0" b="0"/>
          <a:pathLst>
            <a:path>
              <a:moveTo>
                <a:pt x="0" y="0"/>
              </a:moveTo>
              <a:lnTo>
                <a:pt x="0" y="172534"/>
              </a:lnTo>
              <a:lnTo>
                <a:pt x="392942" y="172534"/>
              </a:lnTo>
              <a:lnTo>
                <a:pt x="392942" y="2721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53943D2-C646-4BF0-B30F-78222A69E0D2}">
      <dsp:nvSpPr>
        <dsp:cNvPr id="0" name=""/>
        <dsp:cNvSpPr/>
      </dsp:nvSpPr>
      <dsp:spPr>
        <a:xfrm>
          <a:off x="1001606" y="3088812"/>
          <a:ext cx="988762" cy="272163"/>
        </a:xfrm>
        <a:custGeom>
          <a:avLst/>
          <a:gdLst/>
          <a:ahLst/>
          <a:cxnLst/>
          <a:rect l="0" t="0" r="0" b="0"/>
          <a:pathLst>
            <a:path>
              <a:moveTo>
                <a:pt x="988762" y="0"/>
              </a:moveTo>
              <a:lnTo>
                <a:pt x="988762" y="172534"/>
              </a:lnTo>
              <a:lnTo>
                <a:pt x="0" y="172534"/>
              </a:lnTo>
              <a:lnTo>
                <a:pt x="0" y="2721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384981-6F43-4AC0-AC9B-1A5A86F46721}">
      <dsp:nvSpPr>
        <dsp:cNvPr id="0" name=""/>
        <dsp:cNvSpPr/>
      </dsp:nvSpPr>
      <dsp:spPr>
        <a:xfrm>
          <a:off x="2904959" y="623185"/>
          <a:ext cx="220754" cy="2126432"/>
        </a:xfrm>
        <a:custGeom>
          <a:avLst/>
          <a:gdLst/>
          <a:ahLst/>
          <a:cxnLst/>
          <a:rect l="0" t="0" r="0" b="0"/>
          <a:pathLst>
            <a:path>
              <a:moveTo>
                <a:pt x="220754" y="0"/>
              </a:moveTo>
              <a:lnTo>
                <a:pt x="220754" y="2126432"/>
              </a:lnTo>
              <a:lnTo>
                <a:pt x="0" y="212643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E00C12-1FAE-4260-9AFE-B043D1D5EBA7}">
      <dsp:nvSpPr>
        <dsp:cNvPr id="0" name=""/>
        <dsp:cNvSpPr/>
      </dsp:nvSpPr>
      <dsp:spPr>
        <a:xfrm>
          <a:off x="3125714" y="623185"/>
          <a:ext cx="561563" cy="600208"/>
        </a:xfrm>
        <a:custGeom>
          <a:avLst/>
          <a:gdLst/>
          <a:ahLst/>
          <a:cxnLst/>
          <a:rect l="0" t="0" r="0" b="0"/>
          <a:pathLst>
            <a:path>
              <a:moveTo>
                <a:pt x="0" y="0"/>
              </a:moveTo>
              <a:lnTo>
                <a:pt x="0" y="600208"/>
              </a:lnTo>
              <a:lnTo>
                <a:pt x="561563" y="60020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32EA445-105B-4D37-858C-A2A257C0C57D}">
      <dsp:nvSpPr>
        <dsp:cNvPr id="0" name=""/>
        <dsp:cNvSpPr/>
      </dsp:nvSpPr>
      <dsp:spPr>
        <a:xfrm>
          <a:off x="1703468" y="1617602"/>
          <a:ext cx="91440" cy="419936"/>
        </a:xfrm>
        <a:custGeom>
          <a:avLst/>
          <a:gdLst/>
          <a:ahLst/>
          <a:cxnLst/>
          <a:rect l="0" t="0" r="0" b="0"/>
          <a:pathLst>
            <a:path>
              <a:moveTo>
                <a:pt x="129908" y="0"/>
              </a:moveTo>
              <a:lnTo>
                <a:pt x="129908" y="419936"/>
              </a:lnTo>
              <a:lnTo>
                <a:pt x="45720" y="41993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18F6B0-5047-47A7-BFE0-096A726C96B0}">
      <dsp:nvSpPr>
        <dsp:cNvPr id="0" name=""/>
        <dsp:cNvSpPr/>
      </dsp:nvSpPr>
      <dsp:spPr>
        <a:xfrm>
          <a:off x="2623051" y="623185"/>
          <a:ext cx="502662" cy="601499"/>
        </a:xfrm>
        <a:custGeom>
          <a:avLst/>
          <a:gdLst/>
          <a:ahLst/>
          <a:cxnLst/>
          <a:rect l="0" t="0" r="0" b="0"/>
          <a:pathLst>
            <a:path>
              <a:moveTo>
                <a:pt x="502662" y="0"/>
              </a:moveTo>
              <a:lnTo>
                <a:pt x="502662" y="601499"/>
              </a:lnTo>
              <a:lnTo>
                <a:pt x="0" y="60149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691DCB-BCD7-4CB1-9D23-A5742895FAA4}">
      <dsp:nvSpPr>
        <dsp:cNvPr id="0" name=""/>
        <dsp:cNvSpPr/>
      </dsp:nvSpPr>
      <dsp:spPr>
        <a:xfrm>
          <a:off x="1968502" y="0"/>
          <a:ext cx="2314423" cy="623185"/>
        </a:xfrm>
        <a:prstGeom prst="rect">
          <a:avLst/>
        </a:prstGeom>
        <a:solidFill>
          <a:schemeClr val="bg1">
            <a:lumMod val="85000"/>
          </a:schemeClr>
        </a:solidFill>
        <a:ln w="25400" cap="flat" cmpd="sng" algn="ctr">
          <a:solidFill>
            <a:schemeClr val="tx1"/>
          </a:solidFill>
          <a:prstDash val="solid"/>
        </a:ln>
        <a:effectLst>
          <a:outerShdw blurRad="50800" dist="50800" dir="5400000" algn="ctr" rotWithShape="0">
            <a:schemeClr val="bg1">
              <a:lumMod val="85000"/>
            </a:scheme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GB" sz="900" b="1" kern="1200" baseline="0" smtClean="0">
              <a:solidFill>
                <a:sysClr val="windowText" lastClr="000000"/>
              </a:solidFill>
              <a:latin typeface="Calibri"/>
            </a:rPr>
            <a:t>Underlying Investment Assets of a primary CISP </a:t>
          </a:r>
        </a:p>
        <a:p>
          <a:pPr marR="0" lvl="0" algn="ctr" defTabSz="400050" rtl="0">
            <a:lnSpc>
              <a:spcPct val="90000"/>
            </a:lnSpc>
            <a:spcBef>
              <a:spcPct val="0"/>
            </a:spcBef>
            <a:spcAft>
              <a:spcPct val="35000"/>
            </a:spcAft>
          </a:pPr>
          <a:r>
            <a:rPr lang="en-GB" sz="900" b="1" kern="1200" baseline="0" smtClean="0">
              <a:solidFill>
                <a:sysClr val="windowText" lastClr="000000"/>
              </a:solidFill>
              <a:latin typeface="Calibri"/>
            </a:rPr>
            <a:t>(any combination of 1-3)</a:t>
          </a:r>
        </a:p>
        <a:p>
          <a:pPr marR="0" lvl="0" algn="ctr" defTabSz="400050" rtl="0">
            <a:lnSpc>
              <a:spcPct val="90000"/>
            </a:lnSpc>
            <a:spcBef>
              <a:spcPct val="0"/>
            </a:spcBef>
            <a:spcAft>
              <a:spcPct val="35000"/>
            </a:spcAft>
          </a:pPr>
          <a:r>
            <a:rPr lang="en-GB" sz="900" b="1" kern="1200" baseline="0" smtClean="0">
              <a:solidFill>
                <a:sysClr val="windowText" lastClr="000000"/>
              </a:solidFill>
              <a:latin typeface="Calibri"/>
            </a:rPr>
            <a:t>(CISP 1)</a:t>
          </a:r>
          <a:endParaRPr lang="en-GB" sz="900" b="1" kern="1200" smtClean="0">
            <a:solidFill>
              <a:sysClr val="windowText" lastClr="000000"/>
            </a:solidFill>
          </a:endParaRPr>
        </a:p>
      </dsp:txBody>
      <dsp:txXfrm>
        <a:off x="1968502" y="0"/>
        <a:ext cx="2314423" cy="623185"/>
      </dsp:txXfrm>
    </dsp:sp>
    <dsp:sp modelId="{7D88CC12-A21F-464B-805C-EB68B33C4A81}">
      <dsp:nvSpPr>
        <dsp:cNvPr id="0" name=""/>
        <dsp:cNvSpPr/>
      </dsp:nvSpPr>
      <dsp:spPr>
        <a:xfrm>
          <a:off x="1043701" y="831765"/>
          <a:ext cx="1579349" cy="785836"/>
        </a:xfrm>
        <a:prstGeom prst="rect">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en-GB" sz="1000" b="0" kern="1200" baseline="0" smtClean="0">
              <a:solidFill>
                <a:sysClr val="windowText" lastClr="000000"/>
              </a:solidFill>
              <a:latin typeface="Calibri"/>
            </a:rPr>
            <a:t>1. Holding Company s47(1) </a:t>
          </a:r>
        </a:p>
        <a:p>
          <a:pPr marR="0" lvl="0" algn="ctr" defTabSz="444500" rtl="0">
            <a:lnSpc>
              <a:spcPct val="90000"/>
            </a:lnSpc>
            <a:spcBef>
              <a:spcPct val="0"/>
            </a:spcBef>
            <a:spcAft>
              <a:spcPct val="35000"/>
            </a:spcAft>
          </a:pPr>
          <a:r>
            <a:rPr lang="en-GB" sz="1000" b="0" kern="1200" baseline="0" smtClean="0">
              <a:solidFill>
                <a:sysClr val="windowText" lastClr="000000"/>
              </a:solidFill>
              <a:latin typeface="Calibri"/>
            </a:rPr>
            <a:t> (i.e CISP 2)</a:t>
          </a:r>
        </a:p>
        <a:p>
          <a:pPr marR="0" lvl="0" algn="ctr" defTabSz="444500" rtl="0">
            <a:lnSpc>
              <a:spcPct val="90000"/>
            </a:lnSpc>
            <a:spcBef>
              <a:spcPct val="0"/>
            </a:spcBef>
            <a:spcAft>
              <a:spcPct val="35000"/>
            </a:spcAft>
          </a:pPr>
          <a:r>
            <a:rPr lang="en-GB" sz="1000" b="0" kern="1200" baseline="0" smtClean="0">
              <a:solidFill>
                <a:sysClr val="windowText" lastClr="000000"/>
              </a:solidFill>
              <a:latin typeface="Times New Roman"/>
            </a:rPr>
            <a:t>	</a:t>
          </a:r>
          <a:endParaRPr lang="en-GB" sz="1000" b="0" kern="1200" smtClean="0">
            <a:solidFill>
              <a:sysClr val="windowText" lastClr="000000"/>
            </a:solidFill>
          </a:endParaRPr>
        </a:p>
      </dsp:txBody>
      <dsp:txXfrm>
        <a:off x="1043701" y="831765"/>
        <a:ext cx="1579349" cy="785836"/>
      </dsp:txXfrm>
    </dsp:sp>
    <dsp:sp modelId="{E428EF98-9959-40BD-936A-2EBEBF5B2E5D}">
      <dsp:nvSpPr>
        <dsp:cNvPr id="0" name=""/>
        <dsp:cNvSpPr/>
      </dsp:nvSpPr>
      <dsp:spPr>
        <a:xfrm>
          <a:off x="802265" y="1800327"/>
          <a:ext cx="946922" cy="474424"/>
        </a:xfrm>
        <a:prstGeom prst="rect">
          <a:avLst/>
        </a:prstGeom>
        <a:noFill/>
        <a:ln w="6350" cap="flat" cmpd="sng" algn="ctr">
          <a:solidFill>
            <a:schemeClr val="tx1"/>
          </a:solidFill>
          <a:prstDash val="sysDot"/>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kern="1200" baseline="0" smtClean="0">
              <a:solidFill>
                <a:sysClr val="windowText" lastClr="000000"/>
              </a:solidFill>
              <a:latin typeface="Calibri"/>
            </a:rPr>
            <a:t>Fixed</a:t>
          </a:r>
        </a:p>
        <a:p>
          <a:pPr marR="0" lvl="0" algn="ctr" defTabSz="355600" rtl="0">
            <a:lnSpc>
              <a:spcPct val="90000"/>
            </a:lnSpc>
            <a:spcBef>
              <a:spcPct val="0"/>
            </a:spcBef>
            <a:spcAft>
              <a:spcPct val="35000"/>
            </a:spcAft>
          </a:pPr>
          <a:r>
            <a:rPr lang="en-GB" sz="800" b="0" kern="1200" baseline="0" smtClean="0">
              <a:solidFill>
                <a:sysClr val="windowText" lastClr="000000"/>
              </a:solidFill>
              <a:latin typeface="Calibri"/>
            </a:rPr>
            <a:t>Property Company s47(1) </a:t>
          </a:r>
          <a:endParaRPr lang="en-GB" sz="800" b="0" kern="1200" smtClean="0">
            <a:solidFill>
              <a:sysClr val="windowText" lastClr="000000"/>
            </a:solidFill>
          </a:endParaRPr>
        </a:p>
      </dsp:txBody>
      <dsp:txXfrm>
        <a:off x="802265" y="1800327"/>
        <a:ext cx="946922" cy="474424"/>
      </dsp:txXfrm>
    </dsp:sp>
    <dsp:sp modelId="{03D95CCB-AE5E-4738-8F5C-AFADE89E960E}">
      <dsp:nvSpPr>
        <dsp:cNvPr id="0" name=""/>
        <dsp:cNvSpPr/>
      </dsp:nvSpPr>
      <dsp:spPr>
        <a:xfrm>
          <a:off x="3687277" y="814710"/>
          <a:ext cx="1468922" cy="817367"/>
        </a:xfrm>
        <a:prstGeom prst="rect">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en-GB" sz="1000" b="0" kern="1200" baseline="0" smtClean="0">
              <a:solidFill>
                <a:sysClr val="windowText" lastClr="000000"/>
              </a:solidFill>
              <a:latin typeface="Calibri"/>
            </a:rPr>
            <a:t>2. Fixed Property Company </a:t>
          </a:r>
        </a:p>
        <a:p>
          <a:pPr marR="0" lvl="0" algn="ctr" defTabSz="444500" rtl="0">
            <a:lnSpc>
              <a:spcPct val="90000"/>
            </a:lnSpc>
            <a:spcBef>
              <a:spcPct val="0"/>
            </a:spcBef>
            <a:spcAft>
              <a:spcPct val="35000"/>
            </a:spcAft>
          </a:pPr>
          <a:r>
            <a:rPr lang="en-GB" sz="1000" b="0" kern="1200" baseline="0" smtClean="0">
              <a:solidFill>
                <a:sysClr val="windowText" lastClr="000000"/>
              </a:solidFill>
              <a:latin typeface="Calibri"/>
            </a:rPr>
            <a:t>s47(1)</a:t>
          </a:r>
          <a:endParaRPr lang="en-GB" sz="1000" b="0" kern="1200" smtClean="0">
            <a:solidFill>
              <a:sysClr val="windowText" lastClr="000000"/>
            </a:solidFill>
          </a:endParaRPr>
        </a:p>
      </dsp:txBody>
      <dsp:txXfrm>
        <a:off x="3687277" y="814710"/>
        <a:ext cx="1468922" cy="817367"/>
      </dsp:txXfrm>
    </dsp:sp>
    <dsp:sp modelId="{91BBF94B-FB16-4DA9-9396-710123F0FF81}">
      <dsp:nvSpPr>
        <dsp:cNvPr id="0" name=""/>
        <dsp:cNvSpPr/>
      </dsp:nvSpPr>
      <dsp:spPr>
        <a:xfrm>
          <a:off x="1075777" y="2410423"/>
          <a:ext cx="1829181" cy="678389"/>
        </a:xfrm>
        <a:prstGeom prst="rect">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en-GB" sz="1000" b="0" kern="1200" baseline="0" smtClean="0">
              <a:solidFill>
                <a:sysClr val="windowText" lastClr="000000"/>
              </a:solidFill>
              <a:latin typeface="Calibri"/>
            </a:rPr>
            <a:t>3. International Company s47(2)</a:t>
          </a:r>
          <a:endParaRPr lang="en-GB" sz="1000" b="0" kern="1200" smtClean="0">
            <a:solidFill>
              <a:sysClr val="windowText" lastClr="000000"/>
            </a:solidFill>
          </a:endParaRPr>
        </a:p>
      </dsp:txBody>
      <dsp:txXfrm>
        <a:off x="1075777" y="2410423"/>
        <a:ext cx="1829181" cy="678389"/>
      </dsp:txXfrm>
    </dsp:sp>
    <dsp:sp modelId="{76BFBD6B-5188-4C7A-B1AF-62FC4C2014AF}">
      <dsp:nvSpPr>
        <dsp:cNvPr id="0" name=""/>
        <dsp:cNvSpPr/>
      </dsp:nvSpPr>
      <dsp:spPr>
        <a:xfrm>
          <a:off x="461934" y="3360975"/>
          <a:ext cx="1079344" cy="474424"/>
        </a:xfrm>
        <a:prstGeom prst="rect">
          <a:avLst/>
        </a:prstGeom>
        <a:noFill/>
        <a:ln w="6350" cap="flat" cmpd="sng" algn="ctr">
          <a:solidFill>
            <a:schemeClr val="tx1"/>
          </a:solidFill>
          <a:prstDash val="sysDot"/>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kern="1200" baseline="0" smtClean="0">
              <a:solidFill>
                <a:sysClr val="windowText" lastClr="000000"/>
              </a:solidFill>
              <a:latin typeface="Calibri"/>
            </a:rPr>
            <a:t>International Holding Company S49 </a:t>
          </a:r>
        </a:p>
        <a:p>
          <a:pPr marR="0" lvl="0" algn="ctr" defTabSz="355600" rtl="0">
            <a:lnSpc>
              <a:spcPct val="90000"/>
            </a:lnSpc>
            <a:spcBef>
              <a:spcPct val="0"/>
            </a:spcBef>
            <a:spcAft>
              <a:spcPct val="35000"/>
            </a:spcAft>
          </a:pPr>
          <a:r>
            <a:rPr lang="en-GB" sz="800" b="0" kern="1200" baseline="0" smtClean="0">
              <a:solidFill>
                <a:sysClr val="windowText" lastClr="000000"/>
              </a:solidFill>
              <a:latin typeface="Calibri"/>
            </a:rPr>
            <a:t>(i.e. CISP no 3)</a:t>
          </a:r>
          <a:endParaRPr lang="en-GB" sz="800" b="0" kern="1200" smtClean="0">
            <a:solidFill>
              <a:sysClr val="windowText" lastClr="000000"/>
            </a:solidFill>
          </a:endParaRPr>
        </a:p>
      </dsp:txBody>
      <dsp:txXfrm>
        <a:off x="461934" y="3360975"/>
        <a:ext cx="1079344" cy="474424"/>
      </dsp:txXfrm>
    </dsp:sp>
    <dsp:sp modelId="{A54C76D2-6BB6-4B95-A666-C35678B78875}">
      <dsp:nvSpPr>
        <dsp:cNvPr id="0" name=""/>
        <dsp:cNvSpPr/>
      </dsp:nvSpPr>
      <dsp:spPr>
        <a:xfrm>
          <a:off x="1740536" y="3360975"/>
          <a:ext cx="1285548" cy="474424"/>
        </a:xfrm>
        <a:prstGeom prst="rect">
          <a:avLst/>
        </a:prstGeom>
        <a:noFill/>
        <a:ln w="6350" cap="flat" cmpd="sng" algn="ctr">
          <a:solidFill>
            <a:schemeClr val="tx1"/>
          </a:solidFill>
          <a:prstDash val="sysDot"/>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GB" sz="800" b="0" kern="1200" baseline="0" smtClean="0">
              <a:solidFill>
                <a:sysClr val="windowText" lastClr="000000"/>
              </a:solidFill>
              <a:latin typeface="Calibri"/>
            </a:rPr>
            <a:t>International Fixed</a:t>
          </a:r>
        </a:p>
        <a:p>
          <a:pPr marR="0" lvl="0" algn="ctr" defTabSz="355600" rtl="0">
            <a:lnSpc>
              <a:spcPct val="90000"/>
            </a:lnSpc>
            <a:spcBef>
              <a:spcPct val="0"/>
            </a:spcBef>
            <a:spcAft>
              <a:spcPct val="35000"/>
            </a:spcAft>
          </a:pPr>
          <a:r>
            <a:rPr lang="en-GB" sz="800" b="0" kern="1200" baseline="0" smtClean="0">
              <a:solidFill>
                <a:sysClr val="windowText" lastClr="000000"/>
              </a:solidFill>
              <a:latin typeface="Calibri"/>
            </a:rPr>
            <a:t>Property Company </a:t>
          </a:r>
        </a:p>
        <a:p>
          <a:pPr marR="0" lvl="0" algn="ctr" defTabSz="355600" rtl="0">
            <a:lnSpc>
              <a:spcPct val="90000"/>
            </a:lnSpc>
            <a:spcBef>
              <a:spcPct val="0"/>
            </a:spcBef>
            <a:spcAft>
              <a:spcPct val="35000"/>
            </a:spcAft>
          </a:pPr>
          <a:r>
            <a:rPr lang="en-GB" sz="800" b="0" kern="1200" baseline="0" smtClean="0">
              <a:solidFill>
                <a:sysClr val="windowText" lastClr="000000"/>
              </a:solidFill>
              <a:latin typeface="Calibri"/>
            </a:rPr>
            <a:t>s49</a:t>
          </a:r>
          <a:endParaRPr lang="en-GB" sz="800" b="0" kern="1200" smtClean="0">
            <a:solidFill>
              <a:sysClr val="windowText" lastClr="000000"/>
            </a:solidFill>
          </a:endParaRPr>
        </a:p>
      </dsp:txBody>
      <dsp:txXfrm>
        <a:off x="1740536" y="3360975"/>
        <a:ext cx="1285548" cy="474424"/>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44731A7-DD21-4D31-AF01-CBA15407A61D}">
      <dsp:nvSpPr>
        <dsp:cNvPr id="0" name=""/>
        <dsp:cNvSpPr/>
      </dsp:nvSpPr>
      <dsp:spPr>
        <a:xfrm>
          <a:off x="1618232" y="977159"/>
          <a:ext cx="751321" cy="751321"/>
        </a:xfrm>
        <a:prstGeom prst="rect">
          <a:avLst/>
        </a:prstGeom>
        <a:solidFill>
          <a:schemeClr val="bg1">
            <a:lumMod val="85000"/>
          </a:schemeClr>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en-ZA" sz="1000" b="1" kern="1200" baseline="0" smtClean="0">
              <a:solidFill>
                <a:sysClr val="windowText" lastClr="000000"/>
              </a:solidFill>
              <a:latin typeface="Calibri"/>
            </a:rPr>
            <a:t>PLS  exposure to Legislation</a:t>
          </a:r>
          <a:endParaRPr lang="en-GB" sz="1000" b="1" kern="1200" smtClean="0">
            <a:solidFill>
              <a:sysClr val="windowText" lastClr="000000"/>
            </a:solidFill>
          </a:endParaRPr>
        </a:p>
      </dsp:txBody>
      <dsp:txXfrm>
        <a:off x="1618232" y="977159"/>
        <a:ext cx="751321" cy="751321"/>
      </dsp:txXfrm>
    </dsp:sp>
    <dsp:sp modelId="{25D6BD56-B805-439E-A32C-10435F8E8A91}">
      <dsp:nvSpPr>
        <dsp:cNvPr id="0" name=""/>
        <dsp:cNvSpPr/>
      </dsp:nvSpPr>
      <dsp:spPr>
        <a:xfrm rot="16200014">
          <a:off x="1880976" y="847497"/>
          <a:ext cx="225837" cy="33486"/>
        </a:xfrm>
        <a:custGeom>
          <a:avLst/>
          <a:gdLst/>
          <a:ahLst/>
          <a:cxnLst/>
          <a:rect l="0" t="0" r="0" b="0"/>
          <a:pathLst>
            <a:path>
              <a:moveTo>
                <a:pt x="0" y="16743"/>
              </a:moveTo>
              <a:lnTo>
                <a:pt x="225837" y="167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solidFill>
              <a:sysClr val="windowText" lastClr="000000"/>
            </a:solidFill>
          </a:endParaRPr>
        </a:p>
      </dsp:txBody>
      <dsp:txXfrm rot="16200014">
        <a:off x="1988249" y="858594"/>
        <a:ext cx="11291" cy="11291"/>
      </dsp:txXfrm>
    </dsp:sp>
    <dsp:sp modelId="{4323DBBC-69C6-4019-8940-B6DFAF8E34A5}">
      <dsp:nvSpPr>
        <dsp:cNvPr id="0" name=""/>
        <dsp:cNvSpPr/>
      </dsp:nvSpPr>
      <dsp:spPr>
        <a:xfrm>
          <a:off x="1460493" y="0"/>
          <a:ext cx="1066809" cy="751321"/>
        </a:xfrm>
        <a:prstGeom prst="rect">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en-ZA" sz="900" b="1" kern="1200" baseline="0" smtClean="0">
              <a:solidFill>
                <a:sysClr val="windowText" lastClr="000000"/>
              </a:solidFill>
              <a:latin typeface="Calibri"/>
            </a:rPr>
            <a:t>Income Tax Act 58 of 1962</a:t>
          </a:r>
          <a:endParaRPr lang="en-GB" sz="900" b="1" kern="1200" smtClean="0">
            <a:solidFill>
              <a:sysClr val="windowText" lastClr="000000"/>
            </a:solidFill>
          </a:endParaRPr>
        </a:p>
      </dsp:txBody>
      <dsp:txXfrm>
        <a:off x="1460493" y="0"/>
        <a:ext cx="1066809" cy="751321"/>
      </dsp:txXfrm>
    </dsp:sp>
    <dsp:sp modelId="{A02E65FC-157C-43F8-B424-3FE065391863}">
      <dsp:nvSpPr>
        <dsp:cNvPr id="0" name=""/>
        <dsp:cNvSpPr/>
      </dsp:nvSpPr>
      <dsp:spPr>
        <a:xfrm rot="1553300">
          <a:off x="2316418" y="1567263"/>
          <a:ext cx="307661" cy="33486"/>
        </a:xfrm>
        <a:custGeom>
          <a:avLst/>
          <a:gdLst/>
          <a:ahLst/>
          <a:cxnLst/>
          <a:rect l="0" t="0" r="0" b="0"/>
          <a:pathLst>
            <a:path>
              <a:moveTo>
                <a:pt x="0" y="16743"/>
              </a:moveTo>
              <a:lnTo>
                <a:pt x="307661" y="167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solidFill>
              <a:sysClr val="windowText" lastClr="000000"/>
            </a:solidFill>
          </a:endParaRPr>
        </a:p>
      </dsp:txBody>
      <dsp:txXfrm rot="1553300">
        <a:off x="2462557" y="1576314"/>
        <a:ext cx="15383" cy="15383"/>
      </dsp:txXfrm>
    </dsp:sp>
    <dsp:sp modelId="{A1D15926-1784-4745-9CB2-DBBCACD7C846}">
      <dsp:nvSpPr>
        <dsp:cNvPr id="0" name=""/>
        <dsp:cNvSpPr/>
      </dsp:nvSpPr>
      <dsp:spPr>
        <a:xfrm>
          <a:off x="2543410" y="1467994"/>
          <a:ext cx="923682" cy="751321"/>
        </a:xfrm>
        <a:prstGeom prst="rect">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ZA" sz="800" b="1" kern="1200" baseline="0" smtClean="0">
              <a:solidFill>
                <a:sysClr val="windowText" lastClr="000000"/>
              </a:solidFill>
              <a:latin typeface="Calibri"/>
            </a:rPr>
            <a:t>Jhb Stock Exchange</a:t>
          </a:r>
          <a:endParaRPr lang="en-GB" sz="800" b="1" kern="1200" smtClean="0">
            <a:solidFill>
              <a:sysClr val="windowText" lastClr="000000"/>
            </a:solidFill>
          </a:endParaRPr>
        </a:p>
      </dsp:txBody>
      <dsp:txXfrm>
        <a:off x="2543410" y="1467994"/>
        <a:ext cx="923682" cy="751321"/>
      </dsp:txXfrm>
    </dsp:sp>
    <dsp:sp modelId="{008F4CB2-F685-4A5C-A8C7-DDB56EB15DDC}">
      <dsp:nvSpPr>
        <dsp:cNvPr id="0" name=""/>
        <dsp:cNvSpPr/>
      </dsp:nvSpPr>
      <dsp:spPr>
        <a:xfrm rot="9246679">
          <a:off x="1363708" y="1567266"/>
          <a:ext cx="307662" cy="33486"/>
        </a:xfrm>
        <a:custGeom>
          <a:avLst/>
          <a:gdLst/>
          <a:ahLst/>
          <a:cxnLst/>
          <a:rect l="0" t="0" r="0" b="0"/>
          <a:pathLst>
            <a:path>
              <a:moveTo>
                <a:pt x="0" y="16743"/>
              </a:moveTo>
              <a:lnTo>
                <a:pt x="307662" y="167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GB" sz="1100" kern="1200">
            <a:solidFill>
              <a:sysClr val="windowText" lastClr="000000"/>
            </a:solidFill>
          </a:endParaRPr>
        </a:p>
      </dsp:txBody>
      <dsp:txXfrm rot="9246679">
        <a:off x="1509847" y="1576318"/>
        <a:ext cx="15383" cy="15383"/>
      </dsp:txXfrm>
    </dsp:sp>
    <dsp:sp modelId="{DD569991-1B06-41FC-B96D-663AD0FD2A23}">
      <dsp:nvSpPr>
        <dsp:cNvPr id="0" name=""/>
        <dsp:cNvSpPr/>
      </dsp:nvSpPr>
      <dsp:spPr>
        <a:xfrm>
          <a:off x="520697" y="1468000"/>
          <a:ext cx="923682" cy="751321"/>
        </a:xfrm>
        <a:prstGeom prst="rect">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en-ZA" sz="800" b="1" kern="1200" baseline="0" smtClean="0">
              <a:solidFill>
                <a:sysClr val="windowText" lastClr="000000"/>
              </a:solidFill>
              <a:latin typeface="Calibri"/>
            </a:rPr>
            <a:t>Companies Act 61 of 1973</a:t>
          </a:r>
          <a:endParaRPr lang="en-GB" sz="800" b="1" kern="1200" smtClean="0">
            <a:solidFill>
              <a:sysClr val="windowText" lastClr="000000"/>
            </a:solidFill>
          </a:endParaRPr>
        </a:p>
      </dsp:txBody>
      <dsp:txXfrm>
        <a:off x="520697" y="1468000"/>
        <a:ext cx="923682" cy="751321"/>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0D5937A-0ED7-451A-AFCA-F706E11A38D5}">
      <dsp:nvSpPr>
        <dsp:cNvPr id="0" name=""/>
        <dsp:cNvSpPr/>
      </dsp:nvSpPr>
      <dsp:spPr>
        <a:xfrm>
          <a:off x="810894" y="1126107"/>
          <a:ext cx="91440" cy="195436"/>
        </a:xfrm>
        <a:custGeom>
          <a:avLst/>
          <a:gdLst/>
          <a:ahLst/>
          <a:cxnLst/>
          <a:rect l="0" t="0" r="0" b="0"/>
          <a:pathLst>
            <a:path>
              <a:moveTo>
                <a:pt x="45720" y="0"/>
              </a:moveTo>
              <a:lnTo>
                <a:pt x="45720" y="19543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299F6E-C43A-4449-87BE-C8506F004BFE}">
      <dsp:nvSpPr>
        <dsp:cNvPr id="0" name=""/>
        <dsp:cNvSpPr/>
      </dsp:nvSpPr>
      <dsp:spPr>
        <a:xfrm>
          <a:off x="810894" y="465346"/>
          <a:ext cx="91440" cy="195436"/>
        </a:xfrm>
        <a:custGeom>
          <a:avLst/>
          <a:gdLst/>
          <a:ahLst/>
          <a:cxnLst/>
          <a:rect l="0" t="0" r="0" b="0"/>
          <a:pathLst>
            <a:path>
              <a:moveTo>
                <a:pt x="45720" y="0"/>
              </a:moveTo>
              <a:lnTo>
                <a:pt x="45720" y="19543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6E081EE-2D3C-4746-BBF6-F69DD19C6166}">
      <dsp:nvSpPr>
        <dsp:cNvPr id="0" name=""/>
        <dsp:cNvSpPr/>
      </dsp:nvSpPr>
      <dsp:spPr>
        <a:xfrm>
          <a:off x="46355" y="22"/>
          <a:ext cx="1620519" cy="465324"/>
        </a:xfrm>
        <a:prstGeom prst="rect">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0">
            <a:lnSpc>
              <a:spcPct val="90000"/>
            </a:lnSpc>
            <a:spcBef>
              <a:spcPct val="0"/>
            </a:spcBef>
            <a:spcAft>
              <a:spcPct val="35000"/>
            </a:spcAft>
          </a:pPr>
          <a:r>
            <a:rPr lang="en-GB" sz="1100" b="0" kern="1200" baseline="0" smtClean="0">
              <a:solidFill>
                <a:sysClr val="windowText" lastClr="000000"/>
              </a:solidFill>
              <a:latin typeface="Calibri"/>
            </a:rPr>
            <a:t>Investor: Linked Unit Holder (LUH) </a:t>
          </a:r>
          <a:endParaRPr lang="en-GB" sz="1100" b="0" kern="1200" smtClean="0">
            <a:solidFill>
              <a:sysClr val="windowText" lastClr="000000"/>
            </a:solidFill>
          </a:endParaRPr>
        </a:p>
      </dsp:txBody>
      <dsp:txXfrm>
        <a:off x="46355" y="22"/>
        <a:ext cx="1620519" cy="465324"/>
      </dsp:txXfrm>
    </dsp:sp>
    <dsp:sp modelId="{F0FB5536-EF96-457D-B757-75C8947B9139}">
      <dsp:nvSpPr>
        <dsp:cNvPr id="0" name=""/>
        <dsp:cNvSpPr/>
      </dsp:nvSpPr>
      <dsp:spPr>
        <a:xfrm>
          <a:off x="46355" y="660782"/>
          <a:ext cx="1620519" cy="465324"/>
        </a:xfrm>
        <a:prstGeom prst="rect">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0">
            <a:lnSpc>
              <a:spcPct val="90000"/>
            </a:lnSpc>
            <a:spcBef>
              <a:spcPct val="0"/>
            </a:spcBef>
            <a:spcAft>
              <a:spcPct val="35000"/>
            </a:spcAft>
          </a:pPr>
          <a:r>
            <a:rPr lang="en-ZA" sz="1100" b="0" kern="1200" baseline="0" smtClean="0">
              <a:solidFill>
                <a:sysClr val="windowText" lastClr="000000"/>
              </a:solidFill>
              <a:latin typeface="Calibri"/>
            </a:rPr>
            <a:t>Asset: Property Loan Stock (PLS)</a:t>
          </a:r>
          <a:endParaRPr lang="en-GB" sz="1100" b="0" kern="1200" smtClean="0">
            <a:solidFill>
              <a:sysClr val="windowText" lastClr="000000"/>
            </a:solidFill>
          </a:endParaRPr>
        </a:p>
      </dsp:txBody>
      <dsp:txXfrm>
        <a:off x="46355" y="660782"/>
        <a:ext cx="1620519" cy="465324"/>
      </dsp:txXfrm>
    </dsp:sp>
    <dsp:sp modelId="{36C37E24-CBE8-4AA3-8AB6-B43A9E2B9FA8}">
      <dsp:nvSpPr>
        <dsp:cNvPr id="0" name=""/>
        <dsp:cNvSpPr/>
      </dsp:nvSpPr>
      <dsp:spPr>
        <a:xfrm>
          <a:off x="46355" y="1321543"/>
          <a:ext cx="1620519" cy="465324"/>
        </a:xfrm>
        <a:prstGeom prst="rect">
          <a:avLst/>
        </a:prstGeom>
        <a:no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0">
            <a:lnSpc>
              <a:spcPct val="90000"/>
            </a:lnSpc>
            <a:spcBef>
              <a:spcPct val="0"/>
            </a:spcBef>
            <a:spcAft>
              <a:spcPct val="35000"/>
            </a:spcAft>
          </a:pPr>
          <a:r>
            <a:rPr lang="en-ZA" sz="1100" b="0" kern="1200" baseline="0" smtClean="0">
              <a:solidFill>
                <a:sysClr val="windowText" lastClr="000000"/>
              </a:solidFill>
              <a:latin typeface="Calibri"/>
            </a:rPr>
            <a:t>Underlying Income Generating Asset: Property Asset</a:t>
          </a:r>
          <a:endParaRPr lang="en-GB" sz="1100" b="0" kern="1200" smtClean="0">
            <a:solidFill>
              <a:sysClr val="windowText" lastClr="000000"/>
            </a:solidFill>
          </a:endParaRPr>
        </a:p>
      </dsp:txBody>
      <dsp:txXfrm>
        <a:off x="46355" y="1321543"/>
        <a:ext cx="1620519" cy="465324"/>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4BC52-7127-4493-BD6D-8D66D7F47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139</Pages>
  <Words>37575</Words>
  <Characters>214181</Characters>
  <Application>Microsoft Office Word</Application>
  <DocSecurity>0</DocSecurity>
  <Lines>1784</Lines>
  <Paragraphs>502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Wayne H. Pocock</dc:creator>
  <cp:lastModifiedBy>Wayne H. Pocock</cp:lastModifiedBy>
  <cp:revision>3</cp:revision>
  <cp:lastPrinted>2011-06-12T12:22:00Z</cp:lastPrinted>
  <dcterms:created xsi:type="dcterms:W3CDTF">2011-06-10T15:44:00Z</dcterms:created>
  <dcterms:modified xsi:type="dcterms:W3CDTF">2011-06-12T12:23:00Z</dcterms:modified>
</cp:coreProperties>
</file>