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201F3E97" w14:textId="6DA17B0F" w:rsidR="001D78F2" w:rsidRDefault="001D78F2" w:rsidP="001F18FA">
      <w:pPr>
        <w:jc w:val="center"/>
        <w:rPr>
          <w:color w:val="000000" w:themeColor="text1"/>
          <w:sz w:val="32"/>
          <w:szCs w:val="32"/>
        </w:rPr>
      </w:pPr>
      <w:r>
        <w:rPr>
          <w:noProof/>
          <w:lang w:val="en-GB" w:eastAsia="en-GB"/>
        </w:rPr>
        <mc:AlternateContent>
          <mc:Choice Requires="wps">
            <w:drawing>
              <wp:anchor distT="0" distB="0" distL="114300" distR="114300" simplePos="0" relativeHeight="251665408" behindDoc="0" locked="0" layoutInCell="1" allowOverlap="1" wp14:anchorId="631A0205" wp14:editId="7D8C28C3">
                <wp:simplePos x="0" y="0"/>
                <wp:positionH relativeFrom="column">
                  <wp:posOffset>824865</wp:posOffset>
                </wp:positionH>
                <wp:positionV relativeFrom="paragraph">
                  <wp:posOffset>7138670</wp:posOffset>
                </wp:positionV>
                <wp:extent cx="3538855" cy="97663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8855" cy="97663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7936078" w14:textId="219CBE43" w:rsidR="002001FB" w:rsidRPr="001D78F2" w:rsidRDefault="002001FB" w:rsidP="001D78F2">
                            <w:pPr>
                              <w:jc w:val="center"/>
                              <w:rPr>
                                <w:rFonts w:ascii="Times New Roman" w:hAnsi="Times New Roman" w:cs="Times New Roman"/>
                              </w:rPr>
                            </w:pPr>
                            <w:r>
                              <w:rPr>
                                <w:rFonts w:ascii="Times New Roman" w:hAnsi="Times New Roman" w:cs="Times New Roman"/>
                              </w:rPr>
                              <w:t>Through categorising insurgency into state-centric insurgency and global insurgency, it is possible to draw causal relationships between the type of insurgency being examined, and the successful outcome of a counterinsurgency operation.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left:0;text-align:left;margin-left:64.95pt;margin-top:562.1pt;width:278.65pt;height:7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" stroked="f">
                <v:textbox>
                  <w:txbxContent>
                    <w:p w14:paraId="17936078" w14:textId="219CBE43" w:rsidR="002001FB" w:rsidRPr="001D78F2" w:rsidRDefault="002001FB" w:rsidP="001D78F2">
                      <w:pPr>
                        <w:jc w:val="center"/>
                        <w:rPr>
                          <w:rFonts w:ascii="Times New Roman" w:hAnsi="Times New Roman" w:cs="Times New Roman"/>
                        </w:rPr>
                      </w:pPr>
                      <w:r>
                        <w:rPr>
                          <w:rFonts w:ascii="Times New Roman" w:hAnsi="Times New Roman" w:cs="Times New Roman"/>
                        </w:rPr>
                        <w:t>Through categorising insurgency into state-centric insurgency and global insurgency, it is possible to draw causal relationships between the type of insurgency being examined, and the successful outcome of a counterinsurgency operation.</w:t>
                      </w:r>
                    </w:p>
                  </w:txbxContent>
                </v:textbox>
              </v:shape>
            </w:pict>
          </mc:Fallback>
        </mc:AlternateContent>
      </w:r>
      <w:r w:rsidR="003727BC">
        <w:rPr>
          <w:noProof/>
          <w:lang w:val="en-GB" w:eastAsia="en-GB"/>
        </w:rPr>
        <mc:AlternateContent>
          <mc:Choice Requires="wps">
            <w:drawing>
              <wp:anchor distT="0" distB="0" distL="114300" distR="114300" simplePos="0" relativeHeight="251668480" behindDoc="0" locked="0" layoutInCell="0" allowOverlap="1" wp14:anchorId="67880A6F" wp14:editId="690541D4">
                <wp:simplePos x="0" y="0"/>
                <wp:positionH relativeFrom="page">
                  <wp:posOffset>1943100</wp:posOffset>
                </wp:positionH>
                <wp:positionV relativeFrom="page">
                  <wp:posOffset>4572000</wp:posOffset>
                </wp:positionV>
                <wp:extent cx="4000500" cy="1795780"/>
                <wp:effectExtent l="0" t="0" r="0" b="1270"/>
                <wp:wrapNone/>
                <wp:docPr id="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0" cy="179578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A5A5A5">
                                  <a:alpha val="89803"/>
                                </a:srgbClr>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tbl>
                            <w:tblPr>
                              <w:tblW w:w="4000" w:type="pct"/>
                              <w:tblCellMar>
                                <w:left w:w="360" w:type="dxa"/>
                                <w:right w:w="360" w:type="dxa"/>
                              </w:tblCellMar>
                              <w:tblLook w:val="04A0" w:firstRow="1" w:lastRow="0" w:firstColumn="1" w:lastColumn="0" w:noHBand="0" w:noVBand="1"/>
                            </w:tblPr>
                            <w:tblGrid>
                              <w:gridCol w:w="5052"/>
                            </w:tblGrid>
                            <w:tr w:rsidR="002001FB" w14:paraId="1DCCFFCB" w14:textId="77777777" w:rsidTr="00506269">
                              <w:trPr>
                                <w:trHeight w:val="1080"/>
                              </w:trPr>
                              <w:sdt>
                                <w:sdtPr>
                                  <w:rPr>
                                    <w:smallCaps/>
                                    <w:color w:val="FF0000"/>
                                    <w:sz w:val="48"/>
                                    <w:szCs w:val="48"/>
                                  </w:rPr>
                                  <w:alias w:val="Title"/>
                                  <w:id w:val="501174591"/>
                                  <w:dataBinding w:prefixMappings="xmlns:ns0='http://schemas.openxmlformats.org/package/2006/metadata/core-properties' xmlns:ns1='http://purl.org/dc/elements/1.1/'" w:xpath="/ns0:coreProperties[1]/ns1:title[1]" w:storeItemID="{6C3C8BC8-F283-45AE-878A-BAB7291924A1}"/>
                                  <w:text/>
                                </w:sdtPr>
                                <w:sdtEndPr/>
                                <w:sdtContent>
                                  <w:tc>
                                    <w:tcPr>
                                      <w:tcW w:w="5000" w:type="pct"/>
                                      <w:shd w:val="clear" w:color="auto" w:fill="auto"/>
                                      <w:vAlign w:val="center"/>
                                    </w:tcPr>
                                    <w:p w14:paraId="1650334E" w14:textId="329A971B" w:rsidR="002001FB" w:rsidRDefault="002001FB" w:rsidP="003727BC">
                                      <w:pPr>
                                        <w:pStyle w:val="NoSpacing"/>
                                        <w:rPr>
                                          <w:smallCaps/>
                                          <w:color w:val="FFFFFF" w:themeColor="background1"/>
                                          <w:sz w:val="48"/>
                                          <w:szCs w:val="48"/>
                                        </w:rPr>
                                      </w:pPr>
                                      <w:r>
                                        <w:rPr>
                                          <w:smallCaps/>
                                          <w:color w:val="FF0000"/>
                                          <w:sz w:val="48"/>
                                          <w:szCs w:val="48"/>
                                        </w:rPr>
                                        <w:t>Two Sides of the COIN:                             The Path to Counterinsurgent Success</w:t>
                                      </w:r>
                                    </w:p>
                                  </w:tc>
                                </w:sdtContent>
                              </w:sdt>
                            </w:tr>
                          </w:tbl>
                          <w:p w14:paraId="5C7DDB06" w14:textId="77777777" w:rsidR="002001FB" w:rsidRDefault="002001FB" w:rsidP="003727BC">
                            <w:pPr>
                              <w:pStyle w:val="NoSpacing"/>
                              <w:spacing w:line="14" w:lineRule="exact"/>
                            </w:pPr>
                          </w:p>
                        </w:txbxContent>
                      </wps:txbx>
                      <wps:bodyPr rot="0" vert="horz" wrap="square" lIns="228600" tIns="0" rIns="22860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67880A6F" id="Rectangle 42" o:spid="_x0000_s1027" style="position:absolute;left:0;text-align:left;margin-left:153pt;margin-top:5in;width:315pt;height:141.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" o:allowincell="f" filled="f" stroked="f">
                <v:textbox style="mso-fit-shape-to-text:t" inset="18pt,0,18pt,0">
                  <w:txbxContent>
                    <w:tbl>
                      <w:tblPr>
                        <w:tblW w:w="4000" w:type="pct"/>
                        <w:tblCellMar>
                          <w:left w:w="360" w:type="dxa"/>
                          <w:right w:w="360" w:type="dxa"/>
                        </w:tblCellMar>
                        <w:tblLook w:val="04A0" w:firstRow="1" w:lastRow="0" w:firstColumn="1" w:lastColumn="0" w:noHBand="0" w:noVBand="1"/>
                      </w:tblPr>
                      <w:tblGrid>
                        <w:gridCol w:w="5052"/>
                      </w:tblGrid>
                      <w:tr w:rsidR="002001FB" w14:paraId="1DCCFFCB" w14:textId="77777777" w:rsidTr="00506269">
                        <w:trPr>
                          <w:trHeight w:val="1080"/>
                        </w:trPr>
                        <w:sdt>
                          <w:sdtPr>
                            <w:rPr>
                              <w:smallCaps/>
                              <w:color w:val="FF0000"/>
                              <w:sz w:val="48"/>
                              <w:szCs w:val="48"/>
                            </w:rPr>
                            <w:alias w:val="Title"/>
                            <w:id w:val="501174591"/>
                            <w:dataBinding w:prefixMappings="xmlns:ns0='http://schemas.openxmlformats.org/package/2006/metadata/core-properties' xmlns:ns1='http://purl.org/dc/elements/1.1/'" w:xpath="/ns0:coreProperties[1]/ns1:title[1]" w:storeItemID="{6C3C8BC8-F283-45AE-878A-BAB7291924A1}"/>
                            <w:text/>
                          </w:sdtPr>
                          <w:sdtEndPr/>
                          <w:sdtContent>
                            <w:tc>
                              <w:tcPr>
                                <w:tcW w:w="5000" w:type="pct"/>
                                <w:shd w:val="clear" w:color="auto" w:fill="auto"/>
                                <w:vAlign w:val="center"/>
                              </w:tcPr>
                              <w:p w14:paraId="1650334E" w14:textId="329A971B" w:rsidR="002001FB" w:rsidRDefault="002001FB" w:rsidP="003727BC">
                                <w:pPr>
                                  <w:pStyle w:val="NoSpacing"/>
                                  <w:rPr>
                                    <w:smallCaps/>
                                    <w:color w:val="FFFFFF" w:themeColor="background1"/>
                                    <w:sz w:val="48"/>
                                    <w:szCs w:val="48"/>
                                  </w:rPr>
                                </w:pPr>
                                <w:r>
                                  <w:rPr>
                                    <w:smallCaps/>
                                    <w:color w:val="FF0000"/>
                                    <w:sz w:val="48"/>
                                    <w:szCs w:val="48"/>
                                  </w:rPr>
                                  <w:t>Two Sides of the COIN:                             The Path to Counterinsurgent Success</w:t>
                                </w:r>
                              </w:p>
                            </w:tc>
                          </w:sdtContent>
                        </w:sdt>
                      </w:tr>
                    </w:tbl>
                    <w:p w14:paraId="5C7DDB06" w14:textId="77777777" w:rsidR="002001FB" w:rsidRDefault="002001FB" w:rsidP="003727BC">
                      <w:pPr>
                        <w:pStyle w:val="NoSpacing"/>
                        <w:spacing w:line="14" w:lineRule="exact"/>
                      </w:pPr>
                    </w:p>
                  </w:txbxContent>
                </v:textbox>
                <w10:wrap anchorx="page" anchory="page"/>
              </v:rect>
            </w:pict>
          </mc:Fallback>
        </mc:AlternateContent>
      </w:r>
      <w:r>
        <w:rPr>
          <w:noProof/>
          <w:color w:val="EEECE1" w:themeColor="background2"/>
          <w:sz w:val="32"/>
          <w:szCs w:val="32"/>
          <w:lang w:val="en-GB" w:eastAsia="en-GB"/>
        </w:rPr>
        <w:drawing>
          <wp:anchor distT="0" distB="0" distL="114300" distR="114300" simplePos="0" relativeHeight="251661312" behindDoc="1" locked="0" layoutInCell="1" allowOverlap="1" wp14:anchorId="7E44E710" wp14:editId="6CAD1751">
            <wp:simplePos x="0" y="0"/>
            <wp:positionH relativeFrom="page">
              <wp:posOffset>1856105</wp:posOffset>
            </wp:positionH>
            <wp:positionV relativeFrom="page">
              <wp:posOffset>2628900</wp:posOffset>
            </wp:positionV>
            <wp:extent cx="3736975" cy="5426710"/>
            <wp:effectExtent l="0" t="0" r="0" b="8890"/>
            <wp:wrapNone/>
            <wp:docPr id="13" name="Picture 27"/>
            <wp:cNvGraphicFramePr/>
            <a:graphic xmlns:a="http://schemas.openxmlformats.org/drawingml/2006/main">
              <a:graphicData uri="http://schemas.openxmlformats.org/drawingml/2006/picture">
                <pic:pic xmlns:pic="http://schemas.openxmlformats.org/drawingml/2006/picture">
                  <pic:nvPicPr>
                    <pic:cNvPr id="0" name="10 Transcend.jpg"/>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736975" cy="54267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F18FA">
        <w:rPr>
          <w:color w:val="000000" w:themeColor="text1"/>
          <w:sz w:val="32"/>
          <w:szCs w:val="32"/>
        </w:rPr>
        <w:t>University of the Witwatersrand</w:t>
      </w:r>
    </w:p>
    <w:p w14:paraId="10D244AE" w14:textId="313665C0" w:rsidR="001F18FA" w:rsidRDefault="001F18FA" w:rsidP="001F18FA">
      <w:pPr>
        <w:jc w:val="center"/>
        <w:rPr>
          <w:color w:val="000000" w:themeColor="text1"/>
          <w:sz w:val="32"/>
          <w:szCs w:val="32"/>
        </w:rPr>
      </w:pPr>
      <w:r>
        <w:rPr>
          <w:color w:val="000000" w:themeColor="text1"/>
          <w:sz w:val="32"/>
          <w:szCs w:val="32"/>
        </w:rPr>
        <w:t>Master of Arts Dissertation</w:t>
      </w:r>
    </w:p>
    <w:p w14:paraId="1F39364B" w14:textId="77777777" w:rsidR="001F18FA" w:rsidRDefault="001F18FA" w:rsidP="001F18FA">
      <w:pPr>
        <w:jc w:val="center"/>
        <w:rPr>
          <w:color w:val="000000" w:themeColor="text1"/>
          <w:sz w:val="32"/>
          <w:szCs w:val="32"/>
        </w:rPr>
      </w:pPr>
    </w:p>
    <w:p w14:paraId="70E4A127" w14:textId="77777777" w:rsidR="001F18FA" w:rsidRDefault="001F18FA" w:rsidP="001F18FA">
      <w:pPr>
        <w:jc w:val="center"/>
        <w:rPr>
          <w:color w:val="000000" w:themeColor="text1"/>
          <w:sz w:val="32"/>
          <w:szCs w:val="32"/>
        </w:rPr>
      </w:pPr>
    </w:p>
    <w:p w14:paraId="0E074111" w14:textId="13F49F19" w:rsidR="001F18FA" w:rsidRDefault="001F18FA" w:rsidP="001F18FA">
      <w:pPr>
        <w:jc w:val="center"/>
        <w:rPr>
          <w:color w:val="000000" w:themeColor="text1"/>
          <w:sz w:val="32"/>
          <w:szCs w:val="32"/>
        </w:rPr>
      </w:pPr>
      <w:r>
        <w:rPr>
          <w:color w:val="000000" w:themeColor="text1"/>
          <w:sz w:val="32"/>
          <w:szCs w:val="32"/>
        </w:rPr>
        <w:t>Chantelle Holthuis</w:t>
      </w:r>
    </w:p>
    <w:p w14:paraId="4757F23B" w14:textId="2A883782" w:rsidR="001F18FA" w:rsidRDefault="001F18FA" w:rsidP="001F18FA">
      <w:pPr>
        <w:jc w:val="center"/>
        <w:rPr>
          <w:color w:val="000000" w:themeColor="text1"/>
          <w:sz w:val="32"/>
          <w:szCs w:val="32"/>
        </w:rPr>
      </w:pPr>
      <w:r>
        <w:rPr>
          <w:color w:val="000000" w:themeColor="text1"/>
          <w:sz w:val="32"/>
          <w:szCs w:val="32"/>
        </w:rPr>
        <w:t>302300</w:t>
      </w:r>
    </w:p>
    <w:p w14:paraId="456071FD" w14:textId="7EB25FC5" w:rsidR="001D78F2" w:rsidRDefault="001D78F2" w:rsidP="001D78F2">
      <w:pPr>
        <w:rPr>
          <w:rFonts w:ascii="Times New Roman" w:hAnsi="Times New Roman" w:cs="Times New Roman"/>
          <w:b/>
          <w:u w:val="single"/>
        </w:rPr>
      </w:pPr>
      <w:r>
        <w:rPr>
          <w:noProof/>
        </w:rPr>
        <w:t xml:space="preserve"> </w:t>
      </w:r>
      <w:r>
        <w:rPr>
          <w:noProof/>
          <w:lang w:val="en-GB" w:eastAsia="en-GB"/>
        </w:rPr>
        <mc:AlternateContent>
          <mc:Choice Requires="wpg">
            <w:drawing>
              <wp:anchor distT="0" distB="0" distL="114300" distR="114300" simplePos="0" relativeHeight="251659264" behindDoc="1" locked="0" layoutInCell="0" allowOverlap="1" wp14:anchorId="02B79026" wp14:editId="511023AC">
                <wp:simplePos x="0" y="0"/>
                <wp:positionH relativeFrom="page">
                  <wp:posOffset>0</wp:posOffset>
                </wp:positionH>
                <wp:positionV relativeFrom="page">
                  <wp:posOffset>0</wp:posOffset>
                </wp:positionV>
                <wp:extent cx="7557770" cy="10687685"/>
                <wp:effectExtent l="0" t="0" r="12700" b="0"/>
                <wp:wrapNone/>
                <wp:docPr id="3"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7770" cy="10687685"/>
                          <a:chOff x="0" y="0"/>
                          <a:chExt cx="12240" cy="15840"/>
                        </a:xfrm>
                      </wpg:grpSpPr>
                      <wps:wsp>
                        <wps:cNvPr id="4" name="Rectangle 40"/>
                        <wps:cNvSpPr>
                          <a:spLocks noChangeArrowheads="1"/>
                        </wps:cNvSpPr>
                        <wps:spPr bwMode="auto">
                          <a:xfrm>
                            <a:off x="0" y="0"/>
                            <a:ext cx="12240" cy="15840"/>
                          </a:xfrm>
                          <a:prstGeom prst="rect">
                            <a:avLst/>
                          </a:prstGeom>
                          <a:solidFill>
                            <a:schemeClr val="accent2">
                              <a:lumMod val="50000"/>
                              <a:lumOff val="0"/>
                            </a:scheme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41"/>
                        <wps:cNvSpPr>
                          <a:spLocks noChangeArrowheads="1"/>
                        </wps:cNvSpPr>
                        <wps:spPr bwMode="auto">
                          <a:xfrm>
                            <a:off x="612" y="638"/>
                            <a:ext cx="11016" cy="14564"/>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100000</wp14:pctHeight>
                </wp14:sizeRelV>
              </wp:anchor>
            </w:drawing>
          </mc:Choice>
          <mc:Fallback xmlns:mv="urn:schemas-microsoft-com:mac:vml" xmlns:mo="http://schemas.microsoft.com/office/mac/office/2008/main">
            <w:pict>
              <v:group id="Group 39" o:spid="_x0000_s1026" style="position:absolute;margin-left:0;margin-top:0;width:595.1pt;height:841.55pt;z-index:-251657216;mso-width-percent:1000;mso-height-percent:1000;mso-position-horizontal-relative:page;mso-position-vertical-relative:page;mso-width-percent:1000;mso-height-percent:1000" coordsize="12240,158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" o:allowincell="f">
                <v:rect id="Rectangle 40" o:spid="_x0000_s1027" style="position:absolute;width:12240;height:158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VfldwgAA&#10;ANoAAAAPAAAAZHJzL2Rvd25yZXYueG1sRI/NisJAEITvwr7D0AteRCf+sCzRURZBEDyIuoc9tpk2&#10;iZvpCZlW49s7guCxqKqvqNmidZW6UhNKzwaGgwQUceZtybmB38Oq/w0qCLLFyjMZuFOAxfyjM8PU&#10;+hvv6LqXXEUIhxQNFCJ1qnXICnIYBr4mjt7JNw4lyibXtsFbhLtKj5LkSzssOS4UWNOyoOx/f3EG&#10;OGy2vd34fJzo9Z9dciY9OVpjup/tzxSUUCvv8Ku9tgYm8LwSb4Ce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9V+V3CAAAA2gAAAA8AAAAAAAAAAAAAAAAAlwIAAGRycy9kb3du&#10;cmV2LnhtbFBLBQYAAAAABAAEAPUAAACGAwAAAAA=&#10;" fillcolor="#622423 [1605]" stroked="f"/>
                <v:rect id="Rectangle 41" o:spid="_x0000_s1028" style="position:absolute;left:612;top:638;width:11016;height:1456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XLJywwAA&#10;ANoAAAAPAAAAZHJzL2Rvd25yZXYueG1sRI9Ba8JAFITvBf/D8gRvdddqgk1dQxEEoe2hKvT6yD6T&#10;0OzbmN2Y9N+7hUKPw8x8w2zy0TbiRp2vHWtYzBUI4sKZmksN59P+cQ3CB2SDjWPS8EMe8u3kYYOZ&#10;cQN/0u0YShEh7DPUUIXQZlL6oiKLfu5a4uhdXGcxRNmV0nQ4RLht5JNSqbRYc1yosKVdRcX3sbca&#10;MF2Z68dl+X5661N8Lke1T76U1rPp+PoCItAY/sN/7YPRkMDvlXgD5PYO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ZXLJywwAAANoAAAAPAAAAAAAAAAAAAAAAAJcCAABkcnMvZG93&#10;bnJldi54bWxQSwUGAAAAAAQABAD1AAAAhwMAAAAA&#10;" stroked="f"/>
                <w10:wrap anchorx="page" anchory="page"/>
              </v:group>
            </w:pict>
          </mc:Fallback>
        </mc:AlternateContent>
      </w:r>
      <w:r>
        <w:rPr>
          <w:rFonts w:ascii="Times New Roman" w:hAnsi="Times New Roman" w:cs="Times New Roman"/>
          <w:b/>
          <w:u w:val="single"/>
        </w:rPr>
        <w:br w:type="page"/>
      </w:r>
    </w:p>
    <w:p w14:paraId="139C9F97" w14:textId="2533E0C0" w:rsidR="003977B1" w:rsidRPr="00C52467" w:rsidRDefault="003977B1" w:rsidP="006E0D85">
      <w:pPr>
        <w:spacing w:line="360" w:lineRule="auto"/>
        <w:ind w:left="-567" w:right="-631"/>
        <w:jc w:val="center"/>
        <w:rPr>
          <w:rFonts w:ascii="Times New Roman" w:hAnsi="Times New Roman" w:cs="Times New Roman"/>
          <w:b/>
          <w:sz w:val="28"/>
          <w:szCs w:val="28"/>
          <w:u w:val="single"/>
        </w:rPr>
      </w:pPr>
      <w:r w:rsidRPr="00C52467">
        <w:rPr>
          <w:rFonts w:ascii="Times New Roman" w:hAnsi="Times New Roman" w:cs="Times New Roman"/>
          <w:b/>
          <w:sz w:val="28"/>
          <w:szCs w:val="28"/>
          <w:u w:val="single"/>
        </w:rPr>
        <w:lastRenderedPageBreak/>
        <w:t>TABLE OF CONTENTS</w:t>
      </w:r>
    </w:p>
    <w:p w14:paraId="46FE6F31" w14:textId="77777777" w:rsidR="003977B1" w:rsidRDefault="003977B1" w:rsidP="003977B1">
      <w:pPr>
        <w:spacing w:line="360" w:lineRule="auto"/>
        <w:ind w:left="-567" w:right="-631"/>
        <w:jc w:val="both"/>
        <w:rPr>
          <w:rFonts w:ascii="Times New Roman" w:hAnsi="Times New Roman" w:cs="Times New Roman"/>
          <w:b/>
          <w:u w:val="single"/>
        </w:rPr>
      </w:pPr>
    </w:p>
    <w:p w14:paraId="03B896E9" w14:textId="77777777" w:rsidR="006936D9" w:rsidRPr="00C52467" w:rsidRDefault="003977B1" w:rsidP="006936D9">
      <w:pPr>
        <w:spacing w:line="360" w:lineRule="auto"/>
        <w:ind w:left="-567" w:right="-631"/>
        <w:jc w:val="both"/>
        <w:rPr>
          <w:rFonts w:ascii="Times New Roman" w:hAnsi="Times New Roman" w:cs="Times New Roman"/>
          <w:b/>
          <w:u w:val="single"/>
        </w:rPr>
      </w:pPr>
      <w:r w:rsidRPr="00C52467">
        <w:rPr>
          <w:rFonts w:ascii="Times New Roman" w:hAnsi="Times New Roman" w:cs="Times New Roman"/>
          <w:b/>
          <w:u w:val="single"/>
        </w:rPr>
        <w:t>Chapter 1: Introduction</w:t>
      </w:r>
    </w:p>
    <w:p w14:paraId="2BAE29B7" w14:textId="77777777" w:rsidR="006936D9" w:rsidRDefault="006936D9" w:rsidP="006936D9">
      <w:pPr>
        <w:spacing w:line="360" w:lineRule="auto"/>
        <w:ind w:left="-567" w:right="-631"/>
        <w:jc w:val="both"/>
        <w:rPr>
          <w:rFonts w:ascii="Times New Roman" w:hAnsi="Times New Roman" w:cs="Times New Roman"/>
        </w:rPr>
      </w:pPr>
    </w:p>
    <w:p w14:paraId="7A203BAC" w14:textId="42F7D8DE" w:rsidR="006936D9" w:rsidRPr="006E0D85" w:rsidRDefault="003977B1" w:rsidP="006936D9">
      <w:pPr>
        <w:pStyle w:val="ListParagraph"/>
        <w:numPr>
          <w:ilvl w:val="1"/>
          <w:numId w:val="2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Introduction</w:t>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t xml:space="preserve">Page </w:t>
      </w:r>
      <w:r w:rsidR="00E021C9">
        <w:rPr>
          <w:rFonts w:ascii="Times New Roman" w:hAnsi="Times New Roman" w:cs="Times New Roman"/>
          <w:b/>
          <w:i/>
        </w:rPr>
        <w:t>6</w:t>
      </w:r>
    </w:p>
    <w:p w14:paraId="4ECE4E63" w14:textId="0942B826" w:rsidR="006936D9" w:rsidRPr="006E0D85" w:rsidRDefault="003977B1" w:rsidP="006936D9">
      <w:pPr>
        <w:pStyle w:val="ListParagraph"/>
        <w:numPr>
          <w:ilvl w:val="1"/>
          <w:numId w:val="2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Problem Statement and Hypothesis</w:t>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t xml:space="preserve">Page </w:t>
      </w:r>
      <w:r w:rsidR="00E021C9">
        <w:rPr>
          <w:rFonts w:ascii="Times New Roman" w:hAnsi="Times New Roman" w:cs="Times New Roman"/>
          <w:b/>
          <w:i/>
        </w:rPr>
        <w:t>8</w:t>
      </w:r>
    </w:p>
    <w:p w14:paraId="4EFFCADB" w14:textId="7A102F8F" w:rsidR="006936D9" w:rsidRPr="006E0D85" w:rsidRDefault="003977B1" w:rsidP="006936D9">
      <w:pPr>
        <w:pStyle w:val="ListParagraph"/>
        <w:numPr>
          <w:ilvl w:val="1"/>
          <w:numId w:val="2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Relevance of this Research</w:t>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t xml:space="preserve">Page </w:t>
      </w:r>
      <w:r w:rsidR="00E021C9">
        <w:rPr>
          <w:rFonts w:ascii="Times New Roman" w:hAnsi="Times New Roman" w:cs="Times New Roman"/>
          <w:b/>
          <w:i/>
        </w:rPr>
        <w:t>9</w:t>
      </w:r>
    </w:p>
    <w:p w14:paraId="462527DC" w14:textId="6CC3AD53" w:rsidR="001F18FA" w:rsidRPr="006E0D85" w:rsidRDefault="003977B1" w:rsidP="001F18FA">
      <w:pPr>
        <w:pStyle w:val="ListParagraph"/>
        <w:numPr>
          <w:ilvl w:val="1"/>
          <w:numId w:val="2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Conceptualisation</w:t>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t xml:space="preserve">Page </w:t>
      </w:r>
      <w:r w:rsidR="00E021C9">
        <w:rPr>
          <w:rFonts w:ascii="Times New Roman" w:hAnsi="Times New Roman" w:cs="Times New Roman"/>
          <w:b/>
          <w:i/>
        </w:rPr>
        <w:t>10</w:t>
      </w:r>
    </w:p>
    <w:p w14:paraId="428CE982" w14:textId="3976979B" w:rsidR="006936D9" w:rsidRPr="006E0D85" w:rsidRDefault="003977B1" w:rsidP="001F18FA">
      <w:pPr>
        <w:pStyle w:val="ListParagraph"/>
        <w:numPr>
          <w:ilvl w:val="1"/>
          <w:numId w:val="2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Research Method</w:t>
      </w:r>
      <w:r w:rsidR="006936D9" w:rsidRPr="006E0D85">
        <w:rPr>
          <w:rFonts w:ascii="Times New Roman" w:hAnsi="Times New Roman" w:cs="Times New Roman"/>
          <w:b/>
          <w:i/>
        </w:rPr>
        <w:t>s</w:t>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t xml:space="preserve">Page </w:t>
      </w:r>
      <w:r w:rsidR="00520DD5" w:rsidRPr="006E0D85">
        <w:rPr>
          <w:rFonts w:ascii="Times New Roman" w:hAnsi="Times New Roman" w:cs="Times New Roman"/>
          <w:b/>
          <w:i/>
        </w:rPr>
        <w:t>1</w:t>
      </w:r>
      <w:r w:rsidR="00E021C9">
        <w:rPr>
          <w:rFonts w:ascii="Times New Roman" w:hAnsi="Times New Roman" w:cs="Times New Roman"/>
          <w:b/>
          <w:i/>
        </w:rPr>
        <w:t>4</w:t>
      </w:r>
    </w:p>
    <w:p w14:paraId="685B64F8" w14:textId="0653B57B" w:rsidR="006936D9" w:rsidRPr="006E0D85" w:rsidRDefault="003977B1" w:rsidP="006936D9">
      <w:pPr>
        <w:pStyle w:val="ListParagraph"/>
        <w:numPr>
          <w:ilvl w:val="1"/>
          <w:numId w:val="2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Literature Review</w:t>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t>Page</w:t>
      </w:r>
      <w:r w:rsidR="00E021C9">
        <w:rPr>
          <w:rFonts w:ascii="Times New Roman" w:hAnsi="Times New Roman" w:cs="Times New Roman"/>
          <w:b/>
          <w:i/>
        </w:rPr>
        <w:t xml:space="preserve"> 16</w:t>
      </w:r>
    </w:p>
    <w:p w14:paraId="236064C5" w14:textId="660473D4" w:rsidR="003977B1" w:rsidRPr="006E0D85" w:rsidRDefault="003977B1" w:rsidP="006936D9">
      <w:pPr>
        <w:pStyle w:val="ListParagraph"/>
        <w:numPr>
          <w:ilvl w:val="1"/>
          <w:numId w:val="2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Chapterisation</w:t>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r>
      <w:r w:rsidR="001F18FA" w:rsidRPr="006E0D85">
        <w:rPr>
          <w:rFonts w:ascii="Times New Roman" w:hAnsi="Times New Roman" w:cs="Times New Roman"/>
          <w:b/>
          <w:i/>
        </w:rPr>
        <w:tab/>
        <w:t>Page</w:t>
      </w:r>
      <w:r w:rsidR="00520DD5" w:rsidRPr="006E0D85">
        <w:rPr>
          <w:rFonts w:ascii="Times New Roman" w:hAnsi="Times New Roman" w:cs="Times New Roman"/>
          <w:b/>
          <w:i/>
        </w:rPr>
        <w:t xml:space="preserve"> 2</w:t>
      </w:r>
      <w:r w:rsidR="00E021C9">
        <w:rPr>
          <w:rFonts w:ascii="Times New Roman" w:hAnsi="Times New Roman" w:cs="Times New Roman"/>
          <w:b/>
          <w:i/>
        </w:rPr>
        <w:t>1</w:t>
      </w:r>
    </w:p>
    <w:p w14:paraId="1BF643AE" w14:textId="4CC00BC0" w:rsidR="00520DD5" w:rsidRPr="006E0D85" w:rsidRDefault="00520DD5" w:rsidP="006936D9">
      <w:pPr>
        <w:pStyle w:val="ListParagraph"/>
        <w:numPr>
          <w:ilvl w:val="1"/>
          <w:numId w:val="25"/>
        </w:numPr>
        <w:spacing w:line="360" w:lineRule="auto"/>
        <w:ind w:right="-631"/>
        <w:jc w:val="both"/>
        <w:rPr>
          <w:rFonts w:ascii="Times New Roman" w:hAnsi="Times New Roman" w:cs="Times New Roman"/>
          <w:b/>
          <w:i/>
        </w:rPr>
      </w:pPr>
      <w:r w:rsidRPr="006E0D85">
        <w:rPr>
          <w:rFonts w:ascii="Times New Roman" w:hAnsi="Times New Roman" w:cs="Times New Roman"/>
          <w:b/>
          <w:i/>
        </w:rPr>
        <w:t xml:space="preserve">Appendix </w:t>
      </w:r>
      <w:r w:rsidR="006E0D85" w:rsidRPr="006E0D85">
        <w:rPr>
          <w:rFonts w:ascii="Times New Roman" w:hAnsi="Times New Roman" w:cs="Times New Roman"/>
          <w:b/>
          <w:i/>
        </w:rPr>
        <w:t>A</w:t>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t>Page 23</w:t>
      </w:r>
    </w:p>
    <w:p w14:paraId="29E6CA14" w14:textId="77777777" w:rsidR="003977B1" w:rsidRDefault="003977B1" w:rsidP="003977B1">
      <w:pPr>
        <w:spacing w:line="360" w:lineRule="auto"/>
        <w:ind w:right="-631"/>
        <w:jc w:val="both"/>
        <w:rPr>
          <w:rFonts w:ascii="Times New Roman" w:hAnsi="Times New Roman" w:cs="Times New Roman"/>
        </w:rPr>
      </w:pPr>
    </w:p>
    <w:p w14:paraId="4CA00501" w14:textId="77777777" w:rsidR="006936D9" w:rsidRDefault="003977B1" w:rsidP="006936D9">
      <w:pPr>
        <w:spacing w:line="360" w:lineRule="auto"/>
        <w:ind w:left="-567" w:right="-631"/>
        <w:jc w:val="both"/>
        <w:rPr>
          <w:rFonts w:ascii="Times New Roman" w:hAnsi="Times New Roman" w:cs="Times New Roman"/>
          <w:b/>
          <w:u w:val="single"/>
        </w:rPr>
      </w:pPr>
      <w:r>
        <w:rPr>
          <w:rFonts w:ascii="Times New Roman" w:hAnsi="Times New Roman" w:cs="Times New Roman"/>
          <w:b/>
          <w:u w:val="single"/>
        </w:rPr>
        <w:t>Chapter 2: Insurgency</w:t>
      </w:r>
    </w:p>
    <w:p w14:paraId="67DD0A22" w14:textId="77777777" w:rsidR="006936D9" w:rsidRDefault="006936D9" w:rsidP="006936D9">
      <w:pPr>
        <w:spacing w:line="360" w:lineRule="auto"/>
        <w:ind w:left="-567" w:right="-631"/>
        <w:jc w:val="both"/>
        <w:rPr>
          <w:rFonts w:ascii="Times New Roman" w:hAnsi="Times New Roman" w:cs="Times New Roman"/>
        </w:rPr>
      </w:pPr>
    </w:p>
    <w:p w14:paraId="4A24DDD6" w14:textId="68DD6057" w:rsidR="006936D9" w:rsidRPr="006E0D85" w:rsidRDefault="00520DD5" w:rsidP="006936D9">
      <w:pPr>
        <w:pStyle w:val="ListParagraph"/>
        <w:numPr>
          <w:ilvl w:val="1"/>
          <w:numId w:val="34"/>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 xml:space="preserve">Introduction                                      </w:t>
      </w:r>
      <w:r w:rsidRPr="006E0D85">
        <w:rPr>
          <w:rFonts w:ascii="Times New Roman" w:hAnsi="Times New Roman" w:cs="Times New Roman"/>
          <w:b/>
          <w:i/>
        </w:rPr>
        <w:tab/>
      </w:r>
      <w:r w:rsidRPr="006E0D85">
        <w:rPr>
          <w:rFonts w:ascii="Times New Roman" w:hAnsi="Times New Roman" w:cs="Times New Roman"/>
          <w:b/>
          <w:i/>
        </w:rPr>
        <w:tab/>
      </w:r>
      <w:r w:rsidRPr="006E0D85">
        <w:rPr>
          <w:rFonts w:ascii="Times New Roman" w:hAnsi="Times New Roman" w:cs="Times New Roman"/>
          <w:b/>
          <w:i/>
        </w:rPr>
        <w:tab/>
      </w:r>
      <w:r w:rsidRPr="006E0D85">
        <w:rPr>
          <w:rFonts w:ascii="Times New Roman" w:hAnsi="Times New Roman" w:cs="Times New Roman"/>
          <w:b/>
          <w:i/>
        </w:rPr>
        <w:tab/>
      </w:r>
      <w:r w:rsidRPr="006E0D85">
        <w:rPr>
          <w:rFonts w:ascii="Times New Roman" w:hAnsi="Times New Roman" w:cs="Times New Roman"/>
          <w:b/>
          <w:i/>
        </w:rPr>
        <w:tab/>
      </w:r>
      <w:r w:rsidRPr="006E0D85">
        <w:rPr>
          <w:rFonts w:ascii="Times New Roman" w:hAnsi="Times New Roman" w:cs="Times New Roman"/>
          <w:b/>
          <w:i/>
        </w:rPr>
        <w:tab/>
        <w:t xml:space="preserve">Page </w:t>
      </w:r>
      <w:r w:rsidR="006E0D85">
        <w:rPr>
          <w:rFonts w:ascii="Times New Roman" w:hAnsi="Times New Roman" w:cs="Times New Roman"/>
          <w:b/>
          <w:i/>
        </w:rPr>
        <w:t>2</w:t>
      </w:r>
      <w:r w:rsidR="00E021C9">
        <w:rPr>
          <w:rFonts w:ascii="Times New Roman" w:hAnsi="Times New Roman" w:cs="Times New Roman"/>
          <w:b/>
          <w:i/>
        </w:rPr>
        <w:t>4</w:t>
      </w:r>
    </w:p>
    <w:p w14:paraId="3B7EB43D" w14:textId="3617C257" w:rsidR="006936D9" w:rsidRPr="006E0D85" w:rsidRDefault="003977B1" w:rsidP="006936D9">
      <w:pPr>
        <w:pStyle w:val="ListParagraph"/>
        <w:numPr>
          <w:ilvl w:val="1"/>
          <w:numId w:val="34"/>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Classifying Insurgency</w:t>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t>Page</w:t>
      </w:r>
      <w:r w:rsidR="006E0D85">
        <w:rPr>
          <w:rFonts w:ascii="Times New Roman" w:hAnsi="Times New Roman" w:cs="Times New Roman"/>
          <w:b/>
          <w:i/>
        </w:rPr>
        <w:t xml:space="preserve"> 2</w:t>
      </w:r>
      <w:r w:rsidR="00E021C9">
        <w:rPr>
          <w:rFonts w:ascii="Times New Roman" w:hAnsi="Times New Roman" w:cs="Times New Roman"/>
          <w:b/>
          <w:i/>
        </w:rPr>
        <w:t>5</w:t>
      </w:r>
    </w:p>
    <w:p w14:paraId="0F820A35" w14:textId="0869DA82" w:rsidR="006936D9" w:rsidRPr="006E0D85" w:rsidRDefault="003977B1" w:rsidP="006936D9">
      <w:pPr>
        <w:pStyle w:val="ListParagraph"/>
        <w:numPr>
          <w:ilvl w:val="1"/>
          <w:numId w:val="34"/>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The Role of Motivation</w:t>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t>Page</w:t>
      </w:r>
      <w:r w:rsidR="006E0D85">
        <w:rPr>
          <w:rFonts w:ascii="Times New Roman" w:hAnsi="Times New Roman" w:cs="Times New Roman"/>
          <w:b/>
          <w:i/>
        </w:rPr>
        <w:t xml:space="preserve"> 2</w:t>
      </w:r>
      <w:r w:rsidR="00E021C9">
        <w:rPr>
          <w:rFonts w:ascii="Times New Roman" w:hAnsi="Times New Roman" w:cs="Times New Roman"/>
          <w:b/>
          <w:i/>
        </w:rPr>
        <w:t>8</w:t>
      </w:r>
    </w:p>
    <w:p w14:paraId="44DD3066" w14:textId="25025C52" w:rsidR="006936D9" w:rsidRPr="006E0D85" w:rsidRDefault="003977B1" w:rsidP="006936D9">
      <w:pPr>
        <w:pStyle w:val="ListParagraph"/>
        <w:numPr>
          <w:ilvl w:val="1"/>
          <w:numId w:val="34"/>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From Rural to Urban Insurgency</w:t>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t>Page</w:t>
      </w:r>
      <w:r w:rsidR="006E0D85">
        <w:rPr>
          <w:rFonts w:ascii="Times New Roman" w:hAnsi="Times New Roman" w:cs="Times New Roman"/>
          <w:b/>
          <w:i/>
        </w:rPr>
        <w:t xml:space="preserve"> 2</w:t>
      </w:r>
      <w:r w:rsidR="00E021C9">
        <w:rPr>
          <w:rFonts w:ascii="Times New Roman" w:hAnsi="Times New Roman" w:cs="Times New Roman"/>
          <w:b/>
          <w:i/>
        </w:rPr>
        <w:t>9</w:t>
      </w:r>
    </w:p>
    <w:p w14:paraId="43C81D3A" w14:textId="1DC3763C" w:rsidR="006936D9" w:rsidRPr="006E0D85" w:rsidRDefault="003977B1" w:rsidP="006936D9">
      <w:pPr>
        <w:pStyle w:val="ListParagraph"/>
        <w:numPr>
          <w:ilvl w:val="1"/>
          <w:numId w:val="34"/>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The Classification of the IRA</w:t>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t>Page</w:t>
      </w:r>
      <w:r w:rsidR="006E0D85">
        <w:rPr>
          <w:rFonts w:ascii="Times New Roman" w:hAnsi="Times New Roman" w:cs="Times New Roman"/>
          <w:b/>
          <w:i/>
        </w:rPr>
        <w:t xml:space="preserve"> 3</w:t>
      </w:r>
      <w:r w:rsidR="00E021C9">
        <w:rPr>
          <w:rFonts w:ascii="Times New Roman" w:hAnsi="Times New Roman" w:cs="Times New Roman"/>
          <w:b/>
          <w:i/>
        </w:rPr>
        <w:t>1</w:t>
      </w:r>
    </w:p>
    <w:p w14:paraId="6BAC32F8" w14:textId="61CB76FA" w:rsidR="003977B1" w:rsidRPr="006E0D85" w:rsidRDefault="003977B1" w:rsidP="006936D9">
      <w:pPr>
        <w:pStyle w:val="ListParagraph"/>
        <w:numPr>
          <w:ilvl w:val="1"/>
          <w:numId w:val="34"/>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The Classification of Al Qaeda</w:t>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r>
      <w:r w:rsidR="00520DD5" w:rsidRPr="006E0D85">
        <w:rPr>
          <w:rFonts w:ascii="Times New Roman" w:hAnsi="Times New Roman" w:cs="Times New Roman"/>
          <w:b/>
          <w:i/>
        </w:rPr>
        <w:tab/>
        <w:t>Page</w:t>
      </w:r>
      <w:r w:rsidR="006E0D85">
        <w:rPr>
          <w:rFonts w:ascii="Times New Roman" w:hAnsi="Times New Roman" w:cs="Times New Roman"/>
          <w:b/>
          <w:i/>
        </w:rPr>
        <w:t xml:space="preserve"> 3</w:t>
      </w:r>
      <w:r w:rsidR="00E021C9">
        <w:rPr>
          <w:rFonts w:ascii="Times New Roman" w:hAnsi="Times New Roman" w:cs="Times New Roman"/>
          <w:b/>
          <w:i/>
        </w:rPr>
        <w:t>2</w:t>
      </w:r>
    </w:p>
    <w:p w14:paraId="7252592F" w14:textId="017AA969" w:rsidR="006E0D85" w:rsidRPr="006E0D85" w:rsidRDefault="006E0D85" w:rsidP="006936D9">
      <w:pPr>
        <w:pStyle w:val="ListParagraph"/>
        <w:numPr>
          <w:ilvl w:val="1"/>
          <w:numId w:val="34"/>
        </w:numPr>
        <w:spacing w:line="360" w:lineRule="auto"/>
        <w:ind w:right="-631"/>
        <w:jc w:val="both"/>
        <w:rPr>
          <w:rFonts w:ascii="Times New Roman" w:hAnsi="Times New Roman" w:cs="Times New Roman"/>
          <w:b/>
          <w:i/>
          <w:u w:val="single"/>
        </w:rPr>
      </w:pPr>
      <w:r>
        <w:rPr>
          <w:rFonts w:ascii="Times New Roman" w:hAnsi="Times New Roman" w:cs="Times New Roman"/>
          <w:b/>
          <w:i/>
        </w:rPr>
        <w:t>Appendix B</w:t>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t>Page 3</w:t>
      </w:r>
      <w:r w:rsidR="00E021C9">
        <w:rPr>
          <w:rFonts w:ascii="Times New Roman" w:hAnsi="Times New Roman" w:cs="Times New Roman"/>
          <w:b/>
          <w:i/>
        </w:rPr>
        <w:t>5</w:t>
      </w:r>
    </w:p>
    <w:p w14:paraId="6651C8E0" w14:textId="77777777" w:rsidR="003977B1" w:rsidRDefault="003977B1" w:rsidP="003977B1">
      <w:pPr>
        <w:spacing w:line="360" w:lineRule="auto"/>
        <w:ind w:right="-631"/>
        <w:jc w:val="both"/>
        <w:rPr>
          <w:rFonts w:ascii="Times New Roman" w:hAnsi="Times New Roman" w:cs="Times New Roman"/>
        </w:rPr>
      </w:pPr>
    </w:p>
    <w:p w14:paraId="4434112B" w14:textId="77777777" w:rsidR="006936D9" w:rsidRDefault="003977B1" w:rsidP="006936D9">
      <w:pPr>
        <w:spacing w:line="360" w:lineRule="auto"/>
        <w:ind w:left="-567" w:right="-631"/>
        <w:jc w:val="both"/>
        <w:rPr>
          <w:rFonts w:ascii="Times New Roman" w:hAnsi="Times New Roman" w:cs="Times New Roman"/>
          <w:b/>
          <w:u w:val="single"/>
        </w:rPr>
      </w:pPr>
      <w:r w:rsidRPr="003977B1">
        <w:rPr>
          <w:rFonts w:ascii="Times New Roman" w:hAnsi="Times New Roman" w:cs="Times New Roman"/>
          <w:b/>
          <w:u w:val="single"/>
        </w:rPr>
        <w:t>Chapter 3: Counterinsurgency</w:t>
      </w:r>
    </w:p>
    <w:p w14:paraId="7A9FD950" w14:textId="77777777" w:rsidR="006936D9" w:rsidRDefault="006936D9" w:rsidP="006936D9">
      <w:pPr>
        <w:spacing w:line="360" w:lineRule="auto"/>
        <w:ind w:left="-567" w:right="-631"/>
        <w:jc w:val="both"/>
        <w:rPr>
          <w:rFonts w:ascii="Times New Roman" w:hAnsi="Times New Roman" w:cs="Times New Roman"/>
        </w:rPr>
      </w:pPr>
    </w:p>
    <w:p w14:paraId="6777A319" w14:textId="7A857AC3" w:rsidR="006936D9" w:rsidRPr="006E0D85" w:rsidRDefault="003977B1" w:rsidP="006936D9">
      <w:pPr>
        <w:pStyle w:val="ListParagraph"/>
        <w:numPr>
          <w:ilvl w:val="1"/>
          <w:numId w:val="3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Introduction</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3</w:t>
      </w:r>
      <w:r w:rsidR="00E021C9">
        <w:rPr>
          <w:rFonts w:ascii="Times New Roman" w:hAnsi="Times New Roman" w:cs="Times New Roman"/>
          <w:b/>
          <w:i/>
        </w:rPr>
        <w:t>6</w:t>
      </w:r>
    </w:p>
    <w:p w14:paraId="52DE2C50" w14:textId="7FE56BBF" w:rsidR="006936D9" w:rsidRPr="006E0D85" w:rsidRDefault="003977B1" w:rsidP="006936D9">
      <w:pPr>
        <w:pStyle w:val="ListParagraph"/>
        <w:numPr>
          <w:ilvl w:val="1"/>
          <w:numId w:val="3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Counterinsurgency in its Original State</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3</w:t>
      </w:r>
      <w:r w:rsidR="00E021C9">
        <w:rPr>
          <w:rFonts w:ascii="Times New Roman" w:hAnsi="Times New Roman" w:cs="Times New Roman"/>
          <w:b/>
          <w:i/>
        </w:rPr>
        <w:t>8</w:t>
      </w:r>
    </w:p>
    <w:p w14:paraId="26269DF3" w14:textId="441C59B6" w:rsidR="006936D9" w:rsidRPr="006E0D85" w:rsidRDefault="003977B1" w:rsidP="006936D9">
      <w:pPr>
        <w:pStyle w:val="ListParagraph"/>
        <w:numPr>
          <w:ilvl w:val="1"/>
          <w:numId w:val="3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COIN and the IRA</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4</w:t>
      </w:r>
      <w:r w:rsidR="00E021C9">
        <w:rPr>
          <w:rFonts w:ascii="Times New Roman" w:hAnsi="Times New Roman" w:cs="Times New Roman"/>
          <w:b/>
          <w:i/>
        </w:rPr>
        <w:t>2</w:t>
      </w:r>
    </w:p>
    <w:p w14:paraId="612D79AE" w14:textId="3A6FE288" w:rsidR="006936D9" w:rsidRPr="006E0D85" w:rsidRDefault="003977B1" w:rsidP="006936D9">
      <w:pPr>
        <w:pStyle w:val="ListParagraph"/>
        <w:numPr>
          <w:ilvl w:val="1"/>
          <w:numId w:val="3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COIN in Iraq</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4</w:t>
      </w:r>
      <w:r w:rsidR="00E021C9">
        <w:rPr>
          <w:rFonts w:ascii="Times New Roman" w:hAnsi="Times New Roman" w:cs="Times New Roman"/>
          <w:b/>
          <w:i/>
        </w:rPr>
        <w:t>6</w:t>
      </w:r>
    </w:p>
    <w:p w14:paraId="02A68286" w14:textId="7F6EFA1D" w:rsidR="003977B1" w:rsidRPr="006E0D85" w:rsidRDefault="003977B1" w:rsidP="006936D9">
      <w:pPr>
        <w:pStyle w:val="ListParagraph"/>
        <w:numPr>
          <w:ilvl w:val="1"/>
          <w:numId w:val="35"/>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What Makes a Successful Counterinsurgency?</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5</w:t>
      </w:r>
      <w:r w:rsidR="00E021C9">
        <w:rPr>
          <w:rFonts w:ascii="Times New Roman" w:hAnsi="Times New Roman" w:cs="Times New Roman"/>
          <w:b/>
          <w:i/>
        </w:rPr>
        <w:t>1</w:t>
      </w:r>
    </w:p>
    <w:p w14:paraId="4891F2FF" w14:textId="77777777" w:rsidR="003977B1" w:rsidRPr="006E0D85" w:rsidRDefault="003977B1" w:rsidP="003977B1">
      <w:pPr>
        <w:spacing w:line="360" w:lineRule="auto"/>
        <w:ind w:right="-631"/>
        <w:jc w:val="both"/>
        <w:rPr>
          <w:rFonts w:ascii="Times New Roman" w:hAnsi="Times New Roman" w:cs="Times New Roman"/>
          <w:i/>
        </w:rPr>
      </w:pPr>
    </w:p>
    <w:p w14:paraId="29AA7C2F" w14:textId="77777777" w:rsidR="006E0D85" w:rsidRDefault="006E0D85" w:rsidP="006936D9">
      <w:pPr>
        <w:spacing w:line="360" w:lineRule="auto"/>
        <w:ind w:left="-567" w:right="-631"/>
        <w:jc w:val="both"/>
        <w:rPr>
          <w:rFonts w:ascii="Times New Roman" w:hAnsi="Times New Roman" w:cs="Times New Roman"/>
          <w:b/>
          <w:u w:val="single"/>
        </w:rPr>
      </w:pPr>
    </w:p>
    <w:p w14:paraId="0C6AD39F" w14:textId="77777777" w:rsidR="006E0D85" w:rsidRDefault="006E0D85" w:rsidP="006936D9">
      <w:pPr>
        <w:spacing w:line="360" w:lineRule="auto"/>
        <w:ind w:left="-567" w:right="-631"/>
        <w:jc w:val="both"/>
        <w:rPr>
          <w:rFonts w:ascii="Times New Roman" w:hAnsi="Times New Roman" w:cs="Times New Roman"/>
          <w:b/>
          <w:u w:val="single"/>
        </w:rPr>
      </w:pPr>
    </w:p>
    <w:p w14:paraId="24608F2E" w14:textId="25D4A03F" w:rsidR="006936D9" w:rsidRDefault="003977B1" w:rsidP="006936D9">
      <w:pPr>
        <w:spacing w:line="360" w:lineRule="auto"/>
        <w:ind w:left="-567" w:right="-631"/>
        <w:jc w:val="both"/>
        <w:rPr>
          <w:rFonts w:ascii="Times New Roman" w:hAnsi="Times New Roman" w:cs="Times New Roman"/>
          <w:b/>
          <w:u w:val="single"/>
        </w:rPr>
      </w:pPr>
      <w:r w:rsidRPr="003977B1">
        <w:rPr>
          <w:rFonts w:ascii="Times New Roman" w:hAnsi="Times New Roman" w:cs="Times New Roman"/>
          <w:b/>
          <w:u w:val="single"/>
        </w:rPr>
        <w:lastRenderedPageBreak/>
        <w:t xml:space="preserve">Chapter 4: Comparative Analysis: </w:t>
      </w:r>
      <w:r w:rsidR="00506269">
        <w:rPr>
          <w:rFonts w:ascii="Times New Roman" w:hAnsi="Times New Roman" w:cs="Times New Roman"/>
          <w:b/>
          <w:u w:val="single"/>
        </w:rPr>
        <w:t xml:space="preserve">Two Sides of the COIN: </w:t>
      </w:r>
      <w:r w:rsidRPr="003977B1">
        <w:rPr>
          <w:rFonts w:ascii="Times New Roman" w:hAnsi="Times New Roman" w:cs="Times New Roman"/>
          <w:b/>
          <w:u w:val="single"/>
        </w:rPr>
        <w:t>COIN in Northern Ireland</w:t>
      </w:r>
    </w:p>
    <w:p w14:paraId="65F16D6A" w14:textId="77777777" w:rsidR="006936D9" w:rsidRDefault="006936D9" w:rsidP="006936D9">
      <w:pPr>
        <w:spacing w:line="360" w:lineRule="auto"/>
        <w:ind w:left="-567" w:right="-631"/>
        <w:jc w:val="both"/>
        <w:rPr>
          <w:rFonts w:ascii="Times New Roman" w:hAnsi="Times New Roman" w:cs="Times New Roman"/>
        </w:rPr>
      </w:pPr>
    </w:p>
    <w:p w14:paraId="52099734" w14:textId="0714DC95" w:rsidR="006936D9" w:rsidRPr="006E0D85" w:rsidRDefault="003977B1" w:rsidP="006936D9">
      <w:pPr>
        <w:pStyle w:val="ListParagraph"/>
        <w:numPr>
          <w:ilvl w:val="1"/>
          <w:numId w:val="36"/>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Introduction</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5</w:t>
      </w:r>
      <w:r w:rsidR="00E021C9">
        <w:rPr>
          <w:rFonts w:ascii="Times New Roman" w:hAnsi="Times New Roman" w:cs="Times New Roman"/>
          <w:b/>
          <w:i/>
        </w:rPr>
        <w:t>5</w:t>
      </w:r>
    </w:p>
    <w:p w14:paraId="54CB3927" w14:textId="43BCF298" w:rsidR="003977B1" w:rsidRPr="006E0D85" w:rsidRDefault="003977B1" w:rsidP="006936D9">
      <w:pPr>
        <w:pStyle w:val="ListParagraph"/>
        <w:numPr>
          <w:ilvl w:val="1"/>
          <w:numId w:val="36"/>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The IRA and British Counterinsurgency</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5</w:t>
      </w:r>
      <w:r w:rsidR="00E021C9">
        <w:rPr>
          <w:rFonts w:ascii="Times New Roman" w:hAnsi="Times New Roman" w:cs="Times New Roman"/>
          <w:b/>
          <w:i/>
        </w:rPr>
        <w:t>6</w:t>
      </w:r>
    </w:p>
    <w:p w14:paraId="25E343A2" w14:textId="7AFF063C" w:rsidR="006936D9" w:rsidRPr="006E0D85" w:rsidRDefault="003977B1" w:rsidP="006E0D85">
      <w:pPr>
        <w:pStyle w:val="ListParagraph"/>
        <w:numPr>
          <w:ilvl w:val="2"/>
          <w:numId w:val="36"/>
        </w:numPr>
        <w:spacing w:line="360" w:lineRule="auto"/>
        <w:ind w:right="-631" w:firstLine="272"/>
        <w:jc w:val="both"/>
        <w:rPr>
          <w:rFonts w:ascii="Times New Roman" w:hAnsi="Times New Roman" w:cs="Times New Roman"/>
          <w:i/>
        </w:rPr>
      </w:pPr>
      <w:r w:rsidRPr="006E0D85">
        <w:rPr>
          <w:rFonts w:ascii="Times New Roman" w:hAnsi="Times New Roman" w:cs="Times New Roman"/>
          <w:i/>
        </w:rPr>
        <w:t>The Importance of Intelligence Gathering</w:t>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t>Page 57</w:t>
      </w:r>
    </w:p>
    <w:p w14:paraId="5F579AD9" w14:textId="05B61860" w:rsidR="006936D9" w:rsidRPr="006E0D85" w:rsidRDefault="003977B1" w:rsidP="006E0D85">
      <w:pPr>
        <w:pStyle w:val="ListParagraph"/>
        <w:numPr>
          <w:ilvl w:val="2"/>
          <w:numId w:val="36"/>
        </w:numPr>
        <w:spacing w:line="360" w:lineRule="auto"/>
        <w:ind w:right="-631" w:firstLine="272"/>
        <w:jc w:val="both"/>
        <w:rPr>
          <w:rFonts w:ascii="Times New Roman" w:hAnsi="Times New Roman" w:cs="Times New Roman"/>
          <w:i/>
        </w:rPr>
      </w:pPr>
      <w:r w:rsidRPr="006E0D85">
        <w:rPr>
          <w:rFonts w:ascii="Times New Roman" w:hAnsi="Times New Roman" w:cs="Times New Roman"/>
          <w:i/>
        </w:rPr>
        <w:t>Military and Non-Military Approaches</w:t>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t>Page 58</w:t>
      </w:r>
    </w:p>
    <w:p w14:paraId="436BBD5A" w14:textId="4B22D8AC" w:rsidR="003977B1" w:rsidRPr="006E0D85" w:rsidRDefault="003977B1" w:rsidP="006936D9">
      <w:pPr>
        <w:pStyle w:val="ListParagraph"/>
        <w:numPr>
          <w:ilvl w:val="1"/>
          <w:numId w:val="36"/>
        </w:numPr>
        <w:spacing w:line="360" w:lineRule="auto"/>
        <w:ind w:right="-631"/>
        <w:jc w:val="both"/>
        <w:rPr>
          <w:rFonts w:ascii="Times New Roman" w:hAnsi="Times New Roman" w:cs="Times New Roman"/>
          <w:b/>
          <w:i/>
        </w:rPr>
      </w:pPr>
      <w:r w:rsidRPr="006E0D85">
        <w:rPr>
          <w:rFonts w:ascii="Times New Roman" w:hAnsi="Times New Roman" w:cs="Times New Roman"/>
          <w:b/>
          <w:i/>
        </w:rPr>
        <w:t>Causal Relationships</w:t>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t>Page 60</w:t>
      </w:r>
    </w:p>
    <w:p w14:paraId="174BF858" w14:textId="12DD6387" w:rsidR="003977B1" w:rsidRPr="006E0D85" w:rsidRDefault="003977B1" w:rsidP="006E0D85">
      <w:pPr>
        <w:pStyle w:val="ListParagraph"/>
        <w:numPr>
          <w:ilvl w:val="2"/>
          <w:numId w:val="36"/>
        </w:numPr>
        <w:spacing w:line="360" w:lineRule="auto"/>
        <w:ind w:right="-631" w:firstLine="272"/>
        <w:jc w:val="both"/>
        <w:rPr>
          <w:rFonts w:ascii="Times New Roman" w:hAnsi="Times New Roman" w:cs="Times New Roman"/>
          <w:i/>
        </w:rPr>
      </w:pPr>
      <w:r w:rsidRPr="006E0D85">
        <w:rPr>
          <w:rFonts w:ascii="Times New Roman" w:hAnsi="Times New Roman" w:cs="Times New Roman"/>
          <w:i/>
        </w:rPr>
        <w:t>Cessation of Violence</w:t>
      </w:r>
      <w:r w:rsidR="006E0D85" w:rsidRPr="006E0D85">
        <w:rPr>
          <w:rFonts w:ascii="Times New Roman" w:hAnsi="Times New Roman" w:cs="Times New Roman"/>
          <w:i/>
        </w:rPr>
        <w:tab/>
      </w:r>
      <w:r w:rsidR="006E0D85" w:rsidRPr="006E0D85">
        <w:rPr>
          <w:rFonts w:ascii="Times New Roman" w:hAnsi="Times New Roman" w:cs="Times New Roman"/>
          <w:i/>
        </w:rPr>
        <w:tab/>
      </w:r>
      <w:r w:rsidR="006E0D85" w:rsidRPr="006E0D85">
        <w:rPr>
          <w:rFonts w:ascii="Times New Roman" w:hAnsi="Times New Roman" w:cs="Times New Roman"/>
          <w:i/>
        </w:rPr>
        <w:tab/>
      </w:r>
      <w:r w:rsidR="006E0D85" w:rsidRPr="006E0D85">
        <w:rPr>
          <w:rFonts w:ascii="Times New Roman" w:hAnsi="Times New Roman" w:cs="Times New Roman"/>
          <w:i/>
        </w:rPr>
        <w:tab/>
      </w:r>
      <w:r w:rsidR="006E0D85" w:rsidRPr="006E0D85">
        <w:rPr>
          <w:rFonts w:ascii="Times New Roman" w:hAnsi="Times New Roman" w:cs="Times New Roman"/>
          <w:i/>
        </w:rPr>
        <w:tab/>
      </w:r>
      <w:r w:rsidR="006E0D85" w:rsidRPr="006E0D85">
        <w:rPr>
          <w:rFonts w:ascii="Times New Roman" w:hAnsi="Times New Roman" w:cs="Times New Roman"/>
          <w:i/>
        </w:rPr>
        <w:tab/>
      </w:r>
      <w:r w:rsidR="006E0D85" w:rsidRPr="006E0D85">
        <w:rPr>
          <w:rFonts w:ascii="Times New Roman" w:hAnsi="Times New Roman" w:cs="Times New Roman"/>
          <w:i/>
        </w:rPr>
        <w:tab/>
        <w:t xml:space="preserve">Page </w:t>
      </w:r>
      <w:r w:rsidR="00E021C9">
        <w:rPr>
          <w:rFonts w:ascii="Times New Roman" w:hAnsi="Times New Roman" w:cs="Times New Roman"/>
          <w:i/>
        </w:rPr>
        <w:t>60</w:t>
      </w:r>
    </w:p>
    <w:p w14:paraId="6C67178A" w14:textId="78970E03" w:rsidR="003977B1" w:rsidRPr="006E0D85" w:rsidRDefault="003977B1" w:rsidP="006E0D85">
      <w:pPr>
        <w:pStyle w:val="ListParagraph"/>
        <w:numPr>
          <w:ilvl w:val="2"/>
          <w:numId w:val="36"/>
        </w:numPr>
        <w:spacing w:line="360" w:lineRule="auto"/>
        <w:ind w:right="-631" w:firstLine="272"/>
        <w:jc w:val="both"/>
        <w:rPr>
          <w:rFonts w:ascii="Times New Roman" w:hAnsi="Times New Roman" w:cs="Times New Roman"/>
          <w:i/>
        </w:rPr>
      </w:pPr>
      <w:r w:rsidRPr="006E0D85">
        <w:rPr>
          <w:rFonts w:ascii="Times New Roman" w:hAnsi="Times New Roman" w:cs="Times New Roman"/>
          <w:i/>
        </w:rPr>
        <w:t>Rule of Law</w:t>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t>Page 62</w:t>
      </w:r>
    </w:p>
    <w:p w14:paraId="56F0C72E" w14:textId="1136D3DD" w:rsidR="003977B1" w:rsidRPr="006E0D85" w:rsidRDefault="003977B1" w:rsidP="006E0D85">
      <w:pPr>
        <w:pStyle w:val="ListParagraph"/>
        <w:numPr>
          <w:ilvl w:val="2"/>
          <w:numId w:val="36"/>
        </w:numPr>
        <w:spacing w:line="360" w:lineRule="auto"/>
        <w:ind w:right="-631" w:firstLine="272"/>
        <w:jc w:val="both"/>
        <w:rPr>
          <w:rFonts w:ascii="Times New Roman" w:hAnsi="Times New Roman" w:cs="Times New Roman"/>
          <w:i/>
        </w:rPr>
      </w:pPr>
      <w:r w:rsidRPr="006E0D85">
        <w:rPr>
          <w:rFonts w:ascii="Times New Roman" w:hAnsi="Times New Roman" w:cs="Times New Roman"/>
          <w:i/>
        </w:rPr>
        <w:t>Legitimisation of the Government in Control</w:t>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t>Page 63</w:t>
      </w:r>
    </w:p>
    <w:p w14:paraId="5F340F7D" w14:textId="35A71FFC" w:rsidR="003977B1" w:rsidRPr="006E0D85" w:rsidRDefault="003977B1" w:rsidP="006E0D85">
      <w:pPr>
        <w:pStyle w:val="ListParagraph"/>
        <w:numPr>
          <w:ilvl w:val="2"/>
          <w:numId w:val="36"/>
        </w:numPr>
        <w:spacing w:line="360" w:lineRule="auto"/>
        <w:ind w:right="-631" w:firstLine="272"/>
        <w:jc w:val="both"/>
        <w:rPr>
          <w:rFonts w:ascii="Times New Roman" w:hAnsi="Times New Roman" w:cs="Times New Roman"/>
          <w:i/>
        </w:rPr>
      </w:pPr>
      <w:r w:rsidRPr="006E0D85">
        <w:rPr>
          <w:rFonts w:ascii="Times New Roman" w:hAnsi="Times New Roman" w:cs="Times New Roman"/>
          <w:i/>
        </w:rPr>
        <w:t>Revisions and Remedy of Grievances</w:t>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t>Page 64</w:t>
      </w:r>
    </w:p>
    <w:p w14:paraId="05ABD069" w14:textId="1EED756C" w:rsidR="003977B1" w:rsidRPr="006E0D85" w:rsidRDefault="003977B1" w:rsidP="006E0D85">
      <w:pPr>
        <w:pStyle w:val="ListParagraph"/>
        <w:numPr>
          <w:ilvl w:val="2"/>
          <w:numId w:val="44"/>
        </w:numPr>
        <w:spacing w:line="360" w:lineRule="auto"/>
        <w:ind w:left="709" w:right="-631" w:hanging="851"/>
        <w:jc w:val="both"/>
        <w:rPr>
          <w:rFonts w:ascii="Times New Roman" w:hAnsi="Times New Roman" w:cs="Times New Roman"/>
          <w:i/>
        </w:rPr>
      </w:pPr>
      <w:r w:rsidRPr="006E0D85">
        <w:rPr>
          <w:rFonts w:ascii="Times New Roman" w:hAnsi="Times New Roman" w:cs="Times New Roman"/>
          <w:i/>
        </w:rPr>
        <w:t>Maintenance of Peace</w:t>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r>
      <w:r w:rsidR="00E021C9">
        <w:rPr>
          <w:rFonts w:ascii="Times New Roman" w:hAnsi="Times New Roman" w:cs="Times New Roman"/>
          <w:i/>
        </w:rPr>
        <w:tab/>
        <w:t>Page 66</w:t>
      </w:r>
    </w:p>
    <w:p w14:paraId="26E56568" w14:textId="211B0DC2" w:rsidR="003977B1" w:rsidRPr="006E0D85" w:rsidRDefault="003977B1" w:rsidP="006E0D85">
      <w:pPr>
        <w:pStyle w:val="ListParagraph"/>
        <w:numPr>
          <w:ilvl w:val="1"/>
          <w:numId w:val="44"/>
        </w:numPr>
        <w:spacing w:line="360" w:lineRule="auto"/>
        <w:ind w:left="-142" w:right="-631" w:hanging="425"/>
        <w:jc w:val="both"/>
        <w:rPr>
          <w:rFonts w:ascii="Times New Roman" w:hAnsi="Times New Roman" w:cs="Times New Roman"/>
          <w:b/>
          <w:i/>
        </w:rPr>
      </w:pPr>
      <w:r w:rsidRPr="006E0D85">
        <w:rPr>
          <w:rFonts w:ascii="Times New Roman" w:hAnsi="Times New Roman" w:cs="Times New Roman"/>
          <w:b/>
          <w:i/>
        </w:rPr>
        <w:t>Conclusions from the IRA in Northern Ireland</w:t>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r>
      <w:r w:rsidR="00E021C9">
        <w:rPr>
          <w:rFonts w:ascii="Times New Roman" w:hAnsi="Times New Roman" w:cs="Times New Roman"/>
          <w:b/>
          <w:i/>
        </w:rPr>
        <w:tab/>
        <w:t>Page 67</w:t>
      </w:r>
    </w:p>
    <w:p w14:paraId="6F807C93" w14:textId="77777777" w:rsidR="003977B1" w:rsidRDefault="003977B1" w:rsidP="003977B1">
      <w:pPr>
        <w:spacing w:line="360" w:lineRule="auto"/>
        <w:ind w:left="-567" w:right="-631"/>
        <w:jc w:val="both"/>
        <w:rPr>
          <w:rFonts w:ascii="Times New Roman" w:hAnsi="Times New Roman" w:cs="Times New Roman"/>
        </w:rPr>
      </w:pPr>
    </w:p>
    <w:p w14:paraId="080AF0FA" w14:textId="4B24C339" w:rsidR="006936D9" w:rsidRDefault="003977B1" w:rsidP="006936D9">
      <w:pPr>
        <w:spacing w:line="360" w:lineRule="auto"/>
        <w:ind w:left="-567" w:right="-631"/>
        <w:jc w:val="both"/>
        <w:rPr>
          <w:rFonts w:ascii="Times New Roman" w:hAnsi="Times New Roman" w:cs="Times New Roman"/>
          <w:b/>
          <w:u w:val="single"/>
        </w:rPr>
      </w:pPr>
      <w:r w:rsidRPr="00AE43D3">
        <w:rPr>
          <w:rFonts w:ascii="Times New Roman" w:hAnsi="Times New Roman" w:cs="Times New Roman"/>
          <w:b/>
          <w:u w:val="single"/>
        </w:rPr>
        <w:t xml:space="preserve">Chapter 5: </w:t>
      </w:r>
      <w:r w:rsidR="00506269">
        <w:rPr>
          <w:rFonts w:ascii="Times New Roman" w:hAnsi="Times New Roman" w:cs="Times New Roman"/>
          <w:b/>
          <w:u w:val="single"/>
        </w:rPr>
        <w:t>Two Sides of the COIN:</w:t>
      </w:r>
      <w:r w:rsidR="00AE43D3" w:rsidRPr="00AE43D3">
        <w:rPr>
          <w:rFonts w:ascii="Times New Roman" w:hAnsi="Times New Roman" w:cs="Times New Roman"/>
          <w:b/>
          <w:u w:val="single"/>
        </w:rPr>
        <w:t xml:space="preserve"> COIN in Iraq</w:t>
      </w:r>
    </w:p>
    <w:p w14:paraId="63455C6A" w14:textId="77777777" w:rsidR="006936D9" w:rsidRDefault="006936D9" w:rsidP="006936D9">
      <w:pPr>
        <w:spacing w:line="360" w:lineRule="auto"/>
        <w:ind w:left="-567" w:right="-631"/>
        <w:jc w:val="both"/>
        <w:rPr>
          <w:rFonts w:ascii="Times New Roman" w:hAnsi="Times New Roman" w:cs="Times New Roman"/>
        </w:rPr>
      </w:pPr>
    </w:p>
    <w:p w14:paraId="1E3D022D" w14:textId="572FDFC7" w:rsidR="006936D9" w:rsidRPr="006E0D85" w:rsidRDefault="00AE43D3" w:rsidP="006936D9">
      <w:pPr>
        <w:pStyle w:val="ListParagraph"/>
        <w:numPr>
          <w:ilvl w:val="1"/>
          <w:numId w:val="38"/>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Al Qaeda and American Counterinsurgency</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6</w:t>
      </w:r>
      <w:r w:rsidR="00E021C9">
        <w:rPr>
          <w:rFonts w:ascii="Times New Roman" w:hAnsi="Times New Roman" w:cs="Times New Roman"/>
          <w:b/>
          <w:i/>
        </w:rPr>
        <w:t>9</w:t>
      </w:r>
    </w:p>
    <w:p w14:paraId="4BC8DB48" w14:textId="7BBE03BF" w:rsidR="006936D9" w:rsidRPr="006E0D85" w:rsidRDefault="00AE43D3" w:rsidP="006936D9">
      <w:pPr>
        <w:pStyle w:val="ListParagraph"/>
        <w:numPr>
          <w:ilvl w:val="1"/>
          <w:numId w:val="38"/>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Where was the Nation Building Phase?</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7</w:t>
      </w:r>
      <w:r w:rsidR="00E021C9">
        <w:rPr>
          <w:rFonts w:ascii="Times New Roman" w:hAnsi="Times New Roman" w:cs="Times New Roman"/>
          <w:b/>
          <w:i/>
        </w:rPr>
        <w:t>3</w:t>
      </w:r>
    </w:p>
    <w:p w14:paraId="178DA549" w14:textId="51D0ECCB" w:rsidR="006936D9" w:rsidRPr="006E0D85" w:rsidRDefault="00AE43D3" w:rsidP="006936D9">
      <w:pPr>
        <w:pStyle w:val="ListParagraph"/>
        <w:numPr>
          <w:ilvl w:val="1"/>
          <w:numId w:val="38"/>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Winning Hearts and Minds?</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7</w:t>
      </w:r>
      <w:r w:rsidR="00E021C9">
        <w:rPr>
          <w:rFonts w:ascii="Times New Roman" w:hAnsi="Times New Roman" w:cs="Times New Roman"/>
          <w:b/>
          <w:i/>
        </w:rPr>
        <w:t>3</w:t>
      </w:r>
    </w:p>
    <w:p w14:paraId="278C3D41" w14:textId="1978A6A8" w:rsidR="006936D9" w:rsidRPr="006E0D85" w:rsidRDefault="00AE43D3" w:rsidP="006936D9">
      <w:pPr>
        <w:pStyle w:val="ListParagraph"/>
        <w:numPr>
          <w:ilvl w:val="1"/>
          <w:numId w:val="38"/>
        </w:numPr>
        <w:spacing w:line="360" w:lineRule="auto"/>
        <w:ind w:right="-631"/>
        <w:jc w:val="both"/>
        <w:rPr>
          <w:rFonts w:ascii="Times New Roman" w:hAnsi="Times New Roman" w:cs="Times New Roman"/>
          <w:b/>
          <w:i/>
          <w:u w:val="single"/>
        </w:rPr>
      </w:pPr>
      <w:r w:rsidRPr="006E0D85">
        <w:rPr>
          <w:rFonts w:ascii="Times New Roman" w:hAnsi="Times New Roman" w:cs="Times New Roman"/>
          <w:b/>
          <w:i/>
        </w:rPr>
        <w:t>Desired Outcomes</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76</w:t>
      </w:r>
    </w:p>
    <w:p w14:paraId="079105AC" w14:textId="1532509A" w:rsidR="00AE43D3" w:rsidRPr="006936D9" w:rsidRDefault="00AE43D3" w:rsidP="006936D9">
      <w:pPr>
        <w:pStyle w:val="ListParagraph"/>
        <w:numPr>
          <w:ilvl w:val="1"/>
          <w:numId w:val="38"/>
        </w:numPr>
        <w:spacing w:line="360" w:lineRule="auto"/>
        <w:ind w:right="-631"/>
        <w:jc w:val="both"/>
        <w:rPr>
          <w:rFonts w:ascii="Times New Roman" w:hAnsi="Times New Roman" w:cs="Times New Roman"/>
          <w:b/>
          <w:u w:val="single"/>
        </w:rPr>
      </w:pPr>
      <w:r w:rsidRPr="006E0D85">
        <w:rPr>
          <w:rFonts w:ascii="Times New Roman" w:hAnsi="Times New Roman" w:cs="Times New Roman"/>
          <w:b/>
          <w:i/>
        </w:rPr>
        <w:t>Causal Relationships</w:t>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r>
      <w:r w:rsidR="006E0D85">
        <w:rPr>
          <w:rFonts w:ascii="Times New Roman" w:hAnsi="Times New Roman" w:cs="Times New Roman"/>
          <w:b/>
          <w:i/>
        </w:rPr>
        <w:tab/>
        <w:t>Page 7</w:t>
      </w:r>
      <w:r w:rsidR="00C05976">
        <w:rPr>
          <w:rFonts w:ascii="Times New Roman" w:hAnsi="Times New Roman" w:cs="Times New Roman"/>
          <w:b/>
          <w:i/>
        </w:rPr>
        <w:t>7</w:t>
      </w:r>
    </w:p>
    <w:p w14:paraId="37A49FF9" w14:textId="3F87C3CC" w:rsidR="006936D9" w:rsidRPr="006E0D85" w:rsidRDefault="00AE43D3" w:rsidP="006936D9">
      <w:pPr>
        <w:pStyle w:val="ListParagraph"/>
        <w:numPr>
          <w:ilvl w:val="2"/>
          <w:numId w:val="38"/>
        </w:numPr>
        <w:spacing w:line="360" w:lineRule="auto"/>
        <w:ind w:right="-631" w:firstLine="414"/>
        <w:jc w:val="both"/>
        <w:rPr>
          <w:rFonts w:ascii="Times New Roman" w:hAnsi="Times New Roman" w:cs="Times New Roman"/>
          <w:i/>
        </w:rPr>
      </w:pPr>
      <w:r w:rsidRPr="006E0D85">
        <w:rPr>
          <w:rFonts w:ascii="Times New Roman" w:hAnsi="Times New Roman" w:cs="Times New Roman"/>
          <w:i/>
        </w:rPr>
        <w:t>Cessation of Violence</w:t>
      </w:r>
      <w:r w:rsidR="006E0D85">
        <w:rPr>
          <w:rFonts w:ascii="Times New Roman" w:hAnsi="Times New Roman" w:cs="Times New Roman"/>
          <w:i/>
        </w:rPr>
        <w:tab/>
      </w:r>
      <w:r w:rsidR="006E0D85">
        <w:rPr>
          <w:rFonts w:ascii="Times New Roman" w:hAnsi="Times New Roman" w:cs="Times New Roman"/>
          <w:i/>
        </w:rPr>
        <w:tab/>
      </w:r>
      <w:r w:rsidR="006E0D85">
        <w:rPr>
          <w:rFonts w:ascii="Times New Roman" w:hAnsi="Times New Roman" w:cs="Times New Roman"/>
          <w:i/>
        </w:rPr>
        <w:tab/>
      </w:r>
      <w:r w:rsidR="006E0D85">
        <w:rPr>
          <w:rFonts w:ascii="Times New Roman" w:hAnsi="Times New Roman" w:cs="Times New Roman"/>
          <w:i/>
        </w:rPr>
        <w:tab/>
      </w:r>
      <w:r w:rsidR="006E0D85">
        <w:rPr>
          <w:rFonts w:ascii="Times New Roman" w:hAnsi="Times New Roman" w:cs="Times New Roman"/>
          <w:i/>
        </w:rPr>
        <w:tab/>
      </w:r>
      <w:r w:rsidR="006E0D85">
        <w:rPr>
          <w:rFonts w:ascii="Times New Roman" w:hAnsi="Times New Roman" w:cs="Times New Roman"/>
          <w:i/>
        </w:rPr>
        <w:tab/>
      </w:r>
      <w:r w:rsidR="006E0D85">
        <w:rPr>
          <w:rFonts w:ascii="Times New Roman" w:hAnsi="Times New Roman" w:cs="Times New Roman"/>
          <w:i/>
        </w:rPr>
        <w:tab/>
      </w:r>
      <w:r w:rsidR="00C05976">
        <w:rPr>
          <w:rFonts w:ascii="Times New Roman" w:hAnsi="Times New Roman" w:cs="Times New Roman"/>
          <w:i/>
        </w:rPr>
        <w:t>Page 77</w:t>
      </w:r>
    </w:p>
    <w:p w14:paraId="54BAAC60" w14:textId="02C4B458" w:rsidR="006936D9" w:rsidRPr="006E0D85" w:rsidRDefault="00AE43D3" w:rsidP="006936D9">
      <w:pPr>
        <w:pStyle w:val="ListParagraph"/>
        <w:numPr>
          <w:ilvl w:val="2"/>
          <w:numId w:val="38"/>
        </w:numPr>
        <w:spacing w:line="360" w:lineRule="auto"/>
        <w:ind w:right="-631" w:firstLine="414"/>
        <w:jc w:val="both"/>
        <w:rPr>
          <w:rFonts w:ascii="Times New Roman" w:hAnsi="Times New Roman" w:cs="Times New Roman"/>
          <w:i/>
        </w:rPr>
      </w:pPr>
      <w:r w:rsidRPr="006E0D85">
        <w:rPr>
          <w:rFonts w:ascii="Times New Roman" w:hAnsi="Times New Roman" w:cs="Times New Roman"/>
          <w:i/>
        </w:rPr>
        <w:t>Rule of Law</w:t>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t>Page 79</w:t>
      </w:r>
    </w:p>
    <w:p w14:paraId="21181C4A" w14:textId="7DE2C2B2" w:rsidR="006936D9" w:rsidRPr="006E0D85" w:rsidRDefault="00AE43D3" w:rsidP="006936D9">
      <w:pPr>
        <w:pStyle w:val="ListParagraph"/>
        <w:numPr>
          <w:ilvl w:val="2"/>
          <w:numId w:val="38"/>
        </w:numPr>
        <w:spacing w:line="360" w:lineRule="auto"/>
        <w:ind w:right="-631" w:firstLine="414"/>
        <w:jc w:val="both"/>
        <w:rPr>
          <w:rFonts w:ascii="Times New Roman" w:hAnsi="Times New Roman" w:cs="Times New Roman"/>
          <w:i/>
        </w:rPr>
      </w:pPr>
      <w:r w:rsidRPr="006E0D85">
        <w:rPr>
          <w:rFonts w:ascii="Times New Roman" w:hAnsi="Times New Roman" w:cs="Times New Roman"/>
          <w:i/>
        </w:rPr>
        <w:t>Legitimisation of the Government in Control</w:t>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t>Page 80</w:t>
      </w:r>
    </w:p>
    <w:p w14:paraId="059B75EA" w14:textId="59447154" w:rsidR="006936D9" w:rsidRPr="006E0D85" w:rsidRDefault="00AE43D3" w:rsidP="006936D9">
      <w:pPr>
        <w:pStyle w:val="ListParagraph"/>
        <w:numPr>
          <w:ilvl w:val="2"/>
          <w:numId w:val="38"/>
        </w:numPr>
        <w:spacing w:line="360" w:lineRule="auto"/>
        <w:ind w:right="-631" w:firstLine="414"/>
        <w:jc w:val="both"/>
        <w:rPr>
          <w:rFonts w:ascii="Times New Roman" w:hAnsi="Times New Roman" w:cs="Times New Roman"/>
          <w:i/>
        </w:rPr>
      </w:pPr>
      <w:r w:rsidRPr="006E0D85">
        <w:rPr>
          <w:rFonts w:ascii="Times New Roman" w:hAnsi="Times New Roman" w:cs="Times New Roman"/>
          <w:i/>
        </w:rPr>
        <w:t>Revisions and Remedy of Grievances</w:t>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t>Page 82</w:t>
      </w:r>
    </w:p>
    <w:p w14:paraId="29138663" w14:textId="26A3636C" w:rsidR="00AE43D3" w:rsidRPr="006E0D85" w:rsidRDefault="00AE43D3" w:rsidP="006936D9">
      <w:pPr>
        <w:pStyle w:val="ListParagraph"/>
        <w:numPr>
          <w:ilvl w:val="2"/>
          <w:numId w:val="38"/>
        </w:numPr>
        <w:spacing w:line="360" w:lineRule="auto"/>
        <w:ind w:right="-631" w:firstLine="414"/>
        <w:jc w:val="both"/>
        <w:rPr>
          <w:rFonts w:ascii="Times New Roman" w:hAnsi="Times New Roman" w:cs="Times New Roman"/>
          <w:i/>
        </w:rPr>
      </w:pPr>
      <w:r w:rsidRPr="006E0D85">
        <w:rPr>
          <w:rFonts w:ascii="Times New Roman" w:hAnsi="Times New Roman" w:cs="Times New Roman"/>
          <w:i/>
        </w:rPr>
        <w:t>Maintenance of Peace</w:t>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r>
      <w:r w:rsidR="00C05976">
        <w:rPr>
          <w:rFonts w:ascii="Times New Roman" w:hAnsi="Times New Roman" w:cs="Times New Roman"/>
          <w:i/>
        </w:rPr>
        <w:tab/>
        <w:t>Page 83</w:t>
      </w:r>
    </w:p>
    <w:p w14:paraId="27768F8F" w14:textId="15ADFD75" w:rsidR="00AE43D3" w:rsidRPr="006E0D85" w:rsidRDefault="00AE43D3" w:rsidP="006936D9">
      <w:pPr>
        <w:pStyle w:val="ListParagraph"/>
        <w:numPr>
          <w:ilvl w:val="1"/>
          <w:numId w:val="38"/>
        </w:numPr>
        <w:spacing w:line="360" w:lineRule="auto"/>
        <w:ind w:right="-631"/>
        <w:jc w:val="both"/>
        <w:rPr>
          <w:rFonts w:ascii="Times New Roman" w:hAnsi="Times New Roman" w:cs="Times New Roman"/>
          <w:b/>
          <w:i/>
        </w:rPr>
      </w:pPr>
      <w:r w:rsidRPr="006E0D85">
        <w:rPr>
          <w:rFonts w:ascii="Times New Roman" w:hAnsi="Times New Roman" w:cs="Times New Roman"/>
          <w:b/>
          <w:i/>
        </w:rPr>
        <w:t>Conclusions from Al Qaeda in Iraq</w:t>
      </w:r>
      <w:r w:rsidR="00C05976">
        <w:rPr>
          <w:rFonts w:ascii="Times New Roman" w:hAnsi="Times New Roman" w:cs="Times New Roman"/>
          <w:b/>
          <w:i/>
        </w:rPr>
        <w:tab/>
      </w:r>
      <w:r w:rsidR="00C05976">
        <w:rPr>
          <w:rFonts w:ascii="Times New Roman" w:hAnsi="Times New Roman" w:cs="Times New Roman"/>
          <w:b/>
          <w:i/>
        </w:rPr>
        <w:tab/>
      </w:r>
      <w:r w:rsidR="00C05976">
        <w:rPr>
          <w:rFonts w:ascii="Times New Roman" w:hAnsi="Times New Roman" w:cs="Times New Roman"/>
          <w:b/>
          <w:i/>
        </w:rPr>
        <w:tab/>
      </w:r>
      <w:r w:rsidR="00C05976">
        <w:rPr>
          <w:rFonts w:ascii="Times New Roman" w:hAnsi="Times New Roman" w:cs="Times New Roman"/>
          <w:b/>
          <w:i/>
        </w:rPr>
        <w:tab/>
      </w:r>
      <w:r w:rsidR="00C05976">
        <w:rPr>
          <w:rFonts w:ascii="Times New Roman" w:hAnsi="Times New Roman" w:cs="Times New Roman"/>
          <w:b/>
          <w:i/>
        </w:rPr>
        <w:tab/>
      </w:r>
      <w:r w:rsidR="00C05976">
        <w:rPr>
          <w:rFonts w:ascii="Times New Roman" w:hAnsi="Times New Roman" w:cs="Times New Roman"/>
          <w:b/>
          <w:i/>
        </w:rPr>
        <w:tab/>
        <w:t>Page 84</w:t>
      </w:r>
    </w:p>
    <w:p w14:paraId="2E1C3149" w14:textId="77777777" w:rsidR="00AE43D3" w:rsidRPr="006E0D85" w:rsidRDefault="00AE43D3" w:rsidP="00AE43D3">
      <w:pPr>
        <w:spacing w:line="360" w:lineRule="auto"/>
        <w:ind w:right="-631"/>
        <w:jc w:val="both"/>
        <w:rPr>
          <w:rFonts w:ascii="Times New Roman" w:hAnsi="Times New Roman" w:cs="Times New Roman"/>
          <w:b/>
          <w:i/>
        </w:rPr>
      </w:pPr>
    </w:p>
    <w:p w14:paraId="27174AAC" w14:textId="77777777" w:rsidR="00C52467" w:rsidRDefault="00C52467" w:rsidP="00AE43D3">
      <w:pPr>
        <w:spacing w:line="360" w:lineRule="auto"/>
        <w:ind w:left="-567" w:right="-631"/>
        <w:jc w:val="both"/>
        <w:rPr>
          <w:rFonts w:ascii="Times New Roman" w:hAnsi="Times New Roman" w:cs="Times New Roman"/>
          <w:b/>
          <w:u w:val="single"/>
        </w:rPr>
      </w:pPr>
    </w:p>
    <w:p w14:paraId="439874C3" w14:textId="77777777" w:rsidR="00C52467" w:rsidRDefault="00C52467" w:rsidP="00AE43D3">
      <w:pPr>
        <w:spacing w:line="360" w:lineRule="auto"/>
        <w:ind w:left="-567" w:right="-631"/>
        <w:jc w:val="both"/>
        <w:rPr>
          <w:rFonts w:ascii="Times New Roman" w:hAnsi="Times New Roman" w:cs="Times New Roman"/>
          <w:b/>
          <w:u w:val="single"/>
        </w:rPr>
      </w:pPr>
    </w:p>
    <w:p w14:paraId="4AC4333B" w14:textId="77777777" w:rsidR="00C52467" w:rsidRDefault="00C52467" w:rsidP="00AE43D3">
      <w:pPr>
        <w:spacing w:line="360" w:lineRule="auto"/>
        <w:ind w:left="-567" w:right="-631"/>
        <w:jc w:val="both"/>
        <w:rPr>
          <w:rFonts w:ascii="Times New Roman" w:hAnsi="Times New Roman" w:cs="Times New Roman"/>
          <w:b/>
          <w:u w:val="single"/>
        </w:rPr>
      </w:pPr>
    </w:p>
    <w:p w14:paraId="63EE48D4" w14:textId="77777777" w:rsidR="00C52467" w:rsidRDefault="00C52467" w:rsidP="00AE43D3">
      <w:pPr>
        <w:spacing w:line="360" w:lineRule="auto"/>
        <w:ind w:left="-567" w:right="-631"/>
        <w:jc w:val="both"/>
        <w:rPr>
          <w:rFonts w:ascii="Times New Roman" w:hAnsi="Times New Roman" w:cs="Times New Roman"/>
          <w:b/>
          <w:u w:val="single"/>
        </w:rPr>
      </w:pPr>
    </w:p>
    <w:p w14:paraId="476CEA85" w14:textId="77777777" w:rsidR="00C52467" w:rsidRDefault="00C52467" w:rsidP="00AE43D3">
      <w:pPr>
        <w:spacing w:line="360" w:lineRule="auto"/>
        <w:ind w:left="-567" w:right="-631"/>
        <w:jc w:val="both"/>
        <w:rPr>
          <w:rFonts w:ascii="Times New Roman" w:hAnsi="Times New Roman" w:cs="Times New Roman"/>
          <w:b/>
          <w:u w:val="single"/>
        </w:rPr>
      </w:pPr>
    </w:p>
    <w:p w14:paraId="57F9F583" w14:textId="51181B1B" w:rsidR="00AE43D3" w:rsidRDefault="00AE43D3" w:rsidP="00AE43D3">
      <w:pPr>
        <w:spacing w:line="360" w:lineRule="auto"/>
        <w:ind w:left="-567" w:right="-631"/>
        <w:jc w:val="both"/>
        <w:rPr>
          <w:rFonts w:ascii="Times New Roman" w:hAnsi="Times New Roman" w:cs="Times New Roman"/>
          <w:b/>
          <w:u w:val="single"/>
        </w:rPr>
      </w:pPr>
      <w:r w:rsidRPr="00AE43D3">
        <w:rPr>
          <w:rFonts w:ascii="Times New Roman" w:hAnsi="Times New Roman" w:cs="Times New Roman"/>
          <w:b/>
          <w:u w:val="single"/>
        </w:rPr>
        <w:t xml:space="preserve">Chapter 6: </w:t>
      </w:r>
      <w:r w:rsidR="00506269">
        <w:rPr>
          <w:rFonts w:ascii="Times New Roman" w:hAnsi="Times New Roman" w:cs="Times New Roman"/>
          <w:b/>
          <w:u w:val="single"/>
        </w:rPr>
        <w:t>The Path to Counterinsurgent Success</w:t>
      </w:r>
    </w:p>
    <w:p w14:paraId="31BB74AC" w14:textId="77777777" w:rsidR="00AE43D3" w:rsidRDefault="00AE43D3" w:rsidP="00AE43D3">
      <w:pPr>
        <w:spacing w:line="360" w:lineRule="auto"/>
        <w:ind w:left="-567" w:right="-631"/>
        <w:jc w:val="both"/>
        <w:rPr>
          <w:rFonts w:ascii="Times New Roman" w:hAnsi="Times New Roman" w:cs="Times New Roman"/>
        </w:rPr>
      </w:pPr>
    </w:p>
    <w:p w14:paraId="5882FC8E" w14:textId="5A16CCD3" w:rsidR="006936D9" w:rsidRPr="00C52467" w:rsidRDefault="00AE43D3" w:rsidP="006936D9">
      <w:pPr>
        <w:pStyle w:val="ListParagraph"/>
        <w:numPr>
          <w:ilvl w:val="1"/>
          <w:numId w:val="39"/>
        </w:numPr>
        <w:spacing w:line="360" w:lineRule="auto"/>
        <w:ind w:left="-142" w:right="-631" w:hanging="425"/>
        <w:jc w:val="both"/>
        <w:rPr>
          <w:rFonts w:ascii="Times New Roman" w:hAnsi="Times New Roman" w:cs="Times New Roman"/>
          <w:b/>
          <w:i/>
        </w:rPr>
      </w:pPr>
      <w:r w:rsidRPr="00C52467">
        <w:rPr>
          <w:rFonts w:ascii="Times New Roman" w:hAnsi="Times New Roman" w:cs="Times New Roman"/>
          <w:b/>
          <w:i/>
        </w:rPr>
        <w:t>The Need for Counterinsurgency</w:t>
      </w:r>
      <w:r w:rsidR="00C82293">
        <w:rPr>
          <w:rFonts w:ascii="Times New Roman" w:hAnsi="Times New Roman" w:cs="Times New Roman"/>
          <w:b/>
          <w:i/>
        </w:rPr>
        <w:t>?</w:t>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t>Page</w:t>
      </w:r>
      <w:r w:rsidR="00C82293">
        <w:rPr>
          <w:rFonts w:ascii="Times New Roman" w:hAnsi="Times New Roman" w:cs="Times New Roman"/>
          <w:b/>
          <w:i/>
        </w:rPr>
        <w:t xml:space="preserve"> 86</w:t>
      </w:r>
    </w:p>
    <w:p w14:paraId="3B82F9E0" w14:textId="4CE0AAB1" w:rsidR="0030728C" w:rsidRPr="00C52467" w:rsidRDefault="00AE43D3" w:rsidP="0030728C">
      <w:pPr>
        <w:pStyle w:val="ListParagraph"/>
        <w:numPr>
          <w:ilvl w:val="1"/>
          <w:numId w:val="39"/>
        </w:numPr>
        <w:spacing w:line="360" w:lineRule="auto"/>
        <w:ind w:left="-142" w:right="-631" w:hanging="425"/>
        <w:jc w:val="both"/>
        <w:rPr>
          <w:rFonts w:ascii="Times New Roman" w:hAnsi="Times New Roman" w:cs="Times New Roman"/>
          <w:b/>
          <w:i/>
        </w:rPr>
      </w:pPr>
      <w:r w:rsidRPr="00C52467">
        <w:rPr>
          <w:rFonts w:ascii="Times New Roman" w:hAnsi="Times New Roman" w:cs="Times New Roman"/>
          <w:b/>
          <w:i/>
        </w:rPr>
        <w:t>Conclusion</w:t>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r>
      <w:r w:rsidR="00C52467">
        <w:rPr>
          <w:rFonts w:ascii="Times New Roman" w:hAnsi="Times New Roman" w:cs="Times New Roman"/>
          <w:b/>
          <w:i/>
        </w:rPr>
        <w:tab/>
        <w:t>Page</w:t>
      </w:r>
      <w:r w:rsidR="00614B3B">
        <w:rPr>
          <w:rFonts w:ascii="Times New Roman" w:hAnsi="Times New Roman" w:cs="Times New Roman"/>
          <w:b/>
          <w:i/>
        </w:rPr>
        <w:t xml:space="preserve"> 87</w:t>
      </w:r>
    </w:p>
    <w:p w14:paraId="7B6D21A4" w14:textId="77777777" w:rsidR="0030728C" w:rsidRPr="00C52467" w:rsidRDefault="0030728C" w:rsidP="0030728C">
      <w:pPr>
        <w:spacing w:line="360" w:lineRule="auto"/>
        <w:ind w:right="-631"/>
        <w:jc w:val="both"/>
        <w:rPr>
          <w:rFonts w:ascii="Times New Roman" w:hAnsi="Times New Roman" w:cs="Times New Roman"/>
          <w:b/>
          <w:i/>
        </w:rPr>
      </w:pPr>
    </w:p>
    <w:p w14:paraId="3725411E" w14:textId="5FCF19A2" w:rsidR="0030728C" w:rsidRPr="0030728C" w:rsidRDefault="00C52467" w:rsidP="0030728C">
      <w:pPr>
        <w:spacing w:line="360" w:lineRule="auto"/>
        <w:ind w:left="-567" w:right="-631"/>
        <w:jc w:val="both"/>
        <w:rPr>
          <w:rFonts w:ascii="Times New Roman" w:hAnsi="Times New Roman" w:cs="Times New Roman"/>
          <w:b/>
          <w:u w:val="single"/>
        </w:rPr>
      </w:pPr>
      <w:r>
        <w:rPr>
          <w:rFonts w:ascii="Times New Roman" w:hAnsi="Times New Roman" w:cs="Times New Roman"/>
          <w:b/>
          <w:u w:val="single"/>
        </w:rPr>
        <w:t>Bibliography</w:t>
      </w:r>
    </w:p>
    <w:p w14:paraId="458DF874" w14:textId="64AAD509" w:rsidR="001D78F2" w:rsidRDefault="001D78F2">
      <w:pPr>
        <w:rPr>
          <w:rFonts w:ascii="Times New Roman" w:hAnsi="Times New Roman" w:cs="Times New Roman"/>
          <w:b/>
          <w:u w:val="single"/>
        </w:rPr>
      </w:pPr>
      <w:r>
        <w:rPr>
          <w:rFonts w:ascii="Times New Roman" w:hAnsi="Times New Roman" w:cs="Times New Roman"/>
          <w:b/>
          <w:u w:val="single"/>
        </w:rPr>
        <w:br w:type="page"/>
      </w:r>
    </w:p>
    <w:p w14:paraId="08BBB335" w14:textId="5FC6BBF3" w:rsidR="003977B1" w:rsidRPr="00E021C9" w:rsidRDefault="00E021C9" w:rsidP="00E021C9">
      <w:pPr>
        <w:spacing w:line="360" w:lineRule="auto"/>
        <w:ind w:right="-631"/>
        <w:jc w:val="center"/>
        <w:rPr>
          <w:rFonts w:ascii="Times New Roman" w:hAnsi="Times New Roman" w:cs="Times New Roman"/>
          <w:b/>
          <w:sz w:val="28"/>
          <w:szCs w:val="28"/>
          <w:u w:val="single"/>
        </w:rPr>
      </w:pPr>
      <w:r w:rsidRPr="00E021C9">
        <w:rPr>
          <w:rFonts w:ascii="Times New Roman" w:hAnsi="Times New Roman" w:cs="Times New Roman"/>
          <w:b/>
          <w:sz w:val="28"/>
          <w:szCs w:val="28"/>
          <w:u w:val="single"/>
        </w:rPr>
        <w:t>LIST OF ABBREVIATIONS</w:t>
      </w:r>
    </w:p>
    <w:p w14:paraId="10A3BB3D" w14:textId="77777777" w:rsidR="001D78F2" w:rsidRDefault="001D78F2" w:rsidP="003977B1">
      <w:pPr>
        <w:spacing w:line="360" w:lineRule="auto"/>
        <w:ind w:right="-631"/>
        <w:jc w:val="both"/>
        <w:rPr>
          <w:rFonts w:ascii="Times New Roman" w:hAnsi="Times New Roman" w:cs="Times New Roman"/>
        </w:rPr>
      </w:pPr>
    </w:p>
    <w:p w14:paraId="16252DAD" w14:textId="79BEED19" w:rsidR="001D78F2" w:rsidRDefault="001D78F2" w:rsidP="003977B1">
      <w:pPr>
        <w:spacing w:line="360" w:lineRule="auto"/>
        <w:ind w:right="-631"/>
        <w:jc w:val="both"/>
        <w:rPr>
          <w:rFonts w:ascii="Times New Roman" w:hAnsi="Times New Roman" w:cs="Times New Roman"/>
        </w:rPr>
      </w:pPr>
      <w:r>
        <w:rPr>
          <w:rFonts w:ascii="Times New Roman" w:hAnsi="Times New Roman" w:cs="Times New Roman"/>
        </w:rPr>
        <w:t xml:space="preserve">COIN: </w:t>
      </w:r>
      <w:r w:rsidR="007F40FD">
        <w:rPr>
          <w:rFonts w:ascii="Times New Roman" w:hAnsi="Times New Roman" w:cs="Times New Roman"/>
        </w:rPr>
        <w:tab/>
      </w:r>
      <w:r w:rsidR="007F40FD">
        <w:rPr>
          <w:rFonts w:ascii="Times New Roman" w:hAnsi="Times New Roman" w:cs="Times New Roman"/>
        </w:rPr>
        <w:tab/>
      </w:r>
      <w:r>
        <w:rPr>
          <w:rFonts w:ascii="Times New Roman" w:hAnsi="Times New Roman" w:cs="Times New Roman"/>
        </w:rPr>
        <w:t>Counterinsurgency</w:t>
      </w:r>
    </w:p>
    <w:p w14:paraId="2A4C9FC4" w14:textId="1B5728A4" w:rsidR="001D78F2" w:rsidRDefault="001D78F2" w:rsidP="003977B1">
      <w:pPr>
        <w:spacing w:line="360" w:lineRule="auto"/>
        <w:ind w:right="-631"/>
        <w:jc w:val="both"/>
        <w:rPr>
          <w:rFonts w:ascii="Times New Roman" w:hAnsi="Times New Roman" w:cs="Times New Roman"/>
        </w:rPr>
      </w:pPr>
      <w:r>
        <w:rPr>
          <w:rFonts w:ascii="Times New Roman" w:hAnsi="Times New Roman" w:cs="Times New Roman"/>
        </w:rPr>
        <w:t xml:space="preserve">IRA: </w:t>
      </w:r>
      <w:r w:rsidR="007F40FD">
        <w:rPr>
          <w:rFonts w:ascii="Times New Roman" w:hAnsi="Times New Roman" w:cs="Times New Roman"/>
        </w:rPr>
        <w:tab/>
      </w:r>
      <w:r w:rsidR="007F40FD">
        <w:rPr>
          <w:rFonts w:ascii="Times New Roman" w:hAnsi="Times New Roman" w:cs="Times New Roman"/>
        </w:rPr>
        <w:tab/>
      </w:r>
      <w:r>
        <w:rPr>
          <w:rFonts w:ascii="Times New Roman" w:hAnsi="Times New Roman" w:cs="Times New Roman"/>
        </w:rPr>
        <w:t>Irish Republican Army</w:t>
      </w:r>
    </w:p>
    <w:p w14:paraId="17EFE781" w14:textId="5FFD8153" w:rsidR="001D78F2" w:rsidRDefault="001D78F2" w:rsidP="003977B1">
      <w:pPr>
        <w:spacing w:line="360" w:lineRule="auto"/>
        <w:ind w:right="-631"/>
        <w:jc w:val="both"/>
        <w:rPr>
          <w:rFonts w:ascii="Times New Roman" w:hAnsi="Times New Roman" w:cs="Times New Roman"/>
        </w:rPr>
      </w:pPr>
      <w:r>
        <w:rPr>
          <w:rFonts w:ascii="Times New Roman" w:hAnsi="Times New Roman" w:cs="Times New Roman"/>
        </w:rPr>
        <w:t xml:space="preserve">USA: </w:t>
      </w:r>
      <w:r w:rsidR="007F40FD">
        <w:rPr>
          <w:rFonts w:ascii="Times New Roman" w:hAnsi="Times New Roman" w:cs="Times New Roman"/>
        </w:rPr>
        <w:tab/>
      </w:r>
      <w:r w:rsidR="007F40FD">
        <w:rPr>
          <w:rFonts w:ascii="Times New Roman" w:hAnsi="Times New Roman" w:cs="Times New Roman"/>
        </w:rPr>
        <w:tab/>
      </w:r>
      <w:r>
        <w:rPr>
          <w:rFonts w:ascii="Times New Roman" w:hAnsi="Times New Roman" w:cs="Times New Roman"/>
        </w:rPr>
        <w:t>United States of America</w:t>
      </w:r>
    </w:p>
    <w:p w14:paraId="31419358" w14:textId="7E2EAF06" w:rsidR="001D78F2" w:rsidRDefault="007F40FD" w:rsidP="007F40FD">
      <w:pPr>
        <w:spacing w:line="360" w:lineRule="auto"/>
        <w:ind w:left="1440" w:right="-631" w:hanging="1440"/>
        <w:jc w:val="both"/>
        <w:rPr>
          <w:rFonts w:ascii="Times New Roman" w:hAnsi="Times New Roman" w:cs="Times New Roman"/>
        </w:rPr>
      </w:pPr>
      <w:r>
        <w:rPr>
          <w:rFonts w:ascii="Times New Roman" w:hAnsi="Times New Roman" w:cs="Times New Roman"/>
        </w:rPr>
        <w:t xml:space="preserve">FM 3-24: </w:t>
      </w:r>
      <w:r>
        <w:rPr>
          <w:rFonts w:ascii="Times New Roman" w:hAnsi="Times New Roman" w:cs="Times New Roman"/>
        </w:rPr>
        <w:tab/>
        <w:t>Field Manual 3-24, Issued by General Petraeus to the United States Troops       deployed to Iraq</w:t>
      </w:r>
    </w:p>
    <w:p w14:paraId="2C9AC9E6" w14:textId="43C0B80E" w:rsidR="007F40FD" w:rsidRDefault="007F40FD" w:rsidP="007F40FD">
      <w:pPr>
        <w:spacing w:line="360" w:lineRule="auto"/>
        <w:ind w:left="1440" w:right="-631" w:hanging="1440"/>
        <w:jc w:val="both"/>
        <w:rPr>
          <w:rFonts w:ascii="Times New Roman" w:hAnsi="Times New Roman" w:cs="Times New Roman"/>
        </w:rPr>
      </w:pPr>
      <w:r>
        <w:rPr>
          <w:rFonts w:ascii="Times New Roman" w:hAnsi="Times New Roman" w:cs="Times New Roman"/>
        </w:rPr>
        <w:t>WMDs:</w:t>
      </w:r>
      <w:r>
        <w:rPr>
          <w:rFonts w:ascii="Times New Roman" w:hAnsi="Times New Roman" w:cs="Times New Roman"/>
        </w:rPr>
        <w:tab/>
        <w:t>Weapons of Mass Destruction</w:t>
      </w:r>
    </w:p>
    <w:p w14:paraId="49405319" w14:textId="680F0AA6" w:rsidR="007F40FD" w:rsidRDefault="007F40FD" w:rsidP="007F40FD">
      <w:pPr>
        <w:spacing w:line="360" w:lineRule="auto"/>
        <w:ind w:left="1440" w:right="-631" w:hanging="1440"/>
        <w:jc w:val="both"/>
        <w:rPr>
          <w:rFonts w:ascii="Times New Roman" w:hAnsi="Times New Roman" w:cs="Times New Roman"/>
        </w:rPr>
      </w:pPr>
      <w:r>
        <w:rPr>
          <w:rFonts w:ascii="Times New Roman" w:hAnsi="Times New Roman" w:cs="Times New Roman"/>
        </w:rPr>
        <w:t>CIA:</w:t>
      </w:r>
      <w:r>
        <w:rPr>
          <w:rFonts w:ascii="Times New Roman" w:hAnsi="Times New Roman" w:cs="Times New Roman"/>
        </w:rPr>
        <w:tab/>
        <w:t>Central Intelligence Agency</w:t>
      </w:r>
    </w:p>
    <w:p w14:paraId="5361BFFC" w14:textId="24D4BA58" w:rsidR="007F40FD" w:rsidRDefault="00506269" w:rsidP="007F40FD">
      <w:pPr>
        <w:spacing w:line="360" w:lineRule="auto"/>
        <w:ind w:left="1440" w:right="-631" w:hanging="1440"/>
        <w:jc w:val="both"/>
        <w:rPr>
          <w:rFonts w:ascii="Times New Roman" w:hAnsi="Times New Roman" w:cs="Times New Roman"/>
        </w:rPr>
      </w:pPr>
      <w:r>
        <w:rPr>
          <w:rFonts w:ascii="Times New Roman" w:hAnsi="Times New Roman" w:cs="Times New Roman"/>
        </w:rPr>
        <w:t>UN:</w:t>
      </w:r>
      <w:r>
        <w:rPr>
          <w:rFonts w:ascii="Times New Roman" w:hAnsi="Times New Roman" w:cs="Times New Roman"/>
        </w:rPr>
        <w:tab/>
        <w:t>United Nations</w:t>
      </w:r>
    </w:p>
    <w:p w14:paraId="3FAFA64B" w14:textId="77777777" w:rsidR="007F40FD" w:rsidRDefault="007F40FD" w:rsidP="003977B1">
      <w:pPr>
        <w:spacing w:line="360" w:lineRule="auto"/>
        <w:ind w:right="-631"/>
        <w:jc w:val="both"/>
        <w:rPr>
          <w:rFonts w:ascii="Times New Roman" w:hAnsi="Times New Roman" w:cs="Times New Roman"/>
        </w:rPr>
      </w:pPr>
    </w:p>
    <w:p w14:paraId="45559F76" w14:textId="77777777" w:rsidR="001D78F2" w:rsidRDefault="001D78F2" w:rsidP="003977B1">
      <w:pPr>
        <w:spacing w:line="360" w:lineRule="auto"/>
        <w:ind w:right="-631"/>
        <w:jc w:val="both"/>
        <w:rPr>
          <w:rFonts w:ascii="Times New Roman" w:hAnsi="Times New Roman" w:cs="Times New Roman"/>
        </w:rPr>
      </w:pPr>
    </w:p>
    <w:p w14:paraId="089F44FE" w14:textId="77777777" w:rsidR="001D78F2" w:rsidRPr="001D78F2" w:rsidRDefault="001D78F2" w:rsidP="003977B1">
      <w:pPr>
        <w:spacing w:line="360" w:lineRule="auto"/>
        <w:ind w:right="-631"/>
        <w:jc w:val="both"/>
        <w:rPr>
          <w:rFonts w:ascii="Times New Roman" w:hAnsi="Times New Roman" w:cs="Times New Roman"/>
        </w:rPr>
      </w:pPr>
    </w:p>
    <w:p w14:paraId="5C615975" w14:textId="77777777" w:rsidR="003977B1" w:rsidRDefault="003977B1" w:rsidP="003977B1">
      <w:pPr>
        <w:jc w:val="both"/>
        <w:rPr>
          <w:rFonts w:ascii="Times New Roman" w:hAnsi="Times New Roman" w:cs="Times New Roman"/>
          <w:b/>
          <w:u w:val="single"/>
        </w:rPr>
      </w:pPr>
      <w:r>
        <w:rPr>
          <w:rFonts w:ascii="Times New Roman" w:hAnsi="Times New Roman" w:cs="Times New Roman"/>
          <w:b/>
          <w:u w:val="single"/>
        </w:rPr>
        <w:br w:type="page"/>
      </w:r>
    </w:p>
    <w:p w14:paraId="5F9DBAE9" w14:textId="3D9DA829" w:rsidR="00580699" w:rsidRPr="00E021C9" w:rsidRDefault="005E73A8" w:rsidP="00E021C9">
      <w:pPr>
        <w:spacing w:line="360" w:lineRule="auto"/>
        <w:ind w:left="-567" w:right="-631"/>
        <w:jc w:val="center"/>
        <w:rPr>
          <w:rFonts w:ascii="Times New Roman" w:hAnsi="Times New Roman" w:cs="Times New Roman"/>
          <w:b/>
          <w:sz w:val="28"/>
          <w:szCs w:val="28"/>
          <w:u w:val="single"/>
        </w:rPr>
      </w:pPr>
      <w:r w:rsidRPr="00E021C9">
        <w:rPr>
          <w:rFonts w:ascii="Times New Roman" w:hAnsi="Times New Roman" w:cs="Times New Roman"/>
          <w:b/>
          <w:sz w:val="28"/>
          <w:szCs w:val="28"/>
          <w:u w:val="single"/>
        </w:rPr>
        <w:t>CHAPTER 1</w:t>
      </w:r>
      <w:r w:rsidR="006936D9" w:rsidRPr="00E021C9">
        <w:rPr>
          <w:rFonts w:ascii="Times New Roman" w:hAnsi="Times New Roman" w:cs="Times New Roman"/>
          <w:b/>
          <w:sz w:val="28"/>
          <w:szCs w:val="28"/>
          <w:u w:val="single"/>
        </w:rPr>
        <w:t>: Introduction</w:t>
      </w:r>
    </w:p>
    <w:p w14:paraId="41185FC6" w14:textId="5DF0AA5C" w:rsidR="00580699" w:rsidRPr="005F691C" w:rsidRDefault="00580699" w:rsidP="006936D9">
      <w:pPr>
        <w:pStyle w:val="ListParagraph"/>
        <w:numPr>
          <w:ilvl w:val="1"/>
          <w:numId w:val="40"/>
        </w:numPr>
        <w:spacing w:after="200" w:line="360" w:lineRule="auto"/>
        <w:ind w:right="-631"/>
        <w:jc w:val="both"/>
        <w:rPr>
          <w:rFonts w:ascii="Times New Roman" w:hAnsi="Times New Roman" w:cs="Times New Roman"/>
          <w:b/>
          <w:u w:val="single"/>
        </w:rPr>
      </w:pPr>
      <w:r w:rsidRPr="005F691C">
        <w:rPr>
          <w:rFonts w:ascii="Times New Roman" w:hAnsi="Times New Roman" w:cs="Times New Roman"/>
          <w:b/>
          <w:u w:val="single"/>
        </w:rPr>
        <w:t>Introduction</w:t>
      </w:r>
    </w:p>
    <w:p w14:paraId="5F1F14AE" w14:textId="51CED98C"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Insurgency, terrorism, revolutionary warfare; these terms have come to be used increasingly interchangeably since the events of 11 September 2001. While all insurgencies, the category into which terrorism and revolutionary warfare fall, have elements in common, the circumstances in which they arise; and the </w:t>
      </w:r>
      <w:r w:rsidR="009B321C" w:rsidRPr="005F691C">
        <w:rPr>
          <w:rFonts w:ascii="Times New Roman" w:hAnsi="Times New Roman" w:cs="Times New Roman"/>
        </w:rPr>
        <w:t>forms that they take</w:t>
      </w:r>
      <w:r w:rsidRPr="005F691C">
        <w:rPr>
          <w:rFonts w:ascii="Times New Roman" w:hAnsi="Times New Roman" w:cs="Times New Roman"/>
        </w:rPr>
        <w:t xml:space="preserve"> vary immensely.</w:t>
      </w:r>
      <w:r w:rsidRPr="005F691C">
        <w:rPr>
          <w:rStyle w:val="FootnoteReference"/>
          <w:rFonts w:ascii="Times New Roman" w:hAnsi="Times New Roman" w:cs="Times New Roman"/>
        </w:rPr>
        <w:footnoteReference w:id="1"/>
      </w:r>
      <w:r w:rsidRPr="005F691C">
        <w:rPr>
          <w:rFonts w:ascii="Times New Roman" w:hAnsi="Times New Roman" w:cs="Times New Roman"/>
        </w:rPr>
        <w:t xml:space="preserve"> Governments, intergovernmental organisations, security companies and various other state, and non-state, actors are perplexed by how to combat insurgencies and to ensure the effectiveness of these combative counterinsurgency measures. In the wake of various attempts to respond to insurgencies, such as law enforcement or legal prohibitions, which continue to be applied but are not always successful, one of the most effective methods is considered to be that of counterinsurgency (COIN). The Irish Republican Army (IRA) was defeated by the use of counterinsurgency in 1983.</w:t>
      </w:r>
      <w:r w:rsidRPr="005F691C">
        <w:rPr>
          <w:rStyle w:val="FootnoteReference"/>
          <w:rFonts w:ascii="Times New Roman" w:hAnsi="Times New Roman" w:cs="Times New Roman"/>
        </w:rPr>
        <w:footnoteReference w:id="2"/>
      </w:r>
      <w:r w:rsidRPr="005F691C">
        <w:rPr>
          <w:rFonts w:ascii="Times New Roman" w:hAnsi="Times New Roman" w:cs="Times New Roman"/>
        </w:rPr>
        <w:t xml:space="preserve"> In Iraq in 2006, the United States of America (USA) found itself engaging in counterinsurgency under the leadership of General David Petraeus, a campaign which is in fact seen as ineffective.</w:t>
      </w:r>
      <w:r w:rsidRPr="005F691C">
        <w:rPr>
          <w:rStyle w:val="FootnoteReference"/>
          <w:rFonts w:ascii="Times New Roman" w:hAnsi="Times New Roman" w:cs="Times New Roman"/>
        </w:rPr>
        <w:footnoteReference w:id="3"/>
      </w:r>
      <w:r w:rsidRPr="005F691C">
        <w:rPr>
          <w:rFonts w:ascii="Times New Roman" w:hAnsi="Times New Roman" w:cs="Times New Roman"/>
        </w:rPr>
        <w:t xml:space="preserve"> </w:t>
      </w:r>
    </w:p>
    <w:p w14:paraId="46694AAD" w14:textId="77777777" w:rsidR="00580699" w:rsidRPr="005F691C" w:rsidRDefault="00580699" w:rsidP="00580699">
      <w:pPr>
        <w:spacing w:line="360" w:lineRule="auto"/>
        <w:ind w:left="-567" w:right="-631"/>
        <w:jc w:val="both"/>
        <w:rPr>
          <w:rFonts w:ascii="Times New Roman" w:hAnsi="Times New Roman" w:cs="Times New Roman"/>
        </w:rPr>
      </w:pPr>
    </w:p>
    <w:p w14:paraId="56377E33" w14:textId="51BCDE55" w:rsidR="00580699" w:rsidRPr="005F691C" w:rsidRDefault="00580699" w:rsidP="0050626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varying success or effectiveness of counterinsurgency in combating an insurgent movement has resulted in broad based discussion of whether in fact counterinsurgency is an effective method of containment. This thesis proposes that the inclusive nature of the term insurgency may in fact be hampering the ability of states to combat the insurgent threat, and </w:t>
      </w:r>
      <w:r w:rsidR="00506269">
        <w:rPr>
          <w:rFonts w:ascii="Times New Roman" w:hAnsi="Times New Roman" w:cs="Times New Roman"/>
        </w:rPr>
        <w:t>analysing the form of the insurgency might provide greater insight into how it may be contained.</w:t>
      </w:r>
      <w:r w:rsidRPr="005F691C">
        <w:rPr>
          <w:rFonts w:ascii="Times New Roman" w:hAnsi="Times New Roman" w:cs="Times New Roman"/>
        </w:rPr>
        <w:t xml:space="preserve"> </w:t>
      </w:r>
    </w:p>
    <w:p w14:paraId="29F14DA9" w14:textId="77777777" w:rsidR="00580699" w:rsidRPr="005F691C" w:rsidRDefault="00580699" w:rsidP="00580699">
      <w:pPr>
        <w:spacing w:line="360" w:lineRule="auto"/>
        <w:ind w:left="-567" w:right="-631"/>
        <w:jc w:val="both"/>
        <w:rPr>
          <w:rFonts w:ascii="Times New Roman" w:hAnsi="Times New Roman" w:cs="Times New Roman"/>
        </w:rPr>
      </w:pPr>
    </w:p>
    <w:p w14:paraId="293D0BC9" w14:textId="4DA9E512"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Whilst counterinsurgency remains at the forefront of many governments’ antiterrorism, anti-guerrilla or counter-revolutionary policies, such as the USA and the war on terror, there is a lack of analysis regarding the effects that the type of insurgency, and the various motivations of insurgents, might have on the counterinsurgency attempt. The cost of implementing a counterinsurgency movement is so great, costing up to one million dollars (USA) per year for each person deployed, that the question of probable success needs to be addressed, in order to validate the use of counterinsurgency as an effective containment method. Aside from the financial implications of implementing a counterinsurgency campaign, there are also the costs of upholding, or instituting, democratic governance and the rule of law within the </w:t>
      </w:r>
      <w:r w:rsidR="00506269">
        <w:rPr>
          <w:rFonts w:ascii="Times New Roman" w:hAnsi="Times New Roman" w:cs="Times New Roman"/>
        </w:rPr>
        <w:t>insurgent</w:t>
      </w:r>
      <w:r w:rsidRPr="005F691C">
        <w:rPr>
          <w:rFonts w:ascii="Times New Roman" w:hAnsi="Times New Roman" w:cs="Times New Roman"/>
        </w:rPr>
        <w:t xml:space="preserve"> occupied state.</w:t>
      </w:r>
      <w:r w:rsidRPr="005F691C">
        <w:rPr>
          <w:rStyle w:val="FootnoteReference"/>
          <w:rFonts w:ascii="Times New Roman" w:hAnsi="Times New Roman" w:cs="Times New Roman"/>
        </w:rPr>
        <w:footnoteReference w:id="4"/>
      </w:r>
      <w:r w:rsidRPr="005F691C">
        <w:rPr>
          <w:rFonts w:ascii="Times New Roman" w:hAnsi="Times New Roman" w:cs="Times New Roman"/>
        </w:rPr>
        <w:t xml:space="preserve"> </w:t>
      </w:r>
      <w:r w:rsidR="00506269">
        <w:rPr>
          <w:rFonts w:ascii="Times New Roman" w:hAnsi="Times New Roman" w:cs="Times New Roman"/>
        </w:rPr>
        <w:t>(See Graph 1).</w:t>
      </w:r>
    </w:p>
    <w:p w14:paraId="25F9EB1F" w14:textId="77777777" w:rsidR="00580699" w:rsidRPr="005F691C" w:rsidRDefault="00580699" w:rsidP="00580699">
      <w:pPr>
        <w:spacing w:line="360" w:lineRule="auto"/>
        <w:ind w:left="-567" w:right="-631"/>
        <w:jc w:val="both"/>
        <w:rPr>
          <w:rFonts w:ascii="Times New Roman" w:hAnsi="Times New Roman" w:cs="Times New Roman"/>
        </w:rPr>
      </w:pPr>
    </w:p>
    <w:p w14:paraId="7FBDDA93" w14:textId="4DD7DFFD"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In order to accomplish this research, various tasks will be undertaken through the course of this thesis. Firstly, the concept of insurgency needs to be explored and defined for the purpose of this work. This will include the tactics most commonly employed by insurgent groups, based on recent examples of insurgency, the classification of various insurgency movements, and the various objectives which insurgency aims to accomplish. This section will seek to lay out a working definition of insurgency for this paper and the indicators which will be employed by this paper to identify insurgent activity. Within this </w:t>
      </w:r>
      <w:r w:rsidR="00506269">
        <w:rPr>
          <w:rFonts w:ascii="Times New Roman" w:hAnsi="Times New Roman" w:cs="Times New Roman"/>
        </w:rPr>
        <w:t>analysis, the IRA and the insurgency</w:t>
      </w:r>
      <w:r w:rsidRPr="005F691C">
        <w:rPr>
          <w:rFonts w:ascii="Times New Roman" w:hAnsi="Times New Roman" w:cs="Times New Roman"/>
        </w:rPr>
        <w:t xml:space="preserve"> threat in Iraq</w:t>
      </w:r>
      <w:r w:rsidR="00506269">
        <w:rPr>
          <w:rFonts w:ascii="Times New Roman" w:hAnsi="Times New Roman" w:cs="Times New Roman"/>
        </w:rPr>
        <w:t>, with a focus on Al Qaeda in Iraq,</w:t>
      </w:r>
      <w:r w:rsidRPr="005F691C">
        <w:rPr>
          <w:rFonts w:ascii="Times New Roman" w:hAnsi="Times New Roman" w:cs="Times New Roman"/>
        </w:rPr>
        <w:t xml:space="preserve"> will be looked at as case studies of insurgency. Key factors of the various insurgencies being examined will be identified. </w:t>
      </w:r>
    </w:p>
    <w:p w14:paraId="31774332" w14:textId="77777777" w:rsidR="00580699" w:rsidRPr="005F691C" w:rsidRDefault="00580699" w:rsidP="00580699">
      <w:pPr>
        <w:spacing w:line="360" w:lineRule="auto"/>
        <w:ind w:left="-567" w:right="-631"/>
        <w:jc w:val="both"/>
        <w:rPr>
          <w:rFonts w:ascii="Times New Roman" w:hAnsi="Times New Roman" w:cs="Times New Roman"/>
        </w:rPr>
      </w:pPr>
    </w:p>
    <w:p w14:paraId="4759B080" w14:textId="49028E4F"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Thereafter, an analysis of counterinsurgency will be undertaken. This analysis will include identification of the key principles of the strategy of counterinsurgency as it was applied in th</w:t>
      </w:r>
      <w:r w:rsidR="00506269">
        <w:rPr>
          <w:rFonts w:ascii="Times New Roman" w:hAnsi="Times New Roman" w:cs="Times New Roman"/>
        </w:rPr>
        <w:t>e cases of the IRA and in Iraq. There will also be a discussion of how counterinsurgency has evolved under different strategists and military leaders.</w:t>
      </w:r>
    </w:p>
    <w:p w14:paraId="56D50873" w14:textId="77777777" w:rsidR="00580699" w:rsidRPr="005F691C" w:rsidRDefault="00580699" w:rsidP="00580699">
      <w:pPr>
        <w:spacing w:line="360" w:lineRule="auto"/>
        <w:ind w:left="-567" w:right="-631"/>
        <w:jc w:val="both"/>
        <w:rPr>
          <w:rFonts w:ascii="Times New Roman" w:hAnsi="Times New Roman" w:cs="Times New Roman"/>
        </w:rPr>
      </w:pPr>
    </w:p>
    <w:p w14:paraId="45B1F779" w14:textId="3858BE9B"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next section of the research will be that of a comparative case study examining the differences between the effectiveness of counterinsurgency in the cases of the IRA in Ireland and </w:t>
      </w:r>
      <w:r w:rsidR="00506269">
        <w:rPr>
          <w:rFonts w:ascii="Times New Roman" w:hAnsi="Times New Roman" w:cs="Times New Roman"/>
        </w:rPr>
        <w:t>of Al</w:t>
      </w:r>
      <w:r w:rsidRPr="005F691C">
        <w:rPr>
          <w:rFonts w:ascii="Times New Roman" w:hAnsi="Times New Roman" w:cs="Times New Roman"/>
        </w:rPr>
        <w:t xml:space="preserve"> Qaeda in Iraq. This study will endeavour to identify key relationships between classification of </w:t>
      </w:r>
      <w:r w:rsidR="00506269">
        <w:rPr>
          <w:rFonts w:ascii="Times New Roman" w:hAnsi="Times New Roman" w:cs="Times New Roman"/>
        </w:rPr>
        <w:t>the insurgent group</w:t>
      </w:r>
      <w:r w:rsidRPr="005F691C">
        <w:rPr>
          <w:rFonts w:ascii="Times New Roman" w:hAnsi="Times New Roman" w:cs="Times New Roman"/>
        </w:rPr>
        <w:t xml:space="preserve"> and the principles of counterinsurgency. By doing this, it will be possible to establish causal relationships between the factors of counterinsurgency and the factors of insurgency which would allow for an effective and successful counterinsurgency campaign. Lastly, there will be a summary of the findings. The concluding chapter will aim to put forward new indicators that ought to be considered in a situation where counterinsurgency is likely to be employed and which would allow for an analysis of whether the most likely outcome of the counterinsurgency campaign justifies the costs of implementation. </w:t>
      </w:r>
    </w:p>
    <w:p w14:paraId="576FB2AD" w14:textId="77777777" w:rsidR="00580699" w:rsidRPr="005F691C" w:rsidRDefault="00580699" w:rsidP="00580699">
      <w:pPr>
        <w:spacing w:line="360" w:lineRule="auto"/>
        <w:ind w:left="-567" w:right="-631"/>
        <w:jc w:val="both"/>
        <w:rPr>
          <w:rFonts w:ascii="Times New Roman" w:hAnsi="Times New Roman" w:cs="Times New Roman"/>
        </w:rPr>
      </w:pPr>
    </w:p>
    <w:p w14:paraId="732668E4" w14:textId="3D6D3EBF"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 ultimate aim of this paper is to show that factors determining the classification of an insurgency movement will impact on whether counterinsurgency will in fact be effective in its attempt to combat the threat. For the purposes of this thesis the classifications made will be those of popular insurgency (state-centric insurgency) and global insurgency.</w:t>
      </w:r>
      <w:r w:rsidRPr="005F691C">
        <w:rPr>
          <w:rStyle w:val="FootnoteReference"/>
          <w:rFonts w:ascii="Times New Roman" w:hAnsi="Times New Roman" w:cs="Times New Roman"/>
        </w:rPr>
        <w:footnoteReference w:id="5"/>
      </w:r>
      <w:r w:rsidRPr="005F691C">
        <w:rPr>
          <w:rFonts w:ascii="Times New Roman" w:hAnsi="Times New Roman" w:cs="Times New Roman"/>
        </w:rPr>
        <w:t xml:space="preserve"> It </w:t>
      </w:r>
      <w:r w:rsidR="00506269">
        <w:rPr>
          <w:rFonts w:ascii="Times New Roman" w:hAnsi="Times New Roman" w:cs="Times New Roman"/>
        </w:rPr>
        <w:t>will be shown</w:t>
      </w:r>
      <w:r w:rsidRPr="005F691C">
        <w:rPr>
          <w:rFonts w:ascii="Times New Roman" w:hAnsi="Times New Roman" w:cs="Times New Roman"/>
        </w:rPr>
        <w:t xml:space="preserve"> that there </w:t>
      </w:r>
      <w:r w:rsidR="00506269">
        <w:rPr>
          <w:rFonts w:ascii="Times New Roman" w:hAnsi="Times New Roman" w:cs="Times New Roman"/>
        </w:rPr>
        <w:t>is</w:t>
      </w:r>
      <w:r w:rsidRPr="005F691C">
        <w:rPr>
          <w:rFonts w:ascii="Times New Roman" w:hAnsi="Times New Roman" w:cs="Times New Roman"/>
        </w:rPr>
        <w:t xml:space="preserve"> a distinct connection between state-centric insurgencies and the success of counterinsurgency operations, whereas as a global insurgency is more likely to show a less positive outcome. </w:t>
      </w:r>
    </w:p>
    <w:p w14:paraId="680C19B0" w14:textId="77777777" w:rsidR="00580699" w:rsidRPr="005F691C" w:rsidRDefault="00580699" w:rsidP="009B321C">
      <w:pPr>
        <w:spacing w:line="360" w:lineRule="auto"/>
        <w:ind w:right="-631"/>
        <w:jc w:val="both"/>
        <w:rPr>
          <w:rFonts w:ascii="Times New Roman" w:hAnsi="Times New Roman" w:cs="Times New Roman"/>
        </w:rPr>
      </w:pPr>
    </w:p>
    <w:p w14:paraId="334273CB" w14:textId="32EA521A" w:rsidR="00580699" w:rsidRPr="005F691C" w:rsidRDefault="00580699" w:rsidP="006936D9">
      <w:pPr>
        <w:pStyle w:val="ListParagraph"/>
        <w:numPr>
          <w:ilvl w:val="1"/>
          <w:numId w:val="40"/>
        </w:numPr>
        <w:spacing w:after="200" w:line="360" w:lineRule="auto"/>
        <w:ind w:right="-631"/>
        <w:jc w:val="both"/>
        <w:rPr>
          <w:rFonts w:ascii="Times New Roman" w:hAnsi="Times New Roman" w:cs="Times New Roman"/>
          <w:b/>
          <w:u w:val="single"/>
        </w:rPr>
      </w:pPr>
      <w:r w:rsidRPr="005F691C">
        <w:rPr>
          <w:rFonts w:ascii="Times New Roman" w:hAnsi="Times New Roman" w:cs="Times New Roman"/>
          <w:b/>
          <w:u w:val="single"/>
        </w:rPr>
        <w:t>Problem Statement and Hypothesis</w:t>
      </w:r>
    </w:p>
    <w:p w14:paraId="1760FA15" w14:textId="5968C093"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 problem statement of this research is based on the belief that the various elements or factors leading to the classification of an insurgency as either state-centric or global may be able to explain the success of counterinsurgency operations. A more state-centric insurgency will be easier remedied and contained by the tangible outcomes of counterinsurgency, which include the establishment of rule of law and democracy. This is due to the fact that state-centric insurgency will seek concrete and achievable outcomes.</w:t>
      </w:r>
      <w:r w:rsidRPr="005F691C">
        <w:rPr>
          <w:rStyle w:val="FootnoteReference"/>
          <w:rFonts w:ascii="Times New Roman" w:hAnsi="Times New Roman" w:cs="Times New Roman"/>
        </w:rPr>
        <w:footnoteReference w:id="6"/>
      </w:r>
      <w:r w:rsidRPr="005F691C">
        <w:rPr>
          <w:rFonts w:ascii="Times New Roman" w:hAnsi="Times New Roman" w:cs="Times New Roman"/>
        </w:rPr>
        <w:t xml:space="preserve"> In contrast to this, </w:t>
      </w:r>
      <w:r w:rsidR="00506269">
        <w:rPr>
          <w:rFonts w:ascii="Times New Roman" w:hAnsi="Times New Roman" w:cs="Times New Roman"/>
        </w:rPr>
        <w:t>global insurgencies</w:t>
      </w:r>
      <w:r w:rsidRPr="005F691C">
        <w:rPr>
          <w:rFonts w:ascii="Times New Roman" w:hAnsi="Times New Roman" w:cs="Times New Roman"/>
        </w:rPr>
        <w:t xml:space="preserve"> are less likely to be addressed by the state-centric, substantial solutions which counterinsurgency provides. If counterinsurgency is to achieve all its desired objectives, which include putting an end to the acts of violence performed by the insurgents and addressing the causes behind the use of violence, then it needs to be able to implement tangible changes within society, such as addressing </w:t>
      </w:r>
      <w:r w:rsidR="00506269">
        <w:rPr>
          <w:rFonts w:ascii="Times New Roman" w:hAnsi="Times New Roman" w:cs="Times New Roman"/>
        </w:rPr>
        <w:t>economic</w:t>
      </w:r>
      <w:r w:rsidRPr="005F691C">
        <w:rPr>
          <w:rFonts w:ascii="Times New Roman" w:hAnsi="Times New Roman" w:cs="Times New Roman"/>
        </w:rPr>
        <w:t xml:space="preserve">, social or </w:t>
      </w:r>
      <w:r w:rsidR="00506269">
        <w:rPr>
          <w:rFonts w:ascii="Times New Roman" w:hAnsi="Times New Roman" w:cs="Times New Roman"/>
        </w:rPr>
        <w:t>political</w:t>
      </w:r>
      <w:r w:rsidRPr="005F691C">
        <w:rPr>
          <w:rFonts w:ascii="Times New Roman" w:hAnsi="Times New Roman" w:cs="Times New Roman"/>
        </w:rPr>
        <w:t xml:space="preserve"> grievances.</w:t>
      </w:r>
      <w:r w:rsidRPr="005F691C">
        <w:rPr>
          <w:rStyle w:val="FootnoteReference"/>
          <w:rFonts w:ascii="Times New Roman" w:hAnsi="Times New Roman" w:cs="Times New Roman"/>
        </w:rPr>
        <w:footnoteReference w:id="7"/>
      </w:r>
      <w:r w:rsidRPr="005F691C">
        <w:rPr>
          <w:rFonts w:ascii="Times New Roman" w:hAnsi="Times New Roman" w:cs="Times New Roman"/>
        </w:rPr>
        <w:t xml:space="preserve"> The dilemma with the current global insurgency is that although it defines its ultimate goal as an Islamic caliphate, particularly in the case of Al Qaeda, this outcome is considered intangible and almost impossible for counterinsurgency to successfully satisfy without implementation of the actual objective.</w:t>
      </w:r>
      <w:r w:rsidRPr="005F691C">
        <w:rPr>
          <w:rStyle w:val="FootnoteReference"/>
          <w:rFonts w:ascii="Times New Roman" w:hAnsi="Times New Roman" w:cs="Times New Roman"/>
        </w:rPr>
        <w:footnoteReference w:id="8"/>
      </w:r>
      <w:r w:rsidR="00506269">
        <w:rPr>
          <w:rFonts w:ascii="Times New Roman" w:hAnsi="Times New Roman" w:cs="Times New Roman"/>
        </w:rPr>
        <w:t xml:space="preserve"> Therefore, counter</w:t>
      </w:r>
      <w:r w:rsidRPr="005F691C">
        <w:rPr>
          <w:rFonts w:ascii="Times New Roman" w:hAnsi="Times New Roman" w:cs="Times New Roman"/>
        </w:rPr>
        <w:t>insurgency would most likely be incapable of addressing the concerns of global insurgency, and, even if it did manage to put an end to the acts of violence, it would fail in achieving a sustainable outcome and would thus be considered unsuccessful.</w:t>
      </w:r>
    </w:p>
    <w:p w14:paraId="7E66A81B" w14:textId="77777777" w:rsidR="00580699" w:rsidRPr="005F691C" w:rsidRDefault="00580699" w:rsidP="00580699">
      <w:pPr>
        <w:spacing w:line="360" w:lineRule="auto"/>
        <w:ind w:left="-567" w:right="-631"/>
        <w:jc w:val="both"/>
        <w:rPr>
          <w:rFonts w:ascii="Times New Roman" w:hAnsi="Times New Roman" w:cs="Times New Roman"/>
        </w:rPr>
      </w:pPr>
    </w:p>
    <w:p w14:paraId="434C01A7" w14:textId="17EB4506"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Based on this, the problem statement of this thesis is as follows; the various factors informing an insurgency groups doctrine, and objectives, will lead to its classification as either state-centric insurgency or global insurgency, where factors guiding state-centric insurgency will show a positive relationship with the elements of counterinsurgency, whereas factors guiding global insurgency will lead to a </w:t>
      </w:r>
      <w:r w:rsidR="003977B1">
        <w:rPr>
          <w:rFonts w:ascii="Times New Roman" w:hAnsi="Times New Roman" w:cs="Times New Roman"/>
        </w:rPr>
        <w:t>negative</w:t>
      </w:r>
      <w:r w:rsidRPr="005F691C">
        <w:rPr>
          <w:rFonts w:ascii="Times New Roman" w:hAnsi="Times New Roman" w:cs="Times New Roman"/>
        </w:rPr>
        <w:t xml:space="preserve"> relationship with counterinsurgency. Thus, taken </w:t>
      </w:r>
      <w:r w:rsidR="00506269">
        <w:rPr>
          <w:rFonts w:ascii="Times New Roman" w:hAnsi="Times New Roman" w:cs="Times New Roman"/>
        </w:rPr>
        <w:t>from this, the hypothesis will</w:t>
      </w:r>
      <w:r w:rsidRPr="005F691C">
        <w:rPr>
          <w:rFonts w:ascii="Times New Roman" w:hAnsi="Times New Roman" w:cs="Times New Roman"/>
        </w:rPr>
        <w:t xml:space="preserve"> be that if an insurgency can be classified as a state-centric insurgency rather than a global insurgency, then it will lead to a more successful outcome in the implementation of a counterinsurgency operation. </w:t>
      </w:r>
    </w:p>
    <w:p w14:paraId="55E84898" w14:textId="77777777" w:rsidR="00580699" w:rsidRPr="005F691C" w:rsidRDefault="00580699" w:rsidP="00580699">
      <w:pPr>
        <w:spacing w:line="360" w:lineRule="auto"/>
        <w:ind w:left="-567" w:right="-631"/>
        <w:jc w:val="both"/>
        <w:rPr>
          <w:rFonts w:ascii="Times New Roman" w:hAnsi="Times New Roman" w:cs="Times New Roman"/>
        </w:rPr>
      </w:pPr>
    </w:p>
    <w:p w14:paraId="4B35E2C2" w14:textId="127BCDA9" w:rsidR="00580699" w:rsidRPr="005F691C" w:rsidRDefault="00580699" w:rsidP="006936D9">
      <w:pPr>
        <w:pStyle w:val="ListParagraph"/>
        <w:numPr>
          <w:ilvl w:val="1"/>
          <w:numId w:val="40"/>
        </w:numPr>
        <w:spacing w:after="200" w:line="360" w:lineRule="auto"/>
        <w:ind w:right="-631"/>
        <w:jc w:val="both"/>
        <w:rPr>
          <w:rFonts w:ascii="Times New Roman" w:hAnsi="Times New Roman" w:cs="Times New Roman"/>
          <w:b/>
          <w:u w:val="single"/>
        </w:rPr>
      </w:pPr>
      <w:r w:rsidRPr="005F691C">
        <w:rPr>
          <w:rFonts w:ascii="Times New Roman" w:hAnsi="Times New Roman" w:cs="Times New Roman"/>
          <w:b/>
          <w:u w:val="single"/>
        </w:rPr>
        <w:t xml:space="preserve">Relevance of this Research </w:t>
      </w:r>
    </w:p>
    <w:p w14:paraId="6D4909C3" w14:textId="37C3B17A"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Although there is significant discussion within the literature regarding the classification of insurgencies and the implementation of counterinsurgency operations as an attempt to contain insurgencies, there is a lack of discussion within the literature with regards to the factors that determine the classifications of insurgency, and the implications that this might have on the effectiveness of counterinsurgency. However, the importance of this knowledge in the attempt to combat insurgencies is crucial. </w:t>
      </w:r>
    </w:p>
    <w:p w14:paraId="26085D27" w14:textId="77777777" w:rsidR="00580699" w:rsidRPr="005F691C" w:rsidRDefault="00580699" w:rsidP="00580699">
      <w:pPr>
        <w:spacing w:line="360" w:lineRule="auto"/>
        <w:ind w:left="-567" w:right="-631"/>
        <w:jc w:val="both"/>
        <w:rPr>
          <w:rFonts w:ascii="Times New Roman" w:hAnsi="Times New Roman" w:cs="Times New Roman"/>
        </w:rPr>
      </w:pPr>
    </w:p>
    <w:p w14:paraId="29EA5672" w14:textId="77777777" w:rsidR="00580699" w:rsidRPr="005F691C" w:rsidRDefault="00580699" w:rsidP="00580699">
      <w:pPr>
        <w:autoSpaceDE w:val="0"/>
        <w:autoSpaceDN w:val="0"/>
        <w:adjustRightInd w:val="0"/>
        <w:spacing w:line="276" w:lineRule="auto"/>
        <w:ind w:right="-64"/>
        <w:jc w:val="both"/>
        <w:rPr>
          <w:rFonts w:ascii="Times New Roman" w:hAnsi="Times New Roman" w:cs="Times New Roman"/>
        </w:rPr>
      </w:pPr>
      <w:r w:rsidRPr="005F691C">
        <w:rPr>
          <w:rFonts w:ascii="Times New Roman" w:hAnsi="Times New Roman" w:cs="Times New Roman"/>
          <w:i/>
        </w:rPr>
        <w:t>“All insurgencies are different; however, broad historical trends underlie the factors motivating insurgents. Most insurgencies follow a similar course of development. The tactics used to successfully defeat them are likewise similar in most cases. Similarly, history shows that some tactics that are usually successful against conventional foes may fail against insurgents.”</w:t>
      </w:r>
      <w:r w:rsidRPr="005F691C">
        <w:rPr>
          <w:rStyle w:val="FootnoteReference"/>
          <w:rFonts w:ascii="Times New Roman" w:hAnsi="Times New Roman" w:cs="Times New Roman"/>
        </w:rPr>
        <w:footnoteReference w:id="9"/>
      </w:r>
    </w:p>
    <w:p w14:paraId="1E030C83"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7603C0CC" w14:textId="115E1B2D"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Taken from the handbook which General Petraeus wrote regarding implementing a counterinsurgency movement in Iraq, this quotation demonstrates the limited application of knowledge on insurgent behaviour to the methods of containment employed. General Petraeus was correct in his observation that all insurgencies are different. However, this thesis aims to show that the tactics employed to defeat insurgencies cannot be the same in all cases, as the </w:t>
      </w:r>
      <w:r w:rsidR="00506269">
        <w:rPr>
          <w:rFonts w:ascii="Times New Roman" w:hAnsi="Times New Roman" w:cs="Times New Roman"/>
        </w:rPr>
        <w:t>classification of the insurgency</w:t>
      </w:r>
      <w:r w:rsidRPr="005F691C">
        <w:rPr>
          <w:rFonts w:ascii="Times New Roman" w:hAnsi="Times New Roman" w:cs="Times New Roman"/>
        </w:rPr>
        <w:t>, might dictat</w:t>
      </w:r>
      <w:r w:rsidR="00506269">
        <w:rPr>
          <w:rFonts w:ascii="Times New Roman" w:hAnsi="Times New Roman" w:cs="Times New Roman"/>
        </w:rPr>
        <w:t>e the use of alternate methods.</w:t>
      </w:r>
    </w:p>
    <w:p w14:paraId="62E94775" w14:textId="77777777" w:rsidR="009B321C" w:rsidRPr="005F691C" w:rsidRDefault="009B321C" w:rsidP="00580699">
      <w:pPr>
        <w:spacing w:line="360" w:lineRule="auto"/>
        <w:ind w:left="-567" w:right="-631"/>
        <w:jc w:val="both"/>
        <w:rPr>
          <w:rFonts w:ascii="Times New Roman" w:hAnsi="Times New Roman" w:cs="Times New Roman"/>
        </w:rPr>
      </w:pPr>
    </w:p>
    <w:p w14:paraId="09084FB1" w14:textId="10D2E5CA"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 fight against insurgencies is not new, and has dominated much policy discourse in recent years. States and organisations alike, such as the United States of America (USA), United Nations (UN), as well as the European Union, have placed particular emphasis on the question of counterterroris</w:t>
      </w:r>
      <w:r w:rsidR="00DC3A02">
        <w:rPr>
          <w:rFonts w:ascii="Times New Roman" w:hAnsi="Times New Roman" w:cs="Times New Roman"/>
        </w:rPr>
        <w:t>m since the events that unfolded</w:t>
      </w:r>
      <w:r w:rsidRPr="005F691C">
        <w:rPr>
          <w:rFonts w:ascii="Times New Roman" w:hAnsi="Times New Roman" w:cs="Times New Roman"/>
        </w:rPr>
        <w:t xml:space="preserve"> in the USA on 11 September 2001.</w:t>
      </w:r>
      <w:r w:rsidRPr="005F691C">
        <w:rPr>
          <w:rStyle w:val="FootnoteReference"/>
          <w:rFonts w:ascii="Times New Roman" w:hAnsi="Times New Roman" w:cs="Times New Roman"/>
        </w:rPr>
        <w:footnoteReference w:id="10"/>
      </w:r>
      <w:r w:rsidRPr="005F691C">
        <w:rPr>
          <w:rFonts w:ascii="Times New Roman" w:hAnsi="Times New Roman" w:cs="Times New Roman"/>
        </w:rPr>
        <w:t xml:space="preserve"> (Terrorism is a category </w:t>
      </w:r>
      <w:r w:rsidR="00506269">
        <w:rPr>
          <w:rFonts w:ascii="Times New Roman" w:hAnsi="Times New Roman" w:cs="Times New Roman"/>
        </w:rPr>
        <w:t xml:space="preserve">that will be shown to be </w:t>
      </w:r>
      <w:r w:rsidRPr="005F691C">
        <w:rPr>
          <w:rFonts w:ascii="Times New Roman" w:hAnsi="Times New Roman" w:cs="Times New Roman"/>
        </w:rPr>
        <w:t xml:space="preserve">covered by insurgency). However, there is continuing debate as to whether the mechanisms employed to combat these acts are applicable to the entire spectrum of insurgent acts, or whether there are any causal mechanisms which might exist which could help to explain effectiveness and probability of success. </w:t>
      </w:r>
    </w:p>
    <w:p w14:paraId="1EE5FD43" w14:textId="77777777" w:rsidR="00580699" w:rsidRPr="005F691C" w:rsidRDefault="00580699" w:rsidP="00580699">
      <w:pPr>
        <w:spacing w:line="360" w:lineRule="auto"/>
        <w:ind w:left="-567" w:right="-631"/>
        <w:jc w:val="both"/>
        <w:rPr>
          <w:rFonts w:ascii="Times New Roman" w:hAnsi="Times New Roman" w:cs="Times New Roman"/>
        </w:rPr>
      </w:pPr>
    </w:p>
    <w:p w14:paraId="7831C383" w14:textId="741D2816"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This thesis aims to argue that strong links exist between the factors classifying certain acts of insurgency, and the ability to effectively combat these acts through implementing counterinsurgency. The research will thus develop the counterinsurgency literature and add to the theoretical knowledge on counterinsurgency and insurgency. By highlighting the impact of various motivational factors on the effectiveness of counterinsurgency, areas which have previously been ignored in the literature will be brought to light and might be able to impact on policy making, making it more effective and less costly. It is possible to establish links between the factors and motivations of an insurgency movement, and the features of counterinsurgency, which together would lead to a successful outcome for a counterinsurgency movement. </w:t>
      </w:r>
    </w:p>
    <w:p w14:paraId="28266011" w14:textId="77777777" w:rsidR="00580699" w:rsidRPr="005F691C" w:rsidRDefault="00580699" w:rsidP="00580699">
      <w:pPr>
        <w:spacing w:line="360" w:lineRule="auto"/>
        <w:ind w:left="-567" w:right="-631"/>
        <w:jc w:val="both"/>
        <w:rPr>
          <w:rFonts w:ascii="Times New Roman" w:hAnsi="Times New Roman" w:cs="Times New Roman"/>
        </w:rPr>
      </w:pPr>
    </w:p>
    <w:p w14:paraId="6340402B" w14:textId="7B8047E2" w:rsidR="00580699" w:rsidRPr="005F691C" w:rsidRDefault="00580699" w:rsidP="006936D9">
      <w:pPr>
        <w:pStyle w:val="ListParagraph"/>
        <w:numPr>
          <w:ilvl w:val="1"/>
          <w:numId w:val="40"/>
        </w:numPr>
        <w:spacing w:after="200" w:line="360" w:lineRule="auto"/>
        <w:ind w:right="-631"/>
        <w:jc w:val="both"/>
        <w:rPr>
          <w:rFonts w:ascii="Times New Roman" w:hAnsi="Times New Roman" w:cs="Times New Roman"/>
          <w:b/>
          <w:u w:val="single"/>
        </w:rPr>
      </w:pPr>
      <w:r w:rsidRPr="005F691C">
        <w:rPr>
          <w:rFonts w:ascii="Times New Roman" w:hAnsi="Times New Roman" w:cs="Times New Roman"/>
          <w:b/>
          <w:u w:val="single"/>
        </w:rPr>
        <w:t>Conceptualisation</w:t>
      </w:r>
    </w:p>
    <w:p w14:paraId="32EAA337" w14:textId="1CF33D99"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For the operationalisation of this thesis, it is necessary to ascertain the definitions of the main concepts around which this research will take place. These concepts include insurgency, as well as the preselected subcategories of </w:t>
      </w:r>
      <w:r w:rsidR="00506269" w:rsidRPr="005F691C">
        <w:rPr>
          <w:rFonts w:ascii="Times New Roman" w:hAnsi="Times New Roman" w:cs="Times New Roman"/>
        </w:rPr>
        <w:t>insurgency, which</w:t>
      </w:r>
      <w:r w:rsidRPr="005F691C">
        <w:rPr>
          <w:rFonts w:ascii="Times New Roman" w:hAnsi="Times New Roman" w:cs="Times New Roman"/>
        </w:rPr>
        <w:t xml:space="preserve"> have been defined as state-centric insurgency and global insurgency, and counterinsurgency, as it was initially conceptualised by Thompson, and as </w:t>
      </w:r>
      <w:r w:rsidR="00506269" w:rsidRPr="005F691C">
        <w:rPr>
          <w:rFonts w:ascii="Times New Roman" w:hAnsi="Times New Roman" w:cs="Times New Roman"/>
        </w:rPr>
        <w:t xml:space="preserve">various key authorities on the topic, including General Petraeus, have </w:t>
      </w:r>
      <w:r w:rsidR="00DC3A02">
        <w:rPr>
          <w:rFonts w:ascii="Times New Roman" w:hAnsi="Times New Roman" w:cs="Times New Roman"/>
        </w:rPr>
        <w:t>developed</w:t>
      </w:r>
      <w:r w:rsidR="00506269" w:rsidRPr="005F691C">
        <w:rPr>
          <w:rFonts w:ascii="Times New Roman" w:hAnsi="Times New Roman" w:cs="Times New Roman"/>
        </w:rPr>
        <w:t xml:space="preserve"> it</w:t>
      </w:r>
      <w:r w:rsidRPr="005F691C">
        <w:rPr>
          <w:rFonts w:ascii="Times New Roman" w:hAnsi="Times New Roman" w:cs="Times New Roman"/>
        </w:rPr>
        <w:t xml:space="preserve">. It is necessary to define the concept of insurgencies, and the relationship between insurgency and terrorism (for the purposes of the case studies), in order to undertake a discussion of counterinsurgency in the specific situations of the IRA and Iraq. </w:t>
      </w:r>
    </w:p>
    <w:p w14:paraId="6E84368A" w14:textId="77777777" w:rsidR="00580699" w:rsidRPr="005F691C" w:rsidRDefault="00580699" w:rsidP="00580699">
      <w:pPr>
        <w:spacing w:line="360" w:lineRule="auto"/>
        <w:ind w:left="-567" w:right="-631"/>
        <w:jc w:val="both"/>
        <w:rPr>
          <w:rFonts w:ascii="Times New Roman" w:hAnsi="Times New Roman" w:cs="Times New Roman"/>
        </w:rPr>
      </w:pPr>
    </w:p>
    <w:p w14:paraId="612D49DC" w14:textId="4D78CB60"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It is important to note that terrorism will be contextualised as a form of insurgency, although not considered solely insurgency, </w:t>
      </w:r>
      <w:r w:rsidR="00506269">
        <w:rPr>
          <w:rFonts w:ascii="Times New Roman" w:hAnsi="Times New Roman" w:cs="Times New Roman"/>
        </w:rPr>
        <w:t>but rather a</w:t>
      </w:r>
      <w:r w:rsidRPr="005F691C">
        <w:rPr>
          <w:rFonts w:ascii="Times New Roman" w:hAnsi="Times New Roman" w:cs="Times New Roman"/>
        </w:rPr>
        <w:t xml:space="preserve"> form insurgency can take. Through examining the definition of insurgency briefly, it will be possible to understand why terrorism is sometimes thought of as an insurgent movement.  Insurgency can be defined as follows; </w:t>
      </w:r>
    </w:p>
    <w:p w14:paraId="21777555" w14:textId="77777777" w:rsidR="00580699" w:rsidRPr="005F691C" w:rsidRDefault="00580699" w:rsidP="00580699">
      <w:pPr>
        <w:spacing w:line="360" w:lineRule="auto"/>
        <w:ind w:left="-567" w:right="-631"/>
        <w:jc w:val="both"/>
        <w:rPr>
          <w:rFonts w:ascii="Times New Roman" w:hAnsi="Times New Roman" w:cs="Times New Roman"/>
        </w:rPr>
      </w:pPr>
    </w:p>
    <w:p w14:paraId="7EDD13BE" w14:textId="77777777" w:rsidR="00580699" w:rsidRPr="005F691C" w:rsidRDefault="00580699" w:rsidP="009C4D0B">
      <w:pPr>
        <w:ind w:right="-64"/>
        <w:jc w:val="both"/>
        <w:rPr>
          <w:rFonts w:ascii="Times New Roman" w:hAnsi="Times New Roman" w:cs="Times New Roman"/>
          <w:i/>
        </w:rPr>
      </w:pPr>
      <w:r w:rsidRPr="005F691C">
        <w:rPr>
          <w:rFonts w:ascii="Times New Roman" w:hAnsi="Times New Roman" w:cs="Times New Roman"/>
          <w:i/>
        </w:rPr>
        <w:t>“A protracted violent conflict, where one or more groups seek to overthrow or fundamentally change the political or social order in a state or region through the use of sustained violence, subversion, social disruption and political action.”</w:t>
      </w:r>
      <w:r w:rsidRPr="005F691C">
        <w:rPr>
          <w:rStyle w:val="FootnoteReference"/>
          <w:rFonts w:ascii="Times New Roman" w:hAnsi="Times New Roman" w:cs="Times New Roman"/>
          <w:i/>
        </w:rPr>
        <w:footnoteReference w:id="11"/>
      </w:r>
    </w:p>
    <w:p w14:paraId="024B6660" w14:textId="77777777" w:rsidR="00580699" w:rsidRPr="005F691C" w:rsidRDefault="00580699" w:rsidP="00580699">
      <w:pPr>
        <w:spacing w:line="360" w:lineRule="auto"/>
        <w:ind w:left="-567" w:right="-631"/>
        <w:jc w:val="both"/>
        <w:rPr>
          <w:rFonts w:ascii="Times New Roman" w:hAnsi="Times New Roman" w:cs="Times New Roman"/>
          <w:i/>
        </w:rPr>
      </w:pPr>
    </w:p>
    <w:p w14:paraId="21A31837" w14:textId="3A8EDB4B"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This definition of insurgency shows that terrorism is a tactic through which a group may apply sustained violence and social disruption so as to achieve their desired outcome. Terrorism is thought of as one of the tactics of insurgency, where violent action is taken against civilian populations in order to attain various objectives, be they social, political or economic.</w:t>
      </w:r>
      <w:r w:rsidRPr="005F691C">
        <w:rPr>
          <w:rStyle w:val="FootnoteReference"/>
          <w:rFonts w:ascii="Times New Roman" w:hAnsi="Times New Roman" w:cs="Times New Roman"/>
        </w:rPr>
        <w:footnoteReference w:id="12"/>
      </w:r>
      <w:r w:rsidRPr="005F691C">
        <w:rPr>
          <w:rFonts w:ascii="Times New Roman" w:hAnsi="Times New Roman" w:cs="Times New Roman"/>
        </w:rPr>
        <w:t xml:space="preserve"> Terrorism differs from other forms of insurgency, such as guerrilla warfare, with regards to the operational territory of their actions, as terrorists are forced to act in territory controlled by their enemies. </w:t>
      </w:r>
      <w:r w:rsidRPr="005F691C">
        <w:rPr>
          <w:rStyle w:val="FootnoteReference"/>
          <w:rFonts w:ascii="Times New Roman" w:hAnsi="Times New Roman" w:cs="Times New Roman"/>
        </w:rPr>
        <w:footnoteReference w:id="13"/>
      </w:r>
      <w:r w:rsidRPr="005F691C">
        <w:rPr>
          <w:rFonts w:ascii="Times New Roman" w:hAnsi="Times New Roman" w:cs="Times New Roman"/>
        </w:rPr>
        <w:t xml:space="preserve"> </w:t>
      </w:r>
    </w:p>
    <w:p w14:paraId="2A673BA8" w14:textId="77777777" w:rsidR="009B321C" w:rsidRPr="005F691C" w:rsidRDefault="009B321C" w:rsidP="00580699">
      <w:pPr>
        <w:spacing w:line="360" w:lineRule="auto"/>
        <w:ind w:left="-567" w:right="-631"/>
        <w:jc w:val="both"/>
        <w:rPr>
          <w:rFonts w:ascii="Times New Roman" w:hAnsi="Times New Roman" w:cs="Times New Roman"/>
        </w:rPr>
      </w:pPr>
    </w:p>
    <w:p w14:paraId="08E4B753" w14:textId="1D4C3459"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Insurgency as it is viewed today has undergone a large shift in definition and motivation. Whereas insurgencies were once solely based on nationalism, with a strong communist influence fought mostly within national borders, today, insurgencies have become religiously and culturally motivated, with international and national terrorism forming a large part of insurgent arsenals.</w:t>
      </w:r>
      <w:r w:rsidRPr="005F691C">
        <w:rPr>
          <w:rStyle w:val="FootnoteReference"/>
          <w:rFonts w:ascii="Times New Roman" w:hAnsi="Times New Roman" w:cs="Times New Roman"/>
        </w:rPr>
        <w:footnoteReference w:id="14"/>
      </w:r>
      <w:r w:rsidRPr="005F691C">
        <w:rPr>
          <w:rFonts w:ascii="Times New Roman" w:hAnsi="Times New Roman" w:cs="Times New Roman"/>
        </w:rPr>
        <w:t xml:space="preserve"> Thus, various subcategories of insurgency have been developed, which demonstrate the unique and ever changing landscape of insurgent behaviour. The categories of </w:t>
      </w:r>
      <w:r w:rsidR="00506269" w:rsidRPr="005F691C">
        <w:rPr>
          <w:rFonts w:ascii="Times New Roman" w:hAnsi="Times New Roman" w:cs="Times New Roman"/>
        </w:rPr>
        <w:t>insurgency that exist</w:t>
      </w:r>
      <w:r w:rsidRPr="005F691C">
        <w:rPr>
          <w:rFonts w:ascii="Times New Roman" w:hAnsi="Times New Roman" w:cs="Times New Roman"/>
        </w:rPr>
        <w:t xml:space="preserve"> are greatly influenced by the conditions in which an insurgency operates, the modus operandi of the insurgents, and the logistical support</w:t>
      </w:r>
      <w:r w:rsidR="00506269">
        <w:rPr>
          <w:rFonts w:ascii="Times New Roman" w:hAnsi="Times New Roman" w:cs="Times New Roman"/>
        </w:rPr>
        <w:t xml:space="preserve"> and arrangements that exist. </w:t>
      </w:r>
      <w:r w:rsidR="00506269" w:rsidRPr="005F691C">
        <w:rPr>
          <w:rFonts w:ascii="Times New Roman" w:hAnsi="Times New Roman" w:cs="Times New Roman"/>
        </w:rPr>
        <w:t>Insurgencies occur in complex and evolving human and geographic landscapes and circumstances, and thus demographic, social, geographic, economic and religious factors are key to understanding the nature of the insurgency.</w:t>
      </w:r>
      <w:r w:rsidR="00506269" w:rsidRPr="005F691C">
        <w:rPr>
          <w:rStyle w:val="FootnoteReference"/>
          <w:rFonts w:ascii="Times New Roman" w:hAnsi="Times New Roman" w:cs="Times New Roman"/>
        </w:rPr>
        <w:footnoteReference w:id="15"/>
      </w:r>
      <w:r w:rsidRPr="005F691C">
        <w:rPr>
          <w:rFonts w:ascii="Times New Roman" w:hAnsi="Times New Roman" w:cs="Times New Roman"/>
        </w:rPr>
        <w:t xml:space="preserve">Although many other categories exist, the two </w:t>
      </w:r>
      <w:r w:rsidR="009B321C" w:rsidRPr="005F691C">
        <w:rPr>
          <w:rFonts w:ascii="Times New Roman" w:hAnsi="Times New Roman" w:cs="Times New Roman"/>
        </w:rPr>
        <w:t>categories that have been chosen for the purpose of this research</w:t>
      </w:r>
      <w:r w:rsidRPr="005F691C">
        <w:rPr>
          <w:rFonts w:ascii="Times New Roman" w:hAnsi="Times New Roman" w:cs="Times New Roman"/>
        </w:rPr>
        <w:t xml:space="preserve"> are “Popular Insurgencies” and “Global Insurgencies”.</w:t>
      </w:r>
      <w:r w:rsidRPr="005F691C">
        <w:rPr>
          <w:rStyle w:val="FootnoteReference"/>
          <w:rFonts w:ascii="Times New Roman" w:hAnsi="Times New Roman" w:cs="Times New Roman"/>
        </w:rPr>
        <w:footnoteReference w:id="16"/>
      </w:r>
      <w:r w:rsidRPr="005F691C">
        <w:rPr>
          <w:rFonts w:ascii="Times New Roman" w:hAnsi="Times New Roman" w:cs="Times New Roman"/>
        </w:rPr>
        <w:t xml:space="preserve"> </w:t>
      </w:r>
    </w:p>
    <w:p w14:paraId="49599E41" w14:textId="77777777" w:rsidR="009C4D0B" w:rsidRPr="005F691C" w:rsidRDefault="009C4D0B" w:rsidP="00580699">
      <w:pPr>
        <w:spacing w:line="360" w:lineRule="auto"/>
        <w:ind w:left="-567" w:right="-631"/>
        <w:jc w:val="both"/>
        <w:rPr>
          <w:rFonts w:ascii="Times New Roman" w:hAnsi="Times New Roman" w:cs="Times New Roman"/>
        </w:rPr>
      </w:pPr>
    </w:p>
    <w:p w14:paraId="0E18F8CF" w14:textId="5D64EE10"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Popular insurgencies have a specific developed ideology and a close relationship with large sections of the population of a specific territory. There is a will to overthrow the existing government. These insurgencies are most commonly fought within national borders.</w:t>
      </w:r>
      <w:r w:rsidRPr="005F691C">
        <w:rPr>
          <w:rStyle w:val="FootnoteReference"/>
          <w:rFonts w:ascii="Times New Roman" w:hAnsi="Times New Roman" w:cs="Times New Roman"/>
        </w:rPr>
        <w:footnoteReference w:id="17"/>
      </w:r>
      <w:r w:rsidRPr="005F691C">
        <w:rPr>
          <w:rFonts w:ascii="Times New Roman" w:hAnsi="Times New Roman" w:cs="Times New Roman"/>
        </w:rPr>
        <w:t xml:space="preserve">  These elements allow for the renaming of the subcategory as state-centric insurgency for the purposes of this thesis. Thus, it is possible to see that the IRA would fall into this category. The objectives of the IRA are more in line with that of state-centric insurgency, where the desired outcome of the behaviour is a change in </w:t>
      </w:r>
      <w:r w:rsidR="00506269">
        <w:rPr>
          <w:rFonts w:ascii="Times New Roman" w:hAnsi="Times New Roman" w:cs="Times New Roman"/>
        </w:rPr>
        <w:t>economic</w:t>
      </w:r>
      <w:r w:rsidRPr="005F691C">
        <w:rPr>
          <w:rFonts w:ascii="Times New Roman" w:hAnsi="Times New Roman" w:cs="Times New Roman"/>
        </w:rPr>
        <w:t xml:space="preserve">, social or </w:t>
      </w:r>
      <w:r w:rsidR="00506269">
        <w:rPr>
          <w:rFonts w:ascii="Times New Roman" w:hAnsi="Times New Roman" w:cs="Times New Roman"/>
        </w:rPr>
        <w:t>political</w:t>
      </w:r>
      <w:r w:rsidRPr="005F691C">
        <w:rPr>
          <w:rFonts w:ascii="Times New Roman" w:hAnsi="Times New Roman" w:cs="Times New Roman"/>
        </w:rPr>
        <w:t xml:space="preserve"> order, operating within a defined territory and having a large </w:t>
      </w:r>
      <w:r w:rsidR="00506269">
        <w:rPr>
          <w:rFonts w:ascii="Times New Roman" w:hAnsi="Times New Roman" w:cs="Times New Roman"/>
        </w:rPr>
        <w:t>s</w:t>
      </w:r>
      <w:r w:rsidRPr="005F691C">
        <w:rPr>
          <w:rFonts w:ascii="Times New Roman" w:hAnsi="Times New Roman" w:cs="Times New Roman"/>
        </w:rPr>
        <w:t>upport base</w:t>
      </w:r>
      <w:r w:rsidR="00506269">
        <w:rPr>
          <w:rFonts w:ascii="Times New Roman" w:hAnsi="Times New Roman" w:cs="Times New Roman"/>
        </w:rPr>
        <w:t xml:space="preserve"> within the population</w:t>
      </w:r>
      <w:r w:rsidRPr="005F691C">
        <w:rPr>
          <w:rFonts w:ascii="Times New Roman" w:hAnsi="Times New Roman" w:cs="Times New Roman"/>
        </w:rPr>
        <w:t>.</w:t>
      </w:r>
      <w:r w:rsidRPr="005F691C">
        <w:rPr>
          <w:rStyle w:val="FootnoteReference"/>
          <w:rFonts w:ascii="Times New Roman" w:hAnsi="Times New Roman" w:cs="Times New Roman"/>
        </w:rPr>
        <w:footnoteReference w:id="18"/>
      </w:r>
      <w:r w:rsidRPr="005F691C">
        <w:rPr>
          <w:rFonts w:ascii="Times New Roman" w:hAnsi="Times New Roman" w:cs="Times New Roman"/>
        </w:rPr>
        <w:t xml:space="preserve"> </w:t>
      </w:r>
    </w:p>
    <w:p w14:paraId="6F0DE4D4" w14:textId="77777777" w:rsidR="009C4D0B" w:rsidRPr="005F691C" w:rsidRDefault="009C4D0B" w:rsidP="00580699">
      <w:pPr>
        <w:spacing w:line="360" w:lineRule="auto"/>
        <w:ind w:left="-567" w:right="-631"/>
        <w:jc w:val="both"/>
        <w:rPr>
          <w:rFonts w:ascii="Times New Roman" w:hAnsi="Times New Roman" w:cs="Times New Roman"/>
        </w:rPr>
      </w:pPr>
    </w:p>
    <w:p w14:paraId="03108BBC" w14:textId="1CC23C0F"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Global insurgencies have military </w:t>
      </w:r>
      <w:r w:rsidR="009B321C" w:rsidRPr="005F691C">
        <w:rPr>
          <w:rFonts w:ascii="Times New Roman" w:hAnsi="Times New Roman" w:cs="Times New Roman"/>
        </w:rPr>
        <w:t>organisations that</w:t>
      </w:r>
      <w:r w:rsidRPr="005F691C">
        <w:rPr>
          <w:rFonts w:ascii="Times New Roman" w:hAnsi="Times New Roman" w:cs="Times New Roman"/>
        </w:rPr>
        <w:t xml:space="preserve"> span many countries and garner support from a large mass of people who share the same ideology, religion and political </w:t>
      </w:r>
      <w:r w:rsidR="00506269">
        <w:rPr>
          <w:rFonts w:ascii="Times New Roman" w:hAnsi="Times New Roman" w:cs="Times New Roman"/>
        </w:rPr>
        <w:t>objectives</w:t>
      </w:r>
      <w:r w:rsidRPr="005F691C">
        <w:rPr>
          <w:rFonts w:ascii="Times New Roman" w:hAnsi="Times New Roman" w:cs="Times New Roman"/>
        </w:rPr>
        <w:t>.</w:t>
      </w:r>
      <w:r w:rsidRPr="005F691C">
        <w:rPr>
          <w:rStyle w:val="FootnoteReference"/>
          <w:rFonts w:ascii="Times New Roman" w:hAnsi="Times New Roman" w:cs="Times New Roman"/>
        </w:rPr>
        <w:footnoteReference w:id="19"/>
      </w:r>
      <w:r w:rsidRPr="005F691C">
        <w:rPr>
          <w:rFonts w:ascii="Times New Roman" w:hAnsi="Times New Roman" w:cs="Times New Roman"/>
        </w:rPr>
        <w:t xml:space="preserve"> </w:t>
      </w:r>
      <w:r w:rsidR="009B321C" w:rsidRPr="005F691C">
        <w:rPr>
          <w:rFonts w:ascii="Times New Roman" w:hAnsi="Times New Roman" w:cs="Times New Roman"/>
        </w:rPr>
        <w:t>The international media, who often unwittingly help to broadcast their message, as well as the impact of their insurgent behaviour, to their supporters worldwide, assists these insurgencies</w:t>
      </w:r>
      <w:r w:rsidRPr="005F691C">
        <w:rPr>
          <w:rFonts w:ascii="Times New Roman" w:hAnsi="Times New Roman" w:cs="Times New Roman"/>
        </w:rPr>
        <w:t>. These insurgencies seek worldwide governmental reform, based upon religion and culture.</w:t>
      </w:r>
      <w:r w:rsidRPr="005F691C">
        <w:rPr>
          <w:rStyle w:val="FootnoteReference"/>
          <w:rFonts w:ascii="Times New Roman" w:hAnsi="Times New Roman" w:cs="Times New Roman"/>
        </w:rPr>
        <w:footnoteReference w:id="20"/>
      </w:r>
      <w:r w:rsidRPr="005F691C">
        <w:rPr>
          <w:rFonts w:ascii="Times New Roman" w:hAnsi="Times New Roman" w:cs="Times New Roman"/>
        </w:rPr>
        <w:t xml:space="preserve"> There is a web of networks, made up of individuals sharing the various elements mentioned above, who communicate via various means, such as cellular phones, the internet and couriers, and share financial, training, recruitment and political support.</w:t>
      </w:r>
      <w:r w:rsidRPr="005F691C">
        <w:rPr>
          <w:rStyle w:val="FootnoteReference"/>
          <w:rFonts w:ascii="Times New Roman" w:hAnsi="Times New Roman" w:cs="Times New Roman"/>
        </w:rPr>
        <w:footnoteReference w:id="21"/>
      </w:r>
      <w:r w:rsidRPr="005F691C">
        <w:rPr>
          <w:rFonts w:ascii="Times New Roman" w:hAnsi="Times New Roman" w:cs="Times New Roman"/>
        </w:rPr>
        <w:t xml:space="preserve"> Al Qaeda, and their insurgent behaviour in Iraq, of which terrorism is their main operational style, fall into this category of global insurgency.</w:t>
      </w:r>
      <w:r w:rsidRPr="005F691C">
        <w:rPr>
          <w:rStyle w:val="FootnoteReference"/>
          <w:rFonts w:ascii="Times New Roman" w:hAnsi="Times New Roman" w:cs="Times New Roman"/>
        </w:rPr>
        <w:footnoteReference w:id="22"/>
      </w:r>
      <w:r w:rsidRPr="005F691C">
        <w:rPr>
          <w:rFonts w:ascii="Times New Roman" w:hAnsi="Times New Roman" w:cs="Times New Roman"/>
        </w:rPr>
        <w:t xml:space="preserve"> </w:t>
      </w:r>
    </w:p>
    <w:p w14:paraId="2CCD625F" w14:textId="77777777" w:rsidR="009C4D0B" w:rsidRPr="005F691C" w:rsidRDefault="009C4D0B" w:rsidP="00580699">
      <w:pPr>
        <w:spacing w:line="360" w:lineRule="auto"/>
        <w:ind w:left="-567" w:right="-631"/>
        <w:jc w:val="both"/>
        <w:rPr>
          <w:rFonts w:ascii="Times New Roman" w:hAnsi="Times New Roman" w:cs="Times New Roman"/>
        </w:rPr>
      </w:pPr>
    </w:p>
    <w:p w14:paraId="5E439D65"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Terrorist acts performed in the name of Islam are generally driven by operational styles, political rhetoric and ideological justifications that connect Islamist fighters to Al-Qaeda and a range of other terrorist organisations.</w:t>
      </w:r>
      <w:r w:rsidRPr="005F691C">
        <w:rPr>
          <w:rStyle w:val="FootnoteReference"/>
          <w:rFonts w:ascii="Times New Roman" w:hAnsi="Times New Roman" w:cs="Times New Roman"/>
        </w:rPr>
        <w:footnoteReference w:id="23"/>
      </w:r>
      <w:r w:rsidRPr="005F691C">
        <w:rPr>
          <w:rFonts w:ascii="Times New Roman" w:hAnsi="Times New Roman" w:cs="Times New Roman"/>
        </w:rPr>
        <w:t xml:space="preserve"> The common approach is that of selection of civilian targets, willingness to embrace suicide bombing, a desire to cleanse the world of Western influence and the desire to impose an extreme, narrow and highly politicised form of Islam across the Muslim world.</w:t>
      </w:r>
      <w:r w:rsidRPr="005F691C">
        <w:rPr>
          <w:rStyle w:val="FootnoteReference"/>
          <w:rFonts w:ascii="Times New Roman" w:hAnsi="Times New Roman" w:cs="Times New Roman"/>
        </w:rPr>
        <w:footnoteReference w:id="24"/>
      </w:r>
      <w:r w:rsidRPr="005F691C">
        <w:rPr>
          <w:rFonts w:ascii="Times New Roman" w:hAnsi="Times New Roman" w:cs="Times New Roman"/>
        </w:rPr>
        <w:t xml:space="preserve"> The belief of Islamist terrorist groups, including Al-Qaeda, is that the sanctity and culture of the Muslim land and people is being eroded by the influence of the West, and thus this influence must be eradicated immediately.</w:t>
      </w:r>
      <w:r w:rsidRPr="005F691C">
        <w:rPr>
          <w:rStyle w:val="FootnoteReference"/>
          <w:rFonts w:ascii="Times New Roman" w:hAnsi="Times New Roman" w:cs="Times New Roman"/>
        </w:rPr>
        <w:footnoteReference w:id="25"/>
      </w:r>
      <w:r w:rsidRPr="005F691C">
        <w:rPr>
          <w:rFonts w:ascii="Times New Roman" w:hAnsi="Times New Roman" w:cs="Times New Roman"/>
        </w:rPr>
        <w:t xml:space="preserve"> Al Qaeda seeks support worldwide based upon religion and ideology, and ultimately aims to implement an Islamic caliphate across the Muslim world.</w:t>
      </w:r>
      <w:r w:rsidRPr="005F691C">
        <w:rPr>
          <w:rStyle w:val="FootnoteReference"/>
          <w:rFonts w:ascii="Times New Roman" w:hAnsi="Times New Roman" w:cs="Times New Roman"/>
        </w:rPr>
        <w:footnoteReference w:id="26"/>
      </w:r>
      <w:r w:rsidRPr="005F691C">
        <w:rPr>
          <w:rFonts w:ascii="Times New Roman" w:hAnsi="Times New Roman" w:cs="Times New Roman"/>
        </w:rPr>
        <w:t xml:space="preserve"> </w:t>
      </w:r>
    </w:p>
    <w:p w14:paraId="62FA1616" w14:textId="77777777" w:rsidR="009C4D0B" w:rsidRPr="005F691C" w:rsidRDefault="009C4D0B" w:rsidP="00580699">
      <w:pPr>
        <w:spacing w:line="360" w:lineRule="auto"/>
        <w:ind w:left="-567" w:right="-631"/>
        <w:jc w:val="both"/>
        <w:rPr>
          <w:rFonts w:ascii="Times New Roman" w:hAnsi="Times New Roman" w:cs="Times New Roman"/>
        </w:rPr>
      </w:pPr>
    </w:p>
    <w:p w14:paraId="2F2E4780" w14:textId="18CA224B"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final </w:t>
      </w:r>
      <w:r w:rsidR="009B321C" w:rsidRPr="005F691C">
        <w:rPr>
          <w:rFonts w:ascii="Times New Roman" w:hAnsi="Times New Roman" w:cs="Times New Roman"/>
        </w:rPr>
        <w:t>definition that must be addressed</w:t>
      </w:r>
      <w:r w:rsidRPr="005F691C">
        <w:rPr>
          <w:rFonts w:ascii="Times New Roman" w:hAnsi="Times New Roman" w:cs="Times New Roman"/>
        </w:rPr>
        <w:t xml:space="preserve"> is that of counterinsurgency. Counterinsurgency has evolved since its original conceptualisation by Thompson in order to accommodate a range of new objectives and strategies. Those who have developed the theory include </w:t>
      </w:r>
      <w:r w:rsidR="00506269">
        <w:rPr>
          <w:rFonts w:ascii="Times New Roman" w:hAnsi="Times New Roman" w:cs="Times New Roman"/>
        </w:rPr>
        <w:t xml:space="preserve">Moore, Kitson and </w:t>
      </w:r>
      <w:r w:rsidRPr="005F691C">
        <w:rPr>
          <w:rFonts w:ascii="Times New Roman" w:hAnsi="Times New Roman" w:cs="Times New Roman"/>
        </w:rPr>
        <w:t>General Petraeus.</w:t>
      </w:r>
      <w:r w:rsidRPr="005F691C">
        <w:rPr>
          <w:rStyle w:val="FootnoteReference"/>
          <w:rFonts w:ascii="Times New Roman" w:hAnsi="Times New Roman" w:cs="Times New Roman"/>
        </w:rPr>
        <w:footnoteReference w:id="27"/>
      </w:r>
      <w:r w:rsidRPr="005F691C">
        <w:rPr>
          <w:rFonts w:ascii="Times New Roman" w:hAnsi="Times New Roman" w:cs="Times New Roman"/>
        </w:rPr>
        <w:t xml:space="preserve"> </w:t>
      </w:r>
      <w:r w:rsidR="00506269">
        <w:rPr>
          <w:rFonts w:ascii="Times New Roman" w:hAnsi="Times New Roman" w:cs="Times New Roman"/>
        </w:rPr>
        <w:t>Moore defines counterinsurgency as follows</w:t>
      </w:r>
      <w:r w:rsidRPr="005F691C">
        <w:rPr>
          <w:rFonts w:ascii="Times New Roman" w:hAnsi="Times New Roman" w:cs="Times New Roman"/>
        </w:rPr>
        <w:t>:</w:t>
      </w:r>
    </w:p>
    <w:p w14:paraId="6868DB55" w14:textId="77777777" w:rsidR="009B321C" w:rsidRPr="005F691C" w:rsidRDefault="009B321C" w:rsidP="00580699">
      <w:pPr>
        <w:spacing w:line="360" w:lineRule="auto"/>
        <w:ind w:left="-567" w:right="-631"/>
        <w:jc w:val="both"/>
        <w:rPr>
          <w:rFonts w:ascii="Times New Roman" w:hAnsi="Times New Roman" w:cs="Times New Roman"/>
        </w:rPr>
      </w:pPr>
    </w:p>
    <w:p w14:paraId="1D79B67E" w14:textId="77777777" w:rsidR="00580699" w:rsidRPr="005F691C" w:rsidRDefault="00580699" w:rsidP="009C4D0B">
      <w:pPr>
        <w:ind w:right="-64"/>
        <w:jc w:val="both"/>
        <w:rPr>
          <w:rFonts w:ascii="Times New Roman" w:hAnsi="Times New Roman" w:cs="Times New Roman"/>
          <w:i/>
        </w:rPr>
      </w:pPr>
      <w:r w:rsidRPr="005F691C">
        <w:rPr>
          <w:rFonts w:ascii="Times New Roman" w:hAnsi="Times New Roman" w:cs="Times New Roman"/>
          <w:i/>
        </w:rPr>
        <w:t>“An integrated set of political, economic, social and security measures intended to end and prevent the recurrence of armed violence, create and maintain stable political, economic and social structures, and resolve the underlying causes of an insurgency in order to establish and sustain the conditions necessary for lasting stability.”</w:t>
      </w:r>
      <w:r w:rsidRPr="005F691C">
        <w:rPr>
          <w:rStyle w:val="FootnoteReference"/>
          <w:rFonts w:ascii="Times New Roman" w:hAnsi="Times New Roman" w:cs="Times New Roman"/>
          <w:i/>
        </w:rPr>
        <w:footnoteReference w:id="28"/>
      </w:r>
    </w:p>
    <w:p w14:paraId="615AD411" w14:textId="77777777" w:rsidR="009C4D0B" w:rsidRPr="005F691C" w:rsidRDefault="009C4D0B" w:rsidP="00580699">
      <w:pPr>
        <w:spacing w:line="360" w:lineRule="auto"/>
        <w:ind w:left="-567" w:right="-631"/>
        <w:jc w:val="both"/>
        <w:rPr>
          <w:rFonts w:ascii="Times New Roman" w:hAnsi="Times New Roman" w:cs="Times New Roman"/>
          <w:i/>
        </w:rPr>
      </w:pPr>
    </w:p>
    <w:p w14:paraId="74867746" w14:textId="3FA99E41" w:rsidR="00580699" w:rsidRPr="005F691C" w:rsidRDefault="00506269" w:rsidP="00580699">
      <w:pPr>
        <w:spacing w:line="360" w:lineRule="auto"/>
        <w:ind w:left="-567" w:right="-631"/>
        <w:jc w:val="both"/>
        <w:rPr>
          <w:rFonts w:ascii="Times New Roman" w:hAnsi="Times New Roman" w:cs="Times New Roman"/>
        </w:rPr>
      </w:pPr>
      <w:r>
        <w:rPr>
          <w:rFonts w:ascii="Times New Roman" w:hAnsi="Times New Roman" w:cs="Times New Roman"/>
        </w:rPr>
        <w:t>Counter</w:t>
      </w:r>
      <w:r w:rsidR="00580699" w:rsidRPr="005F691C">
        <w:rPr>
          <w:rFonts w:ascii="Times New Roman" w:hAnsi="Times New Roman" w:cs="Times New Roman"/>
        </w:rPr>
        <w:t xml:space="preserve">insurgency aims to put an end to any violence </w:t>
      </w:r>
      <w:r>
        <w:rPr>
          <w:rFonts w:ascii="Times New Roman" w:hAnsi="Times New Roman" w:cs="Times New Roman"/>
        </w:rPr>
        <w:t>performed by an insurgent group, and</w:t>
      </w:r>
      <w:r w:rsidR="00580699" w:rsidRPr="005F691C">
        <w:rPr>
          <w:rFonts w:ascii="Times New Roman" w:hAnsi="Times New Roman" w:cs="Times New Roman"/>
        </w:rPr>
        <w:t xml:space="preserve"> aims to address the causes behind the insurgent activity, thereby not only putting an end to the violence being executed against civilian targets, but also ensuring the issues which sparked the violence have been dealt with, eliminating the threat of future action. A successful counterinsurgency operation involves various elements, including establishing and maintaining security, providing humanitarian relief and essential services, promoting effective governance, sustaining economic development and supporting reconciliation.</w:t>
      </w:r>
      <w:r w:rsidR="00580699" w:rsidRPr="005F691C">
        <w:rPr>
          <w:rStyle w:val="FootnoteReference"/>
          <w:rFonts w:ascii="Times New Roman" w:hAnsi="Times New Roman" w:cs="Times New Roman"/>
        </w:rPr>
        <w:footnoteReference w:id="29"/>
      </w:r>
      <w:r w:rsidR="00580699" w:rsidRPr="005F691C">
        <w:rPr>
          <w:rFonts w:ascii="Times New Roman" w:hAnsi="Times New Roman" w:cs="Times New Roman"/>
        </w:rPr>
        <w:t xml:space="preserve"> These elements of success would be applied in each case study in order to determine whether in fact the operation could be considered a success or failure. It is generally easy to discover which actions taken can be counted as counterinsurgency movements as militaries would employ these elements in their operations. </w:t>
      </w:r>
    </w:p>
    <w:p w14:paraId="659AB63B" w14:textId="77777777" w:rsidR="009C4D0B" w:rsidRPr="005F691C" w:rsidRDefault="009C4D0B" w:rsidP="00580699">
      <w:pPr>
        <w:spacing w:line="360" w:lineRule="auto"/>
        <w:ind w:left="-567" w:right="-631"/>
        <w:jc w:val="both"/>
        <w:rPr>
          <w:rFonts w:ascii="Times New Roman" w:hAnsi="Times New Roman" w:cs="Times New Roman"/>
        </w:rPr>
      </w:pPr>
    </w:p>
    <w:p w14:paraId="7B4DF4BC" w14:textId="484BEE62"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Due to the fact that this thesis will be observing Islamic fundamentalism in Iraq, General Petraeus’s development of counterinsurgency from Thompson’s original conceptualisation of the theory is relevant. General Petraeus developed the Handbook on </w:t>
      </w:r>
      <w:r w:rsidR="00506269" w:rsidRPr="005F691C">
        <w:rPr>
          <w:rFonts w:ascii="Times New Roman" w:hAnsi="Times New Roman" w:cs="Times New Roman"/>
        </w:rPr>
        <w:t>Counterinsurgency, which</w:t>
      </w:r>
      <w:r w:rsidRPr="005F691C">
        <w:rPr>
          <w:rFonts w:ascii="Times New Roman" w:hAnsi="Times New Roman" w:cs="Times New Roman"/>
        </w:rPr>
        <w:t xml:space="preserve"> was followed by the American troops in the Iraqi invasion</w:t>
      </w:r>
      <w:r w:rsidR="00506269">
        <w:rPr>
          <w:rFonts w:ascii="Times New Roman" w:hAnsi="Times New Roman" w:cs="Times New Roman"/>
        </w:rPr>
        <w:t xml:space="preserve"> (FM 3-24)</w:t>
      </w:r>
      <w:r w:rsidRPr="005F691C">
        <w:rPr>
          <w:rFonts w:ascii="Times New Roman" w:hAnsi="Times New Roman" w:cs="Times New Roman"/>
        </w:rPr>
        <w:t>.</w:t>
      </w:r>
      <w:r w:rsidRPr="005F691C">
        <w:rPr>
          <w:rStyle w:val="FootnoteReference"/>
          <w:rFonts w:ascii="Times New Roman" w:hAnsi="Times New Roman" w:cs="Times New Roman"/>
        </w:rPr>
        <w:footnoteReference w:id="30"/>
      </w:r>
      <w:r w:rsidRPr="005F691C">
        <w:rPr>
          <w:rFonts w:ascii="Times New Roman" w:hAnsi="Times New Roman" w:cs="Times New Roman"/>
        </w:rPr>
        <w:t xml:space="preserve"> Thompson viewed counterinsurgency as a movement undertaken by a national government in an attempt to combat an </w:t>
      </w:r>
      <w:r w:rsidR="00506269">
        <w:rPr>
          <w:rFonts w:ascii="Times New Roman" w:hAnsi="Times New Roman" w:cs="Times New Roman"/>
        </w:rPr>
        <w:t>insurgency</w:t>
      </w:r>
      <w:r w:rsidRPr="005F691C">
        <w:rPr>
          <w:rFonts w:ascii="Times New Roman" w:hAnsi="Times New Roman" w:cs="Times New Roman"/>
        </w:rPr>
        <w:t>.</w:t>
      </w:r>
      <w:r w:rsidRPr="005F691C">
        <w:rPr>
          <w:rStyle w:val="FootnoteReference"/>
          <w:rFonts w:ascii="Times New Roman" w:hAnsi="Times New Roman" w:cs="Times New Roman"/>
        </w:rPr>
        <w:footnoteReference w:id="31"/>
      </w:r>
      <w:r w:rsidRPr="005F691C">
        <w:rPr>
          <w:rFonts w:ascii="Times New Roman" w:hAnsi="Times New Roman" w:cs="Times New Roman"/>
        </w:rPr>
        <w:t xml:space="preserve"> All the emphasis was placed on the national government, with almost no regard shown for the insurgency being tackled. There was also emphasis placed on political legitimacy of the governing </w:t>
      </w:r>
      <w:r w:rsidR="00506269" w:rsidRPr="005F691C">
        <w:rPr>
          <w:rFonts w:ascii="Times New Roman" w:hAnsi="Times New Roman" w:cs="Times New Roman"/>
        </w:rPr>
        <w:t>structures that</w:t>
      </w:r>
      <w:r w:rsidRPr="005F691C">
        <w:rPr>
          <w:rFonts w:ascii="Times New Roman" w:hAnsi="Times New Roman" w:cs="Times New Roman"/>
        </w:rPr>
        <w:t xml:space="preserve"> the counterinsurgency operation would implement.</w:t>
      </w:r>
      <w:r w:rsidRPr="005F691C">
        <w:rPr>
          <w:rStyle w:val="FootnoteReference"/>
          <w:rFonts w:ascii="Times New Roman" w:hAnsi="Times New Roman" w:cs="Times New Roman"/>
        </w:rPr>
        <w:footnoteReference w:id="32"/>
      </w:r>
      <w:r w:rsidRPr="005F691C">
        <w:rPr>
          <w:rFonts w:ascii="Times New Roman" w:hAnsi="Times New Roman" w:cs="Times New Roman"/>
        </w:rPr>
        <w:t xml:space="preserve"> </w:t>
      </w:r>
    </w:p>
    <w:p w14:paraId="78B2C16F"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1638D34C" w14:textId="0C70A493" w:rsidR="00AB1E73" w:rsidRPr="005F691C" w:rsidRDefault="00580699" w:rsidP="0050626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General Petraeus has reinforced the importance of political legitimacy in a counterinsurgency movement. It is vital that the counterinsurgents use all available national power instruments to their advantage in order to sustain the existing or emerging government.</w:t>
      </w:r>
      <w:r w:rsidRPr="005F691C">
        <w:rPr>
          <w:rStyle w:val="FootnoteReference"/>
          <w:rFonts w:ascii="Times New Roman" w:hAnsi="Times New Roman" w:cs="Times New Roman"/>
        </w:rPr>
        <w:footnoteReference w:id="33"/>
      </w:r>
      <w:r w:rsidRPr="005F691C">
        <w:rPr>
          <w:rFonts w:ascii="Times New Roman" w:hAnsi="Times New Roman" w:cs="Times New Roman"/>
        </w:rPr>
        <w:t xml:space="preserve"> The long-term success of counterinsurgency operations depends on the people taking charge of their own affairs and consenting to the government’s rule, which requires the government to eliminate as many causes of the insurgency as </w:t>
      </w:r>
      <w:r w:rsidR="00506269">
        <w:rPr>
          <w:rFonts w:ascii="Times New Roman" w:hAnsi="Times New Roman" w:cs="Times New Roman"/>
        </w:rPr>
        <w:t>possible</w:t>
      </w:r>
      <w:r w:rsidRPr="005F691C">
        <w:rPr>
          <w:rFonts w:ascii="Times New Roman" w:hAnsi="Times New Roman" w:cs="Times New Roman"/>
        </w:rPr>
        <w:t>.</w:t>
      </w:r>
      <w:r w:rsidRPr="005F691C">
        <w:rPr>
          <w:rStyle w:val="FootnoteReference"/>
          <w:rFonts w:ascii="Times New Roman" w:hAnsi="Times New Roman" w:cs="Times New Roman"/>
        </w:rPr>
        <w:footnoteReference w:id="34"/>
      </w:r>
      <w:r w:rsidRPr="005F691C">
        <w:rPr>
          <w:rFonts w:ascii="Times New Roman" w:hAnsi="Times New Roman" w:cs="Times New Roman"/>
        </w:rPr>
        <w:t xml:space="preserve"> This can include eliminating those extremists whose beliefs prevent them from ever reconciling with the government. Petraeus views the ultimate goal of counterinsurgency as enabling a country or regime to provide the security and rule of law that allow for the establishment of social services and growth of economic activity.</w:t>
      </w:r>
      <w:r w:rsidRPr="005F691C">
        <w:rPr>
          <w:rStyle w:val="FootnoteReference"/>
          <w:rFonts w:ascii="Times New Roman" w:hAnsi="Times New Roman" w:cs="Times New Roman"/>
        </w:rPr>
        <w:footnoteReference w:id="35"/>
      </w:r>
      <w:r w:rsidRPr="005F691C">
        <w:rPr>
          <w:rFonts w:ascii="Times New Roman" w:hAnsi="Times New Roman" w:cs="Times New Roman"/>
        </w:rPr>
        <w:t xml:space="preserve"> Thus it is possible to see that the ultimate goal of counterinsurgency remains the same despite having been developed and adapted to different insurgency situations, namely sustainable and lasting peace and legitimacy of rule of law. The methods employed </w:t>
      </w:r>
      <w:r w:rsidR="00506269">
        <w:rPr>
          <w:rFonts w:ascii="Times New Roman" w:hAnsi="Times New Roman" w:cs="Times New Roman"/>
        </w:rPr>
        <w:t>by Thompson</w:t>
      </w:r>
      <w:r w:rsidRPr="005F691C">
        <w:rPr>
          <w:rFonts w:ascii="Times New Roman" w:hAnsi="Times New Roman" w:cs="Times New Roman"/>
        </w:rPr>
        <w:t xml:space="preserve"> are only slightly different to those employed by General Petraeus in Iraq, where Petraeus used national power instruments in order to implement a counterinsurgency movement. </w:t>
      </w:r>
    </w:p>
    <w:p w14:paraId="18655D2B"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03B40913" w14:textId="167D9858" w:rsidR="00580699" w:rsidRPr="005F691C" w:rsidRDefault="00580699" w:rsidP="006936D9">
      <w:pPr>
        <w:pStyle w:val="ListParagraph"/>
        <w:numPr>
          <w:ilvl w:val="1"/>
          <w:numId w:val="40"/>
        </w:numPr>
        <w:autoSpaceDE w:val="0"/>
        <w:autoSpaceDN w:val="0"/>
        <w:adjustRightInd w:val="0"/>
        <w:spacing w:line="360" w:lineRule="auto"/>
        <w:ind w:right="-631"/>
        <w:jc w:val="both"/>
        <w:rPr>
          <w:rFonts w:ascii="Times New Roman" w:hAnsi="Times New Roman" w:cs="Times New Roman"/>
          <w:b/>
          <w:u w:val="single"/>
        </w:rPr>
      </w:pPr>
      <w:r w:rsidRPr="005F691C">
        <w:rPr>
          <w:rFonts w:ascii="Times New Roman" w:hAnsi="Times New Roman" w:cs="Times New Roman"/>
          <w:b/>
          <w:u w:val="single"/>
        </w:rPr>
        <w:t>Research Methods</w:t>
      </w:r>
    </w:p>
    <w:p w14:paraId="2CCCD833"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b/>
          <w:u w:val="single"/>
        </w:rPr>
      </w:pPr>
    </w:p>
    <w:p w14:paraId="498EDC24" w14:textId="157F9561"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This thesis will primarily focus on a comparative analysis of two case studies, namely, the similar counterinsurgency operations in Ireland</w:t>
      </w:r>
      <w:r w:rsidR="00506269">
        <w:rPr>
          <w:rFonts w:ascii="Times New Roman" w:hAnsi="Times New Roman" w:cs="Times New Roman"/>
        </w:rPr>
        <w:t xml:space="preserve"> and in Iraq</w:t>
      </w:r>
      <w:r w:rsidRPr="005F691C">
        <w:rPr>
          <w:rFonts w:ascii="Times New Roman" w:hAnsi="Times New Roman" w:cs="Times New Roman"/>
        </w:rPr>
        <w:t>. Drawing upon the similarities and dissimilarities found between the two cases, with regards to the factors determining the classification of each of these insurgencies, it will be analysed as to whether these differences in motivations, i</w:t>
      </w:r>
      <w:r w:rsidR="00506269">
        <w:rPr>
          <w:rFonts w:ascii="Times New Roman" w:hAnsi="Times New Roman" w:cs="Times New Roman"/>
        </w:rPr>
        <w:t xml:space="preserve">deologies or operational styles </w:t>
      </w:r>
      <w:r w:rsidRPr="005F691C">
        <w:rPr>
          <w:rFonts w:ascii="Times New Roman" w:hAnsi="Times New Roman" w:cs="Times New Roman"/>
        </w:rPr>
        <w:t xml:space="preserve">have had an influence on the effectiveness of counterinsurgency, with specific regard to the principles and objectives of counterinsurgency. By using only two cases of comparison, it </w:t>
      </w:r>
      <w:r w:rsidR="00DC3A02">
        <w:rPr>
          <w:rFonts w:ascii="Times New Roman" w:hAnsi="Times New Roman" w:cs="Times New Roman"/>
        </w:rPr>
        <w:t xml:space="preserve">is </w:t>
      </w:r>
      <w:r w:rsidRPr="005F691C">
        <w:rPr>
          <w:rFonts w:ascii="Times New Roman" w:hAnsi="Times New Roman" w:cs="Times New Roman"/>
        </w:rPr>
        <w:t xml:space="preserve">easier to distinguish between the various conditions which might be considered necessary or sufficient conditions to lead to the variance of the dependent variable and the expected outcome, and thus allow for the finding of a causal mechanism. </w:t>
      </w:r>
      <w:r w:rsidR="00506269">
        <w:rPr>
          <w:rFonts w:ascii="Times New Roman" w:hAnsi="Times New Roman" w:cs="Times New Roman"/>
        </w:rPr>
        <w:t>T</w:t>
      </w:r>
      <w:r w:rsidRPr="005F691C">
        <w:rPr>
          <w:rFonts w:ascii="Times New Roman" w:hAnsi="Times New Roman" w:cs="Times New Roman"/>
        </w:rPr>
        <w:t xml:space="preserve">he independent variable would be insurgent behaviour performed by either the IRA in Northern Ireland or Al-Qaeda in Iraq, the </w:t>
      </w:r>
      <w:r w:rsidR="00506269" w:rsidRPr="005F691C">
        <w:rPr>
          <w:rFonts w:ascii="Times New Roman" w:hAnsi="Times New Roman" w:cs="Times New Roman"/>
        </w:rPr>
        <w:t>dependent</w:t>
      </w:r>
      <w:r w:rsidRPr="005F691C">
        <w:rPr>
          <w:rFonts w:ascii="Times New Roman" w:hAnsi="Times New Roman" w:cs="Times New Roman"/>
        </w:rPr>
        <w:t xml:space="preserve"> variable would be the effectiveness of counterinsurgency and the causal mechanisms would be the presence, or absence, of certain factors, </w:t>
      </w:r>
      <w:r w:rsidR="00506269">
        <w:rPr>
          <w:rFonts w:ascii="Times New Roman" w:hAnsi="Times New Roman" w:cs="Times New Roman"/>
        </w:rPr>
        <w:t>distinguishing the various types of</w:t>
      </w:r>
      <w:r w:rsidRPr="005F691C">
        <w:rPr>
          <w:rFonts w:ascii="Times New Roman" w:hAnsi="Times New Roman" w:cs="Times New Roman"/>
        </w:rPr>
        <w:t xml:space="preserve"> insurgent activity. </w:t>
      </w:r>
    </w:p>
    <w:p w14:paraId="08A03317" w14:textId="77777777" w:rsidR="009C4D0B" w:rsidRPr="005F691C" w:rsidRDefault="009C4D0B" w:rsidP="00580699">
      <w:pPr>
        <w:spacing w:line="360" w:lineRule="auto"/>
        <w:ind w:left="-567" w:right="-631"/>
        <w:jc w:val="both"/>
        <w:rPr>
          <w:rFonts w:ascii="Times New Roman" w:hAnsi="Times New Roman" w:cs="Times New Roman"/>
        </w:rPr>
      </w:pPr>
    </w:p>
    <w:p w14:paraId="04D49CF3" w14:textId="49109C5C" w:rsidR="00580699" w:rsidRPr="005F691C" w:rsidRDefault="00580699" w:rsidP="00580699">
      <w:pPr>
        <w:spacing w:line="360" w:lineRule="auto"/>
        <w:ind w:left="-567" w:right="-631"/>
        <w:jc w:val="both"/>
        <w:rPr>
          <w:rFonts w:ascii="Times New Roman" w:hAnsi="Times New Roman" w:cs="Times New Roman"/>
          <w:color w:val="000000" w:themeColor="text1"/>
        </w:rPr>
      </w:pPr>
      <w:r w:rsidRPr="005F691C">
        <w:rPr>
          <w:rFonts w:ascii="Times New Roman" w:hAnsi="Times New Roman" w:cs="Times New Roman"/>
          <w:color w:val="000000" w:themeColor="text1"/>
        </w:rPr>
        <w:t>This research will be performed induc</w:t>
      </w:r>
      <w:r w:rsidR="00506269">
        <w:rPr>
          <w:rFonts w:ascii="Times New Roman" w:hAnsi="Times New Roman" w:cs="Times New Roman"/>
          <w:color w:val="000000" w:themeColor="text1"/>
        </w:rPr>
        <w:t xml:space="preserve">tively, and thus will begin by </w:t>
      </w:r>
      <w:r w:rsidR="00506269" w:rsidRPr="005F691C">
        <w:rPr>
          <w:rFonts w:ascii="Times New Roman" w:hAnsi="Times New Roman" w:cs="Times New Roman"/>
          <w:color w:val="000000" w:themeColor="text1"/>
        </w:rPr>
        <w:t>finding the various factors (motivations behind insurgent behaviour) in each case</w:t>
      </w:r>
      <w:r w:rsidR="00506269">
        <w:rPr>
          <w:rFonts w:ascii="Times New Roman" w:hAnsi="Times New Roman" w:cs="Times New Roman"/>
          <w:color w:val="000000" w:themeColor="text1"/>
        </w:rPr>
        <w:t xml:space="preserve"> and thus classifying the insurgency,</w:t>
      </w:r>
      <w:r w:rsidR="00506269" w:rsidRPr="005F691C">
        <w:rPr>
          <w:rFonts w:ascii="Times New Roman" w:hAnsi="Times New Roman" w:cs="Times New Roman"/>
          <w:color w:val="000000" w:themeColor="text1"/>
        </w:rPr>
        <w:t xml:space="preserve"> </w:t>
      </w:r>
      <w:r w:rsidRPr="005F691C">
        <w:rPr>
          <w:rFonts w:ascii="Times New Roman" w:hAnsi="Times New Roman" w:cs="Times New Roman"/>
          <w:color w:val="000000" w:themeColor="text1"/>
        </w:rPr>
        <w:t>the counter insurgency movement’s effectiveness or ineffectiveness within each case and</w:t>
      </w:r>
      <w:r w:rsidR="00506269">
        <w:rPr>
          <w:rFonts w:ascii="Times New Roman" w:hAnsi="Times New Roman" w:cs="Times New Roman"/>
          <w:color w:val="000000" w:themeColor="text1"/>
        </w:rPr>
        <w:t xml:space="preserve"> </w:t>
      </w:r>
      <w:r w:rsidRPr="005F691C">
        <w:rPr>
          <w:rFonts w:ascii="Times New Roman" w:hAnsi="Times New Roman" w:cs="Times New Roman"/>
          <w:color w:val="000000" w:themeColor="text1"/>
        </w:rPr>
        <w:t xml:space="preserve">thus </w:t>
      </w:r>
      <w:r w:rsidR="00506269">
        <w:rPr>
          <w:rFonts w:ascii="Times New Roman" w:hAnsi="Times New Roman" w:cs="Times New Roman"/>
          <w:color w:val="000000" w:themeColor="text1"/>
        </w:rPr>
        <w:t>where counter</w:t>
      </w:r>
      <w:r w:rsidRPr="005F691C">
        <w:rPr>
          <w:rFonts w:ascii="Times New Roman" w:hAnsi="Times New Roman" w:cs="Times New Roman"/>
          <w:color w:val="000000" w:themeColor="text1"/>
        </w:rPr>
        <w:t xml:space="preserve">insurgency will have prospects of a positive outcome and in which situations there is the prospect of a more negative outcome. </w:t>
      </w:r>
    </w:p>
    <w:p w14:paraId="6B95D477" w14:textId="77777777" w:rsidR="009C4D0B" w:rsidRPr="005F691C" w:rsidRDefault="009C4D0B" w:rsidP="00580699">
      <w:pPr>
        <w:spacing w:line="360" w:lineRule="auto"/>
        <w:ind w:left="-567" w:right="-631"/>
        <w:jc w:val="both"/>
        <w:rPr>
          <w:rFonts w:ascii="Times New Roman" w:hAnsi="Times New Roman" w:cs="Times New Roman"/>
          <w:color w:val="000000" w:themeColor="text1"/>
        </w:rPr>
      </w:pPr>
    </w:p>
    <w:p w14:paraId="6E04D04A"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John Stuart Mills “A System of Logic” has driven the idea behind the method of agreement and method of difference. The method of difference, or most similar approach, will be used in this research. The most similar approach is used by selecting cases that are all similar with regards to the independent variable, but experience a change with regards to one specific aspect of the independent variable and thus experience a difference on the dependent variable.</w:t>
      </w:r>
      <w:r w:rsidRPr="005F691C">
        <w:rPr>
          <w:rStyle w:val="FootnoteReference"/>
          <w:rFonts w:ascii="Times New Roman" w:hAnsi="Times New Roman" w:cs="Times New Roman"/>
        </w:rPr>
        <w:footnoteReference w:id="36"/>
      </w:r>
      <w:r w:rsidRPr="005F691C">
        <w:rPr>
          <w:rFonts w:ascii="Times New Roman" w:hAnsi="Times New Roman" w:cs="Times New Roman"/>
        </w:rPr>
        <w:t xml:space="preserve"> For this research design, the cases will present that the independent variable is an insurgency campaign which has displayed acts of violence against civilians and has experienced counterinsurgency in attempt to combat its behaviour; the difference between the two cases being that one is a case of state-centric insurgency and the other is a case of global insurgency. In this case, a condition present in both cases cannot account for the variance in the dependent variable and thus, through a process of elimination, it is possible to find the condition, or conditions, which would be considered causally relevant.</w:t>
      </w:r>
      <w:r w:rsidRPr="005F691C">
        <w:rPr>
          <w:rStyle w:val="FootnoteReference"/>
          <w:rFonts w:ascii="Times New Roman" w:hAnsi="Times New Roman" w:cs="Times New Roman"/>
        </w:rPr>
        <w:footnoteReference w:id="37"/>
      </w:r>
    </w:p>
    <w:p w14:paraId="49B798D9" w14:textId="77777777" w:rsidR="009C4D0B" w:rsidRPr="005F691C" w:rsidRDefault="009C4D0B" w:rsidP="00580699">
      <w:pPr>
        <w:spacing w:line="360" w:lineRule="auto"/>
        <w:ind w:left="-567" w:right="-631"/>
        <w:jc w:val="both"/>
        <w:rPr>
          <w:rFonts w:ascii="Times New Roman" w:hAnsi="Times New Roman" w:cs="Times New Roman"/>
        </w:rPr>
      </w:pPr>
    </w:p>
    <w:p w14:paraId="236FA150" w14:textId="550EE6F1"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An extensive literary review will also help to determine an understanding of the various concepts and </w:t>
      </w:r>
      <w:r w:rsidR="009B321C" w:rsidRPr="005F691C">
        <w:rPr>
          <w:rFonts w:ascii="Times New Roman" w:hAnsi="Times New Roman" w:cs="Times New Roman"/>
        </w:rPr>
        <w:t>debates that</w:t>
      </w:r>
      <w:r w:rsidRPr="005F691C">
        <w:rPr>
          <w:rFonts w:ascii="Times New Roman" w:hAnsi="Times New Roman" w:cs="Times New Roman"/>
        </w:rPr>
        <w:t xml:space="preserve"> are currently available with</w:t>
      </w:r>
      <w:r w:rsidR="00506269">
        <w:rPr>
          <w:rFonts w:ascii="Times New Roman" w:hAnsi="Times New Roman" w:cs="Times New Roman"/>
        </w:rPr>
        <w:t xml:space="preserve">in the discourse of insurgency and </w:t>
      </w:r>
      <w:r w:rsidRPr="005F691C">
        <w:rPr>
          <w:rFonts w:ascii="Times New Roman" w:hAnsi="Times New Roman" w:cs="Times New Roman"/>
        </w:rPr>
        <w:t>counterinsurgency. These sources will focus primarily on available military doctrines and strategy papers, state records on insurgency activity and any readily available text which has documented the insurgents under observation and the effect of counterinsurgency on that insurgency movement. There will also be sources which document the various explanations offered with regards to the motivations behi</w:t>
      </w:r>
      <w:r w:rsidR="00506269">
        <w:rPr>
          <w:rFonts w:ascii="Times New Roman" w:hAnsi="Times New Roman" w:cs="Times New Roman"/>
        </w:rPr>
        <w:t>nd insurgent groups activities.</w:t>
      </w:r>
    </w:p>
    <w:p w14:paraId="0C8C43CC" w14:textId="77777777" w:rsidR="009C4D0B" w:rsidRPr="005F691C" w:rsidRDefault="009C4D0B" w:rsidP="00580699">
      <w:pPr>
        <w:spacing w:line="360" w:lineRule="auto"/>
        <w:ind w:left="-567" w:right="-631"/>
        <w:jc w:val="both"/>
        <w:rPr>
          <w:rFonts w:ascii="Times New Roman" w:hAnsi="Times New Roman" w:cs="Times New Roman"/>
        </w:rPr>
      </w:pPr>
    </w:p>
    <w:p w14:paraId="1D0ECB93" w14:textId="0A233A76" w:rsidR="00AB1E73" w:rsidRDefault="00A81C29" w:rsidP="00506269">
      <w:pPr>
        <w:spacing w:line="360" w:lineRule="auto"/>
        <w:ind w:left="-567" w:right="-631"/>
        <w:jc w:val="both"/>
        <w:rPr>
          <w:rFonts w:ascii="Times New Roman" w:hAnsi="Times New Roman" w:cs="Times New Roman"/>
        </w:rPr>
      </w:pPr>
      <w:r>
        <w:rPr>
          <w:rFonts w:ascii="Times New Roman" w:hAnsi="Times New Roman" w:cs="Times New Roman"/>
        </w:rPr>
        <w:t>By identifying these causal mechanisms which could be used as indicators for a successful outcome in the implementation of a counterinsurgency operation it will be possible to apply the different indicators to varying situations, and thus to use them as a tool of prediction and analysis. These causal mechanisms will seek to create c</w:t>
      </w:r>
      <w:r w:rsidR="00C050BE">
        <w:rPr>
          <w:rFonts w:ascii="Times New Roman" w:hAnsi="Times New Roman" w:cs="Times New Roman"/>
        </w:rPr>
        <w:t>l</w:t>
      </w:r>
      <w:r>
        <w:rPr>
          <w:rFonts w:ascii="Times New Roman" w:hAnsi="Times New Roman" w:cs="Times New Roman"/>
        </w:rPr>
        <w:t xml:space="preserve">ear and definite relationships between the terrorist activity being observed and the </w:t>
      </w:r>
      <w:r w:rsidR="00C050BE">
        <w:rPr>
          <w:rFonts w:ascii="Times New Roman" w:hAnsi="Times New Roman" w:cs="Times New Roman"/>
        </w:rPr>
        <w:t xml:space="preserve">outcome which could be expected should the counterinsurgency method of containment be pursued. </w:t>
      </w:r>
    </w:p>
    <w:p w14:paraId="5BA48C62" w14:textId="77777777" w:rsidR="00AB1E73" w:rsidRPr="005F691C" w:rsidRDefault="00AB1E73" w:rsidP="00580699">
      <w:pPr>
        <w:spacing w:line="360" w:lineRule="auto"/>
        <w:ind w:left="-567" w:right="-631"/>
        <w:jc w:val="both"/>
        <w:rPr>
          <w:rFonts w:ascii="Times New Roman" w:hAnsi="Times New Roman" w:cs="Times New Roman"/>
        </w:rPr>
      </w:pPr>
    </w:p>
    <w:p w14:paraId="458FE8E8" w14:textId="0B3F14B6" w:rsidR="00580699" w:rsidRDefault="00580699" w:rsidP="006936D9">
      <w:pPr>
        <w:pStyle w:val="ListParagraph"/>
        <w:numPr>
          <w:ilvl w:val="1"/>
          <w:numId w:val="40"/>
        </w:numPr>
        <w:spacing w:after="200" w:line="360" w:lineRule="auto"/>
        <w:ind w:right="-631"/>
        <w:jc w:val="both"/>
        <w:rPr>
          <w:rFonts w:ascii="Times New Roman" w:hAnsi="Times New Roman" w:cs="Times New Roman"/>
          <w:b/>
          <w:u w:val="single"/>
        </w:rPr>
      </w:pPr>
      <w:r w:rsidRPr="005F691C">
        <w:rPr>
          <w:rFonts w:ascii="Times New Roman" w:hAnsi="Times New Roman" w:cs="Times New Roman"/>
          <w:b/>
          <w:u w:val="single"/>
        </w:rPr>
        <w:t>Literature Review</w:t>
      </w:r>
    </w:p>
    <w:p w14:paraId="415EBB2D" w14:textId="1FE94873" w:rsidR="00C050BE" w:rsidRPr="00C050BE" w:rsidRDefault="00C050BE" w:rsidP="00C050BE">
      <w:pPr>
        <w:spacing w:after="200" w:line="360" w:lineRule="auto"/>
        <w:ind w:left="-567" w:right="-631"/>
        <w:jc w:val="both"/>
        <w:rPr>
          <w:rFonts w:ascii="Times New Roman" w:hAnsi="Times New Roman" w:cs="Times New Roman"/>
        </w:rPr>
      </w:pPr>
      <w:r>
        <w:rPr>
          <w:rFonts w:ascii="Times New Roman" w:hAnsi="Times New Roman" w:cs="Times New Roman"/>
        </w:rPr>
        <w:t xml:space="preserve">Although counterinsurgency and insurgency are old concepts in the international security realm, terrorism and counterterrorism, in the form of insurgency and counterinsurgency are newer and more recent. Due to these phenomena only coming to the fore of the security realm in recent years, it is difficult to </w:t>
      </w:r>
      <w:r w:rsidR="008C5C86">
        <w:rPr>
          <w:rFonts w:ascii="Times New Roman" w:hAnsi="Times New Roman" w:cs="Times New Roman"/>
        </w:rPr>
        <w:t>find primary sources which solely provide adequate evidence to serve as a basis for the discussion which is to follow. Whilst primary sources will be used as much as possible, there will be much reliance on secondary and tertiary sources in order to ensure as much accuracy and in depth analysis as possible.</w:t>
      </w:r>
    </w:p>
    <w:p w14:paraId="3CE6E8BE" w14:textId="44FA4D73"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With regards to the literature available on counterinsurgency, there appears to be general consensus as to wha</w:t>
      </w:r>
      <w:r w:rsidR="00506269">
        <w:rPr>
          <w:rFonts w:ascii="Times New Roman" w:hAnsi="Times New Roman" w:cs="Times New Roman"/>
        </w:rPr>
        <w:t>t constitutes a counterinsurgency</w:t>
      </w:r>
      <w:r w:rsidRPr="005F691C">
        <w:rPr>
          <w:rFonts w:ascii="Times New Roman" w:hAnsi="Times New Roman" w:cs="Times New Roman"/>
        </w:rPr>
        <w:t xml:space="preserve"> action. Although there are variations between Thompson and General Petraeus, which demonstrates the evolution of the counterinsurgency movement, the elements of counterinsurgency have remained</w:t>
      </w:r>
      <w:r w:rsidR="00506269">
        <w:rPr>
          <w:rFonts w:ascii="Times New Roman" w:hAnsi="Times New Roman" w:cs="Times New Roman"/>
        </w:rPr>
        <w:t>,</w:t>
      </w:r>
      <w:r w:rsidRPr="005F691C">
        <w:rPr>
          <w:rFonts w:ascii="Times New Roman" w:hAnsi="Times New Roman" w:cs="Times New Roman"/>
        </w:rPr>
        <w:t xml:space="preserve"> for the most part</w:t>
      </w:r>
      <w:r w:rsidR="00506269">
        <w:rPr>
          <w:rFonts w:ascii="Times New Roman" w:hAnsi="Times New Roman" w:cs="Times New Roman"/>
        </w:rPr>
        <w:t>,</w:t>
      </w:r>
      <w:r w:rsidRPr="005F691C">
        <w:rPr>
          <w:rFonts w:ascii="Times New Roman" w:hAnsi="Times New Roman" w:cs="Times New Roman"/>
        </w:rPr>
        <w:t xml:space="preserve"> unchanged since its inception, as have the aims and objectives of the action.</w:t>
      </w:r>
      <w:r w:rsidRPr="005F691C">
        <w:rPr>
          <w:rStyle w:val="FootnoteReference"/>
          <w:rFonts w:ascii="Times New Roman" w:hAnsi="Times New Roman" w:cs="Times New Roman"/>
        </w:rPr>
        <w:footnoteReference w:id="38"/>
      </w:r>
      <w:r w:rsidRPr="005F691C">
        <w:rPr>
          <w:rFonts w:ascii="Times New Roman" w:hAnsi="Times New Roman" w:cs="Times New Roman"/>
        </w:rPr>
        <w:t xml:space="preserve"> </w:t>
      </w:r>
    </w:p>
    <w:p w14:paraId="017BA069"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7EC59862" w14:textId="6ABFDD8A"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five </w:t>
      </w:r>
      <w:r w:rsidR="009B321C" w:rsidRPr="005F691C">
        <w:rPr>
          <w:rFonts w:ascii="Times New Roman" w:hAnsi="Times New Roman" w:cs="Times New Roman"/>
        </w:rPr>
        <w:t>principles that guide Thompson’s counterinsurgency</w:t>
      </w:r>
      <w:r w:rsidRPr="005F691C">
        <w:rPr>
          <w:rFonts w:ascii="Times New Roman" w:hAnsi="Times New Roman" w:cs="Times New Roman"/>
        </w:rPr>
        <w:t xml:space="preserve"> are as follows:</w:t>
      </w:r>
    </w:p>
    <w:p w14:paraId="7D73E94D" w14:textId="77777777" w:rsidR="009C4D0B" w:rsidRPr="005F691C" w:rsidRDefault="009C4D0B" w:rsidP="00580699">
      <w:pPr>
        <w:autoSpaceDE w:val="0"/>
        <w:autoSpaceDN w:val="0"/>
        <w:adjustRightInd w:val="0"/>
        <w:spacing w:line="360" w:lineRule="auto"/>
        <w:ind w:left="-567" w:right="-631"/>
        <w:jc w:val="both"/>
        <w:rPr>
          <w:rFonts w:ascii="Times New Roman" w:hAnsi="Times New Roman" w:cs="Times New Roman"/>
        </w:rPr>
      </w:pPr>
    </w:p>
    <w:p w14:paraId="62CA2489" w14:textId="77777777" w:rsidR="00580699" w:rsidRPr="005F691C" w:rsidRDefault="00580699" w:rsidP="00AB1E73">
      <w:pPr>
        <w:pStyle w:val="ListParagraph"/>
        <w:numPr>
          <w:ilvl w:val="0"/>
          <w:numId w:val="5"/>
        </w:numPr>
        <w:autoSpaceDE w:val="0"/>
        <w:autoSpaceDN w:val="0"/>
        <w:adjustRightInd w:val="0"/>
        <w:spacing w:line="360" w:lineRule="auto"/>
        <w:ind w:left="0" w:right="42" w:firstLine="0"/>
        <w:jc w:val="both"/>
        <w:rPr>
          <w:rFonts w:ascii="Times New Roman" w:hAnsi="Times New Roman" w:cs="Times New Roman"/>
          <w:i/>
        </w:rPr>
      </w:pPr>
      <w:r w:rsidRPr="005F691C">
        <w:rPr>
          <w:rFonts w:ascii="Times New Roman" w:hAnsi="Times New Roman" w:cs="Times New Roman"/>
          <w:i/>
        </w:rPr>
        <w:t>“The government must have a clear political aim: to establish and maintain a free, independent and united country which is politically and economically stable and viable.</w:t>
      </w:r>
    </w:p>
    <w:p w14:paraId="7FE87575" w14:textId="77777777" w:rsidR="00580699" w:rsidRPr="005F691C" w:rsidRDefault="00580699" w:rsidP="00AB1E73">
      <w:pPr>
        <w:pStyle w:val="ListParagraph"/>
        <w:numPr>
          <w:ilvl w:val="0"/>
          <w:numId w:val="5"/>
        </w:numPr>
        <w:autoSpaceDE w:val="0"/>
        <w:autoSpaceDN w:val="0"/>
        <w:adjustRightInd w:val="0"/>
        <w:spacing w:line="360" w:lineRule="auto"/>
        <w:ind w:left="0" w:right="42" w:firstLine="0"/>
        <w:jc w:val="both"/>
        <w:rPr>
          <w:rFonts w:ascii="Times New Roman" w:hAnsi="Times New Roman" w:cs="Times New Roman"/>
          <w:i/>
        </w:rPr>
      </w:pPr>
      <w:r w:rsidRPr="005F691C">
        <w:rPr>
          <w:rFonts w:ascii="Times New Roman" w:hAnsi="Times New Roman" w:cs="Times New Roman"/>
          <w:i/>
        </w:rPr>
        <w:t>The government must function in accordance with the law.</w:t>
      </w:r>
    </w:p>
    <w:p w14:paraId="13EEF39B" w14:textId="77777777" w:rsidR="00580699" w:rsidRPr="005F691C" w:rsidRDefault="00580699" w:rsidP="00AB1E73">
      <w:pPr>
        <w:pStyle w:val="ListParagraph"/>
        <w:numPr>
          <w:ilvl w:val="0"/>
          <w:numId w:val="5"/>
        </w:numPr>
        <w:autoSpaceDE w:val="0"/>
        <w:autoSpaceDN w:val="0"/>
        <w:adjustRightInd w:val="0"/>
        <w:spacing w:line="360" w:lineRule="auto"/>
        <w:ind w:left="0" w:right="42" w:firstLine="0"/>
        <w:jc w:val="both"/>
        <w:rPr>
          <w:rFonts w:ascii="Times New Roman" w:hAnsi="Times New Roman" w:cs="Times New Roman"/>
          <w:i/>
        </w:rPr>
      </w:pPr>
      <w:r w:rsidRPr="005F691C">
        <w:rPr>
          <w:rFonts w:ascii="Times New Roman" w:hAnsi="Times New Roman" w:cs="Times New Roman"/>
          <w:i/>
        </w:rPr>
        <w:t>The government must have an overall plan.</w:t>
      </w:r>
    </w:p>
    <w:p w14:paraId="51043C93" w14:textId="77777777" w:rsidR="00580699" w:rsidRPr="005F691C" w:rsidRDefault="00580699" w:rsidP="00AB1E73">
      <w:pPr>
        <w:pStyle w:val="ListParagraph"/>
        <w:numPr>
          <w:ilvl w:val="0"/>
          <w:numId w:val="5"/>
        </w:numPr>
        <w:autoSpaceDE w:val="0"/>
        <w:autoSpaceDN w:val="0"/>
        <w:adjustRightInd w:val="0"/>
        <w:spacing w:line="360" w:lineRule="auto"/>
        <w:ind w:left="0" w:right="42" w:firstLine="0"/>
        <w:jc w:val="both"/>
        <w:rPr>
          <w:rFonts w:ascii="Times New Roman" w:hAnsi="Times New Roman" w:cs="Times New Roman"/>
          <w:i/>
        </w:rPr>
      </w:pPr>
      <w:r w:rsidRPr="005F691C">
        <w:rPr>
          <w:rFonts w:ascii="Times New Roman" w:hAnsi="Times New Roman" w:cs="Times New Roman"/>
          <w:i/>
        </w:rPr>
        <w:t xml:space="preserve">The government must give priority to defeating the political subversion, not the guerrilla. </w:t>
      </w:r>
    </w:p>
    <w:p w14:paraId="2A94C73E" w14:textId="77777777" w:rsidR="00580699" w:rsidRPr="005F691C" w:rsidRDefault="00580699" w:rsidP="00AB1E73">
      <w:pPr>
        <w:pStyle w:val="ListParagraph"/>
        <w:numPr>
          <w:ilvl w:val="0"/>
          <w:numId w:val="5"/>
        </w:numPr>
        <w:autoSpaceDE w:val="0"/>
        <w:autoSpaceDN w:val="0"/>
        <w:adjustRightInd w:val="0"/>
        <w:spacing w:line="360" w:lineRule="auto"/>
        <w:ind w:left="0" w:right="42" w:firstLine="0"/>
        <w:jc w:val="both"/>
        <w:rPr>
          <w:rFonts w:ascii="Times New Roman" w:hAnsi="Times New Roman" w:cs="Times New Roman"/>
          <w:i/>
        </w:rPr>
      </w:pPr>
      <w:r w:rsidRPr="005F691C">
        <w:rPr>
          <w:rFonts w:ascii="Times New Roman" w:hAnsi="Times New Roman" w:cs="Times New Roman"/>
          <w:i/>
        </w:rPr>
        <w:t>In the guerrilla phase of an insurgency, a government must secure its base areas first.”</w:t>
      </w:r>
      <w:r w:rsidRPr="005F691C">
        <w:rPr>
          <w:rStyle w:val="FootnoteReference"/>
          <w:rFonts w:ascii="Times New Roman" w:hAnsi="Times New Roman" w:cs="Times New Roman"/>
          <w:i/>
        </w:rPr>
        <w:footnoteReference w:id="39"/>
      </w:r>
    </w:p>
    <w:p w14:paraId="28AC6852"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i/>
        </w:rPr>
      </w:pPr>
    </w:p>
    <w:p w14:paraId="792AE09C" w14:textId="661241FE"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These five principles outline the importance which counterinsurgency places upon the national government </w:t>
      </w:r>
      <w:r w:rsidR="00506269" w:rsidRPr="005F691C">
        <w:rPr>
          <w:rFonts w:ascii="Times New Roman" w:hAnsi="Times New Roman" w:cs="Times New Roman"/>
        </w:rPr>
        <w:t>that</w:t>
      </w:r>
      <w:r w:rsidRPr="005F691C">
        <w:rPr>
          <w:rFonts w:ascii="Times New Roman" w:hAnsi="Times New Roman" w:cs="Times New Roman"/>
        </w:rPr>
        <w:t xml:space="preserve"> </w:t>
      </w:r>
      <w:r w:rsidR="008B3881" w:rsidRPr="005F691C">
        <w:rPr>
          <w:rFonts w:ascii="Times New Roman" w:hAnsi="Times New Roman" w:cs="Times New Roman"/>
        </w:rPr>
        <w:t>is</w:t>
      </w:r>
      <w:r w:rsidRPr="005F691C">
        <w:rPr>
          <w:rFonts w:ascii="Times New Roman" w:hAnsi="Times New Roman" w:cs="Times New Roman"/>
        </w:rPr>
        <w:t xml:space="preserve"> at</w:t>
      </w:r>
      <w:r w:rsidR="00506269">
        <w:rPr>
          <w:rFonts w:ascii="Times New Roman" w:hAnsi="Times New Roman" w:cs="Times New Roman"/>
        </w:rPr>
        <w:t>tempting to combat the insurgency</w:t>
      </w:r>
      <w:r w:rsidRPr="005F691C">
        <w:rPr>
          <w:rFonts w:ascii="Times New Roman" w:hAnsi="Times New Roman" w:cs="Times New Roman"/>
        </w:rPr>
        <w:t>. Thompson’s focus in a counterinsurgency campaign has been to target the national government and their ability to combat threat, barely men</w:t>
      </w:r>
      <w:r w:rsidR="00506269">
        <w:rPr>
          <w:rFonts w:ascii="Times New Roman" w:hAnsi="Times New Roman" w:cs="Times New Roman"/>
        </w:rPr>
        <w:t xml:space="preserve">tioning the insurgency </w:t>
      </w:r>
      <w:r w:rsidRPr="005F691C">
        <w:rPr>
          <w:rFonts w:ascii="Times New Roman" w:hAnsi="Times New Roman" w:cs="Times New Roman"/>
        </w:rPr>
        <w:t>at all. There has been a general shift in counter insurgency literature towards a closer analysis of the enemy, rather than a sole focus on the ability of the government to defend their territory.</w:t>
      </w:r>
    </w:p>
    <w:p w14:paraId="7CF7C42B"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482D9D6E" w14:textId="77777777" w:rsidR="00580699"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In General Petraeus’s handbooks on counterinsurgency, insurgency movements are described in greater detail and there is greater analysis of the threat at hand, which allows for government resource maximisation in the counterinsurgency movement.</w:t>
      </w:r>
      <w:r w:rsidRPr="005F691C">
        <w:rPr>
          <w:rStyle w:val="FootnoteReference"/>
          <w:rFonts w:ascii="Times New Roman" w:hAnsi="Times New Roman" w:cs="Times New Roman"/>
        </w:rPr>
        <w:footnoteReference w:id="40"/>
      </w:r>
      <w:r w:rsidRPr="005F691C">
        <w:rPr>
          <w:rFonts w:ascii="Times New Roman" w:hAnsi="Times New Roman" w:cs="Times New Roman"/>
        </w:rPr>
        <w:t xml:space="preserve">  There is also great emphasis placed on the objective of a counterinsurgency movement being aimed at legitimacy, acquired through mass support of the population, rather than the ability of the government to rule. As the handbook states:</w:t>
      </w:r>
    </w:p>
    <w:p w14:paraId="52AA7E77" w14:textId="77777777" w:rsidR="00AB1E73" w:rsidRPr="005F691C" w:rsidRDefault="00AB1E73" w:rsidP="00580699">
      <w:pPr>
        <w:autoSpaceDE w:val="0"/>
        <w:autoSpaceDN w:val="0"/>
        <w:adjustRightInd w:val="0"/>
        <w:spacing w:line="360" w:lineRule="auto"/>
        <w:ind w:left="-567" w:right="-631"/>
        <w:jc w:val="both"/>
        <w:rPr>
          <w:rFonts w:ascii="Times New Roman" w:hAnsi="Times New Roman" w:cs="Times New Roman"/>
        </w:rPr>
      </w:pPr>
    </w:p>
    <w:p w14:paraId="18FD6FE3" w14:textId="77777777" w:rsidR="00580699" w:rsidRPr="005F691C" w:rsidRDefault="00580699" w:rsidP="00AB1E73">
      <w:pPr>
        <w:autoSpaceDE w:val="0"/>
        <w:autoSpaceDN w:val="0"/>
        <w:adjustRightInd w:val="0"/>
        <w:spacing w:line="360" w:lineRule="auto"/>
        <w:ind w:right="42"/>
        <w:jc w:val="both"/>
        <w:rPr>
          <w:rFonts w:ascii="Times New Roman" w:hAnsi="Times New Roman" w:cs="Times New Roman"/>
          <w:i/>
        </w:rPr>
      </w:pPr>
      <w:r w:rsidRPr="005F691C">
        <w:rPr>
          <w:rFonts w:ascii="Times New Roman" w:hAnsi="Times New Roman" w:cs="Times New Roman"/>
          <w:i/>
        </w:rPr>
        <w:t>“At its heart, a counterinsurgency is an armed struggle for the support of the population. This support can be achieved or lost through information engagement, strong representative government, access to goods and services, fear, or violence. This armed struggle also involves eliminating insurgents who threaten the safety and security of the population. However, military units alone cannot defeat an insurgency. Most of the work involves discovering and solving the population’s underlying issues, that is, the root causes of their dissatisfaction with the current arrangement of political power.”</w:t>
      </w:r>
      <w:r w:rsidRPr="005F691C">
        <w:rPr>
          <w:rStyle w:val="FootnoteReference"/>
          <w:rFonts w:ascii="Times New Roman" w:hAnsi="Times New Roman" w:cs="Times New Roman"/>
          <w:i/>
        </w:rPr>
        <w:footnoteReference w:id="41"/>
      </w:r>
    </w:p>
    <w:p w14:paraId="4DBA12A8" w14:textId="77777777" w:rsidR="00580699" w:rsidRPr="005F691C" w:rsidRDefault="00580699" w:rsidP="00580699">
      <w:pPr>
        <w:spacing w:line="360" w:lineRule="auto"/>
        <w:ind w:left="-567" w:right="-631"/>
        <w:jc w:val="both"/>
        <w:rPr>
          <w:rFonts w:ascii="Times New Roman" w:hAnsi="Times New Roman" w:cs="Times New Roman"/>
          <w:i/>
        </w:rPr>
      </w:pPr>
    </w:p>
    <w:p w14:paraId="766AA3E6"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For Britain, whose success in combating the IRA demonstrates the power of counterinsurgency when implemented in the correct situations, sixteen main principles guided their counterinsurgency campaign, a few of which are as follows:</w:t>
      </w:r>
    </w:p>
    <w:p w14:paraId="741EABD5" w14:textId="77777777" w:rsidR="00580699" w:rsidRPr="005F691C" w:rsidRDefault="00580699" w:rsidP="00580699">
      <w:pPr>
        <w:spacing w:line="360" w:lineRule="auto"/>
        <w:ind w:left="-567" w:right="-631"/>
        <w:jc w:val="both"/>
        <w:rPr>
          <w:rFonts w:ascii="Times New Roman" w:hAnsi="Times New Roman" w:cs="Times New Roman"/>
        </w:rPr>
      </w:pPr>
    </w:p>
    <w:p w14:paraId="57B2FF31" w14:textId="77777777" w:rsidR="00580699" w:rsidRPr="005F691C" w:rsidRDefault="00580699" w:rsidP="00AB1E73">
      <w:pPr>
        <w:pStyle w:val="ListParagraph"/>
        <w:numPr>
          <w:ilvl w:val="0"/>
          <w:numId w:val="16"/>
        </w:numPr>
        <w:spacing w:after="200" w:line="360" w:lineRule="auto"/>
        <w:ind w:left="0" w:right="42" w:firstLine="0"/>
        <w:jc w:val="both"/>
        <w:rPr>
          <w:rFonts w:ascii="Times New Roman" w:hAnsi="Times New Roman" w:cs="Times New Roman"/>
          <w:i/>
        </w:rPr>
      </w:pPr>
      <w:r w:rsidRPr="005F691C">
        <w:rPr>
          <w:rFonts w:ascii="Times New Roman" w:hAnsi="Times New Roman" w:cs="Times New Roman"/>
          <w:i/>
        </w:rPr>
        <w:t xml:space="preserve">“Insurgency is war. </w:t>
      </w:r>
    </w:p>
    <w:p w14:paraId="08F4DB89" w14:textId="77777777" w:rsidR="00580699" w:rsidRPr="005F691C" w:rsidRDefault="00580699" w:rsidP="00AB1E73">
      <w:pPr>
        <w:pStyle w:val="ListParagraph"/>
        <w:numPr>
          <w:ilvl w:val="0"/>
          <w:numId w:val="16"/>
        </w:numPr>
        <w:spacing w:after="200" w:line="360" w:lineRule="auto"/>
        <w:ind w:left="0" w:right="42" w:firstLine="0"/>
        <w:jc w:val="both"/>
        <w:rPr>
          <w:rFonts w:ascii="Times New Roman" w:hAnsi="Times New Roman" w:cs="Times New Roman"/>
        </w:rPr>
      </w:pPr>
      <w:r w:rsidRPr="005F691C">
        <w:rPr>
          <w:rFonts w:ascii="Times New Roman" w:hAnsi="Times New Roman" w:cs="Times New Roman"/>
          <w:i/>
        </w:rPr>
        <w:t xml:space="preserve">Every campaign is unique, and the nature of the conflict must be understood. </w:t>
      </w:r>
    </w:p>
    <w:p w14:paraId="3496DD5A" w14:textId="77777777" w:rsidR="00580699" w:rsidRPr="005F691C" w:rsidRDefault="00580699" w:rsidP="00AB1E73">
      <w:pPr>
        <w:pStyle w:val="ListParagraph"/>
        <w:numPr>
          <w:ilvl w:val="0"/>
          <w:numId w:val="16"/>
        </w:numPr>
        <w:spacing w:after="200" w:line="360" w:lineRule="auto"/>
        <w:ind w:left="0" w:right="42" w:firstLine="0"/>
        <w:jc w:val="both"/>
        <w:rPr>
          <w:rFonts w:ascii="Times New Roman" w:hAnsi="Times New Roman" w:cs="Times New Roman"/>
        </w:rPr>
      </w:pPr>
      <w:r w:rsidRPr="005F691C">
        <w:rPr>
          <w:rFonts w:ascii="Times New Roman" w:hAnsi="Times New Roman" w:cs="Times New Roman"/>
          <w:i/>
        </w:rPr>
        <w:t xml:space="preserve">Envisioning the long-term post-conflict end state. </w:t>
      </w:r>
    </w:p>
    <w:p w14:paraId="1AB6A395" w14:textId="77777777" w:rsidR="00580699" w:rsidRPr="005F691C" w:rsidRDefault="00580699" w:rsidP="00AB1E73">
      <w:pPr>
        <w:pStyle w:val="ListParagraph"/>
        <w:numPr>
          <w:ilvl w:val="0"/>
          <w:numId w:val="16"/>
        </w:numPr>
        <w:spacing w:after="200" w:line="360" w:lineRule="auto"/>
        <w:ind w:left="0" w:right="42" w:firstLine="0"/>
        <w:jc w:val="both"/>
        <w:rPr>
          <w:rFonts w:ascii="Times New Roman" w:hAnsi="Times New Roman" w:cs="Times New Roman"/>
        </w:rPr>
      </w:pPr>
      <w:r w:rsidRPr="005F691C">
        <w:rPr>
          <w:rFonts w:ascii="Times New Roman" w:hAnsi="Times New Roman" w:cs="Times New Roman"/>
          <w:i/>
        </w:rPr>
        <w:t>Understanding the geography of a particular region is vital in trying to conduct a counterinsurgency campaign.</w:t>
      </w:r>
    </w:p>
    <w:p w14:paraId="6BAE5575" w14:textId="77777777" w:rsidR="00580699" w:rsidRPr="005F691C" w:rsidRDefault="00580699" w:rsidP="00AB1E73">
      <w:pPr>
        <w:pStyle w:val="ListParagraph"/>
        <w:numPr>
          <w:ilvl w:val="0"/>
          <w:numId w:val="16"/>
        </w:numPr>
        <w:spacing w:after="200" w:line="360" w:lineRule="auto"/>
        <w:ind w:left="0" w:right="42" w:firstLine="0"/>
        <w:jc w:val="both"/>
        <w:rPr>
          <w:rFonts w:ascii="Times New Roman" w:hAnsi="Times New Roman" w:cs="Times New Roman"/>
        </w:rPr>
      </w:pPr>
      <w:r w:rsidRPr="005F691C">
        <w:rPr>
          <w:rFonts w:ascii="Times New Roman" w:hAnsi="Times New Roman" w:cs="Times New Roman"/>
          <w:i/>
        </w:rPr>
        <w:t>Do not fight a war or a campaign that you cannot win. The costs and risks need to be weighed up in order to ascertain whether success is viable, and indeed worth the costs.”</w:t>
      </w:r>
      <w:r w:rsidRPr="005F691C">
        <w:rPr>
          <w:rStyle w:val="FootnoteReference"/>
          <w:rFonts w:ascii="Times New Roman" w:hAnsi="Times New Roman" w:cs="Times New Roman"/>
          <w:i/>
        </w:rPr>
        <w:footnoteReference w:id="42"/>
      </w:r>
    </w:p>
    <w:p w14:paraId="1A114A8A" w14:textId="72424338" w:rsidR="00580699" w:rsidRPr="005F691C" w:rsidRDefault="00580699" w:rsidP="008B3881">
      <w:pPr>
        <w:spacing w:line="360" w:lineRule="auto"/>
        <w:ind w:left="-567" w:right="-631"/>
        <w:jc w:val="both"/>
        <w:rPr>
          <w:rFonts w:ascii="Times New Roman" w:hAnsi="Times New Roman" w:cs="Times New Roman"/>
        </w:rPr>
      </w:pPr>
      <w:r w:rsidRPr="005F691C">
        <w:rPr>
          <w:rFonts w:ascii="Times New Roman" w:hAnsi="Times New Roman" w:cs="Times New Roman"/>
        </w:rPr>
        <w:t>Thus it can be seen that whilst the British army employed the same tactical approach in Ireland as the Americans used in Iraq, each insurgency movement is unique and must be analysed independently in order to ascertain what measures may or may not be useful, appropriate or wasteful in the situation. There is also a greater focus on the insurgen</w:t>
      </w:r>
      <w:r w:rsidR="008B3881">
        <w:rPr>
          <w:rFonts w:ascii="Times New Roman" w:hAnsi="Times New Roman" w:cs="Times New Roman"/>
        </w:rPr>
        <w:t>cy</w:t>
      </w:r>
      <w:r w:rsidRPr="005F691C">
        <w:rPr>
          <w:rFonts w:ascii="Times New Roman" w:hAnsi="Times New Roman" w:cs="Times New Roman"/>
        </w:rPr>
        <w:t xml:space="preserve"> and the conditions for fighting, rather than just the </w:t>
      </w:r>
      <w:r w:rsidR="008B3881">
        <w:rPr>
          <w:rFonts w:ascii="Times New Roman" w:hAnsi="Times New Roman" w:cs="Times New Roman"/>
        </w:rPr>
        <w:t xml:space="preserve">forces </w:t>
      </w:r>
      <w:r w:rsidRPr="005F691C">
        <w:rPr>
          <w:rFonts w:ascii="Times New Roman" w:hAnsi="Times New Roman" w:cs="Times New Roman"/>
        </w:rPr>
        <w:t>performing the counterinsurgen</w:t>
      </w:r>
      <w:r w:rsidR="008B3881">
        <w:rPr>
          <w:rFonts w:ascii="Times New Roman" w:hAnsi="Times New Roman" w:cs="Times New Roman"/>
        </w:rPr>
        <w:t>cy operation</w:t>
      </w:r>
      <w:r w:rsidRPr="005F691C">
        <w:rPr>
          <w:rFonts w:ascii="Times New Roman" w:hAnsi="Times New Roman" w:cs="Times New Roman"/>
        </w:rPr>
        <w:t xml:space="preserve">. Britain are also pioneers of counterinsurgency by the military in any country which might require assistance in </w:t>
      </w:r>
      <w:r w:rsidR="009C4D0B" w:rsidRPr="005F691C">
        <w:rPr>
          <w:rFonts w:ascii="Times New Roman" w:hAnsi="Times New Roman" w:cs="Times New Roman"/>
        </w:rPr>
        <w:t>suppressing</w:t>
      </w:r>
      <w:r w:rsidRPr="005F691C">
        <w:rPr>
          <w:rFonts w:ascii="Times New Roman" w:hAnsi="Times New Roman" w:cs="Times New Roman"/>
        </w:rPr>
        <w:t xml:space="preserve"> insurgency, according to Frank Kitson, thus including Western countries, rather than just third world countries.</w:t>
      </w:r>
      <w:r w:rsidRPr="005F691C">
        <w:rPr>
          <w:rStyle w:val="FootnoteReference"/>
          <w:rFonts w:ascii="Times New Roman" w:hAnsi="Times New Roman" w:cs="Times New Roman"/>
        </w:rPr>
        <w:footnoteReference w:id="43"/>
      </w:r>
    </w:p>
    <w:p w14:paraId="24654C4D" w14:textId="77777777" w:rsidR="009C4D0B" w:rsidRPr="005F691C" w:rsidRDefault="009C4D0B" w:rsidP="00580699">
      <w:pPr>
        <w:spacing w:line="360" w:lineRule="auto"/>
        <w:ind w:left="-567" w:right="-631"/>
        <w:jc w:val="both"/>
        <w:rPr>
          <w:rFonts w:ascii="Times New Roman" w:hAnsi="Times New Roman" w:cs="Times New Roman"/>
        </w:rPr>
      </w:pPr>
    </w:p>
    <w:p w14:paraId="5D2CFA57" w14:textId="3B2AF2F4"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There has been a general move towards incorporation of civilian populations as a measurement of t</w:t>
      </w:r>
      <w:r w:rsidR="008B3881">
        <w:rPr>
          <w:rFonts w:ascii="Times New Roman" w:hAnsi="Times New Roman" w:cs="Times New Roman"/>
        </w:rPr>
        <w:t>he success of a counterinsurgency</w:t>
      </w:r>
      <w:r w:rsidRPr="005F691C">
        <w:rPr>
          <w:rFonts w:ascii="Times New Roman" w:hAnsi="Times New Roman" w:cs="Times New Roman"/>
        </w:rPr>
        <w:t xml:space="preserve"> campaign by General Petraeus.</w:t>
      </w:r>
      <w:r w:rsidRPr="005F691C">
        <w:rPr>
          <w:rStyle w:val="FootnoteReference"/>
          <w:rFonts w:ascii="Times New Roman" w:hAnsi="Times New Roman" w:cs="Times New Roman"/>
        </w:rPr>
        <w:footnoteReference w:id="44"/>
      </w:r>
      <w:r w:rsidRPr="005F691C">
        <w:rPr>
          <w:rFonts w:ascii="Times New Roman" w:hAnsi="Times New Roman" w:cs="Times New Roman"/>
        </w:rPr>
        <w:t xml:space="preserve">  There is also greater influence placed on discovering and solving the problems</w:t>
      </w:r>
      <w:r w:rsidR="008B3881">
        <w:rPr>
          <w:rFonts w:ascii="Times New Roman" w:hAnsi="Times New Roman" w:cs="Times New Roman"/>
        </w:rPr>
        <w:t xml:space="preserve"> that have sparked the insurgency</w:t>
      </w:r>
      <w:r w:rsidRPr="005F691C">
        <w:rPr>
          <w:rFonts w:ascii="Times New Roman" w:hAnsi="Times New Roman" w:cs="Times New Roman"/>
        </w:rPr>
        <w:t xml:space="preserve"> amongst the population. Thus, according to counterinsurgency literature, there are general patterns and staple means and objectives that have been carried through the counterinsurgency movement from its inception to present day application. These include the application of government resources, defeating </w:t>
      </w:r>
      <w:r w:rsidR="008B3881">
        <w:rPr>
          <w:rFonts w:ascii="Times New Roman" w:hAnsi="Times New Roman" w:cs="Times New Roman"/>
        </w:rPr>
        <w:t xml:space="preserve">the </w:t>
      </w:r>
      <w:r w:rsidRPr="005F691C">
        <w:rPr>
          <w:rFonts w:ascii="Times New Roman" w:hAnsi="Times New Roman" w:cs="Times New Roman"/>
        </w:rPr>
        <w:t>political subversion rather than just eliminating the insurgent threat</w:t>
      </w:r>
      <w:r w:rsidR="008B3881">
        <w:rPr>
          <w:rFonts w:ascii="Times New Roman" w:hAnsi="Times New Roman" w:cs="Times New Roman"/>
        </w:rPr>
        <w:t>,</w:t>
      </w:r>
      <w:r w:rsidRPr="005F691C">
        <w:rPr>
          <w:rFonts w:ascii="Times New Roman" w:hAnsi="Times New Roman" w:cs="Times New Roman"/>
        </w:rPr>
        <w:t xml:space="preserve"> and the counterinsurgency forces must display a respect and obedience for the law.</w:t>
      </w:r>
      <w:r w:rsidRPr="005F691C">
        <w:rPr>
          <w:rStyle w:val="FootnoteReference"/>
          <w:rFonts w:ascii="Times New Roman" w:hAnsi="Times New Roman" w:cs="Times New Roman"/>
        </w:rPr>
        <w:footnoteReference w:id="45"/>
      </w:r>
      <w:r w:rsidR="008B3881">
        <w:rPr>
          <w:rFonts w:ascii="Times New Roman" w:hAnsi="Times New Roman" w:cs="Times New Roman"/>
        </w:rPr>
        <w:t xml:space="preserve"> Counterinsurgency literature is strongly linked to the literature on insurgency and they share many commanalities.</w:t>
      </w:r>
    </w:p>
    <w:p w14:paraId="7795DBDC" w14:textId="77777777" w:rsidR="009C4D0B" w:rsidRPr="005F691C" w:rsidRDefault="009C4D0B" w:rsidP="008B3881">
      <w:pPr>
        <w:spacing w:line="360" w:lineRule="auto"/>
        <w:ind w:right="-631"/>
        <w:jc w:val="both"/>
        <w:rPr>
          <w:rFonts w:ascii="Times New Roman" w:hAnsi="Times New Roman" w:cs="Times New Roman"/>
        </w:rPr>
      </w:pPr>
    </w:p>
    <w:p w14:paraId="4B206D93"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With regards to the literature available on insurgency, there is general consensus with regards to the fact that the principles guiding insurgency tend to be similar, if not the same, as those principles guiding counterinsurgency.  McCuen, a leading author on the topic of revolutionary war, states these principles as the following:</w:t>
      </w:r>
    </w:p>
    <w:p w14:paraId="3618748C" w14:textId="77777777" w:rsidR="009C4D0B" w:rsidRPr="005F691C" w:rsidRDefault="009C4D0B" w:rsidP="00580699">
      <w:pPr>
        <w:spacing w:line="360" w:lineRule="auto"/>
        <w:ind w:left="-567" w:right="-631"/>
        <w:jc w:val="both"/>
        <w:rPr>
          <w:rFonts w:ascii="Times New Roman" w:hAnsi="Times New Roman" w:cs="Times New Roman"/>
        </w:rPr>
      </w:pPr>
    </w:p>
    <w:p w14:paraId="633BF806" w14:textId="44AA2F7A" w:rsidR="00580699" w:rsidRPr="008B3881" w:rsidRDefault="00580699" w:rsidP="008B3881">
      <w:pPr>
        <w:pStyle w:val="ListParagraph"/>
        <w:numPr>
          <w:ilvl w:val="0"/>
          <w:numId w:val="17"/>
        </w:numPr>
        <w:spacing w:after="200" w:line="360" w:lineRule="auto"/>
        <w:ind w:left="0" w:right="-631" w:firstLine="0"/>
        <w:jc w:val="both"/>
        <w:rPr>
          <w:rFonts w:ascii="Times New Roman" w:hAnsi="Times New Roman" w:cs="Times New Roman"/>
          <w:i/>
        </w:rPr>
      </w:pPr>
      <w:r w:rsidRPr="008B3881">
        <w:rPr>
          <w:rFonts w:ascii="Times New Roman" w:hAnsi="Times New Roman" w:cs="Times New Roman"/>
          <w:i/>
        </w:rPr>
        <w:t>Preserving oneself and annihilating the enemy</w:t>
      </w:r>
      <w:r w:rsidR="006936D9" w:rsidRPr="008B3881">
        <w:rPr>
          <w:rFonts w:ascii="Times New Roman" w:hAnsi="Times New Roman" w:cs="Times New Roman"/>
          <w:i/>
        </w:rPr>
        <w:t>.</w:t>
      </w:r>
    </w:p>
    <w:p w14:paraId="0EA6DDDE" w14:textId="4FEC3562" w:rsidR="00580699" w:rsidRPr="008B3881" w:rsidRDefault="00580699" w:rsidP="008B3881">
      <w:pPr>
        <w:pStyle w:val="ListParagraph"/>
        <w:numPr>
          <w:ilvl w:val="0"/>
          <w:numId w:val="17"/>
        </w:numPr>
        <w:spacing w:after="200" w:line="360" w:lineRule="auto"/>
        <w:ind w:left="0" w:right="-631" w:firstLine="0"/>
        <w:jc w:val="both"/>
        <w:rPr>
          <w:rFonts w:ascii="Times New Roman" w:hAnsi="Times New Roman" w:cs="Times New Roman"/>
          <w:i/>
        </w:rPr>
      </w:pPr>
      <w:r w:rsidRPr="008B3881">
        <w:rPr>
          <w:rFonts w:ascii="Times New Roman" w:hAnsi="Times New Roman" w:cs="Times New Roman"/>
          <w:i/>
        </w:rPr>
        <w:t>Establishing strategic base areas</w:t>
      </w:r>
      <w:r w:rsidR="006936D9" w:rsidRPr="008B3881">
        <w:rPr>
          <w:rFonts w:ascii="Times New Roman" w:hAnsi="Times New Roman" w:cs="Times New Roman"/>
          <w:i/>
        </w:rPr>
        <w:t>.</w:t>
      </w:r>
    </w:p>
    <w:p w14:paraId="329A3F67" w14:textId="33C8D72E" w:rsidR="00580699" w:rsidRPr="008B3881" w:rsidRDefault="00580699" w:rsidP="008B3881">
      <w:pPr>
        <w:pStyle w:val="ListParagraph"/>
        <w:numPr>
          <w:ilvl w:val="0"/>
          <w:numId w:val="17"/>
        </w:numPr>
        <w:spacing w:after="200" w:line="360" w:lineRule="auto"/>
        <w:ind w:left="0" w:right="-631" w:firstLine="0"/>
        <w:jc w:val="both"/>
        <w:rPr>
          <w:rFonts w:ascii="Times New Roman" w:hAnsi="Times New Roman" w:cs="Times New Roman"/>
          <w:i/>
        </w:rPr>
      </w:pPr>
      <w:r w:rsidRPr="008B3881">
        <w:rPr>
          <w:rFonts w:ascii="Times New Roman" w:hAnsi="Times New Roman" w:cs="Times New Roman"/>
          <w:i/>
        </w:rPr>
        <w:t>Mobilising the masses</w:t>
      </w:r>
      <w:r w:rsidR="006936D9" w:rsidRPr="008B3881">
        <w:rPr>
          <w:rFonts w:ascii="Times New Roman" w:hAnsi="Times New Roman" w:cs="Times New Roman"/>
          <w:i/>
        </w:rPr>
        <w:t>.</w:t>
      </w:r>
    </w:p>
    <w:p w14:paraId="627F1D45" w14:textId="3AF3CCBD" w:rsidR="00580699" w:rsidRPr="008B3881" w:rsidRDefault="00580699" w:rsidP="008B3881">
      <w:pPr>
        <w:pStyle w:val="ListParagraph"/>
        <w:numPr>
          <w:ilvl w:val="0"/>
          <w:numId w:val="17"/>
        </w:numPr>
        <w:spacing w:after="200" w:line="360" w:lineRule="auto"/>
        <w:ind w:left="0" w:right="-631" w:firstLine="0"/>
        <w:jc w:val="both"/>
        <w:rPr>
          <w:rFonts w:ascii="Times New Roman" w:hAnsi="Times New Roman" w:cs="Times New Roman"/>
          <w:i/>
        </w:rPr>
      </w:pPr>
      <w:r w:rsidRPr="008B3881">
        <w:rPr>
          <w:rFonts w:ascii="Times New Roman" w:hAnsi="Times New Roman" w:cs="Times New Roman"/>
          <w:i/>
        </w:rPr>
        <w:t>Seeking outside support</w:t>
      </w:r>
      <w:r w:rsidR="006936D9" w:rsidRPr="008B3881">
        <w:rPr>
          <w:rFonts w:ascii="Times New Roman" w:hAnsi="Times New Roman" w:cs="Times New Roman"/>
          <w:i/>
        </w:rPr>
        <w:t>.</w:t>
      </w:r>
    </w:p>
    <w:p w14:paraId="4192CB84" w14:textId="77777777" w:rsidR="00580699" w:rsidRPr="008B3881" w:rsidRDefault="00580699" w:rsidP="008B3881">
      <w:pPr>
        <w:pStyle w:val="ListParagraph"/>
        <w:numPr>
          <w:ilvl w:val="0"/>
          <w:numId w:val="17"/>
        </w:numPr>
        <w:spacing w:after="200" w:line="360" w:lineRule="auto"/>
        <w:ind w:left="0" w:right="-631" w:firstLine="0"/>
        <w:jc w:val="both"/>
        <w:rPr>
          <w:rFonts w:ascii="Times New Roman" w:hAnsi="Times New Roman" w:cs="Times New Roman"/>
          <w:i/>
        </w:rPr>
      </w:pPr>
      <w:r w:rsidRPr="008B3881">
        <w:rPr>
          <w:rFonts w:ascii="Times New Roman" w:hAnsi="Times New Roman" w:cs="Times New Roman"/>
          <w:i/>
        </w:rPr>
        <w:t>Unifying the effort.</w:t>
      </w:r>
      <w:r w:rsidRPr="008B3881">
        <w:rPr>
          <w:rStyle w:val="FootnoteReference"/>
          <w:rFonts w:ascii="Times New Roman" w:hAnsi="Times New Roman" w:cs="Times New Roman"/>
          <w:i/>
        </w:rPr>
        <w:footnoteReference w:id="46"/>
      </w:r>
    </w:p>
    <w:p w14:paraId="37964C90" w14:textId="78DD0214"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These principles date as far back as Mao Tse-Tung’s writings and instructions on insurgency, and how it should be carried out. The basic premise of Mao’s principles was that control should first be taken of rural areas, as counterinsurgents would focus first on urban territories.</w:t>
      </w:r>
      <w:r w:rsidRPr="005F691C">
        <w:rPr>
          <w:rStyle w:val="FootnoteReference"/>
          <w:rFonts w:ascii="Times New Roman" w:hAnsi="Times New Roman" w:cs="Times New Roman"/>
        </w:rPr>
        <w:footnoteReference w:id="47"/>
      </w:r>
      <w:r w:rsidRPr="005F691C">
        <w:rPr>
          <w:rFonts w:ascii="Times New Roman" w:hAnsi="Times New Roman" w:cs="Times New Roman"/>
        </w:rPr>
        <w:t xml:space="preserve"> This is completely in line with Thompson’s principles of counterinsurgency, where he suggests that counterinsurgency operations would only begin once the insurgents had already gained control of the rural areas.</w:t>
      </w:r>
      <w:r w:rsidRPr="005F691C">
        <w:rPr>
          <w:rStyle w:val="FootnoteReference"/>
          <w:rFonts w:ascii="Times New Roman" w:hAnsi="Times New Roman" w:cs="Times New Roman"/>
        </w:rPr>
        <w:footnoteReference w:id="48"/>
      </w:r>
      <w:r w:rsidRPr="005F691C">
        <w:rPr>
          <w:rFonts w:ascii="Times New Roman" w:hAnsi="Times New Roman" w:cs="Times New Roman"/>
        </w:rPr>
        <w:t xml:space="preserve"> However, these guiding principles of insurgency are based upon state-centred insurgencies, where borders confined behaviour and terrorism was not the basic </w:t>
      </w:r>
      <w:r w:rsidR="008B3881">
        <w:rPr>
          <w:rFonts w:ascii="Times New Roman" w:hAnsi="Times New Roman" w:cs="Times New Roman"/>
        </w:rPr>
        <w:t>behavioural method</w:t>
      </w:r>
      <w:r w:rsidRPr="005F691C">
        <w:rPr>
          <w:rFonts w:ascii="Times New Roman" w:hAnsi="Times New Roman" w:cs="Times New Roman"/>
        </w:rPr>
        <w:t xml:space="preserve"> employed by insurgency groups. Insurgency and counterinsurgency have classically represented a conflict between the insurgents and the government for control and support of the population.</w:t>
      </w:r>
      <w:r w:rsidRPr="005F691C">
        <w:rPr>
          <w:rStyle w:val="FootnoteReference"/>
          <w:rFonts w:ascii="Times New Roman" w:hAnsi="Times New Roman" w:cs="Times New Roman"/>
        </w:rPr>
        <w:footnoteReference w:id="49"/>
      </w:r>
      <w:r w:rsidRPr="005F691C">
        <w:rPr>
          <w:rFonts w:ascii="Times New Roman" w:hAnsi="Times New Roman" w:cs="Times New Roman"/>
        </w:rPr>
        <w:t xml:space="preserve"> However, the expanding scope of insurgency territory and actions has changed this considerably.</w:t>
      </w:r>
    </w:p>
    <w:p w14:paraId="1C040057" w14:textId="77777777" w:rsidR="009C4D0B" w:rsidRPr="005F691C" w:rsidRDefault="009C4D0B" w:rsidP="00580699">
      <w:pPr>
        <w:spacing w:line="360" w:lineRule="auto"/>
        <w:ind w:left="-567" w:right="-631"/>
        <w:jc w:val="both"/>
        <w:rPr>
          <w:rFonts w:ascii="Times New Roman" w:hAnsi="Times New Roman" w:cs="Times New Roman"/>
        </w:rPr>
      </w:pPr>
    </w:p>
    <w:p w14:paraId="608DBCC8"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 literature finds consensus in the fact that insurgencies are generally characterised by protracted, asymmetric violence, the use of complex terrain, psychological warfare, and political mobilisation.  Insurgents try to avoid any situation where they are not in favour, including conventional warfare, and attempt to garner as much support as possible, hoping that in time the balance of power will shift in their favour.</w:t>
      </w:r>
      <w:r w:rsidRPr="005F691C">
        <w:rPr>
          <w:rStyle w:val="FootnoteReference"/>
          <w:rFonts w:ascii="Times New Roman" w:hAnsi="Times New Roman" w:cs="Times New Roman"/>
        </w:rPr>
        <w:footnoteReference w:id="50"/>
      </w:r>
    </w:p>
    <w:p w14:paraId="389020D2" w14:textId="77777777" w:rsidR="009C4D0B" w:rsidRPr="005F691C" w:rsidRDefault="009C4D0B" w:rsidP="00580699">
      <w:pPr>
        <w:spacing w:line="360" w:lineRule="auto"/>
        <w:ind w:left="-567" w:right="-631"/>
        <w:jc w:val="both"/>
        <w:rPr>
          <w:rFonts w:ascii="Times New Roman" w:hAnsi="Times New Roman" w:cs="Times New Roman"/>
        </w:rPr>
      </w:pPr>
    </w:p>
    <w:p w14:paraId="0C47DBCE"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What has insurgency come to mean in the 21</w:t>
      </w:r>
      <w:r w:rsidRPr="005F691C">
        <w:rPr>
          <w:rFonts w:ascii="Times New Roman" w:hAnsi="Times New Roman" w:cs="Times New Roman"/>
          <w:vertAlign w:val="superscript"/>
        </w:rPr>
        <w:t>st</w:t>
      </w:r>
      <w:r w:rsidRPr="005F691C">
        <w:rPr>
          <w:rFonts w:ascii="Times New Roman" w:hAnsi="Times New Roman" w:cs="Times New Roman"/>
        </w:rPr>
        <w:t xml:space="preserve"> Century? More recent definitions of insurgency can be summarised as follows:</w:t>
      </w:r>
    </w:p>
    <w:p w14:paraId="3BC81433" w14:textId="77777777" w:rsidR="009C4D0B" w:rsidRPr="005F691C" w:rsidRDefault="009C4D0B" w:rsidP="00580699">
      <w:pPr>
        <w:spacing w:line="360" w:lineRule="auto"/>
        <w:ind w:left="-567" w:right="-631"/>
        <w:jc w:val="both"/>
        <w:rPr>
          <w:rFonts w:ascii="Times New Roman" w:hAnsi="Times New Roman" w:cs="Times New Roman"/>
        </w:rPr>
      </w:pPr>
    </w:p>
    <w:p w14:paraId="05BBC25F" w14:textId="77777777" w:rsidR="00580699" w:rsidRPr="005F691C" w:rsidRDefault="00580699" w:rsidP="009C4D0B">
      <w:pPr>
        <w:ind w:right="-64"/>
        <w:jc w:val="both"/>
        <w:rPr>
          <w:rFonts w:ascii="Times New Roman" w:hAnsi="Times New Roman" w:cs="Times New Roman"/>
          <w:i/>
        </w:rPr>
      </w:pPr>
      <w:r w:rsidRPr="005F691C">
        <w:rPr>
          <w:rFonts w:ascii="Times New Roman" w:hAnsi="Times New Roman" w:cs="Times New Roman"/>
          <w:i/>
        </w:rPr>
        <w:t>“An insurgency is an organised movement aimed at overthrow of a constituted government through the use of subversion and armed conflict. It is a protracted politico-military struggle designed to weaken government control and legitimacy while increasing insurgent control. Political power is the central issue in an insurgency.”</w:t>
      </w:r>
      <w:r w:rsidRPr="005F691C">
        <w:rPr>
          <w:rStyle w:val="FootnoteReference"/>
          <w:rFonts w:ascii="Times New Roman" w:hAnsi="Times New Roman" w:cs="Times New Roman"/>
          <w:i/>
        </w:rPr>
        <w:footnoteReference w:id="51"/>
      </w:r>
    </w:p>
    <w:p w14:paraId="0F1C61D3" w14:textId="77777777" w:rsidR="009C4D0B" w:rsidRPr="005F691C" w:rsidRDefault="009C4D0B" w:rsidP="009C4D0B">
      <w:pPr>
        <w:ind w:right="-64"/>
        <w:jc w:val="both"/>
        <w:rPr>
          <w:rFonts w:ascii="Times New Roman" w:hAnsi="Times New Roman" w:cs="Times New Roman"/>
          <w:i/>
        </w:rPr>
      </w:pPr>
    </w:p>
    <w:p w14:paraId="3E2B7770" w14:textId="04866C41" w:rsidR="009C4D0B" w:rsidRDefault="00580699" w:rsidP="00C050BE">
      <w:pPr>
        <w:spacing w:line="360" w:lineRule="auto"/>
        <w:ind w:left="-567" w:right="-631"/>
        <w:jc w:val="both"/>
        <w:rPr>
          <w:rFonts w:ascii="Times New Roman" w:hAnsi="Times New Roman" w:cs="Times New Roman"/>
        </w:rPr>
      </w:pPr>
      <w:r w:rsidRPr="005F691C">
        <w:rPr>
          <w:rFonts w:ascii="Times New Roman" w:hAnsi="Times New Roman" w:cs="Times New Roman"/>
        </w:rPr>
        <w:t>A competing definition of insurgency given by Dr. David Kilcullen, reads as follows:</w:t>
      </w:r>
    </w:p>
    <w:p w14:paraId="33F3B39C" w14:textId="77777777" w:rsidR="00C050BE" w:rsidRPr="005F691C" w:rsidRDefault="00C050BE" w:rsidP="00C050BE">
      <w:pPr>
        <w:spacing w:line="360" w:lineRule="auto"/>
        <w:ind w:left="-567" w:right="-631"/>
        <w:jc w:val="both"/>
        <w:rPr>
          <w:rFonts w:ascii="Times New Roman" w:hAnsi="Times New Roman" w:cs="Times New Roman"/>
        </w:rPr>
      </w:pPr>
    </w:p>
    <w:p w14:paraId="2491CF71" w14:textId="77777777" w:rsidR="00580699" w:rsidRPr="005F691C" w:rsidRDefault="00580699" w:rsidP="009C4D0B">
      <w:pPr>
        <w:ind w:right="-64"/>
        <w:jc w:val="both"/>
        <w:rPr>
          <w:rFonts w:ascii="Times New Roman" w:hAnsi="Times New Roman" w:cs="Times New Roman"/>
          <w:i/>
        </w:rPr>
      </w:pPr>
      <w:r w:rsidRPr="005F691C">
        <w:rPr>
          <w:rFonts w:ascii="Times New Roman" w:hAnsi="Times New Roman" w:cs="Times New Roman"/>
          <w:i/>
        </w:rPr>
        <w:t>“A popular movement that seeks to overthrow the status quo through subversion, political activity, insurrection, armed conflict and terrorism.”</w:t>
      </w:r>
      <w:r w:rsidRPr="005F691C">
        <w:rPr>
          <w:rStyle w:val="FootnoteReference"/>
          <w:rFonts w:ascii="Times New Roman" w:hAnsi="Times New Roman" w:cs="Times New Roman"/>
          <w:i/>
        </w:rPr>
        <w:footnoteReference w:id="52"/>
      </w:r>
    </w:p>
    <w:p w14:paraId="08CFEE08" w14:textId="77777777" w:rsidR="009C4D0B" w:rsidRPr="005F691C" w:rsidRDefault="009C4D0B" w:rsidP="009C4D0B">
      <w:pPr>
        <w:ind w:right="-64"/>
        <w:jc w:val="both"/>
        <w:rPr>
          <w:rFonts w:ascii="Times New Roman" w:hAnsi="Times New Roman" w:cs="Times New Roman"/>
          <w:i/>
        </w:rPr>
      </w:pPr>
    </w:p>
    <w:p w14:paraId="4AAC73DA" w14:textId="77777777" w:rsidR="008B3881" w:rsidRDefault="00580699" w:rsidP="008B3881">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Whilst at its basic level political power may be the central issue, recent developments in insurgency have led to the classification of insurgencies into various groups, which may have other desires feeding its behaviour. As can be seen from the two definitions provided, there is conflict in the literature with regards to the ultimate aims of insurgency, where government is no longer the sole target, and the means of the insurgents have expanded, now including the use of terrorism. </w:t>
      </w:r>
    </w:p>
    <w:p w14:paraId="7A38973C" w14:textId="77777777" w:rsidR="008B3881" w:rsidRDefault="008B3881" w:rsidP="008B3881">
      <w:pPr>
        <w:spacing w:line="360" w:lineRule="auto"/>
        <w:ind w:left="-567" w:right="-631"/>
        <w:jc w:val="both"/>
        <w:rPr>
          <w:rFonts w:ascii="Times New Roman" w:hAnsi="Times New Roman" w:cs="Times New Roman"/>
        </w:rPr>
      </w:pPr>
    </w:p>
    <w:p w14:paraId="44584D6E" w14:textId="1A48FB0C" w:rsidR="008B3881" w:rsidRPr="005F691C" w:rsidRDefault="00580699" w:rsidP="008B3881">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Insurgency as it is viewed today has undergone a large shift in definition and motivation. Thus, various subcategories of insurgency have been developed, which demonstrate the unique and ever changing landscape of insurgent behaviour. The categories of </w:t>
      </w:r>
      <w:r w:rsidR="009B321C" w:rsidRPr="005F691C">
        <w:rPr>
          <w:rFonts w:ascii="Times New Roman" w:hAnsi="Times New Roman" w:cs="Times New Roman"/>
        </w:rPr>
        <w:t>insurgency that exist</w:t>
      </w:r>
      <w:r w:rsidRPr="005F691C">
        <w:rPr>
          <w:rFonts w:ascii="Times New Roman" w:hAnsi="Times New Roman" w:cs="Times New Roman"/>
        </w:rPr>
        <w:t xml:space="preserve"> are greatly influenced by the conditions in which an insurgency operates, the modus operandi of the insurgents, and the logistical support and </w:t>
      </w:r>
      <w:r w:rsidR="009B321C" w:rsidRPr="005F691C">
        <w:rPr>
          <w:rFonts w:ascii="Times New Roman" w:hAnsi="Times New Roman" w:cs="Times New Roman"/>
        </w:rPr>
        <w:t>arrangements that</w:t>
      </w:r>
      <w:r w:rsidRPr="005F691C">
        <w:rPr>
          <w:rFonts w:ascii="Times New Roman" w:hAnsi="Times New Roman" w:cs="Times New Roman"/>
        </w:rPr>
        <w:t xml:space="preserve"> exist.  Although many other categories exist, </w:t>
      </w:r>
      <w:r w:rsidR="008B3881" w:rsidRPr="005F691C">
        <w:rPr>
          <w:rFonts w:ascii="Times New Roman" w:hAnsi="Times New Roman" w:cs="Times New Roman"/>
        </w:rPr>
        <w:t>including national insurgencies and liberation insurgencies, as put forward by Metz and Millen</w:t>
      </w:r>
      <w:r w:rsidR="008B3881">
        <w:rPr>
          <w:rFonts w:ascii="Times New Roman" w:hAnsi="Times New Roman" w:cs="Times New Roman"/>
        </w:rPr>
        <w:t>,</w:t>
      </w:r>
      <w:r w:rsidR="008B3881" w:rsidRPr="005F691C">
        <w:rPr>
          <w:rFonts w:ascii="Times New Roman" w:hAnsi="Times New Roman" w:cs="Times New Roman"/>
        </w:rPr>
        <w:t xml:space="preserve"> </w:t>
      </w:r>
      <w:r w:rsidRPr="005F691C">
        <w:rPr>
          <w:rFonts w:ascii="Times New Roman" w:hAnsi="Times New Roman" w:cs="Times New Roman"/>
        </w:rPr>
        <w:t xml:space="preserve">the two </w:t>
      </w:r>
      <w:r w:rsidR="009B321C" w:rsidRPr="005F691C">
        <w:rPr>
          <w:rFonts w:ascii="Times New Roman" w:hAnsi="Times New Roman" w:cs="Times New Roman"/>
        </w:rPr>
        <w:t>categories that have been chosen for the purpose of this research</w:t>
      </w:r>
      <w:r w:rsidRPr="005F691C">
        <w:rPr>
          <w:rFonts w:ascii="Times New Roman" w:hAnsi="Times New Roman" w:cs="Times New Roman"/>
        </w:rPr>
        <w:t xml:space="preserve"> are “Popular Insurgencies” and “Global Insurgencies”.</w:t>
      </w:r>
      <w:r w:rsidRPr="005F691C">
        <w:rPr>
          <w:rStyle w:val="FootnoteReference"/>
          <w:rFonts w:ascii="Times New Roman" w:hAnsi="Times New Roman" w:cs="Times New Roman"/>
        </w:rPr>
        <w:footnoteReference w:id="53"/>
      </w:r>
      <w:r w:rsidRPr="005F691C">
        <w:rPr>
          <w:rFonts w:ascii="Times New Roman" w:hAnsi="Times New Roman" w:cs="Times New Roman"/>
        </w:rPr>
        <w:t xml:space="preserve"> These are two </w:t>
      </w:r>
      <w:r w:rsidR="009B321C" w:rsidRPr="005F691C">
        <w:rPr>
          <w:rFonts w:ascii="Times New Roman" w:hAnsi="Times New Roman" w:cs="Times New Roman"/>
        </w:rPr>
        <w:t>categories that</w:t>
      </w:r>
      <w:r w:rsidRPr="005F691C">
        <w:rPr>
          <w:rFonts w:ascii="Times New Roman" w:hAnsi="Times New Roman" w:cs="Times New Roman"/>
        </w:rPr>
        <w:t xml:space="preserve"> are provided by George Kruys. </w:t>
      </w:r>
      <w:r w:rsidR="008B3881">
        <w:rPr>
          <w:rFonts w:ascii="Times New Roman" w:hAnsi="Times New Roman" w:cs="Times New Roman"/>
        </w:rPr>
        <w:t>These two categories have been defined so as to allow for the classification of the IRA as a stat-centric insurgency, and Al Qaeda as a global insurgency.</w:t>
      </w:r>
    </w:p>
    <w:p w14:paraId="04BE0C94" w14:textId="77777777" w:rsidR="009C4D0B" w:rsidRPr="005F691C" w:rsidRDefault="009C4D0B" w:rsidP="00580699">
      <w:pPr>
        <w:spacing w:line="360" w:lineRule="auto"/>
        <w:ind w:left="-567" w:right="-631"/>
        <w:jc w:val="both"/>
        <w:rPr>
          <w:rFonts w:ascii="Times New Roman" w:hAnsi="Times New Roman" w:cs="Times New Roman"/>
        </w:rPr>
      </w:pPr>
    </w:p>
    <w:p w14:paraId="09D275E7" w14:textId="7A89224F" w:rsidR="00580699"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Although the literature on terrorism is conflictual and ever evolving, a basic understanding of terrorism is vital so as to understand the placement of the behaviour within the category of insurgency, </w:t>
      </w:r>
      <w:r w:rsidR="008B3881">
        <w:rPr>
          <w:rFonts w:ascii="Times New Roman" w:hAnsi="Times New Roman" w:cs="Times New Roman"/>
        </w:rPr>
        <w:t>as it has</w:t>
      </w:r>
      <w:r w:rsidRPr="005F691C">
        <w:rPr>
          <w:rFonts w:ascii="Times New Roman" w:hAnsi="Times New Roman" w:cs="Times New Roman"/>
        </w:rPr>
        <w:t xml:space="preserve"> come to constitute the tactical repertoire of virtually every insurgency.</w:t>
      </w:r>
      <w:r w:rsidRPr="005F691C">
        <w:rPr>
          <w:rStyle w:val="FootnoteReference"/>
          <w:rFonts w:ascii="Times New Roman" w:hAnsi="Times New Roman" w:cs="Times New Roman"/>
        </w:rPr>
        <w:footnoteReference w:id="54"/>
      </w:r>
      <w:r w:rsidRPr="005F691C">
        <w:rPr>
          <w:rFonts w:ascii="Times New Roman" w:hAnsi="Times New Roman" w:cs="Times New Roman"/>
        </w:rPr>
        <w:t xml:space="preserve"> Terrorist acts performed in the name of Islam are generally driven by operational styles, political rhetoric and ideological justifications that connect Islamist fighters to Al-Qaeda and a range of other terrorist organisations.</w:t>
      </w:r>
      <w:r w:rsidRPr="005F691C">
        <w:rPr>
          <w:rStyle w:val="FootnoteReference"/>
          <w:rFonts w:ascii="Times New Roman" w:hAnsi="Times New Roman" w:cs="Times New Roman"/>
        </w:rPr>
        <w:footnoteReference w:id="55"/>
      </w:r>
      <w:r w:rsidRPr="005F691C">
        <w:rPr>
          <w:rFonts w:ascii="Times New Roman" w:hAnsi="Times New Roman" w:cs="Times New Roman"/>
        </w:rPr>
        <w:t xml:space="preserve"> </w:t>
      </w:r>
    </w:p>
    <w:p w14:paraId="273E31C7" w14:textId="77777777" w:rsidR="00C050BE" w:rsidRPr="005F691C" w:rsidRDefault="00C050BE" w:rsidP="00580699">
      <w:pPr>
        <w:spacing w:line="360" w:lineRule="auto"/>
        <w:ind w:left="-567" w:right="-631"/>
        <w:jc w:val="both"/>
        <w:rPr>
          <w:rFonts w:ascii="Times New Roman" w:hAnsi="Times New Roman" w:cs="Times New Roman"/>
        </w:rPr>
      </w:pPr>
    </w:p>
    <w:p w14:paraId="71C28686" w14:textId="77777777" w:rsidR="00AB1E73" w:rsidRPr="005F691C" w:rsidRDefault="00AB1E73" w:rsidP="008B3881">
      <w:pPr>
        <w:spacing w:line="360" w:lineRule="auto"/>
        <w:ind w:right="-631"/>
        <w:jc w:val="both"/>
        <w:rPr>
          <w:rFonts w:ascii="Times New Roman" w:hAnsi="Times New Roman" w:cs="Times New Roman"/>
        </w:rPr>
      </w:pPr>
    </w:p>
    <w:p w14:paraId="65781842" w14:textId="384334E7" w:rsidR="00580699" w:rsidRPr="005F691C" w:rsidRDefault="00580699" w:rsidP="006936D9">
      <w:pPr>
        <w:pStyle w:val="ListParagraph"/>
        <w:numPr>
          <w:ilvl w:val="1"/>
          <w:numId w:val="40"/>
        </w:numPr>
        <w:spacing w:after="200" w:line="360" w:lineRule="auto"/>
        <w:ind w:right="-631"/>
        <w:jc w:val="both"/>
        <w:rPr>
          <w:rFonts w:ascii="Times New Roman" w:hAnsi="Times New Roman" w:cs="Times New Roman"/>
          <w:b/>
          <w:u w:val="single"/>
        </w:rPr>
      </w:pPr>
      <w:r w:rsidRPr="005F691C">
        <w:rPr>
          <w:rFonts w:ascii="Times New Roman" w:hAnsi="Times New Roman" w:cs="Times New Roman"/>
          <w:b/>
          <w:u w:val="single"/>
        </w:rPr>
        <w:t>Chapterisation</w:t>
      </w:r>
    </w:p>
    <w:p w14:paraId="4B477CDC"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This will serve as the basic chapter outline of this thesis. These will include the following:</w:t>
      </w:r>
    </w:p>
    <w:p w14:paraId="108DD872" w14:textId="77777777" w:rsidR="009C4D0B" w:rsidRPr="005F691C" w:rsidRDefault="009C4D0B" w:rsidP="00580699">
      <w:pPr>
        <w:spacing w:line="360" w:lineRule="auto"/>
        <w:ind w:left="-567" w:right="-631"/>
        <w:jc w:val="both"/>
        <w:rPr>
          <w:rFonts w:ascii="Times New Roman" w:hAnsi="Times New Roman" w:cs="Times New Roman"/>
        </w:rPr>
      </w:pPr>
    </w:p>
    <w:p w14:paraId="7FC1AA02" w14:textId="52C3433B" w:rsidR="00580699" w:rsidRPr="005F691C" w:rsidRDefault="00580699" w:rsidP="00AB1E73">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Chapter </w:t>
      </w:r>
      <w:r w:rsidR="00AB1E73">
        <w:rPr>
          <w:rFonts w:ascii="Times New Roman" w:hAnsi="Times New Roman" w:cs="Times New Roman"/>
        </w:rPr>
        <w:t>two</w:t>
      </w:r>
      <w:r w:rsidRPr="005F691C">
        <w:rPr>
          <w:rFonts w:ascii="Times New Roman" w:hAnsi="Times New Roman" w:cs="Times New Roman"/>
        </w:rPr>
        <w:t xml:space="preserve"> will provide a </w:t>
      </w:r>
      <w:r w:rsidR="00AB1E73">
        <w:rPr>
          <w:rFonts w:ascii="Times New Roman" w:hAnsi="Times New Roman" w:cs="Times New Roman"/>
        </w:rPr>
        <w:t xml:space="preserve">basic understanding and </w:t>
      </w:r>
      <w:r w:rsidRPr="005F691C">
        <w:rPr>
          <w:rFonts w:ascii="Times New Roman" w:hAnsi="Times New Roman" w:cs="Times New Roman"/>
        </w:rPr>
        <w:t xml:space="preserve">definition of insurgency. </w:t>
      </w:r>
      <w:r w:rsidR="008B3881">
        <w:rPr>
          <w:rFonts w:ascii="Times New Roman" w:hAnsi="Times New Roman" w:cs="Times New Roman"/>
        </w:rPr>
        <w:t xml:space="preserve">This will include </w:t>
      </w:r>
      <w:r w:rsidRPr="005F691C">
        <w:rPr>
          <w:rFonts w:ascii="Times New Roman" w:hAnsi="Times New Roman" w:cs="Times New Roman"/>
        </w:rPr>
        <w:t>the tactics most commonly employed by insurgency groups, the motivations behind insurgent activity and the various objectives which insurgency aims to accomplish. The motivations, objectives, ideology and various oth</w:t>
      </w:r>
      <w:r w:rsidR="008B3881">
        <w:rPr>
          <w:rFonts w:ascii="Times New Roman" w:hAnsi="Times New Roman" w:cs="Times New Roman"/>
        </w:rPr>
        <w:t>er factors guiding the insurgency</w:t>
      </w:r>
      <w:r w:rsidRPr="005F691C">
        <w:rPr>
          <w:rFonts w:ascii="Times New Roman" w:hAnsi="Times New Roman" w:cs="Times New Roman"/>
        </w:rPr>
        <w:t xml:space="preserve"> group will serve to distinguish insurgencies into either state-centric insurgency or global insurgency. Insurgency is considered somewhat difficult to define and to identify, as so many forms exist, and thus this section will seek to lay out a working definition of insurgency for this paper and the indicators which will be employed by this paper</w:t>
      </w:r>
      <w:r w:rsidR="008B3881">
        <w:rPr>
          <w:rFonts w:ascii="Times New Roman" w:hAnsi="Times New Roman" w:cs="Times New Roman"/>
        </w:rPr>
        <w:t xml:space="preserve"> to identify insurgent activity</w:t>
      </w:r>
      <w:r w:rsidRPr="005F691C">
        <w:rPr>
          <w:rFonts w:ascii="Times New Roman" w:hAnsi="Times New Roman" w:cs="Times New Roman"/>
        </w:rPr>
        <w:t xml:space="preserve">. </w:t>
      </w:r>
      <w:r w:rsidR="00AB1E73">
        <w:rPr>
          <w:rFonts w:ascii="Times New Roman" w:hAnsi="Times New Roman" w:cs="Times New Roman"/>
        </w:rPr>
        <w:t xml:space="preserve">Within </w:t>
      </w:r>
      <w:r w:rsidRPr="005F691C">
        <w:rPr>
          <w:rFonts w:ascii="Times New Roman" w:hAnsi="Times New Roman" w:cs="Times New Roman"/>
        </w:rPr>
        <w:t>this section there will be a discussion on the placement of terrorism within the category of insurgency as both case studies being examined have operationalised insurgency through terrorist behaviour.</w:t>
      </w:r>
      <w:r w:rsidR="00AB1E73">
        <w:rPr>
          <w:rFonts w:ascii="Times New Roman" w:hAnsi="Times New Roman" w:cs="Times New Roman"/>
        </w:rPr>
        <w:t xml:space="preserve"> </w:t>
      </w:r>
      <w:r w:rsidR="008B3881">
        <w:rPr>
          <w:rFonts w:ascii="Times New Roman" w:hAnsi="Times New Roman" w:cs="Times New Roman"/>
        </w:rPr>
        <w:t>The two subcategories will be discussed, r</w:t>
      </w:r>
      <w:r w:rsidRPr="005F691C">
        <w:rPr>
          <w:rFonts w:ascii="Times New Roman" w:hAnsi="Times New Roman" w:cs="Times New Roman"/>
        </w:rPr>
        <w:t xml:space="preserve">ather than defining the insurgent act, these </w:t>
      </w:r>
      <w:r w:rsidR="008B3881">
        <w:rPr>
          <w:rFonts w:ascii="Times New Roman" w:hAnsi="Times New Roman" w:cs="Times New Roman"/>
        </w:rPr>
        <w:t>discussions</w:t>
      </w:r>
      <w:r w:rsidRPr="005F691C">
        <w:rPr>
          <w:rFonts w:ascii="Times New Roman" w:hAnsi="Times New Roman" w:cs="Times New Roman"/>
        </w:rPr>
        <w:t xml:space="preserve"> will seek to define the various </w:t>
      </w:r>
      <w:r w:rsidR="009B321C" w:rsidRPr="005F691C">
        <w:rPr>
          <w:rFonts w:ascii="Times New Roman" w:hAnsi="Times New Roman" w:cs="Times New Roman"/>
        </w:rPr>
        <w:t>factors that</w:t>
      </w:r>
      <w:r w:rsidRPr="005F691C">
        <w:rPr>
          <w:rFonts w:ascii="Times New Roman" w:hAnsi="Times New Roman" w:cs="Times New Roman"/>
        </w:rPr>
        <w:t xml:space="preserve"> guide the classification of the insurgent group under observation, and the </w:t>
      </w:r>
      <w:r w:rsidR="00AB1E73" w:rsidRPr="005F691C">
        <w:rPr>
          <w:rFonts w:ascii="Times New Roman" w:hAnsi="Times New Roman" w:cs="Times New Roman"/>
        </w:rPr>
        <w:t>acts that</w:t>
      </w:r>
      <w:r w:rsidRPr="005F691C">
        <w:rPr>
          <w:rFonts w:ascii="Times New Roman" w:hAnsi="Times New Roman" w:cs="Times New Roman"/>
        </w:rPr>
        <w:t xml:space="preserve"> they perform (according to motivation, ideology, objective and so on). Within this analysis, the IRA and the terrorist threat in Iraq will be divided into</w:t>
      </w:r>
      <w:r w:rsidR="00AB1E73">
        <w:rPr>
          <w:rFonts w:ascii="Times New Roman" w:hAnsi="Times New Roman" w:cs="Times New Roman"/>
        </w:rPr>
        <w:t xml:space="preserve"> subcategories of either “state-</w:t>
      </w:r>
      <w:r w:rsidRPr="005F691C">
        <w:rPr>
          <w:rFonts w:ascii="Times New Roman" w:hAnsi="Times New Roman" w:cs="Times New Roman"/>
        </w:rPr>
        <w:t xml:space="preserve">centric insurgency” or “global insurgency”. </w:t>
      </w:r>
    </w:p>
    <w:p w14:paraId="43A414B3" w14:textId="77777777" w:rsidR="009C4D0B" w:rsidRPr="005F691C" w:rsidRDefault="009C4D0B" w:rsidP="00580699">
      <w:pPr>
        <w:spacing w:line="360" w:lineRule="auto"/>
        <w:ind w:left="-567" w:right="-631"/>
        <w:jc w:val="both"/>
        <w:rPr>
          <w:rFonts w:ascii="Times New Roman" w:hAnsi="Times New Roman" w:cs="Times New Roman"/>
        </w:rPr>
      </w:pPr>
    </w:p>
    <w:p w14:paraId="08BAE82E" w14:textId="3BB3870B"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Chapter three will provide an analysis of counterinsurgency. This analysis will include identification of the key principles of the strategy of counterinsurgency in its primary state as put forward by Robert Thompson,</w:t>
      </w:r>
      <w:r w:rsidR="00AB1E73">
        <w:rPr>
          <w:rFonts w:ascii="Times New Roman" w:hAnsi="Times New Roman" w:cs="Times New Roman"/>
        </w:rPr>
        <w:t xml:space="preserve"> an</w:t>
      </w:r>
      <w:r w:rsidR="008B3881">
        <w:rPr>
          <w:rFonts w:ascii="Times New Roman" w:hAnsi="Times New Roman" w:cs="Times New Roman"/>
        </w:rPr>
        <w:t>d</w:t>
      </w:r>
      <w:r w:rsidR="00AB1E73">
        <w:rPr>
          <w:rFonts w:ascii="Times New Roman" w:hAnsi="Times New Roman" w:cs="Times New Roman"/>
        </w:rPr>
        <w:t xml:space="preserve"> others, </w:t>
      </w:r>
      <w:r w:rsidRPr="005F691C">
        <w:rPr>
          <w:rFonts w:ascii="Times New Roman" w:hAnsi="Times New Roman" w:cs="Times New Roman"/>
        </w:rPr>
        <w:t xml:space="preserve">as well as how it was applied in each case of </w:t>
      </w:r>
      <w:r w:rsidR="008B3881">
        <w:rPr>
          <w:rFonts w:ascii="Times New Roman" w:hAnsi="Times New Roman" w:cs="Times New Roman"/>
        </w:rPr>
        <w:t xml:space="preserve">Ireland and </w:t>
      </w:r>
      <w:r w:rsidR="008B3881" w:rsidRPr="005F691C">
        <w:rPr>
          <w:rFonts w:ascii="Times New Roman" w:hAnsi="Times New Roman" w:cs="Times New Roman"/>
        </w:rPr>
        <w:t>Iraq</w:t>
      </w:r>
      <w:r w:rsidRPr="005F691C">
        <w:rPr>
          <w:rFonts w:ascii="Times New Roman" w:hAnsi="Times New Roman" w:cs="Times New Roman"/>
        </w:rPr>
        <w:t xml:space="preserve">. </w:t>
      </w:r>
      <w:r w:rsidR="008B3881">
        <w:rPr>
          <w:rFonts w:ascii="Times New Roman" w:hAnsi="Times New Roman" w:cs="Times New Roman"/>
        </w:rPr>
        <w:t xml:space="preserve">The chapter will look at how counterinsurgency was applied in each case. There will also be a determination of the various factors which identify a successful counterinsurgency. </w:t>
      </w:r>
    </w:p>
    <w:p w14:paraId="0569D553" w14:textId="77777777" w:rsidR="009C4D0B" w:rsidRPr="005F691C" w:rsidRDefault="009C4D0B" w:rsidP="00580699">
      <w:pPr>
        <w:spacing w:line="360" w:lineRule="auto"/>
        <w:ind w:left="-567" w:right="-631"/>
        <w:jc w:val="both"/>
        <w:rPr>
          <w:rFonts w:ascii="Times New Roman" w:hAnsi="Times New Roman" w:cs="Times New Roman"/>
        </w:rPr>
      </w:pPr>
    </w:p>
    <w:p w14:paraId="482995DD" w14:textId="5E64344D" w:rsidR="00580699" w:rsidRPr="005F691C" w:rsidRDefault="00AB1E73" w:rsidP="00580699">
      <w:pPr>
        <w:spacing w:line="360" w:lineRule="auto"/>
        <w:ind w:left="-567" w:right="-631"/>
        <w:jc w:val="both"/>
        <w:rPr>
          <w:rFonts w:ascii="Times New Roman" w:hAnsi="Times New Roman" w:cs="Times New Roman"/>
        </w:rPr>
      </w:pPr>
      <w:r>
        <w:rPr>
          <w:rFonts w:ascii="Times New Roman" w:hAnsi="Times New Roman" w:cs="Times New Roman"/>
        </w:rPr>
        <w:t>Chapter four will begin the analysis section of this thesis</w:t>
      </w:r>
      <w:r w:rsidR="00580699" w:rsidRPr="005F691C">
        <w:rPr>
          <w:rFonts w:ascii="Times New Roman" w:hAnsi="Times New Roman" w:cs="Times New Roman"/>
        </w:rPr>
        <w:t xml:space="preserve"> </w:t>
      </w:r>
      <w:r>
        <w:rPr>
          <w:rFonts w:ascii="Times New Roman" w:hAnsi="Times New Roman" w:cs="Times New Roman"/>
        </w:rPr>
        <w:t xml:space="preserve">with the </w:t>
      </w:r>
      <w:r w:rsidR="00580699" w:rsidRPr="005F691C">
        <w:rPr>
          <w:rFonts w:ascii="Times New Roman" w:hAnsi="Times New Roman" w:cs="Times New Roman"/>
        </w:rPr>
        <w:t>insurgency</w:t>
      </w:r>
      <w:r w:rsidR="004F3BCA">
        <w:rPr>
          <w:rFonts w:ascii="Times New Roman" w:hAnsi="Times New Roman" w:cs="Times New Roman"/>
        </w:rPr>
        <w:t xml:space="preserve"> and counterinsurgency</w:t>
      </w:r>
      <w:r w:rsidR="00580699" w:rsidRPr="005F691C">
        <w:rPr>
          <w:rFonts w:ascii="Times New Roman" w:hAnsi="Times New Roman" w:cs="Times New Roman"/>
        </w:rPr>
        <w:t xml:space="preserve"> as observed </w:t>
      </w:r>
      <w:r>
        <w:rPr>
          <w:rFonts w:ascii="Times New Roman" w:hAnsi="Times New Roman" w:cs="Times New Roman"/>
        </w:rPr>
        <w:t>in Northern Ireland</w:t>
      </w:r>
      <w:r w:rsidR="00580699" w:rsidRPr="005F691C">
        <w:rPr>
          <w:rFonts w:ascii="Times New Roman" w:hAnsi="Times New Roman" w:cs="Times New Roman"/>
        </w:rPr>
        <w:t xml:space="preserve">. This study will endeavour to identify key relationships between factors guiding the classification of insurgency and the principles of counterinsurgency. Effectiveness will be gauged by whether the counterinsurgency operation was able to achieve all the </w:t>
      </w:r>
      <w:r w:rsidR="004F3BCA">
        <w:rPr>
          <w:rFonts w:ascii="Times New Roman" w:hAnsi="Times New Roman" w:cs="Times New Roman"/>
        </w:rPr>
        <w:t xml:space="preserve">indicators of a successful counterinsurgency campaign. Using these factors and the factors used to distinguish between the two categories of insurgency, various causal relationships indicating a successful counterinsurgency campaign will be identified. </w:t>
      </w:r>
    </w:p>
    <w:p w14:paraId="7E670869" w14:textId="77777777" w:rsidR="009C4D0B" w:rsidRPr="005F691C" w:rsidRDefault="009C4D0B" w:rsidP="00580699">
      <w:pPr>
        <w:spacing w:line="360" w:lineRule="auto"/>
        <w:ind w:left="-567" w:right="-631"/>
        <w:jc w:val="both"/>
        <w:rPr>
          <w:rFonts w:ascii="Times New Roman" w:hAnsi="Times New Roman" w:cs="Times New Roman"/>
        </w:rPr>
      </w:pPr>
    </w:p>
    <w:p w14:paraId="5973124A" w14:textId="3C486BDC" w:rsidR="00AB1E73"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Chapter five </w:t>
      </w:r>
      <w:r w:rsidR="00AB1E73">
        <w:rPr>
          <w:rFonts w:ascii="Times New Roman" w:hAnsi="Times New Roman" w:cs="Times New Roman"/>
        </w:rPr>
        <w:t>will continue the analysis through the case study of Al Qaeda in Iraq. This chapter will show that the causal relations</w:t>
      </w:r>
      <w:r w:rsidR="004F3BCA">
        <w:rPr>
          <w:rFonts w:ascii="Times New Roman" w:hAnsi="Times New Roman" w:cs="Times New Roman"/>
        </w:rPr>
        <w:t>hips established in chapter four</w:t>
      </w:r>
      <w:r w:rsidR="00AB1E73">
        <w:rPr>
          <w:rFonts w:ascii="Times New Roman" w:hAnsi="Times New Roman" w:cs="Times New Roman"/>
        </w:rPr>
        <w:t xml:space="preserve"> are not successful when applied to the circumstances of a global insurgency.</w:t>
      </w:r>
      <w:r w:rsidR="00C050BE">
        <w:rPr>
          <w:rFonts w:ascii="Times New Roman" w:hAnsi="Times New Roman" w:cs="Times New Roman"/>
        </w:rPr>
        <w:t xml:space="preserve"> By applying the causal relationships which were identified in the previous chapter to another situation, application of the most similar approach will be demonstrated. The changing of one factor of the independent variable, from popular insurgency to global insurgency, it will be shown that the causal relationships indicate a negative outcome, thus varying the dependent variable. Applying the same causal relationships to a situation which is the same as the other case used in the comparison, with the change of one factor, it will show that the causal relationships are applicable to any situation where insurgency is present and, given that they are applied properly, will be able to predict a likely outcome of counterinsurgency.</w:t>
      </w:r>
    </w:p>
    <w:p w14:paraId="1DCD6081" w14:textId="77777777" w:rsidR="00AB1E73" w:rsidRDefault="00AB1E73" w:rsidP="00580699">
      <w:pPr>
        <w:spacing w:line="360" w:lineRule="auto"/>
        <w:ind w:left="-567" w:right="-631"/>
        <w:jc w:val="both"/>
        <w:rPr>
          <w:rFonts w:ascii="Times New Roman" w:hAnsi="Times New Roman" w:cs="Times New Roman"/>
        </w:rPr>
      </w:pPr>
    </w:p>
    <w:p w14:paraId="51BAAF23" w14:textId="5637E7AE" w:rsidR="00D45116" w:rsidRDefault="00AB1E73" w:rsidP="00580699">
      <w:pPr>
        <w:spacing w:line="360" w:lineRule="auto"/>
        <w:ind w:left="-567" w:right="-631"/>
        <w:jc w:val="both"/>
        <w:rPr>
          <w:rFonts w:ascii="Times New Roman" w:hAnsi="Times New Roman" w:cs="Times New Roman"/>
        </w:rPr>
      </w:pPr>
      <w:r>
        <w:rPr>
          <w:rFonts w:ascii="Times New Roman" w:hAnsi="Times New Roman" w:cs="Times New Roman"/>
        </w:rPr>
        <w:t xml:space="preserve">Chapter 6 </w:t>
      </w:r>
      <w:r w:rsidR="00580699" w:rsidRPr="005F691C">
        <w:rPr>
          <w:rFonts w:ascii="Times New Roman" w:hAnsi="Times New Roman" w:cs="Times New Roman"/>
        </w:rPr>
        <w:t xml:space="preserve">will conclude the research with a summary of the findings. This section aims to put forward new </w:t>
      </w:r>
      <w:r w:rsidR="009B321C" w:rsidRPr="005F691C">
        <w:rPr>
          <w:rFonts w:ascii="Times New Roman" w:hAnsi="Times New Roman" w:cs="Times New Roman"/>
        </w:rPr>
        <w:t>indicators that</w:t>
      </w:r>
      <w:r w:rsidR="00580699" w:rsidRPr="005F691C">
        <w:rPr>
          <w:rFonts w:ascii="Times New Roman" w:hAnsi="Times New Roman" w:cs="Times New Roman"/>
        </w:rPr>
        <w:t xml:space="preserve"> might be sought out in a situation where counterinsurgency is likely to be employed. These indicators might allow for an analysis of whether the most likely</w:t>
      </w:r>
      <w:r w:rsidR="004F3BCA">
        <w:rPr>
          <w:rFonts w:ascii="Times New Roman" w:hAnsi="Times New Roman" w:cs="Times New Roman"/>
        </w:rPr>
        <w:t xml:space="preserve"> outcome of the counterinsurgency</w:t>
      </w:r>
      <w:r w:rsidR="00580699" w:rsidRPr="005F691C">
        <w:rPr>
          <w:rFonts w:ascii="Times New Roman" w:hAnsi="Times New Roman" w:cs="Times New Roman"/>
        </w:rPr>
        <w:t xml:space="preserve"> movement justifies the costs of implementation.</w:t>
      </w:r>
    </w:p>
    <w:p w14:paraId="39BFD115" w14:textId="77777777" w:rsidR="00D45116" w:rsidRDefault="00D45116">
      <w:pPr>
        <w:rPr>
          <w:rFonts w:ascii="Times New Roman" w:hAnsi="Times New Roman" w:cs="Times New Roman"/>
        </w:rPr>
      </w:pPr>
      <w:r>
        <w:rPr>
          <w:rFonts w:ascii="Times New Roman" w:hAnsi="Times New Roman" w:cs="Times New Roman"/>
        </w:rPr>
        <w:br w:type="page"/>
      </w:r>
    </w:p>
    <w:p w14:paraId="597B5FAE" w14:textId="6D128E18" w:rsidR="00520DD5" w:rsidRDefault="00520DD5" w:rsidP="00580699">
      <w:pPr>
        <w:spacing w:line="360" w:lineRule="auto"/>
        <w:ind w:left="-567" w:right="-631"/>
        <w:jc w:val="both"/>
        <w:rPr>
          <w:rFonts w:ascii="Times New Roman" w:hAnsi="Times New Roman" w:cs="Times New Roman"/>
          <w:b/>
          <w:u w:val="single"/>
        </w:rPr>
      </w:pPr>
      <w:r>
        <w:rPr>
          <w:rFonts w:ascii="Times New Roman" w:hAnsi="Times New Roman" w:cs="Times New Roman"/>
          <w:b/>
          <w:u w:val="single"/>
        </w:rPr>
        <w:t>Appendix A</w:t>
      </w:r>
    </w:p>
    <w:p w14:paraId="5CBCE8B2" w14:textId="336FD3E4" w:rsidR="00580699" w:rsidRPr="00D45116" w:rsidRDefault="00D45116" w:rsidP="00580699">
      <w:pPr>
        <w:spacing w:line="360" w:lineRule="auto"/>
        <w:ind w:left="-567" w:right="-631"/>
        <w:jc w:val="both"/>
        <w:rPr>
          <w:rFonts w:ascii="Times New Roman" w:hAnsi="Times New Roman" w:cs="Times New Roman"/>
          <w:b/>
          <w:u w:val="single"/>
        </w:rPr>
      </w:pPr>
      <w:r w:rsidRPr="00D45116">
        <w:rPr>
          <w:rFonts w:ascii="Times New Roman" w:hAnsi="Times New Roman" w:cs="Times New Roman"/>
          <w:b/>
          <w:u w:val="single"/>
        </w:rPr>
        <w:t>Graph 1: The Total Costs of the War in Iraq</w:t>
      </w:r>
      <w:r>
        <w:rPr>
          <w:rStyle w:val="FootnoteReference"/>
          <w:rFonts w:ascii="Times New Roman" w:hAnsi="Times New Roman" w:cs="Times New Roman"/>
          <w:b/>
          <w:u w:val="single"/>
        </w:rPr>
        <w:footnoteReference w:id="56"/>
      </w:r>
    </w:p>
    <w:p w14:paraId="01DDA976" w14:textId="1A96FDF1" w:rsidR="009C4D0B" w:rsidRPr="005F691C" w:rsidRDefault="00D45116" w:rsidP="00580699">
      <w:pPr>
        <w:spacing w:line="360" w:lineRule="auto"/>
        <w:ind w:left="-567" w:right="-631"/>
        <w:jc w:val="both"/>
        <w:rPr>
          <w:rFonts w:ascii="Times New Roman" w:hAnsi="Times New Roman" w:cs="Times New Roman"/>
        </w:rPr>
      </w:pPr>
      <w:r>
        <w:rPr>
          <w:rFonts w:ascii="Times New Roman" w:hAnsi="Times New Roman" w:cs="Times New Roman"/>
          <w:noProof/>
          <w:lang w:val="en-GB" w:eastAsia="en-GB"/>
        </w:rPr>
        <w:drawing>
          <wp:anchor distT="0" distB="0" distL="114300" distR="114300" simplePos="0" relativeHeight="251669504" behindDoc="0" locked="0" layoutInCell="1" allowOverlap="1" wp14:anchorId="101A6811" wp14:editId="4FE09F88">
            <wp:simplePos x="0" y="0"/>
            <wp:positionH relativeFrom="column">
              <wp:posOffset>-114300</wp:posOffset>
            </wp:positionH>
            <wp:positionV relativeFrom="paragraph">
              <wp:posOffset>194310</wp:posOffset>
            </wp:positionV>
            <wp:extent cx="4820920" cy="2726055"/>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st of the war.png"/>
                    <pic:cNvPicPr/>
                  </pic:nvPicPr>
                  <pic:blipFill>
                    <a:blip r:embed="rId10">
                      <a:extLst>
                        <a:ext uri="{28A0092B-C50C-407E-A947-70E740481C1C}">
                          <a14:useLocalDpi xmlns:a14="http://schemas.microsoft.com/office/drawing/2010/main" val="0"/>
                        </a:ext>
                      </a:extLst>
                    </a:blip>
                    <a:stretch>
                      <a:fillRect/>
                    </a:stretch>
                  </pic:blipFill>
                  <pic:spPr>
                    <a:xfrm>
                      <a:off x="0" y="0"/>
                      <a:ext cx="4820920" cy="2726055"/>
                    </a:xfrm>
                    <a:prstGeom prst="rect">
                      <a:avLst/>
                    </a:prstGeom>
                  </pic:spPr>
                </pic:pic>
              </a:graphicData>
            </a:graphic>
            <wp14:sizeRelH relativeFrom="page">
              <wp14:pctWidth>0</wp14:pctWidth>
            </wp14:sizeRelH>
            <wp14:sizeRelV relativeFrom="page">
              <wp14:pctHeight>0</wp14:pctHeight>
            </wp14:sizeRelV>
          </wp:anchor>
        </w:drawing>
      </w:r>
    </w:p>
    <w:p w14:paraId="6404BCBE" w14:textId="0551534B" w:rsidR="005E73A8" w:rsidRPr="00E021C9" w:rsidRDefault="00580699" w:rsidP="00E021C9">
      <w:pPr>
        <w:spacing w:line="360" w:lineRule="auto"/>
        <w:ind w:left="-567" w:right="-631"/>
        <w:jc w:val="center"/>
        <w:rPr>
          <w:rFonts w:ascii="Times New Roman" w:hAnsi="Times New Roman" w:cs="Times New Roman"/>
          <w:b/>
          <w:sz w:val="28"/>
          <w:szCs w:val="28"/>
          <w:u w:val="single"/>
        </w:rPr>
      </w:pPr>
      <w:r w:rsidRPr="005F691C">
        <w:rPr>
          <w:rFonts w:ascii="Times New Roman" w:hAnsi="Times New Roman" w:cs="Times New Roman"/>
          <w:b/>
          <w:u w:val="single"/>
        </w:rPr>
        <w:br w:type="page"/>
      </w:r>
      <w:r w:rsidR="005E73A8" w:rsidRPr="00E021C9">
        <w:rPr>
          <w:rFonts w:ascii="Times New Roman" w:hAnsi="Times New Roman" w:cs="Times New Roman"/>
          <w:b/>
          <w:sz w:val="28"/>
          <w:szCs w:val="28"/>
          <w:u w:val="single"/>
        </w:rPr>
        <w:t>CHAPTER 2</w:t>
      </w:r>
      <w:r w:rsidR="006936D9" w:rsidRPr="00E021C9">
        <w:rPr>
          <w:rFonts w:ascii="Times New Roman" w:hAnsi="Times New Roman" w:cs="Times New Roman"/>
          <w:b/>
          <w:sz w:val="28"/>
          <w:szCs w:val="28"/>
          <w:u w:val="single"/>
        </w:rPr>
        <w:t>: Insurgency</w:t>
      </w:r>
    </w:p>
    <w:p w14:paraId="68465C1A" w14:textId="261D148D" w:rsidR="00AB1E73" w:rsidRDefault="00AB1E73" w:rsidP="005E73A8">
      <w:pPr>
        <w:spacing w:line="360" w:lineRule="auto"/>
        <w:ind w:left="-567" w:right="-631"/>
        <w:jc w:val="both"/>
        <w:rPr>
          <w:rFonts w:ascii="Times New Roman" w:hAnsi="Times New Roman" w:cs="Times New Roman"/>
          <w:b/>
          <w:u w:val="single"/>
        </w:rPr>
      </w:pPr>
      <w:r>
        <w:rPr>
          <w:rFonts w:ascii="Times New Roman" w:hAnsi="Times New Roman" w:cs="Times New Roman"/>
          <w:b/>
        </w:rPr>
        <w:t xml:space="preserve">2.1 </w:t>
      </w:r>
      <w:r w:rsidR="006936D9">
        <w:rPr>
          <w:rFonts w:ascii="Times New Roman" w:hAnsi="Times New Roman" w:cs="Times New Roman"/>
          <w:b/>
          <w:u w:val="single"/>
        </w:rPr>
        <w:t>Introduction</w:t>
      </w:r>
    </w:p>
    <w:p w14:paraId="5D55BA84" w14:textId="6E482E47" w:rsidR="00580699" w:rsidRPr="005F691C" w:rsidRDefault="00580699" w:rsidP="00AB1E73">
      <w:pPr>
        <w:spacing w:line="360" w:lineRule="auto"/>
        <w:ind w:right="-631"/>
        <w:jc w:val="both"/>
        <w:rPr>
          <w:rFonts w:ascii="Times New Roman" w:hAnsi="Times New Roman" w:cs="Times New Roman"/>
          <w:b/>
          <w:u w:val="single"/>
        </w:rPr>
      </w:pPr>
      <w:r w:rsidRPr="005F691C">
        <w:rPr>
          <w:rFonts w:ascii="Times New Roman" w:hAnsi="Times New Roman" w:cs="Times New Roman"/>
          <w:b/>
          <w:u w:val="single"/>
        </w:rPr>
        <w:t xml:space="preserve"> </w:t>
      </w:r>
    </w:p>
    <w:p w14:paraId="3CE1530A" w14:textId="110A3570" w:rsidR="00580699" w:rsidRPr="005F691C" w:rsidRDefault="003150D5" w:rsidP="00580699">
      <w:pPr>
        <w:spacing w:line="360" w:lineRule="auto"/>
        <w:ind w:left="-567" w:right="-631"/>
        <w:jc w:val="both"/>
        <w:rPr>
          <w:rFonts w:ascii="Times New Roman" w:hAnsi="Times New Roman" w:cs="Times New Roman"/>
        </w:rPr>
      </w:pPr>
      <w:r>
        <w:rPr>
          <w:rFonts w:ascii="Times New Roman" w:hAnsi="Times New Roman" w:cs="Times New Roman"/>
        </w:rPr>
        <w:t>Since the events of 11 September 2001, insurgency, terrorism and revolutionary warfare have become buzzwords in the security realm</w:t>
      </w:r>
      <w:r w:rsidR="00580699" w:rsidRPr="005F691C">
        <w:rPr>
          <w:rFonts w:ascii="Times New Roman" w:hAnsi="Times New Roman" w:cs="Times New Roman"/>
        </w:rPr>
        <w:t>. While all insurgencies, the category into which terrorism and revolutionary warfare fall, have elements in common, the circumstances in which they arise and the forms that they take vary immensely.</w:t>
      </w:r>
      <w:r w:rsidR="00580699" w:rsidRPr="005F691C">
        <w:rPr>
          <w:rStyle w:val="FootnoteReference"/>
          <w:rFonts w:ascii="Times New Roman" w:hAnsi="Times New Roman" w:cs="Times New Roman"/>
        </w:rPr>
        <w:footnoteReference w:id="57"/>
      </w:r>
      <w:r w:rsidR="00580699" w:rsidRPr="005F691C">
        <w:rPr>
          <w:rFonts w:ascii="Times New Roman" w:hAnsi="Times New Roman" w:cs="Times New Roman"/>
        </w:rPr>
        <w:t xml:space="preserve"> </w:t>
      </w:r>
    </w:p>
    <w:p w14:paraId="2B3B6E7E" w14:textId="77777777" w:rsidR="00580699" w:rsidRPr="005F691C" w:rsidRDefault="00580699" w:rsidP="00580699">
      <w:pPr>
        <w:spacing w:line="360" w:lineRule="auto"/>
        <w:ind w:left="-567" w:right="-631"/>
        <w:jc w:val="both"/>
        <w:rPr>
          <w:rFonts w:ascii="Times New Roman" w:hAnsi="Times New Roman" w:cs="Times New Roman"/>
        </w:rPr>
      </w:pPr>
    </w:p>
    <w:p w14:paraId="220A92AB" w14:textId="7F356084"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It is necessary to ascertain the definition of insurgency, as well as the preselected subcategories of insurgency that have been defined as state-centric insurgency and global insurgency. Terrorism will be contextualised as a form of insurgency, although not considered solely insurgency, nor is it the sole form insurgency can take. Through examining the definition and scope of insurgency, it will be possible to understand why terrorism is sometimes thought of </w:t>
      </w:r>
      <w:r w:rsidR="003150D5">
        <w:rPr>
          <w:rFonts w:ascii="Times New Roman" w:hAnsi="Times New Roman" w:cs="Times New Roman"/>
        </w:rPr>
        <w:t>as insurgency</w:t>
      </w:r>
      <w:r w:rsidR="005E73A8" w:rsidRPr="005F691C">
        <w:rPr>
          <w:rFonts w:ascii="Times New Roman" w:hAnsi="Times New Roman" w:cs="Times New Roman"/>
        </w:rPr>
        <w:t>, and thus</w:t>
      </w:r>
      <w:r w:rsidR="003150D5">
        <w:rPr>
          <w:rFonts w:ascii="Times New Roman" w:hAnsi="Times New Roman" w:cs="Times New Roman"/>
        </w:rPr>
        <w:t xml:space="preserve"> will allow for</w:t>
      </w:r>
      <w:r w:rsidR="005E73A8" w:rsidRPr="005F691C">
        <w:rPr>
          <w:rFonts w:ascii="Times New Roman" w:hAnsi="Times New Roman" w:cs="Times New Roman"/>
        </w:rPr>
        <w:t xml:space="preserve"> the classification of Al Qaeda as an insurgency</w:t>
      </w:r>
      <w:r w:rsidRPr="005F691C">
        <w:rPr>
          <w:rFonts w:ascii="Times New Roman" w:hAnsi="Times New Roman" w:cs="Times New Roman"/>
        </w:rPr>
        <w:t xml:space="preserve">.  </w:t>
      </w:r>
    </w:p>
    <w:p w14:paraId="0AA97B1F" w14:textId="77777777" w:rsidR="00580699" w:rsidRPr="005F691C" w:rsidRDefault="00580699" w:rsidP="00580699">
      <w:pPr>
        <w:spacing w:line="360" w:lineRule="auto"/>
        <w:ind w:left="-567" w:right="-631"/>
        <w:jc w:val="both"/>
        <w:rPr>
          <w:rFonts w:ascii="Times New Roman" w:hAnsi="Times New Roman" w:cs="Times New Roman"/>
        </w:rPr>
      </w:pPr>
    </w:p>
    <w:p w14:paraId="22E5154D" w14:textId="3DC49413"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This chapter will ultimately provide a </w:t>
      </w:r>
      <w:r w:rsidR="005E73A8" w:rsidRPr="005F691C">
        <w:rPr>
          <w:rFonts w:ascii="Times New Roman" w:hAnsi="Times New Roman" w:cs="Times New Roman"/>
        </w:rPr>
        <w:t>basic understanding</w:t>
      </w:r>
      <w:r w:rsidRPr="005F691C">
        <w:rPr>
          <w:rFonts w:ascii="Times New Roman" w:hAnsi="Times New Roman" w:cs="Times New Roman"/>
        </w:rPr>
        <w:t xml:space="preserve"> of insurgency. This will include the tactics most commonly employed by insurgency groups, the motivations behind insurgent activity and the various objectives which insurgency aims to accomplish. The motivations, objectives, ideology and various other factors guiding the insurgent group will serve to distinguish insurgencies into either state-centric insurgency or global insurgency. </w:t>
      </w:r>
    </w:p>
    <w:p w14:paraId="496EF7EC" w14:textId="77777777" w:rsidR="00580699" w:rsidRPr="005F691C" w:rsidRDefault="00580699" w:rsidP="00580699">
      <w:pPr>
        <w:spacing w:line="360" w:lineRule="auto"/>
        <w:ind w:left="-567" w:right="-631"/>
        <w:jc w:val="both"/>
        <w:rPr>
          <w:rFonts w:ascii="Times New Roman" w:hAnsi="Times New Roman" w:cs="Times New Roman"/>
        </w:rPr>
      </w:pPr>
    </w:p>
    <w:p w14:paraId="412A077B" w14:textId="21BE37EF"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Insurgency is considered difficult to define and to identify, as so many forms exist, and thus this section will seek to lay out a working definition of insurgency for this paper and the indicators that will be employed by this paper</w:t>
      </w:r>
      <w:r w:rsidR="005E73A8" w:rsidRPr="005F691C">
        <w:rPr>
          <w:rFonts w:ascii="Times New Roman" w:hAnsi="Times New Roman" w:cs="Times New Roman"/>
        </w:rPr>
        <w:t>,</w:t>
      </w:r>
      <w:r w:rsidRPr="005F691C">
        <w:rPr>
          <w:rFonts w:ascii="Times New Roman" w:hAnsi="Times New Roman" w:cs="Times New Roman"/>
        </w:rPr>
        <w:t xml:space="preserve"> to identify insurgen</w:t>
      </w:r>
      <w:r w:rsidR="003150D5">
        <w:rPr>
          <w:rFonts w:ascii="Times New Roman" w:hAnsi="Times New Roman" w:cs="Times New Roman"/>
        </w:rPr>
        <w:t>cy</w:t>
      </w:r>
      <w:r w:rsidRPr="005F691C">
        <w:rPr>
          <w:rFonts w:ascii="Times New Roman" w:hAnsi="Times New Roman" w:cs="Times New Roman"/>
        </w:rPr>
        <w:t>. Within this section there will be a discussion on the placement of terrorism within the category of insurgency as both case</w:t>
      </w:r>
      <w:r w:rsidR="005E73A8" w:rsidRPr="005F691C">
        <w:rPr>
          <w:rFonts w:ascii="Times New Roman" w:hAnsi="Times New Roman" w:cs="Times New Roman"/>
        </w:rPr>
        <w:t xml:space="preserve"> studies being examined</w:t>
      </w:r>
      <w:r w:rsidRPr="005F691C">
        <w:rPr>
          <w:rFonts w:ascii="Times New Roman" w:hAnsi="Times New Roman" w:cs="Times New Roman"/>
        </w:rPr>
        <w:t xml:space="preserve"> have operationalised insurgency through terrorist behaviour.</w:t>
      </w:r>
    </w:p>
    <w:p w14:paraId="7851EAD4" w14:textId="77777777" w:rsidR="005E73A8" w:rsidRDefault="005E73A8" w:rsidP="00580699">
      <w:pPr>
        <w:spacing w:line="360" w:lineRule="auto"/>
        <w:ind w:left="-567" w:right="-631"/>
        <w:jc w:val="both"/>
        <w:rPr>
          <w:rFonts w:ascii="Times New Roman" w:hAnsi="Times New Roman" w:cs="Times New Roman"/>
        </w:rPr>
      </w:pPr>
    </w:p>
    <w:p w14:paraId="197488AB" w14:textId="77777777" w:rsidR="003150D5" w:rsidRDefault="003150D5" w:rsidP="00580699">
      <w:pPr>
        <w:spacing w:line="360" w:lineRule="auto"/>
        <w:ind w:left="-567" w:right="-631"/>
        <w:jc w:val="both"/>
        <w:rPr>
          <w:rFonts w:ascii="Times New Roman" w:hAnsi="Times New Roman" w:cs="Times New Roman"/>
        </w:rPr>
      </w:pPr>
    </w:p>
    <w:p w14:paraId="26ABCE7B" w14:textId="77777777" w:rsidR="003150D5" w:rsidRDefault="003150D5" w:rsidP="00580699">
      <w:pPr>
        <w:spacing w:line="360" w:lineRule="auto"/>
        <w:ind w:left="-567" w:right="-631"/>
        <w:jc w:val="both"/>
        <w:rPr>
          <w:rFonts w:ascii="Times New Roman" w:hAnsi="Times New Roman" w:cs="Times New Roman"/>
        </w:rPr>
      </w:pPr>
    </w:p>
    <w:p w14:paraId="281D0DAA" w14:textId="77777777" w:rsidR="003150D5" w:rsidRPr="005F691C" w:rsidRDefault="003150D5" w:rsidP="00580699">
      <w:pPr>
        <w:spacing w:line="360" w:lineRule="auto"/>
        <w:ind w:left="-567" w:right="-631"/>
        <w:jc w:val="both"/>
        <w:rPr>
          <w:rFonts w:ascii="Times New Roman" w:hAnsi="Times New Roman" w:cs="Times New Roman"/>
        </w:rPr>
      </w:pPr>
    </w:p>
    <w:p w14:paraId="54DE9C4A" w14:textId="77777777" w:rsidR="00580699" w:rsidRPr="005F691C" w:rsidRDefault="00580699" w:rsidP="006936D9">
      <w:pPr>
        <w:tabs>
          <w:tab w:val="left" w:pos="-567"/>
        </w:tabs>
        <w:spacing w:line="360" w:lineRule="auto"/>
        <w:ind w:right="-631"/>
        <w:jc w:val="both"/>
        <w:rPr>
          <w:rFonts w:ascii="Times New Roman" w:hAnsi="Times New Roman" w:cs="Times New Roman"/>
        </w:rPr>
      </w:pPr>
    </w:p>
    <w:p w14:paraId="7B1EA902" w14:textId="0F11BA48" w:rsidR="00580699" w:rsidRPr="005F691C" w:rsidRDefault="006936D9" w:rsidP="00580699">
      <w:pPr>
        <w:tabs>
          <w:tab w:val="left" w:pos="-567"/>
        </w:tabs>
        <w:spacing w:line="360" w:lineRule="auto"/>
        <w:ind w:left="-567" w:right="-631"/>
        <w:jc w:val="both"/>
        <w:rPr>
          <w:rFonts w:ascii="Times New Roman" w:hAnsi="Times New Roman" w:cs="Times New Roman"/>
          <w:b/>
          <w:u w:val="single"/>
        </w:rPr>
      </w:pPr>
      <w:r>
        <w:rPr>
          <w:rFonts w:ascii="Times New Roman" w:hAnsi="Times New Roman" w:cs="Times New Roman"/>
          <w:b/>
        </w:rPr>
        <w:t>2.2</w:t>
      </w:r>
      <w:r w:rsidR="00580699" w:rsidRPr="005F691C">
        <w:rPr>
          <w:rFonts w:ascii="Times New Roman" w:hAnsi="Times New Roman" w:cs="Times New Roman"/>
          <w:b/>
        </w:rPr>
        <w:t xml:space="preserve"> </w:t>
      </w:r>
      <w:r w:rsidR="00580699" w:rsidRPr="005F691C">
        <w:rPr>
          <w:rFonts w:ascii="Times New Roman" w:hAnsi="Times New Roman" w:cs="Times New Roman"/>
          <w:b/>
          <w:u w:val="single"/>
        </w:rPr>
        <w:t>Classifying Insurgency</w:t>
      </w:r>
    </w:p>
    <w:p w14:paraId="6246A1AB"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0DEBFDF1" w14:textId="77777777" w:rsidR="005E73A8"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Insurgency as it is viewed today has undergone a large shift in definition and motivation. Whereas insurgencies were once solely based on nationalism, wi</w:t>
      </w:r>
      <w:r w:rsidR="005E73A8" w:rsidRPr="005F691C">
        <w:rPr>
          <w:rFonts w:ascii="Times New Roman" w:hAnsi="Times New Roman" w:cs="Times New Roman"/>
        </w:rPr>
        <w:t xml:space="preserve">th a strong communist influence, </w:t>
      </w:r>
      <w:r w:rsidRPr="005F691C">
        <w:rPr>
          <w:rFonts w:ascii="Times New Roman" w:hAnsi="Times New Roman" w:cs="Times New Roman"/>
        </w:rPr>
        <w:t>fought mostly within national borders, today, insurgencies have become religiously and culturally motivated, with international and national terrorism forming a large part of insurgent arsenals.</w:t>
      </w:r>
      <w:r w:rsidRPr="005F691C">
        <w:rPr>
          <w:rStyle w:val="FootnoteReference"/>
          <w:rFonts w:ascii="Times New Roman" w:hAnsi="Times New Roman" w:cs="Times New Roman"/>
        </w:rPr>
        <w:footnoteReference w:id="58"/>
      </w:r>
      <w:r w:rsidRPr="005F691C">
        <w:rPr>
          <w:rFonts w:ascii="Times New Roman" w:hAnsi="Times New Roman" w:cs="Times New Roman"/>
        </w:rPr>
        <w:t xml:space="preserve"> Thus, various subcategories of insurgency have been developed, which demonstrate the unique and ever changing landscape of insurgent behaviour. The categories of insurgency that exist are greatly influenced by the conditions in which an insurgency operates, the modus operandi of the insurgents, and the logistical support and arrangements that exist. There are various distinctions and categories of insurgency defined from different authors and there tends to be some divergence on what these classifications should be. However, four of the more commonly accepted categories for classification of insurgency are politically organised insurgency, clan insurgency, popular insurgency and global insurgency.</w:t>
      </w:r>
      <w:r w:rsidRPr="005F691C">
        <w:rPr>
          <w:rStyle w:val="FootnoteReference"/>
          <w:rFonts w:ascii="Times New Roman" w:hAnsi="Times New Roman" w:cs="Times New Roman"/>
        </w:rPr>
        <w:footnoteReference w:id="59"/>
      </w:r>
      <w:r w:rsidRPr="005F691C">
        <w:rPr>
          <w:rFonts w:ascii="Times New Roman" w:hAnsi="Times New Roman" w:cs="Times New Roman"/>
        </w:rPr>
        <w:t xml:space="preserve"> </w:t>
      </w:r>
    </w:p>
    <w:p w14:paraId="28ED6D2B" w14:textId="77777777" w:rsidR="005E73A8" w:rsidRPr="005F691C" w:rsidRDefault="005E73A8" w:rsidP="00580699">
      <w:pPr>
        <w:tabs>
          <w:tab w:val="left" w:pos="-567"/>
        </w:tabs>
        <w:spacing w:line="360" w:lineRule="auto"/>
        <w:ind w:left="-567" w:right="-631"/>
        <w:jc w:val="both"/>
        <w:rPr>
          <w:rFonts w:ascii="Times New Roman" w:hAnsi="Times New Roman" w:cs="Times New Roman"/>
        </w:rPr>
      </w:pPr>
    </w:p>
    <w:p w14:paraId="4AB50559" w14:textId="7DA20972" w:rsidR="00580699" w:rsidRPr="005F691C" w:rsidRDefault="00580699" w:rsidP="005E73A8">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form </w:t>
      </w:r>
      <w:r w:rsidR="005E73A8" w:rsidRPr="005F691C">
        <w:rPr>
          <w:rFonts w:ascii="Times New Roman" w:hAnsi="Times New Roman" w:cs="Times New Roman"/>
        </w:rPr>
        <w:t xml:space="preserve">of insurgency </w:t>
      </w:r>
      <w:r w:rsidRPr="005F691C">
        <w:rPr>
          <w:rFonts w:ascii="Times New Roman" w:hAnsi="Times New Roman" w:cs="Times New Roman"/>
        </w:rPr>
        <w:t xml:space="preserve">which leadership will choose to follow is often determined by the operational environment of the insurgents, which includes the economic, political and geographic components with which the insurgents must interact and try use to their advantage </w:t>
      </w:r>
      <w:r w:rsidR="005E73A8" w:rsidRPr="005F691C">
        <w:rPr>
          <w:rFonts w:ascii="Times New Roman" w:hAnsi="Times New Roman" w:cs="Times New Roman"/>
        </w:rPr>
        <w:t>during</w:t>
      </w:r>
      <w:r w:rsidRPr="005F691C">
        <w:rPr>
          <w:rFonts w:ascii="Times New Roman" w:hAnsi="Times New Roman" w:cs="Times New Roman"/>
        </w:rPr>
        <w:t xml:space="preserve"> the insurgency.</w:t>
      </w:r>
      <w:r w:rsidRPr="005F691C">
        <w:rPr>
          <w:rStyle w:val="FootnoteReference"/>
          <w:rFonts w:ascii="Times New Roman" w:hAnsi="Times New Roman" w:cs="Times New Roman"/>
        </w:rPr>
        <w:footnoteReference w:id="60"/>
      </w:r>
      <w:r w:rsidRPr="005F691C">
        <w:rPr>
          <w:rFonts w:ascii="Times New Roman" w:hAnsi="Times New Roman" w:cs="Times New Roman"/>
        </w:rPr>
        <w:t xml:space="preserve"> </w:t>
      </w:r>
      <w:r w:rsidR="005E73A8" w:rsidRPr="005F691C">
        <w:rPr>
          <w:rFonts w:ascii="Times New Roman" w:hAnsi="Times New Roman" w:cs="Times New Roman"/>
        </w:rPr>
        <w:t>Insurgencies occur in complex and evolving human and geographic landscapes and circumstances, and thus demographic, social, geographic, economic and religious factors are key to understanding the nature of the insurgency.</w:t>
      </w:r>
      <w:r w:rsidR="005E73A8" w:rsidRPr="005F691C">
        <w:rPr>
          <w:rStyle w:val="FootnoteReference"/>
          <w:rFonts w:ascii="Times New Roman" w:hAnsi="Times New Roman" w:cs="Times New Roman"/>
        </w:rPr>
        <w:footnoteReference w:id="61"/>
      </w:r>
      <w:r w:rsidR="005E73A8" w:rsidRPr="005F691C">
        <w:rPr>
          <w:rFonts w:ascii="Times New Roman" w:hAnsi="Times New Roman" w:cs="Times New Roman"/>
        </w:rPr>
        <w:t xml:space="preserve"> </w:t>
      </w:r>
      <w:r w:rsidRPr="005F691C">
        <w:rPr>
          <w:rFonts w:ascii="Times New Roman" w:hAnsi="Times New Roman" w:cs="Times New Roman"/>
        </w:rPr>
        <w:t>Politically organised insurgencies, also known as Lumpen insurgencies, attempt to undermine the authority of the existing weak government. They may operate for purely economic reasons with no intention of overthrowing the government.</w:t>
      </w:r>
      <w:r w:rsidRPr="005F691C">
        <w:rPr>
          <w:rStyle w:val="FootnoteReference"/>
          <w:rFonts w:ascii="Times New Roman" w:hAnsi="Times New Roman" w:cs="Times New Roman"/>
        </w:rPr>
        <w:footnoteReference w:id="62"/>
      </w:r>
      <w:r w:rsidRPr="005F691C">
        <w:rPr>
          <w:rFonts w:ascii="Times New Roman" w:hAnsi="Times New Roman" w:cs="Times New Roman"/>
        </w:rPr>
        <w:t xml:space="preserve"> Clan insurgency is defined by extended family structures and tribal area cohesion. Popular insurgency has a developed, specific ideology and close links to large portions of the population. Global insurgency is classified by having a military organisation that spans across various countries, draws support from large masses of people and the people share an ideology of both religious and political aims.</w:t>
      </w:r>
      <w:r w:rsidR="005E73A8" w:rsidRPr="005F691C">
        <w:rPr>
          <w:rStyle w:val="FootnoteReference"/>
          <w:rFonts w:ascii="Times New Roman" w:hAnsi="Times New Roman" w:cs="Times New Roman"/>
        </w:rPr>
        <w:footnoteReference w:id="63"/>
      </w:r>
      <w:r w:rsidRPr="005F691C">
        <w:rPr>
          <w:rFonts w:ascii="Times New Roman" w:hAnsi="Times New Roman" w:cs="Times New Roman"/>
        </w:rPr>
        <w:t xml:space="preserve"> The two most important classifications of insurgency for the purposes of this research are popular insurgencies and global insurgencies. </w:t>
      </w:r>
    </w:p>
    <w:p w14:paraId="7FC00AD1" w14:textId="77777777" w:rsidR="00580699" w:rsidRPr="005F691C" w:rsidRDefault="00580699" w:rsidP="003150D5">
      <w:pPr>
        <w:tabs>
          <w:tab w:val="left" w:pos="-567"/>
        </w:tabs>
        <w:spacing w:line="360" w:lineRule="auto"/>
        <w:ind w:right="-631"/>
        <w:jc w:val="both"/>
        <w:rPr>
          <w:rFonts w:ascii="Times New Roman" w:hAnsi="Times New Roman" w:cs="Times New Roman"/>
        </w:rPr>
      </w:pPr>
    </w:p>
    <w:p w14:paraId="056BFE52" w14:textId="0265F55A" w:rsidR="00580699"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Alongside the development of different classifications of insurgency, insurgencies have also developed their modes of fighting throughout history. There are various contentions that arise when trying to determine the specific behaviours that would constitute insurgent activities. These debates around what behaviour constitutes insurgency have contributed to the difficulty in defining insurgency.</w:t>
      </w:r>
      <w:r w:rsidR="00FF414E" w:rsidRPr="005F691C">
        <w:rPr>
          <w:rStyle w:val="FootnoteReference"/>
          <w:rFonts w:ascii="Times New Roman" w:hAnsi="Times New Roman" w:cs="Times New Roman"/>
        </w:rPr>
        <w:footnoteReference w:id="64"/>
      </w:r>
    </w:p>
    <w:p w14:paraId="1B085626"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29DDB8C9"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Insurgency is notoriously difficult to define due to the fact that it is widely debated and there are numerous definitions that exist, often with competing key elements.</w:t>
      </w:r>
      <w:r w:rsidRPr="005F691C">
        <w:rPr>
          <w:rStyle w:val="FootnoteReference"/>
          <w:rFonts w:ascii="Times New Roman" w:hAnsi="Times New Roman" w:cs="Times New Roman"/>
        </w:rPr>
        <w:footnoteReference w:id="65"/>
      </w:r>
      <w:r w:rsidRPr="005F691C">
        <w:rPr>
          <w:rFonts w:ascii="Times New Roman" w:hAnsi="Times New Roman" w:cs="Times New Roman"/>
        </w:rPr>
        <w:t xml:space="preserve"> The American Department of Defense defines insurgency as “an organised movement aimed at the overthrow of a constituted government through the use of subversion and armed conflict”.</w:t>
      </w:r>
      <w:r w:rsidRPr="005F691C">
        <w:rPr>
          <w:rStyle w:val="FootnoteReference"/>
          <w:rFonts w:ascii="Times New Roman" w:hAnsi="Times New Roman" w:cs="Times New Roman"/>
        </w:rPr>
        <w:footnoteReference w:id="66"/>
      </w:r>
      <w:r w:rsidRPr="005F691C">
        <w:rPr>
          <w:rFonts w:ascii="Times New Roman" w:hAnsi="Times New Roman" w:cs="Times New Roman"/>
        </w:rPr>
        <w:t xml:space="preserve"> However, O’Neill provides a definition of insurgency that incorporates a far more political element;</w:t>
      </w:r>
    </w:p>
    <w:p w14:paraId="41EEF036" w14:textId="77777777" w:rsidR="00FF414E" w:rsidRPr="005F691C" w:rsidRDefault="00FF414E" w:rsidP="00580699">
      <w:pPr>
        <w:tabs>
          <w:tab w:val="left" w:pos="-567"/>
        </w:tabs>
        <w:spacing w:line="360" w:lineRule="auto"/>
        <w:ind w:left="-567" w:right="-631"/>
        <w:jc w:val="both"/>
        <w:rPr>
          <w:rFonts w:ascii="Times New Roman" w:hAnsi="Times New Roman" w:cs="Times New Roman"/>
        </w:rPr>
      </w:pPr>
    </w:p>
    <w:p w14:paraId="3A06CDB6" w14:textId="553813FC" w:rsidR="00580699" w:rsidRPr="005F691C" w:rsidRDefault="00FF414E" w:rsidP="00CC5AE4">
      <w:pPr>
        <w:widowControl w:val="0"/>
        <w:autoSpaceDE w:val="0"/>
        <w:autoSpaceDN w:val="0"/>
        <w:adjustRightInd w:val="0"/>
        <w:spacing w:after="240" w:line="360" w:lineRule="auto"/>
        <w:ind w:right="42"/>
        <w:jc w:val="both"/>
        <w:rPr>
          <w:rFonts w:ascii="Times New Roman" w:hAnsi="Times New Roman" w:cs="Times New Roman"/>
          <w:i/>
        </w:rPr>
      </w:pPr>
      <w:r w:rsidRPr="005F691C">
        <w:rPr>
          <w:rFonts w:ascii="Times New Roman" w:hAnsi="Times New Roman" w:cs="Times New Roman"/>
          <w:i/>
        </w:rPr>
        <w:t>“</w:t>
      </w:r>
      <w:r w:rsidR="00580699" w:rsidRPr="005F691C">
        <w:rPr>
          <w:rFonts w:ascii="Times New Roman" w:hAnsi="Times New Roman" w:cs="Times New Roman"/>
          <w:i/>
        </w:rPr>
        <w:t>A struggle between a nonruling group and the ruling authorities in which the nonruling group consciously uses political resources (e.g., organizational expertise, propaganda, and demonstrations) and violence to destroy, reformulate, or sustain the basis of legitimacy of one or more aspects of politics.</w:t>
      </w:r>
      <w:r w:rsidRPr="005F691C">
        <w:rPr>
          <w:rFonts w:ascii="Times New Roman" w:hAnsi="Times New Roman" w:cs="Times New Roman"/>
          <w:i/>
        </w:rPr>
        <w:t>”</w:t>
      </w:r>
      <w:r w:rsidR="00580699" w:rsidRPr="005F691C">
        <w:rPr>
          <w:rStyle w:val="FootnoteReference"/>
          <w:rFonts w:ascii="Times New Roman" w:hAnsi="Times New Roman" w:cs="Times New Roman"/>
          <w:i/>
        </w:rPr>
        <w:footnoteReference w:id="67"/>
      </w:r>
    </w:p>
    <w:p w14:paraId="320E9F07" w14:textId="61C100F2" w:rsidR="00580699"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Thus we can see that insurgencies tend to use both political and violent means to achieve their ultimate end. </w:t>
      </w:r>
      <w:r w:rsidR="005068F6">
        <w:rPr>
          <w:rFonts w:ascii="Times New Roman" w:hAnsi="Times New Roman" w:cs="Times New Roman"/>
        </w:rPr>
        <w:t>O’Neill’s</w:t>
      </w:r>
      <w:r w:rsidRPr="005F691C">
        <w:rPr>
          <w:rFonts w:ascii="Times New Roman" w:hAnsi="Times New Roman" w:cs="Times New Roman"/>
        </w:rPr>
        <w:t xml:space="preserve"> definition also allows for a differentiation to be drawn due to the fact that insurgencies do not only seek to overthrow the government but can also seek other political ends. However, the definitions only provide a platform with which to analyse what groups</w:t>
      </w:r>
      <w:r w:rsidR="005068F6">
        <w:rPr>
          <w:rFonts w:ascii="Times New Roman" w:hAnsi="Times New Roman" w:cs="Times New Roman"/>
        </w:rPr>
        <w:t xml:space="preserve"> are considered to be insurgencies</w:t>
      </w:r>
      <w:r w:rsidRPr="005F691C">
        <w:rPr>
          <w:rFonts w:ascii="Times New Roman" w:hAnsi="Times New Roman" w:cs="Times New Roman"/>
        </w:rPr>
        <w:t xml:space="preserve">, rather than the specific behaviours considered constitutive of insurgency. </w:t>
      </w:r>
    </w:p>
    <w:p w14:paraId="75F79633"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364A0762" w14:textId="56A022A7" w:rsidR="00580699"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Another definition of insurgency, provided by Moore, could be helpful in trying to determine what </w:t>
      </w:r>
      <w:r w:rsidR="00FF414E" w:rsidRPr="005F691C">
        <w:rPr>
          <w:rFonts w:ascii="Times New Roman" w:hAnsi="Times New Roman" w:cs="Times New Roman"/>
        </w:rPr>
        <w:t>constitutes insurgent behaviour;</w:t>
      </w:r>
    </w:p>
    <w:p w14:paraId="119017E7" w14:textId="77777777" w:rsidR="00FF414E" w:rsidRPr="005F691C" w:rsidRDefault="00FF414E" w:rsidP="00580699">
      <w:pPr>
        <w:tabs>
          <w:tab w:val="left" w:pos="-567"/>
        </w:tabs>
        <w:spacing w:line="360" w:lineRule="auto"/>
        <w:ind w:left="-567" w:right="-631"/>
        <w:jc w:val="both"/>
        <w:rPr>
          <w:rFonts w:ascii="Times New Roman" w:hAnsi="Times New Roman" w:cs="Times New Roman"/>
        </w:rPr>
      </w:pPr>
    </w:p>
    <w:p w14:paraId="510A00F5" w14:textId="40F4169D" w:rsidR="00580699" w:rsidRPr="005F691C" w:rsidRDefault="00FF414E" w:rsidP="00CC5AE4">
      <w:pPr>
        <w:spacing w:line="360" w:lineRule="auto"/>
        <w:ind w:right="42"/>
        <w:jc w:val="both"/>
        <w:rPr>
          <w:rFonts w:ascii="Times New Roman" w:hAnsi="Times New Roman" w:cs="Times New Roman"/>
          <w:i/>
        </w:rPr>
      </w:pPr>
      <w:r w:rsidRPr="005F691C">
        <w:rPr>
          <w:rFonts w:ascii="Times New Roman" w:hAnsi="Times New Roman" w:cs="Times New Roman"/>
          <w:i/>
        </w:rPr>
        <w:t>“</w:t>
      </w:r>
      <w:r w:rsidR="00580699" w:rsidRPr="005F691C">
        <w:rPr>
          <w:rFonts w:ascii="Times New Roman" w:hAnsi="Times New Roman" w:cs="Times New Roman"/>
          <w:i/>
        </w:rPr>
        <w:t>A protracted violent conflict, where one or more groups seek to overthrow or fundamentally change the political or social order in a state or region through the use of sustained violence, subversion, social disruption and political action.</w:t>
      </w:r>
      <w:r w:rsidRPr="005F691C">
        <w:rPr>
          <w:rFonts w:ascii="Times New Roman" w:hAnsi="Times New Roman" w:cs="Times New Roman"/>
          <w:i/>
        </w:rPr>
        <w:t>”</w:t>
      </w:r>
      <w:r w:rsidR="00580699" w:rsidRPr="005F691C">
        <w:rPr>
          <w:rStyle w:val="FootnoteReference"/>
          <w:rFonts w:ascii="Times New Roman" w:hAnsi="Times New Roman" w:cs="Times New Roman"/>
          <w:i/>
        </w:rPr>
        <w:footnoteReference w:id="68"/>
      </w:r>
    </w:p>
    <w:p w14:paraId="07D3A65A" w14:textId="77777777" w:rsidR="00580699" w:rsidRPr="005F691C" w:rsidRDefault="00580699" w:rsidP="00580699">
      <w:pPr>
        <w:spacing w:line="360" w:lineRule="auto"/>
        <w:ind w:left="-567" w:right="-631"/>
        <w:jc w:val="both"/>
        <w:rPr>
          <w:rFonts w:ascii="Times New Roman" w:hAnsi="Times New Roman" w:cs="Times New Roman"/>
        </w:rPr>
      </w:pPr>
    </w:p>
    <w:p w14:paraId="5DA17B06" w14:textId="043442A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This definition of insurgency shows that terrorism is a tactic through which a group may apply sustained violence and social disruption so as to achieve their desired outcome. Terrorism is thought of as one of the tactics of insurgency, where violent action is taken against civilian populations in order to attain various objectives, be they </w:t>
      </w:r>
      <w:r w:rsidR="005068F6">
        <w:rPr>
          <w:rFonts w:ascii="Times New Roman" w:hAnsi="Times New Roman" w:cs="Times New Roman"/>
        </w:rPr>
        <w:t>economic, social or political</w:t>
      </w:r>
      <w:r w:rsidRPr="005F691C">
        <w:rPr>
          <w:rFonts w:ascii="Times New Roman" w:hAnsi="Times New Roman" w:cs="Times New Roman"/>
        </w:rPr>
        <w:t xml:space="preserve"> objectives.</w:t>
      </w:r>
      <w:r w:rsidRPr="005F691C">
        <w:rPr>
          <w:rStyle w:val="FootnoteReference"/>
          <w:rFonts w:ascii="Times New Roman" w:hAnsi="Times New Roman" w:cs="Times New Roman"/>
        </w:rPr>
        <w:footnoteReference w:id="69"/>
      </w:r>
      <w:r w:rsidRPr="005F691C">
        <w:rPr>
          <w:rFonts w:ascii="Times New Roman" w:hAnsi="Times New Roman" w:cs="Times New Roman"/>
        </w:rPr>
        <w:t xml:space="preserve"> Terrorism differs from other forms of insurgency, with regards to the operat</w:t>
      </w:r>
      <w:r w:rsidR="00FF414E" w:rsidRPr="005F691C">
        <w:rPr>
          <w:rFonts w:ascii="Times New Roman" w:hAnsi="Times New Roman" w:cs="Times New Roman"/>
        </w:rPr>
        <w:t>ional territory</w:t>
      </w:r>
      <w:r w:rsidRPr="005F691C">
        <w:rPr>
          <w:rFonts w:ascii="Times New Roman" w:hAnsi="Times New Roman" w:cs="Times New Roman"/>
        </w:rPr>
        <w:t xml:space="preserve">, as terrorists are forced to act in territory controlled by their enemies. </w:t>
      </w:r>
      <w:r w:rsidRPr="005F691C">
        <w:rPr>
          <w:rStyle w:val="FootnoteReference"/>
          <w:rFonts w:ascii="Times New Roman" w:hAnsi="Times New Roman" w:cs="Times New Roman"/>
        </w:rPr>
        <w:footnoteReference w:id="70"/>
      </w:r>
      <w:r w:rsidRPr="005F691C">
        <w:rPr>
          <w:rFonts w:ascii="Times New Roman" w:hAnsi="Times New Roman" w:cs="Times New Roman"/>
        </w:rPr>
        <w:t xml:space="preserve"> Both terrorists and insurgents employ the use of force, or the threat thereof, to coerce their target populations and to further the organisational agenda of the group. Both terrorists and insurgents may employ a variety of methods, such as threatening, injuring, or murdering both civilians and government officials through various means, in order to try and achieve their ultimate ends.</w:t>
      </w:r>
      <w:r w:rsidRPr="005F691C">
        <w:rPr>
          <w:rStyle w:val="FootnoteReference"/>
          <w:rFonts w:ascii="Times New Roman" w:hAnsi="Times New Roman" w:cs="Times New Roman"/>
        </w:rPr>
        <w:footnoteReference w:id="71"/>
      </w:r>
      <w:r w:rsidRPr="005F691C">
        <w:rPr>
          <w:rFonts w:ascii="Times New Roman" w:hAnsi="Times New Roman" w:cs="Times New Roman"/>
        </w:rPr>
        <w:t xml:space="preserve"> Thus, the use of terror can be merely a tactical tool of insurgents. Terrorism and insurgency share the common aim of achieving political change, however, terrorism cannot bring about change of its own devices, whereas insurgency attempts to achieve political change through arms.</w:t>
      </w:r>
      <w:r w:rsidRPr="005F691C">
        <w:rPr>
          <w:rStyle w:val="FootnoteReference"/>
          <w:rFonts w:ascii="Times New Roman" w:hAnsi="Times New Roman" w:cs="Times New Roman"/>
        </w:rPr>
        <w:footnoteReference w:id="72"/>
      </w:r>
      <w:r w:rsidR="00FF414E" w:rsidRPr="005F691C">
        <w:rPr>
          <w:rFonts w:ascii="Times New Roman" w:hAnsi="Times New Roman" w:cs="Times New Roman"/>
        </w:rPr>
        <w:t xml:space="preserve"> Insurgency also differs greatly from conventional warfare.</w:t>
      </w:r>
    </w:p>
    <w:p w14:paraId="16F97517" w14:textId="77777777" w:rsidR="00580699" w:rsidRPr="005F691C" w:rsidRDefault="00580699" w:rsidP="00580699">
      <w:pPr>
        <w:spacing w:line="360" w:lineRule="auto"/>
        <w:ind w:left="-567" w:right="-631"/>
        <w:jc w:val="both"/>
        <w:rPr>
          <w:rFonts w:ascii="Times New Roman" w:hAnsi="Times New Roman" w:cs="Times New Roman"/>
        </w:rPr>
      </w:pPr>
    </w:p>
    <w:p w14:paraId="7B0DBA02" w14:textId="63EDA2E9"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 main distinction between insurgency movements and conventional warfare is that insurgencies tend to be smaller and weaker groups within society, with asymmetric power and capabilities, where the state, or conventional army is more powerful. The insurgent group will thus attempt to fight the conventional army through more effective means and through the use of guerilla tactics. These tactics include hit-and-run raids and ambushes. The insurgents also rely on external support and aid in order to achieve ultimate success.</w:t>
      </w:r>
      <w:r w:rsidRPr="005F691C">
        <w:rPr>
          <w:rStyle w:val="FootnoteReference"/>
          <w:rFonts w:ascii="Times New Roman" w:hAnsi="Times New Roman" w:cs="Times New Roman"/>
        </w:rPr>
        <w:footnoteReference w:id="73"/>
      </w:r>
      <w:r w:rsidRPr="005F691C">
        <w:rPr>
          <w:rFonts w:ascii="Times New Roman" w:hAnsi="Times New Roman" w:cs="Times New Roman"/>
        </w:rPr>
        <w:t xml:space="preserve"> </w:t>
      </w:r>
    </w:p>
    <w:p w14:paraId="31ACD969" w14:textId="77777777" w:rsidR="00580699" w:rsidRPr="005F691C" w:rsidRDefault="00580699" w:rsidP="00695A40">
      <w:pPr>
        <w:spacing w:line="360" w:lineRule="auto"/>
        <w:ind w:right="-631"/>
        <w:jc w:val="both"/>
        <w:rPr>
          <w:rFonts w:ascii="Times New Roman" w:hAnsi="Times New Roman" w:cs="Times New Roman"/>
        </w:rPr>
      </w:pPr>
    </w:p>
    <w:p w14:paraId="4F1D67FC"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Thus distinct connections can be drawn between the terrorist organisation of Al-Qaeda and their ultimate aims of achieving a new religious world order, and the general rhetoric of insurgency movements and the attempt to achieve political change by similar violent and offensive means. However, it must be noted, that terrorism alone cannot achieve change and thus terrorism needs to be viewed as one of the options available to insurgents in their campaign, and is used in the hopes that eventually, through the continued use of protracted violence, the opponent will react in a disproportionate manner and reveal their own weaknesses and thus provide a method of defeat to the insurgents.</w:t>
      </w:r>
      <w:r w:rsidRPr="005F691C">
        <w:rPr>
          <w:rStyle w:val="FootnoteReference"/>
          <w:rFonts w:ascii="Times New Roman" w:hAnsi="Times New Roman" w:cs="Times New Roman"/>
        </w:rPr>
        <w:footnoteReference w:id="74"/>
      </w:r>
    </w:p>
    <w:p w14:paraId="362B1C65" w14:textId="77777777" w:rsidR="00580699" w:rsidRPr="005F691C" w:rsidRDefault="00580699" w:rsidP="00580699">
      <w:pPr>
        <w:spacing w:line="360" w:lineRule="auto"/>
        <w:ind w:left="-567" w:right="-631"/>
        <w:jc w:val="both"/>
        <w:rPr>
          <w:rFonts w:ascii="Times New Roman" w:hAnsi="Times New Roman" w:cs="Times New Roman"/>
        </w:rPr>
      </w:pPr>
    </w:p>
    <w:p w14:paraId="2EED0D1C" w14:textId="2BFA3579"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Terrorism is not, however, the only form that insurgency may take. There are various options available to insurgents, such coup d’états and riots, each of which has their own effect on the duration of the insurgency, the level of violence reached and the amount of threat it poses to the existing regime.</w:t>
      </w:r>
      <w:r w:rsidRPr="005F691C">
        <w:rPr>
          <w:rStyle w:val="FootnoteReference"/>
          <w:rFonts w:ascii="Times New Roman" w:hAnsi="Times New Roman" w:cs="Times New Roman"/>
        </w:rPr>
        <w:footnoteReference w:id="75"/>
      </w:r>
      <w:r w:rsidR="005068F6">
        <w:rPr>
          <w:rFonts w:ascii="Times New Roman" w:hAnsi="Times New Roman" w:cs="Times New Roman"/>
        </w:rPr>
        <w:t xml:space="preserve"> The main type of insurgency that is</w:t>
      </w:r>
      <w:r w:rsidRPr="005F691C">
        <w:rPr>
          <w:rFonts w:ascii="Times New Roman" w:hAnsi="Times New Roman" w:cs="Times New Roman"/>
        </w:rPr>
        <w:t xml:space="preserve"> significant in te</w:t>
      </w:r>
      <w:r w:rsidR="005068F6">
        <w:rPr>
          <w:rFonts w:ascii="Times New Roman" w:hAnsi="Times New Roman" w:cs="Times New Roman"/>
        </w:rPr>
        <w:t>rms of this research project is that</w:t>
      </w:r>
      <w:r w:rsidRPr="005F691C">
        <w:rPr>
          <w:rFonts w:ascii="Times New Roman" w:hAnsi="Times New Roman" w:cs="Times New Roman"/>
        </w:rPr>
        <w:t xml:space="preserve"> of terrorism.</w:t>
      </w:r>
    </w:p>
    <w:p w14:paraId="571CAA69" w14:textId="77777777" w:rsidR="00580699" w:rsidRPr="005F691C" w:rsidRDefault="00580699" w:rsidP="00580699">
      <w:pPr>
        <w:spacing w:line="360" w:lineRule="auto"/>
        <w:ind w:left="-567" w:right="-631"/>
        <w:jc w:val="both"/>
        <w:rPr>
          <w:rFonts w:ascii="Times New Roman" w:hAnsi="Times New Roman" w:cs="Times New Roman"/>
        </w:rPr>
      </w:pPr>
    </w:p>
    <w:p w14:paraId="01C263AD" w14:textId="083F1BB9" w:rsidR="00580699" w:rsidRPr="005F691C" w:rsidRDefault="002320A0" w:rsidP="00580699">
      <w:pPr>
        <w:spacing w:line="360" w:lineRule="auto"/>
        <w:ind w:left="-567" w:right="-631"/>
        <w:jc w:val="both"/>
        <w:rPr>
          <w:rFonts w:ascii="Times New Roman" w:hAnsi="Times New Roman" w:cs="Times New Roman"/>
          <w:b/>
          <w:u w:val="single"/>
        </w:rPr>
      </w:pPr>
      <w:r>
        <w:rPr>
          <w:rFonts w:ascii="Times New Roman" w:hAnsi="Times New Roman" w:cs="Times New Roman"/>
          <w:b/>
        </w:rPr>
        <w:t>2.3</w:t>
      </w:r>
      <w:r w:rsidR="00580699" w:rsidRPr="005F691C">
        <w:rPr>
          <w:rFonts w:ascii="Times New Roman" w:hAnsi="Times New Roman" w:cs="Times New Roman"/>
          <w:b/>
        </w:rPr>
        <w:t xml:space="preserve"> </w:t>
      </w:r>
      <w:r w:rsidR="00580699" w:rsidRPr="005F691C">
        <w:rPr>
          <w:rFonts w:ascii="Times New Roman" w:hAnsi="Times New Roman" w:cs="Times New Roman"/>
          <w:b/>
          <w:u w:val="single"/>
        </w:rPr>
        <w:t>The Role of Motivation</w:t>
      </w:r>
    </w:p>
    <w:p w14:paraId="19769C0C" w14:textId="77777777" w:rsidR="00580699" w:rsidRPr="005F691C" w:rsidRDefault="00580699" w:rsidP="00580699">
      <w:pPr>
        <w:spacing w:line="360" w:lineRule="auto"/>
        <w:ind w:left="-567" w:right="-631"/>
        <w:jc w:val="both"/>
        <w:rPr>
          <w:rFonts w:ascii="Times New Roman" w:hAnsi="Times New Roman" w:cs="Times New Roman"/>
        </w:rPr>
      </w:pPr>
    </w:p>
    <w:p w14:paraId="764D34AD"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There can be various motivations as to why individuals or groups would elect to participate in an insurgency campaign. With the progression of military capabilities, there has been an increased amount of killing, or maiming, by insurgent forces in their attempts to achieve their desired outcomes. This begs the question, what could motivate insurgents to act so violently, often against members of their own population, religion or kin?</w:t>
      </w:r>
    </w:p>
    <w:p w14:paraId="0AEACA29" w14:textId="77777777" w:rsidR="00580699" w:rsidRPr="005F691C" w:rsidRDefault="00580699" w:rsidP="00580699">
      <w:pPr>
        <w:spacing w:line="360" w:lineRule="auto"/>
        <w:ind w:left="-567" w:right="-631"/>
        <w:jc w:val="both"/>
        <w:rPr>
          <w:rFonts w:ascii="Times New Roman" w:hAnsi="Times New Roman" w:cs="Times New Roman"/>
        </w:rPr>
      </w:pPr>
    </w:p>
    <w:p w14:paraId="6C5A3D5D" w14:textId="7FC39068"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In contemporary insurgencies, the motivations appear to be based on religion and culture, rather than on nationalism. Nationalism takes centre stage for motivation in circumstances of state-centric insurgency.</w:t>
      </w:r>
      <w:r w:rsidRPr="005F691C">
        <w:rPr>
          <w:rStyle w:val="FootnoteReference"/>
          <w:rFonts w:ascii="Times New Roman" w:hAnsi="Times New Roman" w:cs="Times New Roman"/>
        </w:rPr>
        <w:footnoteReference w:id="76"/>
      </w:r>
      <w:r w:rsidRPr="005F691C">
        <w:rPr>
          <w:rFonts w:ascii="Times New Roman" w:hAnsi="Times New Roman" w:cs="Times New Roman"/>
        </w:rPr>
        <w:t xml:space="preserve"> Organisations such as Al-Qaeda use religion as the basis for achieving their political objectives, since the majority of the people whom they are targeting ascertain their identity from their religion.</w:t>
      </w:r>
      <w:r w:rsidRPr="005F691C">
        <w:rPr>
          <w:rStyle w:val="FootnoteReference"/>
          <w:rFonts w:ascii="Times New Roman" w:hAnsi="Times New Roman" w:cs="Times New Roman"/>
        </w:rPr>
        <w:footnoteReference w:id="77"/>
      </w:r>
      <w:r w:rsidRPr="005F691C">
        <w:rPr>
          <w:rFonts w:ascii="Times New Roman" w:hAnsi="Times New Roman" w:cs="Times New Roman"/>
        </w:rPr>
        <w:t xml:space="preserve">  The moral superiority of the insurgents is key to maintaining popular support. External support is vital to success, and thus religion provides a firm basis for the achievement of moral superiority.</w:t>
      </w:r>
      <w:r w:rsidRPr="005F691C">
        <w:rPr>
          <w:rStyle w:val="FootnoteReference"/>
          <w:rFonts w:ascii="Times New Roman" w:hAnsi="Times New Roman" w:cs="Times New Roman"/>
        </w:rPr>
        <w:footnoteReference w:id="78"/>
      </w:r>
      <w:r w:rsidRPr="005F691C">
        <w:rPr>
          <w:rFonts w:ascii="Times New Roman" w:hAnsi="Times New Roman" w:cs="Times New Roman"/>
        </w:rPr>
        <w:t xml:space="preserve">  The belief is that superior political and moral will is capable of defeating greater economic and military power.</w:t>
      </w:r>
      <w:r w:rsidRPr="005F691C">
        <w:rPr>
          <w:rStyle w:val="FootnoteReference"/>
          <w:rFonts w:ascii="Times New Roman" w:hAnsi="Times New Roman" w:cs="Times New Roman"/>
        </w:rPr>
        <w:footnoteReference w:id="79"/>
      </w:r>
      <w:r w:rsidRPr="005F691C">
        <w:rPr>
          <w:rFonts w:ascii="Times New Roman" w:hAnsi="Times New Roman" w:cs="Times New Roman"/>
        </w:rPr>
        <w:t xml:space="preserve"> It is also not uncommon for the motivations provided to the population to be changed and fine-tuned according to which segment of the population the insurgent group is targeting at that precise moment in time.</w:t>
      </w:r>
    </w:p>
    <w:p w14:paraId="5CF11B02" w14:textId="77777777" w:rsidR="00580699" w:rsidRPr="005F691C" w:rsidRDefault="00580699" w:rsidP="00580699">
      <w:pPr>
        <w:spacing w:line="360" w:lineRule="auto"/>
        <w:ind w:left="-567" w:right="-631"/>
        <w:jc w:val="both"/>
        <w:rPr>
          <w:rFonts w:ascii="Times New Roman" w:hAnsi="Times New Roman" w:cs="Times New Roman"/>
        </w:rPr>
      </w:pPr>
    </w:p>
    <w:p w14:paraId="28A6103E" w14:textId="56F05610"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message given to those who are undecided or maintain a neutral stance is that it is in their best interests to remain silent on the matter, and leave the battle to the insurgents and the outsiders. Those who are considered outsiders, either in support of the </w:t>
      </w:r>
      <w:r w:rsidR="005068F6">
        <w:rPr>
          <w:rFonts w:ascii="Times New Roman" w:hAnsi="Times New Roman" w:cs="Times New Roman"/>
        </w:rPr>
        <w:t>counterinsurgency forces</w:t>
      </w:r>
      <w:r w:rsidRPr="005F691C">
        <w:rPr>
          <w:rFonts w:ascii="Times New Roman" w:hAnsi="Times New Roman" w:cs="Times New Roman"/>
        </w:rPr>
        <w:t>, or anti-insurgent, are constantly reminded that if they do not withdraw and accept defeat, they will be engaged in an endless and costly war.</w:t>
      </w:r>
      <w:r w:rsidRPr="005F691C">
        <w:rPr>
          <w:rStyle w:val="FootnoteReference"/>
          <w:rFonts w:ascii="Times New Roman" w:hAnsi="Times New Roman" w:cs="Times New Roman"/>
        </w:rPr>
        <w:footnoteReference w:id="80"/>
      </w:r>
      <w:r w:rsidRPr="005F691C">
        <w:rPr>
          <w:rFonts w:ascii="Times New Roman" w:hAnsi="Times New Roman" w:cs="Times New Roman"/>
        </w:rPr>
        <w:t xml:space="preserve"> The key objective of these messages and motivations is to paralyse key international and local groups who are attempting to thwart the insurgency, and to build up as much support for the insurgency as possible, with minimal resistance, which will ultimately allow for political change.</w:t>
      </w:r>
      <w:r w:rsidR="00E36A46" w:rsidRPr="005F691C">
        <w:rPr>
          <w:rStyle w:val="FootnoteReference"/>
          <w:rFonts w:ascii="Times New Roman" w:hAnsi="Times New Roman" w:cs="Times New Roman"/>
        </w:rPr>
        <w:footnoteReference w:id="81"/>
      </w:r>
      <w:r w:rsidRPr="005F691C">
        <w:rPr>
          <w:rFonts w:ascii="Times New Roman" w:hAnsi="Times New Roman" w:cs="Times New Roman"/>
        </w:rPr>
        <w:t xml:space="preserve"> </w:t>
      </w:r>
    </w:p>
    <w:p w14:paraId="05C9DF50" w14:textId="77777777" w:rsidR="00580699" w:rsidRPr="005F691C" w:rsidRDefault="00580699" w:rsidP="00580699">
      <w:pPr>
        <w:spacing w:line="360" w:lineRule="auto"/>
        <w:ind w:left="-567" w:right="-631"/>
        <w:jc w:val="both"/>
        <w:rPr>
          <w:rFonts w:ascii="Times New Roman" w:hAnsi="Times New Roman" w:cs="Times New Roman"/>
        </w:rPr>
      </w:pPr>
    </w:p>
    <w:p w14:paraId="2C88A9CD" w14:textId="0DFF0F92"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In both cases, state-centric insurgency and global insurgency, the ability of the insurgents and the counter-insurgents to gain as much influence as possible through various motivational channels is vital. Traditional diplomatic channels are still important but with the advent of technology, </w:t>
      </w:r>
      <w:r w:rsidR="00E36A46" w:rsidRPr="005F691C">
        <w:rPr>
          <w:rFonts w:ascii="Times New Roman" w:hAnsi="Times New Roman" w:cs="Times New Roman"/>
        </w:rPr>
        <w:t xml:space="preserve">they </w:t>
      </w:r>
      <w:r w:rsidRPr="005F691C">
        <w:rPr>
          <w:rFonts w:ascii="Times New Roman" w:hAnsi="Times New Roman" w:cs="Times New Roman"/>
        </w:rPr>
        <w:t xml:space="preserve">are no longer the sole </w:t>
      </w:r>
      <w:r w:rsidR="00E36A46" w:rsidRPr="005F691C">
        <w:rPr>
          <w:rFonts w:ascii="Times New Roman" w:hAnsi="Times New Roman" w:cs="Times New Roman"/>
        </w:rPr>
        <w:t>means of</w:t>
      </w:r>
      <w:r w:rsidRPr="005F691C">
        <w:rPr>
          <w:rFonts w:ascii="Times New Roman" w:hAnsi="Times New Roman" w:cs="Times New Roman"/>
        </w:rPr>
        <w:t xml:space="preserve"> communication with the masses. The media has become vital, but as the media becomes increasingly diversified, it is difficult for either side to have sole control over the message</w:t>
      </w:r>
      <w:r w:rsidR="00E36A46" w:rsidRPr="005F691C">
        <w:rPr>
          <w:rFonts w:ascii="Times New Roman" w:hAnsi="Times New Roman" w:cs="Times New Roman"/>
        </w:rPr>
        <w:t xml:space="preserve"> being broadcast and </w:t>
      </w:r>
      <w:r w:rsidR="005068F6" w:rsidRPr="005F691C">
        <w:rPr>
          <w:rFonts w:ascii="Times New Roman" w:hAnsi="Times New Roman" w:cs="Times New Roman"/>
        </w:rPr>
        <w:t>received</w:t>
      </w:r>
      <w:r w:rsidRPr="005F691C">
        <w:rPr>
          <w:rFonts w:ascii="Times New Roman" w:hAnsi="Times New Roman" w:cs="Times New Roman"/>
        </w:rPr>
        <w:t xml:space="preserve">. However a current key channel is that of the Internet, and the power it now wields for grassroots campaigns, widespread availability and fund raising or resource collection. </w:t>
      </w:r>
      <w:r w:rsidRPr="005F691C">
        <w:rPr>
          <w:rStyle w:val="FootnoteReference"/>
          <w:rFonts w:ascii="Times New Roman" w:hAnsi="Times New Roman" w:cs="Times New Roman"/>
        </w:rPr>
        <w:footnoteReference w:id="82"/>
      </w:r>
    </w:p>
    <w:p w14:paraId="11E6D79F"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5FEAA070" w14:textId="2E25BC93" w:rsidR="00580699" w:rsidRPr="005F691C" w:rsidRDefault="002320A0" w:rsidP="00580699">
      <w:pPr>
        <w:tabs>
          <w:tab w:val="left" w:pos="-567"/>
        </w:tabs>
        <w:spacing w:line="360" w:lineRule="auto"/>
        <w:ind w:left="-567" w:right="-631"/>
        <w:jc w:val="both"/>
        <w:rPr>
          <w:rFonts w:ascii="Times New Roman" w:hAnsi="Times New Roman" w:cs="Times New Roman"/>
          <w:b/>
          <w:u w:val="single"/>
        </w:rPr>
      </w:pPr>
      <w:r>
        <w:rPr>
          <w:rFonts w:ascii="Times New Roman" w:hAnsi="Times New Roman" w:cs="Times New Roman"/>
          <w:b/>
        </w:rPr>
        <w:t>2.4</w:t>
      </w:r>
      <w:r w:rsidR="00580699" w:rsidRPr="005F691C">
        <w:rPr>
          <w:rFonts w:ascii="Times New Roman" w:hAnsi="Times New Roman" w:cs="Times New Roman"/>
          <w:b/>
        </w:rPr>
        <w:t xml:space="preserve"> </w:t>
      </w:r>
      <w:r w:rsidR="00580699" w:rsidRPr="005F691C">
        <w:rPr>
          <w:rFonts w:ascii="Times New Roman" w:hAnsi="Times New Roman" w:cs="Times New Roman"/>
          <w:b/>
          <w:u w:val="single"/>
        </w:rPr>
        <w:t>From Rural to Urban Insurgency</w:t>
      </w:r>
    </w:p>
    <w:p w14:paraId="4719D2F0"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44BE0A64" w14:textId="1D222CE7" w:rsidR="00580699"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Insurgency has developed well beyond its original conceptualisations to include different forms of insurgency as well as different methods of performing an insurgent operation. One of the most crucial </w:t>
      </w:r>
      <w:r w:rsidR="00E36A46" w:rsidRPr="005F691C">
        <w:rPr>
          <w:rFonts w:ascii="Times New Roman" w:hAnsi="Times New Roman" w:cs="Times New Roman"/>
        </w:rPr>
        <w:t>developments</w:t>
      </w:r>
      <w:r w:rsidRPr="005F691C">
        <w:rPr>
          <w:rFonts w:ascii="Times New Roman" w:hAnsi="Times New Roman" w:cs="Times New Roman"/>
        </w:rPr>
        <w:t xml:space="preserve"> of insurgency for the purposes of this research has been the development from rural insurgency to urban insurgency. </w:t>
      </w:r>
      <w:r w:rsidR="005068F6">
        <w:rPr>
          <w:rFonts w:ascii="Times New Roman" w:hAnsi="Times New Roman" w:cs="Times New Roman"/>
        </w:rPr>
        <w:t>T</w:t>
      </w:r>
      <w:r w:rsidRPr="005F691C">
        <w:rPr>
          <w:rFonts w:ascii="Times New Roman" w:hAnsi="Times New Roman" w:cs="Times New Roman"/>
        </w:rPr>
        <w:t xml:space="preserve">raditionally insurgency, </w:t>
      </w:r>
      <w:r w:rsidR="00E36A46" w:rsidRPr="005F691C">
        <w:rPr>
          <w:rFonts w:ascii="Times New Roman" w:hAnsi="Times New Roman" w:cs="Times New Roman"/>
        </w:rPr>
        <w:t>and most commonly the</w:t>
      </w:r>
      <w:r w:rsidRPr="005F691C">
        <w:rPr>
          <w:rFonts w:ascii="Times New Roman" w:hAnsi="Times New Roman" w:cs="Times New Roman"/>
        </w:rPr>
        <w:t xml:space="preserve"> guerilla warfare</w:t>
      </w:r>
      <w:r w:rsidR="00E36A46" w:rsidRPr="005F691C">
        <w:rPr>
          <w:rFonts w:ascii="Times New Roman" w:hAnsi="Times New Roman" w:cs="Times New Roman"/>
        </w:rPr>
        <w:t xml:space="preserve"> variation</w:t>
      </w:r>
      <w:r w:rsidRPr="005F691C">
        <w:rPr>
          <w:rFonts w:ascii="Times New Roman" w:hAnsi="Times New Roman" w:cs="Times New Roman"/>
        </w:rPr>
        <w:t>, has been executed in rural settings, a battleground considered</w:t>
      </w:r>
      <w:r w:rsidR="00E36A46" w:rsidRPr="005F691C">
        <w:rPr>
          <w:rFonts w:ascii="Times New Roman" w:hAnsi="Times New Roman" w:cs="Times New Roman"/>
        </w:rPr>
        <w:t xml:space="preserve"> advantageous to the insurgents. A</w:t>
      </w:r>
      <w:r w:rsidRPr="005F691C">
        <w:rPr>
          <w:rFonts w:ascii="Times New Roman" w:hAnsi="Times New Roman" w:cs="Times New Roman"/>
        </w:rPr>
        <w:t>s the world has globalised and moved towards the city, the need to develop a successful urban insurgency strategy has become increasingly evident. Although urban insurgency is not a new concept, it was traditionally though</w:t>
      </w:r>
      <w:r w:rsidR="005068F6">
        <w:rPr>
          <w:rFonts w:ascii="Times New Roman" w:hAnsi="Times New Roman" w:cs="Times New Roman"/>
        </w:rPr>
        <w:t>t</w:t>
      </w:r>
      <w:r w:rsidRPr="005F691C">
        <w:rPr>
          <w:rFonts w:ascii="Times New Roman" w:hAnsi="Times New Roman" w:cs="Times New Roman"/>
        </w:rPr>
        <w:t xml:space="preserve"> of as a means to create distractions, or divert enemy attention, away from rural insurgencies, allowing for greater success and less opposition.</w:t>
      </w:r>
      <w:r w:rsidRPr="005F691C">
        <w:rPr>
          <w:rStyle w:val="FootnoteReference"/>
          <w:rFonts w:ascii="Times New Roman" w:hAnsi="Times New Roman" w:cs="Times New Roman"/>
        </w:rPr>
        <w:footnoteReference w:id="83"/>
      </w:r>
      <w:r w:rsidRPr="005F691C">
        <w:rPr>
          <w:rFonts w:ascii="Times New Roman" w:hAnsi="Times New Roman" w:cs="Times New Roman"/>
        </w:rPr>
        <w:t xml:space="preserve"> This traditional role of urban insurgency comprised of subversion, sabotage or recruiting, but remained devoid of any actual fighting or insurgent combat.</w:t>
      </w:r>
    </w:p>
    <w:p w14:paraId="49A189ED"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55351CA4" w14:textId="744EB790" w:rsidR="00580699"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Although the original Marxist </w:t>
      </w:r>
      <w:r w:rsidR="00E36A46" w:rsidRPr="005F691C">
        <w:rPr>
          <w:rFonts w:ascii="Times New Roman" w:hAnsi="Times New Roman" w:cs="Times New Roman"/>
        </w:rPr>
        <w:t>strategy</w:t>
      </w:r>
      <w:r w:rsidRPr="005F691C">
        <w:rPr>
          <w:rFonts w:ascii="Times New Roman" w:hAnsi="Times New Roman" w:cs="Times New Roman"/>
        </w:rPr>
        <w:t xml:space="preserve"> had always envisioned the urban proletariat as the key actor in an insurgent success, Maoist success in the rural areas convinced future strategists of the allure of rural warfare. This attraction to rural insurgency was further compounded by the fai</w:t>
      </w:r>
      <w:r w:rsidR="005068F6">
        <w:rPr>
          <w:rFonts w:ascii="Times New Roman" w:hAnsi="Times New Roman" w:cs="Times New Roman"/>
        </w:rPr>
        <w:t>lures of various urban insurgency</w:t>
      </w:r>
      <w:r w:rsidRPr="005F691C">
        <w:rPr>
          <w:rFonts w:ascii="Times New Roman" w:hAnsi="Times New Roman" w:cs="Times New Roman"/>
        </w:rPr>
        <w:t xml:space="preserve"> campaigns such as Venezuela, and Guevara’s failed attempts at foco theory outside of Cuba.</w:t>
      </w:r>
      <w:r w:rsidRPr="005F691C">
        <w:rPr>
          <w:rStyle w:val="FootnoteReference"/>
          <w:rFonts w:ascii="Times New Roman" w:hAnsi="Times New Roman" w:cs="Times New Roman"/>
        </w:rPr>
        <w:footnoteReference w:id="84"/>
      </w:r>
      <w:r w:rsidRPr="005F691C">
        <w:rPr>
          <w:rFonts w:ascii="Times New Roman" w:hAnsi="Times New Roman" w:cs="Times New Roman"/>
        </w:rPr>
        <w:t xml:space="preserve"> However, urban insurgency strategy gained popularity around the 1960’s and 1970’s</w:t>
      </w:r>
      <w:r w:rsidR="00E36A46" w:rsidRPr="005F691C">
        <w:rPr>
          <w:rFonts w:ascii="Times New Roman" w:hAnsi="Times New Roman" w:cs="Times New Roman"/>
        </w:rPr>
        <w:t>, due to the increasingly urban-based support and the strategic advantages offered to insurgencies in an urban environment.</w:t>
      </w:r>
      <w:r w:rsidRPr="005F691C">
        <w:rPr>
          <w:rStyle w:val="FootnoteReference"/>
          <w:rFonts w:ascii="Times New Roman" w:hAnsi="Times New Roman" w:cs="Times New Roman"/>
        </w:rPr>
        <w:footnoteReference w:id="85"/>
      </w:r>
      <w:r w:rsidRPr="005F691C">
        <w:rPr>
          <w:rFonts w:ascii="Times New Roman" w:hAnsi="Times New Roman" w:cs="Times New Roman"/>
        </w:rPr>
        <w:t xml:space="preserve"> There are large similarities between both rural and urban insurgency, as both strategies still draw on the main ideas put forward by the strategists discussed above. </w:t>
      </w:r>
    </w:p>
    <w:p w14:paraId="7198ADB8"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094D6C80" w14:textId="12CA5ED1" w:rsidR="00580699"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Some theorists of insurgency or revolutionary warfare divide the insurgency into three main strategic phases. These are the strategic defensive, the strategic stalemate, and the strategic counter-offensive.</w:t>
      </w:r>
      <w:r w:rsidRPr="005F691C">
        <w:rPr>
          <w:rStyle w:val="FootnoteReference"/>
          <w:rFonts w:ascii="Times New Roman" w:hAnsi="Times New Roman" w:cs="Times New Roman"/>
        </w:rPr>
        <w:footnoteReference w:id="86"/>
      </w:r>
      <w:r w:rsidRPr="005F691C">
        <w:rPr>
          <w:rFonts w:ascii="Times New Roman" w:hAnsi="Times New Roman" w:cs="Times New Roman"/>
        </w:rPr>
        <w:t xml:space="preserve"> The strategic defensive phase is the organisational phase, where the insurgents begin to build up and consolidate their support bases and structures. The strategic stalemate phase is the continuation of the expansion of their cell structure and there is a concentration on guerilla tactics and an attempt to wear the enemy down and change the balance of power to their own advantage. The final stage of </w:t>
      </w:r>
      <w:r w:rsidR="00E36A46" w:rsidRPr="005F691C">
        <w:rPr>
          <w:rFonts w:ascii="Times New Roman" w:hAnsi="Times New Roman" w:cs="Times New Roman"/>
        </w:rPr>
        <w:t xml:space="preserve">the </w:t>
      </w:r>
      <w:r w:rsidRPr="005F691C">
        <w:rPr>
          <w:rFonts w:ascii="Times New Roman" w:hAnsi="Times New Roman" w:cs="Times New Roman"/>
        </w:rPr>
        <w:t>strategic counter-offensive begins when insurgent operations turn to mobile warfare and they draw the enemy into conventional battles in order to finally defeat the counter-insurgency movement.</w:t>
      </w:r>
      <w:r w:rsidRPr="005F691C">
        <w:rPr>
          <w:rStyle w:val="FootnoteReference"/>
          <w:rFonts w:ascii="Times New Roman" w:hAnsi="Times New Roman" w:cs="Times New Roman"/>
        </w:rPr>
        <w:footnoteReference w:id="87"/>
      </w:r>
      <w:r w:rsidRPr="005F691C">
        <w:rPr>
          <w:rFonts w:ascii="Times New Roman" w:hAnsi="Times New Roman" w:cs="Times New Roman"/>
        </w:rPr>
        <w:t xml:space="preserve"> These general principles of insurgency are adopted by both rural and urban insurgencies in their attempts to gain control of an area. </w:t>
      </w:r>
    </w:p>
    <w:p w14:paraId="7A481954"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3B009983" w14:textId="367A98A1" w:rsidR="00580699"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During the earlier years, when Moaist strategy was employed through until the defeat of Guevara’s foco theory, rural insurgency was employed as a tactical advantage for insurgent groups. This was done in order to limit the mobility of conventional forces through difficult terrain, and thus allowed the insurgents to offset their lack of technology, organisation and numbers.</w:t>
      </w:r>
      <w:r w:rsidRPr="005F691C">
        <w:rPr>
          <w:rStyle w:val="FootnoteReference"/>
          <w:rFonts w:ascii="Times New Roman" w:hAnsi="Times New Roman" w:cs="Times New Roman"/>
        </w:rPr>
        <w:footnoteReference w:id="88"/>
      </w:r>
      <w:r w:rsidRPr="005F691C">
        <w:rPr>
          <w:rFonts w:ascii="Times New Roman" w:hAnsi="Times New Roman" w:cs="Times New Roman"/>
        </w:rPr>
        <w:t xml:space="preserve"> By spreading throughout rural territory, insurgents were able to gain another tactical advantage whereby the conventional forces of the enemy are forced to protect a much larger area t</w:t>
      </w:r>
      <w:r w:rsidR="00E36A46" w:rsidRPr="005F691C">
        <w:rPr>
          <w:rFonts w:ascii="Times New Roman" w:hAnsi="Times New Roman" w:cs="Times New Roman"/>
        </w:rPr>
        <w:t>han is possible and so they had to</w:t>
      </w:r>
      <w:r w:rsidRPr="005F691C">
        <w:rPr>
          <w:rFonts w:ascii="Times New Roman" w:hAnsi="Times New Roman" w:cs="Times New Roman"/>
        </w:rPr>
        <w:t xml:space="preserve"> choose the most vital and tactical options. Thus the insurgents </w:t>
      </w:r>
      <w:r w:rsidR="00E36A46" w:rsidRPr="005F691C">
        <w:rPr>
          <w:rFonts w:ascii="Times New Roman" w:hAnsi="Times New Roman" w:cs="Times New Roman"/>
        </w:rPr>
        <w:t>were</w:t>
      </w:r>
      <w:r w:rsidRPr="005F691C">
        <w:rPr>
          <w:rFonts w:ascii="Times New Roman" w:hAnsi="Times New Roman" w:cs="Times New Roman"/>
        </w:rPr>
        <w:t xml:space="preserve"> able to achieve greater advantage and force the enemy forces to remain immobile.</w:t>
      </w:r>
      <w:r w:rsidRPr="005F691C">
        <w:rPr>
          <w:rStyle w:val="FootnoteReference"/>
          <w:rFonts w:ascii="Times New Roman" w:hAnsi="Times New Roman" w:cs="Times New Roman"/>
        </w:rPr>
        <w:footnoteReference w:id="89"/>
      </w:r>
    </w:p>
    <w:p w14:paraId="210E02F2"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3193B4EA" w14:textId="353E39A5" w:rsidR="00580699"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However, as insurgency has progressed, there has been a movement from rural to urban insurgency. The urban landscape also provides tactical advantages to the insurgents where there</w:t>
      </w:r>
      <w:r w:rsidR="003D22FE" w:rsidRPr="005F691C">
        <w:rPr>
          <w:rFonts w:ascii="Times New Roman" w:hAnsi="Times New Roman" w:cs="Times New Roman"/>
        </w:rPr>
        <w:t xml:space="preserve"> are still limits to the </w:t>
      </w:r>
      <w:r w:rsidRPr="005F691C">
        <w:rPr>
          <w:rFonts w:ascii="Times New Roman" w:hAnsi="Times New Roman" w:cs="Times New Roman"/>
        </w:rPr>
        <w:t>mobility of conventional forces.</w:t>
      </w:r>
      <w:r w:rsidRPr="005F691C">
        <w:rPr>
          <w:rStyle w:val="FootnoteReference"/>
          <w:rFonts w:ascii="Times New Roman" w:hAnsi="Times New Roman" w:cs="Times New Roman"/>
        </w:rPr>
        <w:footnoteReference w:id="90"/>
      </w:r>
      <w:r w:rsidRPr="005F691C">
        <w:rPr>
          <w:rFonts w:ascii="Times New Roman" w:hAnsi="Times New Roman" w:cs="Times New Roman"/>
        </w:rPr>
        <w:t xml:space="preserve"> Urban insurgency ultimately aims to disrupt the ability of the </w:t>
      </w:r>
      <w:r w:rsidR="003D22FE" w:rsidRPr="005F691C">
        <w:rPr>
          <w:rFonts w:ascii="Times New Roman" w:hAnsi="Times New Roman" w:cs="Times New Roman"/>
        </w:rPr>
        <w:t>existing</w:t>
      </w:r>
      <w:r w:rsidRPr="005F691C">
        <w:rPr>
          <w:rFonts w:ascii="Times New Roman" w:hAnsi="Times New Roman" w:cs="Times New Roman"/>
        </w:rPr>
        <w:t xml:space="preserve"> leadership to successfully administer law and order within the territory, and does not attempt to build a conventional force to rival that of the </w:t>
      </w:r>
      <w:r w:rsidR="003D22FE" w:rsidRPr="005F691C">
        <w:rPr>
          <w:rFonts w:ascii="Times New Roman" w:hAnsi="Times New Roman" w:cs="Times New Roman"/>
        </w:rPr>
        <w:t xml:space="preserve">state’s </w:t>
      </w:r>
      <w:r w:rsidRPr="005F691C">
        <w:rPr>
          <w:rFonts w:ascii="Times New Roman" w:hAnsi="Times New Roman" w:cs="Times New Roman"/>
        </w:rPr>
        <w:t>conventional forces.</w:t>
      </w:r>
      <w:r w:rsidRPr="005F691C">
        <w:rPr>
          <w:rStyle w:val="FootnoteReference"/>
          <w:rFonts w:ascii="Times New Roman" w:hAnsi="Times New Roman" w:cs="Times New Roman"/>
        </w:rPr>
        <w:footnoteReference w:id="91"/>
      </w:r>
      <w:r w:rsidRPr="005F691C">
        <w:rPr>
          <w:rFonts w:ascii="Times New Roman" w:hAnsi="Times New Roman" w:cs="Times New Roman"/>
        </w:rPr>
        <w:t xml:space="preserve"> </w:t>
      </w:r>
    </w:p>
    <w:p w14:paraId="0A9034ED"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594B1940" w14:textId="7F217A5D" w:rsidR="00580699" w:rsidRPr="005F691C" w:rsidRDefault="002320A0" w:rsidP="00580699">
      <w:pPr>
        <w:tabs>
          <w:tab w:val="left" w:pos="-567"/>
        </w:tabs>
        <w:spacing w:line="360" w:lineRule="auto"/>
        <w:ind w:left="-567" w:right="-631"/>
        <w:jc w:val="both"/>
        <w:rPr>
          <w:rFonts w:ascii="Times New Roman" w:hAnsi="Times New Roman" w:cs="Times New Roman"/>
          <w:b/>
          <w:u w:val="single"/>
        </w:rPr>
      </w:pPr>
      <w:r>
        <w:rPr>
          <w:rFonts w:ascii="Times New Roman" w:hAnsi="Times New Roman" w:cs="Times New Roman"/>
          <w:b/>
        </w:rPr>
        <w:t>2.5</w:t>
      </w:r>
      <w:r w:rsidR="00580699" w:rsidRPr="005F691C">
        <w:rPr>
          <w:rFonts w:ascii="Times New Roman" w:hAnsi="Times New Roman" w:cs="Times New Roman"/>
          <w:b/>
        </w:rPr>
        <w:t xml:space="preserve"> </w:t>
      </w:r>
      <w:r w:rsidR="00580699" w:rsidRPr="005F691C">
        <w:rPr>
          <w:rFonts w:ascii="Times New Roman" w:hAnsi="Times New Roman" w:cs="Times New Roman"/>
          <w:b/>
          <w:u w:val="single"/>
        </w:rPr>
        <w:t>The classification of the IRA</w:t>
      </w:r>
    </w:p>
    <w:p w14:paraId="31148C16" w14:textId="77777777" w:rsidR="00580699" w:rsidRPr="005F691C" w:rsidRDefault="00580699" w:rsidP="00580699">
      <w:pPr>
        <w:tabs>
          <w:tab w:val="left" w:pos="-567"/>
        </w:tabs>
        <w:spacing w:line="360" w:lineRule="auto"/>
        <w:ind w:left="-567" w:right="-631"/>
        <w:jc w:val="both"/>
        <w:rPr>
          <w:rFonts w:ascii="Times New Roman" w:hAnsi="Times New Roman" w:cs="Times New Roman"/>
          <w:b/>
          <w:u w:val="single"/>
        </w:rPr>
      </w:pPr>
    </w:p>
    <w:p w14:paraId="7C4EE7AE" w14:textId="4C1FEA7A" w:rsidR="00580699" w:rsidRPr="005F691C" w:rsidRDefault="005068F6" w:rsidP="00580699">
      <w:pPr>
        <w:tabs>
          <w:tab w:val="left" w:pos="-567"/>
        </w:tabs>
        <w:spacing w:line="360" w:lineRule="auto"/>
        <w:ind w:left="-567" w:right="-631"/>
        <w:jc w:val="both"/>
        <w:rPr>
          <w:rFonts w:ascii="Times New Roman" w:hAnsi="Times New Roman" w:cs="Times New Roman"/>
        </w:rPr>
      </w:pPr>
      <w:r>
        <w:rPr>
          <w:rFonts w:ascii="Times New Roman" w:hAnsi="Times New Roman" w:cs="Times New Roman"/>
        </w:rPr>
        <w:t>From the years 1969</w:t>
      </w:r>
      <w:r w:rsidR="00580699" w:rsidRPr="005F691C">
        <w:rPr>
          <w:rFonts w:ascii="Times New Roman" w:hAnsi="Times New Roman" w:cs="Times New Roman"/>
        </w:rPr>
        <w:t xml:space="preserve"> until 1994, Ireland experienced the worst political violence that Western Europe had ever witnessed, with a death toll of 3 281 and tens of thousands of injuries, and a</w:t>
      </w:r>
      <w:r w:rsidR="003D22FE" w:rsidRPr="005F691C">
        <w:rPr>
          <w:rFonts w:ascii="Times New Roman" w:hAnsi="Times New Roman" w:cs="Times New Roman"/>
        </w:rPr>
        <w:t xml:space="preserve"> population that was characterised by social polaris</w:t>
      </w:r>
      <w:r w:rsidR="00580699" w:rsidRPr="005F691C">
        <w:rPr>
          <w:rFonts w:ascii="Times New Roman" w:hAnsi="Times New Roman" w:cs="Times New Roman"/>
        </w:rPr>
        <w:t>ation and instability.</w:t>
      </w:r>
      <w:r w:rsidR="00580699" w:rsidRPr="005F691C">
        <w:rPr>
          <w:rStyle w:val="FootnoteReference"/>
          <w:rFonts w:ascii="Times New Roman" w:hAnsi="Times New Roman" w:cs="Times New Roman"/>
        </w:rPr>
        <w:footnoteReference w:id="92"/>
      </w:r>
      <w:r w:rsidR="00580699" w:rsidRPr="005F691C">
        <w:rPr>
          <w:rFonts w:ascii="Times New Roman" w:hAnsi="Times New Roman" w:cs="Times New Roman"/>
        </w:rPr>
        <w:t xml:space="preserve"> This violence represented an anomaly for the highly developed</w:t>
      </w:r>
      <w:r w:rsidR="003D22FE" w:rsidRPr="005F691C">
        <w:rPr>
          <w:rFonts w:ascii="Times New Roman" w:hAnsi="Times New Roman" w:cs="Times New Roman"/>
        </w:rPr>
        <w:t xml:space="preserve"> Western</w:t>
      </w:r>
      <w:r w:rsidR="00580699" w:rsidRPr="005F691C">
        <w:rPr>
          <w:rFonts w:ascii="Times New Roman" w:hAnsi="Times New Roman" w:cs="Times New Roman"/>
        </w:rPr>
        <w:t xml:space="preserve"> world, even though it did not reach the level of being characteri</w:t>
      </w:r>
      <w:r w:rsidR="003D22FE" w:rsidRPr="005F691C">
        <w:rPr>
          <w:rFonts w:ascii="Times New Roman" w:hAnsi="Times New Roman" w:cs="Times New Roman"/>
        </w:rPr>
        <w:t>s</w:t>
      </w:r>
      <w:r w:rsidR="00580699" w:rsidRPr="005F691C">
        <w:rPr>
          <w:rFonts w:ascii="Times New Roman" w:hAnsi="Times New Roman" w:cs="Times New Roman"/>
        </w:rPr>
        <w:t xml:space="preserve">ed as a civil war. </w:t>
      </w:r>
      <w:r w:rsidR="00CC5AE4">
        <w:rPr>
          <w:rFonts w:ascii="Times New Roman" w:hAnsi="Times New Roman" w:cs="Times New Roman"/>
        </w:rPr>
        <w:t>T</w:t>
      </w:r>
      <w:r w:rsidR="00CC5AE4" w:rsidRPr="005F691C">
        <w:rPr>
          <w:rFonts w:ascii="Times New Roman" w:hAnsi="Times New Roman" w:cs="Times New Roman"/>
        </w:rPr>
        <w:t>here was Protestant dominance in politics and economics, which saw the marginalis</w:t>
      </w:r>
      <w:r w:rsidR="00CC5AE4">
        <w:rPr>
          <w:rFonts w:ascii="Times New Roman" w:hAnsi="Times New Roman" w:cs="Times New Roman"/>
        </w:rPr>
        <w:t>ation of the Catholic population within Northern Ireland, sewing the seeds</w:t>
      </w:r>
      <w:r w:rsidR="00580699" w:rsidRPr="005F691C">
        <w:rPr>
          <w:rFonts w:ascii="Times New Roman" w:hAnsi="Times New Roman" w:cs="Times New Roman"/>
        </w:rPr>
        <w:t xml:space="preserve"> of the conflict. </w:t>
      </w:r>
      <w:r w:rsidR="00580699" w:rsidRPr="005F691C">
        <w:rPr>
          <w:rStyle w:val="FootnoteReference"/>
          <w:rFonts w:ascii="Times New Roman" w:hAnsi="Times New Roman" w:cs="Times New Roman"/>
        </w:rPr>
        <w:footnoteReference w:id="93"/>
      </w:r>
      <w:r w:rsidR="00580699" w:rsidRPr="005F691C">
        <w:rPr>
          <w:rFonts w:ascii="Times New Roman" w:hAnsi="Times New Roman" w:cs="Times New Roman"/>
        </w:rPr>
        <w:t xml:space="preserve"> The </w:t>
      </w:r>
      <w:r>
        <w:rPr>
          <w:rFonts w:ascii="Times New Roman" w:hAnsi="Times New Roman" w:cs="Times New Roman"/>
        </w:rPr>
        <w:t>economic, social and political</w:t>
      </w:r>
      <w:r w:rsidR="00580699" w:rsidRPr="005F691C">
        <w:rPr>
          <w:rFonts w:ascii="Times New Roman" w:hAnsi="Times New Roman" w:cs="Times New Roman"/>
        </w:rPr>
        <w:t xml:space="preserve"> dominance of the Protestants came to increase the propensity for conflict and although attempts at reform were made, the efforts to create more equitable political conditions for Catholics only served to encourage conflict, as they neglected to consider embedded and stable systems of democracy and free and fair representation.</w:t>
      </w:r>
      <w:r w:rsidR="00580699" w:rsidRPr="005F691C">
        <w:rPr>
          <w:rStyle w:val="FootnoteReference"/>
          <w:rFonts w:ascii="Times New Roman" w:hAnsi="Times New Roman" w:cs="Times New Roman"/>
        </w:rPr>
        <w:footnoteReference w:id="94"/>
      </w:r>
      <w:r w:rsidR="00580699" w:rsidRPr="005F691C">
        <w:rPr>
          <w:rFonts w:ascii="Times New Roman" w:hAnsi="Times New Roman" w:cs="Times New Roman"/>
        </w:rPr>
        <w:t xml:space="preserve">  </w:t>
      </w:r>
    </w:p>
    <w:p w14:paraId="7A1AE72F"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7523E258" w14:textId="24503CB1" w:rsidR="00580699" w:rsidRPr="005F691C" w:rsidRDefault="00580699" w:rsidP="00580699">
      <w:pPr>
        <w:tabs>
          <w:tab w:val="left" w:pos="-567"/>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Initially, the IRA was poorly funded and run mainly by volunteers, but </w:t>
      </w:r>
      <w:r w:rsidR="003D22FE" w:rsidRPr="005F691C">
        <w:rPr>
          <w:rFonts w:ascii="Times New Roman" w:hAnsi="Times New Roman" w:cs="Times New Roman"/>
        </w:rPr>
        <w:t xml:space="preserve">it </w:t>
      </w:r>
      <w:r w:rsidRPr="005F691C">
        <w:rPr>
          <w:rFonts w:ascii="Times New Roman" w:hAnsi="Times New Roman" w:cs="Times New Roman"/>
        </w:rPr>
        <w:t>evolved to become economically capable of militant actions through activities such as bank robberies and organised crime. There was also a small amount of funding from organisations abroad, the most noteworthy of which was Northern Aid from the United States, although this amount was small.</w:t>
      </w:r>
      <w:r w:rsidRPr="005F691C">
        <w:rPr>
          <w:rStyle w:val="FootnoteReference"/>
          <w:rFonts w:ascii="Times New Roman" w:hAnsi="Times New Roman" w:cs="Times New Roman"/>
        </w:rPr>
        <w:footnoteReference w:id="95"/>
      </w:r>
      <w:r w:rsidRPr="005F691C">
        <w:rPr>
          <w:rFonts w:ascii="Times New Roman" w:hAnsi="Times New Roman" w:cs="Times New Roman"/>
        </w:rPr>
        <w:t xml:space="preserve"> Thus, having arms and finance, the most important factor of the IRA was their clear ideology, which was simplistic and easily relatable, and their defined recruitment base, which was outlined according to ethnic lines. </w:t>
      </w:r>
      <w:r w:rsidR="003D22FE" w:rsidRPr="005F691C">
        <w:rPr>
          <w:rFonts w:ascii="Times New Roman" w:hAnsi="Times New Roman" w:cs="Times New Roman"/>
        </w:rPr>
        <w:t>W</w:t>
      </w:r>
      <w:r w:rsidRPr="005F691C">
        <w:rPr>
          <w:rFonts w:ascii="Times New Roman" w:hAnsi="Times New Roman" w:cs="Times New Roman"/>
        </w:rPr>
        <w:t>ithin Northern Ireland, religion and ethnicity reinforce one another and thus are inseparable in these discussions.</w:t>
      </w:r>
      <w:r w:rsidRPr="005F691C">
        <w:rPr>
          <w:rStyle w:val="FootnoteReference"/>
          <w:rFonts w:ascii="Times New Roman" w:hAnsi="Times New Roman" w:cs="Times New Roman"/>
        </w:rPr>
        <w:footnoteReference w:id="96"/>
      </w:r>
      <w:r w:rsidRPr="005F691C">
        <w:rPr>
          <w:rFonts w:ascii="Times New Roman" w:hAnsi="Times New Roman" w:cs="Times New Roman"/>
        </w:rPr>
        <w:t xml:space="preserve"> The main distinction between insurgency movements and conventional warfare is that insurgencies tend to be smaller and weaker groups within society, experiencing asymmetric power and capabilities, where the state, or conventional army is more powerful.</w:t>
      </w:r>
      <w:r w:rsidRPr="005F691C">
        <w:rPr>
          <w:rStyle w:val="FootnoteReference"/>
          <w:rFonts w:ascii="Times New Roman" w:hAnsi="Times New Roman" w:cs="Times New Roman"/>
        </w:rPr>
        <w:footnoteReference w:id="97"/>
      </w:r>
      <w:r w:rsidRPr="005F691C">
        <w:rPr>
          <w:rFonts w:ascii="Times New Roman" w:hAnsi="Times New Roman" w:cs="Times New Roman"/>
        </w:rPr>
        <w:t xml:space="preserve"> Thus it can be seen that the IRA fulfills the most basic requirement of being classified as an insurgency movement.</w:t>
      </w:r>
    </w:p>
    <w:p w14:paraId="7CAF35F0"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1FBB39F7" w14:textId="77777777" w:rsidR="00754A04" w:rsidRDefault="00580699" w:rsidP="00754A04">
      <w:pPr>
        <w:spacing w:line="360" w:lineRule="auto"/>
        <w:ind w:left="-567" w:right="-631"/>
        <w:jc w:val="both"/>
        <w:rPr>
          <w:rFonts w:ascii="Times New Roman" w:hAnsi="Times New Roman" w:cs="Times New Roman"/>
        </w:rPr>
      </w:pPr>
      <w:r w:rsidRPr="005F691C">
        <w:rPr>
          <w:rFonts w:ascii="Times New Roman" w:hAnsi="Times New Roman" w:cs="Times New Roman"/>
        </w:rPr>
        <w:t>It is widely accepted that the demographic conditions in Ir</w:t>
      </w:r>
      <w:r w:rsidR="003D22FE" w:rsidRPr="005F691C">
        <w:rPr>
          <w:rFonts w:ascii="Times New Roman" w:hAnsi="Times New Roman" w:cs="Times New Roman"/>
        </w:rPr>
        <w:t>eland allowed for ethnic polaris</w:t>
      </w:r>
      <w:r w:rsidRPr="005F691C">
        <w:rPr>
          <w:rFonts w:ascii="Times New Roman" w:hAnsi="Times New Roman" w:cs="Times New Roman"/>
        </w:rPr>
        <w:t>ation and thus led to conflict within Northern Ireland.</w:t>
      </w:r>
      <w:r w:rsidRPr="005F691C">
        <w:rPr>
          <w:rStyle w:val="FootnoteReference"/>
          <w:rFonts w:ascii="Times New Roman" w:hAnsi="Times New Roman" w:cs="Times New Roman"/>
        </w:rPr>
        <w:footnoteReference w:id="98"/>
      </w:r>
      <w:r w:rsidRPr="005F691C">
        <w:rPr>
          <w:rFonts w:ascii="Times New Roman" w:hAnsi="Times New Roman" w:cs="Times New Roman"/>
        </w:rPr>
        <w:t xml:space="preserve"> As mentioned above, </w:t>
      </w:r>
      <w:r w:rsidR="003D22FE" w:rsidRPr="005F691C">
        <w:rPr>
          <w:rFonts w:ascii="Times New Roman" w:hAnsi="Times New Roman" w:cs="Times New Roman"/>
        </w:rPr>
        <w:t>state-centric</w:t>
      </w:r>
      <w:r w:rsidRPr="005F691C">
        <w:rPr>
          <w:rFonts w:ascii="Times New Roman" w:hAnsi="Times New Roman" w:cs="Times New Roman"/>
        </w:rPr>
        <w:t xml:space="preserve"> insurgencies have a specific developed ideology and a close relationship with large sections of the population of a specific territory. Furthermore, there is a will to overthrow the existing government. These insurgencies are most commonly fought within national borders.</w:t>
      </w:r>
      <w:r w:rsidRPr="005F691C">
        <w:rPr>
          <w:rStyle w:val="FootnoteReference"/>
          <w:rFonts w:ascii="Times New Roman" w:hAnsi="Times New Roman" w:cs="Times New Roman"/>
        </w:rPr>
        <w:footnoteReference w:id="99"/>
      </w:r>
      <w:r w:rsidRPr="005F691C">
        <w:rPr>
          <w:rFonts w:ascii="Times New Roman" w:hAnsi="Times New Roman" w:cs="Times New Roman"/>
        </w:rPr>
        <w:t xml:space="preserve"> </w:t>
      </w:r>
      <w:r w:rsidR="003D22FE" w:rsidRPr="005F691C">
        <w:rPr>
          <w:rFonts w:ascii="Times New Roman" w:hAnsi="Times New Roman" w:cs="Times New Roman"/>
        </w:rPr>
        <w:t xml:space="preserve">Within Ireland, the simplistic ideology of the IRA was to gain equal and fair representation for the Catholic population and thus to end ethnic polarisation. </w:t>
      </w:r>
      <w:r w:rsidRPr="005F691C">
        <w:rPr>
          <w:rFonts w:ascii="Times New Roman" w:hAnsi="Times New Roman" w:cs="Times New Roman"/>
        </w:rPr>
        <w:t xml:space="preserve">The IRA wished to eliminate the unjust rule of the existing government and their </w:t>
      </w:r>
      <w:r w:rsidR="003D22FE" w:rsidRPr="005F691C">
        <w:rPr>
          <w:rFonts w:ascii="Times New Roman" w:hAnsi="Times New Roman" w:cs="Times New Roman"/>
        </w:rPr>
        <w:t>activities</w:t>
      </w:r>
      <w:r w:rsidRPr="005F691C">
        <w:rPr>
          <w:rFonts w:ascii="Times New Roman" w:hAnsi="Times New Roman" w:cs="Times New Roman"/>
        </w:rPr>
        <w:t xml:space="preserve"> and objectives took place within the confines of Northern Ireland, they had no ambitions that superseded the Irish borders. </w:t>
      </w:r>
      <w:r w:rsidR="00754A04">
        <w:rPr>
          <w:rFonts w:ascii="Times New Roman" w:hAnsi="Times New Roman" w:cs="Times New Roman"/>
        </w:rPr>
        <w:t>In an interview she gave in 1970, Cathal Goulding, the then Chief of Staff to the IRA said the following during an interview when asked about how the IRA garnered support and established legitimacy:</w:t>
      </w:r>
    </w:p>
    <w:p w14:paraId="6CAB6BD4" w14:textId="77777777" w:rsidR="00754A04" w:rsidRDefault="00754A04" w:rsidP="00754A04">
      <w:pPr>
        <w:jc w:val="both"/>
        <w:rPr>
          <w:rFonts w:ascii="Times New Roman" w:hAnsi="Times New Roman" w:cs="Times New Roman"/>
          <w:i/>
        </w:rPr>
      </w:pPr>
      <w:r>
        <w:rPr>
          <w:rFonts w:ascii="Times New Roman" w:hAnsi="Times New Roman" w:cs="Times New Roman"/>
        </w:rPr>
        <w:t>“</w:t>
      </w:r>
      <w:r>
        <w:rPr>
          <w:rFonts w:ascii="Times New Roman" w:hAnsi="Times New Roman" w:cs="Times New Roman"/>
          <w:i/>
        </w:rPr>
        <w:t>T</w:t>
      </w:r>
      <w:r w:rsidRPr="008E4470">
        <w:rPr>
          <w:rFonts w:ascii="Times New Roman" w:hAnsi="Times New Roman" w:cs="Times New Roman"/>
          <w:i/>
        </w:rPr>
        <w:t xml:space="preserve">he answer was plain: we would have to establish our objectives; to explain these to our own movement; to persuade our movement to accept them; to bring them to the people and explain them—and then to show the people, by our initial political and agitationary activities, that we were sincere. We would have to declare what kind of Government, what </w:t>
      </w:r>
      <w:r w:rsidRPr="008E4470">
        <w:rPr>
          <w:rFonts w:ascii="Times New Roman" w:hAnsi="Times New Roman" w:cs="Times New Roman"/>
          <w:i/>
          <w:iCs/>
        </w:rPr>
        <w:t>kind</w:t>
      </w:r>
      <w:r>
        <w:rPr>
          <w:rFonts w:ascii="Times New Roman" w:hAnsi="Times New Roman" w:cs="Times New Roman"/>
          <w:i/>
          <w:iCs/>
        </w:rPr>
        <w:t xml:space="preserve"> </w:t>
      </w:r>
      <w:r w:rsidRPr="008E4470">
        <w:rPr>
          <w:rFonts w:ascii="Times New Roman" w:hAnsi="Times New Roman" w:cs="Times New Roman"/>
          <w:i/>
        </w:rPr>
        <w:t>of State we wanted in Ireland. We would then have to show the people by propaganda, education and action, why this type of system would be beneficial to them—that it would mean more bread and butter, better wages, better housing conditions, more education and a profounder cultural life for everyone.</w:t>
      </w:r>
      <w:r>
        <w:rPr>
          <w:rFonts w:ascii="Times New Roman" w:hAnsi="Times New Roman" w:cs="Times New Roman"/>
          <w:i/>
        </w:rPr>
        <w:t>”</w:t>
      </w:r>
      <w:r>
        <w:rPr>
          <w:rStyle w:val="FootnoteReference"/>
          <w:rFonts w:ascii="Times New Roman" w:hAnsi="Times New Roman" w:cs="Times New Roman"/>
          <w:i/>
        </w:rPr>
        <w:footnoteReference w:id="100"/>
      </w:r>
    </w:p>
    <w:p w14:paraId="07549F93" w14:textId="77777777" w:rsidR="00754A04" w:rsidRDefault="00754A04" w:rsidP="00754A04">
      <w:pPr>
        <w:jc w:val="both"/>
        <w:rPr>
          <w:rFonts w:ascii="Times New Roman" w:hAnsi="Times New Roman" w:cs="Times New Roman"/>
          <w:i/>
        </w:rPr>
      </w:pPr>
    </w:p>
    <w:p w14:paraId="547A921C" w14:textId="77777777" w:rsidR="00754A04" w:rsidRDefault="00754A04" w:rsidP="00754A04">
      <w:pPr>
        <w:spacing w:line="360" w:lineRule="auto"/>
        <w:ind w:left="-567" w:right="-709"/>
        <w:jc w:val="both"/>
        <w:rPr>
          <w:rFonts w:ascii="Times New Roman" w:hAnsi="Times New Roman" w:cs="Times New Roman"/>
        </w:rPr>
      </w:pPr>
      <w:r>
        <w:rPr>
          <w:rFonts w:ascii="Times New Roman" w:hAnsi="Times New Roman" w:cs="Times New Roman"/>
        </w:rPr>
        <w:t>The above quotation demonstrates the exact way in which a state-centric insurgency would operate. Through developing an ideology based on the social, economic and political grievances of the people meant that the IRA was able to easily establish simple objectives, which were relatable by most of the people whom they were targeting. They gained legitimacy through demonstrating why these objectives would be more beneficial to the people, based on solving those social, economic and political grievances, and by keeping their objectives firmly within the confines of the state.</w:t>
      </w:r>
      <w:r w:rsidRPr="002C72FA">
        <w:rPr>
          <w:rFonts w:ascii="Verdana" w:hAnsi="Verdana" w:cs="Verdana"/>
          <w:sz w:val="26"/>
          <w:szCs w:val="26"/>
        </w:rPr>
        <w:t xml:space="preserve"> </w:t>
      </w:r>
    </w:p>
    <w:p w14:paraId="7D440F7D" w14:textId="77777777" w:rsidR="00754A04" w:rsidRDefault="00754A04" w:rsidP="00754A04">
      <w:pPr>
        <w:spacing w:line="360" w:lineRule="auto"/>
        <w:ind w:left="-567" w:right="-709"/>
        <w:jc w:val="both"/>
        <w:rPr>
          <w:rFonts w:ascii="Times New Roman" w:hAnsi="Times New Roman" w:cs="Times New Roman"/>
        </w:rPr>
      </w:pPr>
    </w:p>
    <w:p w14:paraId="37132E04" w14:textId="77777777" w:rsidR="00754A04" w:rsidRDefault="00754A04" w:rsidP="00754A04">
      <w:pPr>
        <w:spacing w:line="360" w:lineRule="auto"/>
        <w:ind w:left="-567" w:right="-709"/>
        <w:jc w:val="both"/>
        <w:rPr>
          <w:rFonts w:ascii="Times New Roman" w:hAnsi="Times New Roman" w:cs="Times New Roman"/>
        </w:rPr>
      </w:pPr>
      <w:r>
        <w:rPr>
          <w:rFonts w:ascii="Times New Roman" w:hAnsi="Times New Roman" w:cs="Times New Roman"/>
        </w:rPr>
        <w:t>She reiterates the importance of gaining the support of the majority of the people through saying that;</w:t>
      </w:r>
    </w:p>
    <w:p w14:paraId="75D90FD0" w14:textId="77777777" w:rsidR="00754A04" w:rsidRPr="002C72FA" w:rsidRDefault="00754A04" w:rsidP="00754A04">
      <w:pPr>
        <w:ind w:left="-567" w:right="-709"/>
        <w:jc w:val="both"/>
        <w:rPr>
          <w:rFonts w:ascii="Times New Roman" w:hAnsi="Times New Roman" w:cs="Times New Roman"/>
          <w:i/>
        </w:rPr>
      </w:pPr>
    </w:p>
    <w:p w14:paraId="23409FE4" w14:textId="77777777" w:rsidR="00754A04" w:rsidRDefault="00754A04" w:rsidP="00754A04">
      <w:pPr>
        <w:jc w:val="both"/>
        <w:rPr>
          <w:rFonts w:ascii="Times New Roman" w:hAnsi="Times New Roman" w:cs="Times New Roman"/>
          <w:i/>
        </w:rPr>
      </w:pPr>
      <w:r w:rsidRPr="002C72FA">
        <w:rPr>
          <w:rFonts w:ascii="Times New Roman" w:hAnsi="Times New Roman" w:cs="Times New Roman"/>
          <w:i/>
        </w:rPr>
        <w:t xml:space="preserve"> “The people had no real knowledge of our objectives, they didn’t understand our tactics or our motives. It they didn’t understand us, they couldn’t be with us. Without the support of the majority of the people, we just couldn’t succeed.”</w:t>
      </w:r>
    </w:p>
    <w:p w14:paraId="0142B517" w14:textId="77777777" w:rsidR="00754A04" w:rsidRDefault="00754A04" w:rsidP="00754A04">
      <w:pPr>
        <w:jc w:val="both"/>
        <w:rPr>
          <w:rFonts w:ascii="Times New Roman" w:hAnsi="Times New Roman" w:cs="Times New Roman"/>
          <w:i/>
        </w:rPr>
      </w:pPr>
    </w:p>
    <w:p w14:paraId="7729DCDD" w14:textId="15D6706A" w:rsidR="00754A04" w:rsidRDefault="00754A04" w:rsidP="00754A04">
      <w:pPr>
        <w:spacing w:line="360" w:lineRule="auto"/>
        <w:ind w:left="-567" w:right="-709"/>
        <w:jc w:val="both"/>
        <w:rPr>
          <w:rFonts w:ascii="Times New Roman" w:hAnsi="Times New Roman" w:cs="Times New Roman"/>
        </w:rPr>
      </w:pPr>
      <w:r>
        <w:rPr>
          <w:rFonts w:ascii="Times New Roman" w:hAnsi="Times New Roman" w:cs="Times New Roman"/>
        </w:rPr>
        <w:t xml:space="preserve">The importance of establishing legitimacy and mass support has already been addressed in the discussion of the elements that define state-centric insurgency. The people of Ireland were subjected to a hearts and minds campaign on the part of the insurgent IRA, where they were shown how the objectives of the movement were in fact in their best interests and thus were convinced to give their support to the cause. </w:t>
      </w:r>
      <w:r w:rsidR="002001FB">
        <w:rPr>
          <w:rFonts w:ascii="Times New Roman" w:hAnsi="Times New Roman" w:cs="Times New Roman"/>
        </w:rPr>
        <w:t>The political party Sinn Fein, the political arm of the IRA, further embedded the legitimacy of the cause and gave the people true belief that the IRA would in fact be able to change the circumstances of the population.</w:t>
      </w:r>
      <w:r w:rsidR="002001FB">
        <w:rPr>
          <w:rStyle w:val="FootnoteReference"/>
          <w:rFonts w:ascii="Times New Roman" w:hAnsi="Times New Roman" w:cs="Times New Roman"/>
        </w:rPr>
        <w:footnoteReference w:id="101"/>
      </w:r>
      <w:r w:rsidR="00F37D3F">
        <w:rPr>
          <w:rFonts w:ascii="Times New Roman" w:hAnsi="Times New Roman" w:cs="Times New Roman"/>
        </w:rPr>
        <w:t xml:space="preserve"> </w:t>
      </w:r>
    </w:p>
    <w:p w14:paraId="6C7C1344" w14:textId="77777777" w:rsidR="00754A04" w:rsidRDefault="00754A04" w:rsidP="00754A04">
      <w:pPr>
        <w:spacing w:line="360" w:lineRule="auto"/>
        <w:ind w:left="-567" w:right="-709"/>
        <w:jc w:val="both"/>
        <w:rPr>
          <w:rFonts w:ascii="Times New Roman" w:hAnsi="Times New Roman" w:cs="Times New Roman"/>
        </w:rPr>
      </w:pPr>
    </w:p>
    <w:p w14:paraId="48C5EC19" w14:textId="6D85B394" w:rsidR="00FC6A7D" w:rsidRDefault="00580699" w:rsidP="00512127">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Thus, it is possible to see that the IRA would fall into this category of state-centric insurgency. The objectives of the IRA </w:t>
      </w:r>
      <w:r w:rsidR="005068F6">
        <w:rPr>
          <w:rFonts w:ascii="Times New Roman" w:hAnsi="Times New Roman" w:cs="Times New Roman"/>
        </w:rPr>
        <w:t xml:space="preserve">are </w:t>
      </w:r>
      <w:r w:rsidRPr="005F691C">
        <w:rPr>
          <w:rFonts w:ascii="Times New Roman" w:hAnsi="Times New Roman" w:cs="Times New Roman"/>
        </w:rPr>
        <w:t xml:space="preserve">in line with that of state-centric insurgency, where the desired outcome of the behaviour is a change in </w:t>
      </w:r>
      <w:r w:rsidR="005068F6">
        <w:rPr>
          <w:rFonts w:ascii="Times New Roman" w:hAnsi="Times New Roman" w:cs="Times New Roman"/>
        </w:rPr>
        <w:t>economic, social or political</w:t>
      </w:r>
      <w:r w:rsidRPr="005F691C">
        <w:rPr>
          <w:rFonts w:ascii="Times New Roman" w:hAnsi="Times New Roman" w:cs="Times New Roman"/>
        </w:rPr>
        <w:t xml:space="preserve"> order, operating within a defined territory and having a large population support base.</w:t>
      </w:r>
      <w:r w:rsidRPr="005F691C">
        <w:rPr>
          <w:rStyle w:val="FootnoteReference"/>
          <w:rFonts w:ascii="Times New Roman" w:hAnsi="Times New Roman" w:cs="Times New Roman"/>
        </w:rPr>
        <w:footnoteReference w:id="102"/>
      </w:r>
      <w:r w:rsidRPr="005F691C">
        <w:rPr>
          <w:rFonts w:ascii="Times New Roman" w:hAnsi="Times New Roman" w:cs="Times New Roman"/>
        </w:rPr>
        <w:t xml:space="preserve"> </w:t>
      </w:r>
    </w:p>
    <w:p w14:paraId="2CE1695C" w14:textId="77777777" w:rsidR="00754A04" w:rsidRPr="002C72FA" w:rsidRDefault="00754A04" w:rsidP="00754A04">
      <w:pPr>
        <w:spacing w:line="360" w:lineRule="auto"/>
        <w:ind w:left="-567" w:right="-709"/>
        <w:jc w:val="both"/>
        <w:rPr>
          <w:rFonts w:ascii="Times New Roman" w:hAnsi="Times New Roman" w:cs="Times New Roman"/>
        </w:rPr>
      </w:pPr>
    </w:p>
    <w:p w14:paraId="40BBA70B" w14:textId="0379C585" w:rsidR="005E73A8" w:rsidRPr="005F691C" w:rsidRDefault="002320A0" w:rsidP="00580699">
      <w:pPr>
        <w:spacing w:line="360" w:lineRule="auto"/>
        <w:ind w:left="-567" w:right="-631"/>
        <w:jc w:val="both"/>
        <w:rPr>
          <w:rFonts w:ascii="Times New Roman" w:hAnsi="Times New Roman" w:cs="Times New Roman"/>
          <w:b/>
        </w:rPr>
      </w:pPr>
      <w:r>
        <w:rPr>
          <w:rFonts w:ascii="Times New Roman" w:hAnsi="Times New Roman" w:cs="Times New Roman"/>
          <w:b/>
        </w:rPr>
        <w:t>2.6</w:t>
      </w:r>
      <w:r w:rsidR="005E73A8" w:rsidRPr="005F691C">
        <w:rPr>
          <w:rFonts w:ascii="Times New Roman" w:hAnsi="Times New Roman" w:cs="Times New Roman"/>
          <w:b/>
        </w:rPr>
        <w:t xml:space="preserve"> </w:t>
      </w:r>
      <w:r w:rsidR="005E73A8" w:rsidRPr="005F691C">
        <w:rPr>
          <w:rFonts w:ascii="Times New Roman" w:hAnsi="Times New Roman" w:cs="Times New Roman"/>
          <w:b/>
          <w:u w:val="single"/>
        </w:rPr>
        <w:t>Classification of Al Qaeda</w:t>
      </w:r>
    </w:p>
    <w:p w14:paraId="09CB76E4" w14:textId="77777777" w:rsidR="00580699" w:rsidRPr="005F691C" w:rsidRDefault="00580699" w:rsidP="00580699">
      <w:pPr>
        <w:tabs>
          <w:tab w:val="left" w:pos="-567"/>
        </w:tabs>
        <w:spacing w:line="360" w:lineRule="auto"/>
        <w:ind w:left="-567" w:right="-631"/>
        <w:jc w:val="both"/>
        <w:rPr>
          <w:rFonts w:ascii="Times New Roman" w:hAnsi="Times New Roman" w:cs="Times New Roman"/>
        </w:rPr>
      </w:pPr>
    </w:p>
    <w:p w14:paraId="5D9CC179" w14:textId="5226101E" w:rsidR="005E2576" w:rsidRDefault="00FF414E" w:rsidP="00580699">
      <w:pPr>
        <w:spacing w:line="360" w:lineRule="auto"/>
        <w:ind w:left="-567" w:right="-631"/>
        <w:jc w:val="both"/>
        <w:rPr>
          <w:rFonts w:ascii="Times New Roman" w:hAnsi="Times New Roman" w:cs="Times New Roman"/>
        </w:rPr>
      </w:pPr>
      <w:r w:rsidRPr="005F691C">
        <w:rPr>
          <w:rFonts w:ascii="Times New Roman" w:hAnsi="Times New Roman" w:cs="Times New Roman"/>
        </w:rPr>
        <w:t>Al Qaeda in Iraq has demonstrated on numerous occasions that their actions are not quarantined to the borders of their home state, but rather their activities are encouraged and actively pursued elsewhere. Various Al Qaeda affiliated networks exist worldwide, such as Ansar al-Islam which is situated on the Iraqi border, and Al Qaeda</w:t>
      </w:r>
      <w:r w:rsidR="005068F6">
        <w:rPr>
          <w:rFonts w:ascii="Times New Roman" w:hAnsi="Times New Roman" w:cs="Times New Roman"/>
        </w:rPr>
        <w:t xml:space="preserve"> itself</w:t>
      </w:r>
      <w:r w:rsidRPr="005F691C">
        <w:rPr>
          <w:rFonts w:ascii="Times New Roman" w:hAnsi="Times New Roman" w:cs="Times New Roman"/>
        </w:rPr>
        <w:t xml:space="preserve"> operates worldwide, most notoriously organising and carrying out the attacks in New York and Washington on 11 September 2001.</w:t>
      </w:r>
      <w:r w:rsidRPr="005F691C">
        <w:rPr>
          <w:rStyle w:val="FootnoteReference"/>
          <w:rFonts w:ascii="Times New Roman" w:hAnsi="Times New Roman" w:cs="Times New Roman"/>
        </w:rPr>
        <w:footnoteReference w:id="103"/>
      </w:r>
      <w:r w:rsidRPr="005F691C">
        <w:rPr>
          <w:rFonts w:ascii="Times New Roman" w:hAnsi="Times New Roman" w:cs="Times New Roman"/>
        </w:rPr>
        <w:t xml:space="preserve"> Here a distinction must be drawn between the activities of Al Qaeda in Iraq, and the Iraqi government itself. During the war in Iraq, the leader of Al Qaeda at the time, Osama Bin Laden, was careful to distance himself from the regime of Saddam Hussein and in fact used this distance to encourage the Iraqi people to fight for their honour and that of the Islamic nation as a whole.</w:t>
      </w:r>
      <w:r w:rsidRPr="005F691C">
        <w:rPr>
          <w:rStyle w:val="FootnoteReference"/>
          <w:rFonts w:ascii="Times New Roman" w:hAnsi="Times New Roman" w:cs="Times New Roman"/>
        </w:rPr>
        <w:footnoteReference w:id="104"/>
      </w:r>
      <w:r w:rsidR="008C5C86">
        <w:rPr>
          <w:rFonts w:ascii="Times New Roman" w:hAnsi="Times New Roman" w:cs="Times New Roman"/>
        </w:rPr>
        <w:t xml:space="preserve"> These actions are not the sole indicator of the global aspiration which drive Al Qaeda. Osama Bin Laden, seen as one of the great cultural, spiritual and political leaders of the terrorist organisation, instructed the people of Iraq in one of his Fatwas (doctrines) as f</w:t>
      </w:r>
      <w:r w:rsidR="000350D6">
        <w:rPr>
          <w:rFonts w:ascii="Times New Roman" w:hAnsi="Times New Roman" w:cs="Times New Roman"/>
        </w:rPr>
        <w:t>o</w:t>
      </w:r>
      <w:r w:rsidR="008C5C86">
        <w:rPr>
          <w:rFonts w:ascii="Times New Roman" w:hAnsi="Times New Roman" w:cs="Times New Roman"/>
        </w:rPr>
        <w:t>llows:</w:t>
      </w:r>
    </w:p>
    <w:p w14:paraId="33A77B15" w14:textId="77777777" w:rsidR="008C5C86" w:rsidRDefault="008C5C86" w:rsidP="00E432D2">
      <w:pPr>
        <w:spacing w:line="360" w:lineRule="auto"/>
        <w:ind w:left="-567" w:firstLine="567"/>
        <w:jc w:val="both"/>
        <w:rPr>
          <w:rFonts w:ascii="Times New Roman" w:hAnsi="Times New Roman" w:cs="Times New Roman"/>
        </w:rPr>
      </w:pPr>
      <w:r>
        <w:rPr>
          <w:rFonts w:ascii="Times New Roman" w:hAnsi="Times New Roman" w:cs="Times New Roman"/>
        </w:rPr>
        <w:tab/>
      </w:r>
    </w:p>
    <w:p w14:paraId="1016907A" w14:textId="16E93616" w:rsidR="008C5C86" w:rsidRDefault="008C5C86" w:rsidP="00E432D2">
      <w:pPr>
        <w:widowControl w:val="0"/>
        <w:autoSpaceDE w:val="0"/>
        <w:autoSpaceDN w:val="0"/>
        <w:adjustRightInd w:val="0"/>
        <w:spacing w:after="220"/>
        <w:rPr>
          <w:rFonts w:ascii="Times New Roman" w:hAnsi="Times New Roman" w:cs="Times New Roman"/>
          <w:i/>
          <w:color w:val="252525"/>
        </w:rPr>
      </w:pPr>
      <w:r w:rsidRPr="00E432D2">
        <w:rPr>
          <w:rFonts w:ascii="Times New Roman" w:hAnsi="Times New Roman" w:cs="Times New Roman"/>
          <w:i/>
        </w:rPr>
        <w:t>“</w:t>
      </w:r>
      <w:r w:rsidRPr="00E432D2">
        <w:rPr>
          <w:rFonts w:ascii="Times New Roman" w:hAnsi="Times New Roman" w:cs="Times New Roman"/>
          <w:i/>
          <w:color w:val="252525"/>
        </w:rPr>
        <w:t>From here, today we begin the work, talking and discussing the ways of correcting what had happened to the Islamic world in general</w:t>
      </w:r>
      <w:r w:rsidR="00E432D2">
        <w:rPr>
          <w:rFonts w:ascii="Times New Roman" w:hAnsi="Times New Roman" w:cs="Times New Roman"/>
          <w:i/>
          <w:color w:val="252525"/>
        </w:rPr>
        <w:t>…</w:t>
      </w:r>
      <w:r w:rsidR="00E432D2" w:rsidRPr="00E432D2">
        <w:rPr>
          <w:rFonts w:ascii="Times New Roman" w:hAnsi="Times New Roman" w:cs="Times New Roman"/>
          <w:i/>
          <w:color w:val="252525"/>
        </w:rPr>
        <w:t>Through its course of actions the regime has torn off its legitimacy:</w:t>
      </w:r>
      <w:r w:rsidR="00E432D2">
        <w:rPr>
          <w:rFonts w:ascii="Times New Roman" w:hAnsi="Times New Roman" w:cs="Times New Roman"/>
          <w:i/>
          <w:color w:val="252525"/>
        </w:rPr>
        <w:t xml:space="preserve"> </w:t>
      </w:r>
      <w:r w:rsidR="00E432D2" w:rsidRPr="00E432D2">
        <w:rPr>
          <w:rFonts w:ascii="Times New Roman" w:hAnsi="Times New Roman" w:cs="Times New Roman"/>
          <w:i/>
          <w:color w:val="252525"/>
        </w:rPr>
        <w:t>(1) Suspension of the Islamic Shari'ah law and exchang</w:t>
      </w:r>
      <w:r w:rsidR="00E432D2">
        <w:rPr>
          <w:rFonts w:ascii="Times New Roman" w:hAnsi="Times New Roman" w:cs="Times New Roman"/>
          <w:i/>
          <w:color w:val="252525"/>
        </w:rPr>
        <w:t>ing it with man made civil law…</w:t>
      </w:r>
      <w:r w:rsidR="00E432D2" w:rsidRPr="00E432D2">
        <w:rPr>
          <w:rFonts w:ascii="Times New Roman" w:hAnsi="Times New Roman" w:cs="Times New Roman"/>
          <w:i/>
          <w:color w:val="252525"/>
        </w:rPr>
        <w:t>(2) The inability of the regime to protect the country, and allowing the enemy of the Ummah - the American crusader forces- to occupy the land for the longest of years</w:t>
      </w:r>
      <w:r w:rsidR="00E432D2">
        <w:rPr>
          <w:rFonts w:ascii="Times New Roman" w:hAnsi="Times New Roman" w:cs="Times New Roman"/>
          <w:i/>
          <w:color w:val="252525"/>
        </w:rPr>
        <w:t>…</w:t>
      </w:r>
      <w:r w:rsidR="00E432D2" w:rsidRPr="00E432D2">
        <w:rPr>
          <w:rFonts w:ascii="Times New Roman" w:hAnsi="Times New Roman" w:cs="Times New Roman"/>
          <w:i/>
          <w:color w:val="252525"/>
        </w:rPr>
        <w:t>it must be obvious to you that, due to the imbalance of power between our armed forces and the enemy forces, a suitable means of fighting must be adopted i.e using fast moving light forces that work under complete secrecy. In other word to initiate a guerrilla warfare, were the sons of the nation, and not the military forces, take part in it.</w:t>
      </w:r>
      <w:r w:rsidRPr="00E432D2">
        <w:rPr>
          <w:rFonts w:ascii="Times New Roman" w:hAnsi="Times New Roman" w:cs="Times New Roman"/>
          <w:i/>
          <w:color w:val="252525"/>
        </w:rPr>
        <w:t>”</w:t>
      </w:r>
      <w:r w:rsidR="00E432D2">
        <w:rPr>
          <w:rStyle w:val="FootnoteReference"/>
          <w:rFonts w:ascii="Times New Roman" w:hAnsi="Times New Roman" w:cs="Times New Roman"/>
          <w:i/>
          <w:color w:val="252525"/>
        </w:rPr>
        <w:footnoteReference w:id="105"/>
      </w:r>
    </w:p>
    <w:p w14:paraId="38E201A9" w14:textId="77777777" w:rsidR="000350D6" w:rsidRPr="00E432D2" w:rsidRDefault="000350D6" w:rsidP="00E432D2">
      <w:pPr>
        <w:widowControl w:val="0"/>
        <w:autoSpaceDE w:val="0"/>
        <w:autoSpaceDN w:val="0"/>
        <w:adjustRightInd w:val="0"/>
        <w:spacing w:after="220"/>
        <w:rPr>
          <w:rFonts w:ascii="Times New Roman" w:hAnsi="Times New Roman" w:cs="Times New Roman"/>
          <w:i/>
          <w:color w:val="252525"/>
        </w:rPr>
      </w:pPr>
    </w:p>
    <w:p w14:paraId="61B72515" w14:textId="40E92D4D" w:rsidR="005E2576" w:rsidRDefault="000350D6" w:rsidP="000350D6">
      <w:pPr>
        <w:spacing w:line="360" w:lineRule="auto"/>
        <w:ind w:left="-567" w:right="-631"/>
        <w:jc w:val="both"/>
        <w:rPr>
          <w:rFonts w:ascii="Times New Roman" w:hAnsi="Times New Roman" w:cs="Times New Roman"/>
        </w:rPr>
      </w:pPr>
      <w:r>
        <w:rPr>
          <w:rFonts w:ascii="Times New Roman" w:hAnsi="Times New Roman" w:cs="Times New Roman"/>
        </w:rPr>
        <w:t xml:space="preserve">This extract from the self entitled “Declaration of War” which Bin Laden addressed to the Muslim world at large not only identified the West, with America as the leader, as the enemy, but also encouraged the Muslim world to fight for their freedom from the West, and to do so using “a suitable means of fighting”, identified as insurgency. The Fatwa also attempts to deprive the ruling authority in Iraq of legitimacy, having withdrawn the rule of Sharia law, and for allowing the “American crusaders” to invade and occupy the land. These elements demonstrate the way in which global terrorism attempts to find legitimacy based on narrow religious ideologies and the united hatred for the enemy which is eroding this path, in this case, the West, and in particular the United States. This excerpt also demonstrates the way in which the leaders of global terrorist movements use religious ideology backed by political rhetoric to recruit support worldwide. </w:t>
      </w:r>
    </w:p>
    <w:p w14:paraId="756FEEF9" w14:textId="77777777" w:rsidR="000350D6" w:rsidRPr="000350D6" w:rsidRDefault="000350D6" w:rsidP="000350D6">
      <w:pPr>
        <w:spacing w:line="360" w:lineRule="auto"/>
        <w:ind w:left="-567" w:right="-631"/>
        <w:jc w:val="both"/>
        <w:rPr>
          <w:rFonts w:ascii="Times New Roman" w:hAnsi="Times New Roman" w:cs="Times New Roman"/>
        </w:rPr>
      </w:pPr>
    </w:p>
    <w:p w14:paraId="093F80EE" w14:textId="77777777" w:rsidR="000350D6" w:rsidRDefault="000350D6" w:rsidP="000350D6">
      <w:pPr>
        <w:spacing w:line="360" w:lineRule="auto"/>
        <w:ind w:left="-567" w:right="-631"/>
        <w:jc w:val="both"/>
        <w:rPr>
          <w:rFonts w:ascii="Times New Roman" w:hAnsi="Times New Roman" w:cs="Times New Roman"/>
        </w:rPr>
      </w:pPr>
      <w:r w:rsidRPr="005F691C">
        <w:rPr>
          <w:rFonts w:ascii="Times New Roman" w:hAnsi="Times New Roman" w:cs="Times New Roman"/>
        </w:rPr>
        <w:t>Terrorist acts performed in the name of Islam are generally driven by operational styles, political rhetoric and ideological justifications that connect Islamist fighters to Al-Qaeda and a range of other terrorist organisations.</w:t>
      </w:r>
      <w:r w:rsidRPr="005F691C">
        <w:rPr>
          <w:rStyle w:val="FootnoteReference"/>
          <w:rFonts w:ascii="Times New Roman" w:hAnsi="Times New Roman" w:cs="Times New Roman"/>
        </w:rPr>
        <w:footnoteReference w:id="106"/>
      </w:r>
      <w:r w:rsidRPr="005F691C">
        <w:rPr>
          <w:rFonts w:ascii="Times New Roman" w:hAnsi="Times New Roman" w:cs="Times New Roman"/>
        </w:rPr>
        <w:t xml:space="preserve"> The common approach is that of selection of civilian targets, willingness to embrace suicide bombing, a desire to cleanse the world of Western influence and the desire to impose an extreme, narrow and highly politicised form of Islam across the Muslim world.</w:t>
      </w:r>
      <w:r w:rsidRPr="005F691C">
        <w:rPr>
          <w:rStyle w:val="FootnoteReference"/>
          <w:rFonts w:ascii="Times New Roman" w:hAnsi="Times New Roman" w:cs="Times New Roman"/>
        </w:rPr>
        <w:footnoteReference w:id="107"/>
      </w:r>
      <w:r w:rsidRPr="005F691C">
        <w:rPr>
          <w:rFonts w:ascii="Times New Roman" w:hAnsi="Times New Roman" w:cs="Times New Roman"/>
        </w:rPr>
        <w:t xml:space="preserve"> The belief of Islamist terrorist groups, including Al-Qaeda, is that the sanctity and culture of the Muslim land and people is being eroded by the influence of the West, and thus this influence must be eradicated immediately.</w:t>
      </w:r>
      <w:r w:rsidRPr="005F691C">
        <w:rPr>
          <w:rStyle w:val="FootnoteReference"/>
          <w:rFonts w:ascii="Times New Roman" w:hAnsi="Times New Roman" w:cs="Times New Roman"/>
        </w:rPr>
        <w:footnoteReference w:id="108"/>
      </w:r>
      <w:r w:rsidRPr="005F691C">
        <w:rPr>
          <w:rFonts w:ascii="Times New Roman" w:hAnsi="Times New Roman" w:cs="Times New Roman"/>
        </w:rPr>
        <w:t xml:space="preserve"> Al Qaeda</w:t>
      </w:r>
      <w:r>
        <w:rPr>
          <w:rFonts w:ascii="Times New Roman" w:hAnsi="Times New Roman" w:cs="Times New Roman"/>
        </w:rPr>
        <w:t xml:space="preserve"> can be labeled as a global insurgency as it seeks </w:t>
      </w:r>
      <w:r w:rsidRPr="005F691C">
        <w:rPr>
          <w:rFonts w:ascii="Times New Roman" w:hAnsi="Times New Roman" w:cs="Times New Roman"/>
        </w:rPr>
        <w:t>to establish a global Islamic caliphate, which will serve to implement a rigid and narrow form of Islamism across the entire Islamic world,</w:t>
      </w:r>
      <w:r>
        <w:rPr>
          <w:rFonts w:ascii="Times New Roman" w:hAnsi="Times New Roman" w:cs="Times New Roman"/>
        </w:rPr>
        <w:t xml:space="preserve"> and</w:t>
      </w:r>
      <w:r w:rsidRPr="005F691C">
        <w:rPr>
          <w:rFonts w:ascii="Times New Roman" w:hAnsi="Times New Roman" w:cs="Times New Roman"/>
        </w:rPr>
        <w:t xml:space="preserve"> seeks support worldwide based upon religion and ideology.</w:t>
      </w:r>
      <w:r w:rsidRPr="005F691C">
        <w:rPr>
          <w:rStyle w:val="FootnoteReference"/>
          <w:rFonts w:ascii="Times New Roman" w:hAnsi="Times New Roman" w:cs="Times New Roman"/>
        </w:rPr>
        <w:footnoteReference w:id="109"/>
      </w:r>
      <w:r w:rsidRPr="005F691C">
        <w:rPr>
          <w:rFonts w:ascii="Times New Roman" w:hAnsi="Times New Roman" w:cs="Times New Roman"/>
        </w:rPr>
        <w:t xml:space="preserve"> In the case of Al-Qaeda, supporters of the cause are told that they are defending their religion and faith against outsiders both within the borders of their home country, as well as those trying to erode the religion from outside.</w:t>
      </w:r>
      <w:r>
        <w:rPr>
          <w:rFonts w:ascii="Times New Roman" w:hAnsi="Times New Roman" w:cs="Times New Roman"/>
        </w:rPr>
        <w:t xml:space="preserve"> T</w:t>
      </w:r>
      <w:r w:rsidRPr="005F691C">
        <w:rPr>
          <w:rFonts w:ascii="Times New Roman" w:hAnsi="Times New Roman" w:cs="Times New Roman"/>
        </w:rPr>
        <w:t xml:space="preserve">he most important aspect of identification </w:t>
      </w:r>
      <w:r>
        <w:rPr>
          <w:rFonts w:ascii="Times New Roman" w:hAnsi="Times New Roman" w:cs="Times New Roman"/>
        </w:rPr>
        <w:t xml:space="preserve">to a global insurgency </w:t>
      </w:r>
      <w:r w:rsidRPr="005F691C">
        <w:rPr>
          <w:rFonts w:ascii="Times New Roman" w:hAnsi="Times New Roman" w:cs="Times New Roman"/>
        </w:rPr>
        <w:t xml:space="preserve">is the fact that Al Qaeda is not state based, but rather both their support base and their ultimate goals lie in a worldwide solution. </w:t>
      </w:r>
    </w:p>
    <w:p w14:paraId="75A0141D" w14:textId="77777777" w:rsidR="000350D6" w:rsidRPr="005F691C" w:rsidRDefault="000350D6" w:rsidP="000350D6">
      <w:pPr>
        <w:spacing w:line="360" w:lineRule="auto"/>
        <w:ind w:left="-567" w:right="-631"/>
        <w:jc w:val="both"/>
        <w:rPr>
          <w:rFonts w:ascii="Times New Roman" w:hAnsi="Times New Roman" w:cs="Times New Roman"/>
        </w:rPr>
      </w:pPr>
    </w:p>
    <w:p w14:paraId="77550AD5" w14:textId="7E3F38BD" w:rsidR="00D45116" w:rsidRDefault="00D45116" w:rsidP="00580699">
      <w:pPr>
        <w:spacing w:line="360" w:lineRule="auto"/>
        <w:ind w:left="-567" w:right="-631"/>
        <w:jc w:val="both"/>
        <w:rPr>
          <w:rFonts w:ascii="Times New Roman" w:hAnsi="Times New Roman" w:cs="Times New Roman"/>
        </w:rPr>
      </w:pPr>
      <w:r>
        <w:rPr>
          <w:rFonts w:ascii="Times New Roman" w:hAnsi="Times New Roman" w:cs="Times New Roman"/>
        </w:rPr>
        <w:t xml:space="preserve">Within Iraq, </w:t>
      </w:r>
      <w:r w:rsidR="007C1947">
        <w:rPr>
          <w:rFonts w:ascii="Times New Roman" w:hAnsi="Times New Roman" w:cs="Times New Roman"/>
        </w:rPr>
        <w:t>terrorist groups and the actions they take against the civilian population are not the only acts of violence that take place within the country. Iraq has experienced years of civil strife, with the civil war between Sunni and Shiite sectors from 2003 to 2008, Arab-Kurd tensions and the continued intra-Shi</w:t>
      </w:r>
      <w:r w:rsidR="009C005E">
        <w:rPr>
          <w:rFonts w:ascii="Times New Roman" w:hAnsi="Times New Roman" w:cs="Times New Roman"/>
        </w:rPr>
        <w:t>a violence.</w:t>
      </w:r>
      <w:r w:rsidR="009C005E">
        <w:rPr>
          <w:rStyle w:val="FootnoteReference"/>
          <w:rFonts w:ascii="Times New Roman" w:hAnsi="Times New Roman" w:cs="Times New Roman"/>
        </w:rPr>
        <w:footnoteReference w:id="110"/>
      </w:r>
      <w:r w:rsidR="009C005E">
        <w:rPr>
          <w:rFonts w:ascii="Times New Roman" w:hAnsi="Times New Roman" w:cs="Times New Roman"/>
        </w:rPr>
        <w:t xml:space="preserve"> Although Al Qaeda exacerbates these tensions by continuing attacks against Shia civilians, antagonising the situation, they are not the sole cause of all the tension within the country, and nor are they the sole insurgency within Iraq.</w:t>
      </w:r>
      <w:r w:rsidR="009C005E">
        <w:rPr>
          <w:rStyle w:val="FootnoteReference"/>
          <w:rFonts w:ascii="Times New Roman" w:hAnsi="Times New Roman" w:cs="Times New Roman"/>
        </w:rPr>
        <w:footnoteReference w:id="111"/>
      </w:r>
      <w:r w:rsidR="009C005E">
        <w:rPr>
          <w:rFonts w:ascii="Times New Roman" w:hAnsi="Times New Roman" w:cs="Times New Roman"/>
        </w:rPr>
        <w:t xml:space="preserve"> The overturn of a traditionally Sunni government by a Shia regime has created an unstable political environment, which only serves to intensify the sectarian </w:t>
      </w:r>
      <w:r w:rsidR="009C005E" w:rsidRPr="009C005E">
        <w:rPr>
          <w:rFonts w:ascii="Times New Roman" w:hAnsi="Times New Roman" w:cs="Times New Roman"/>
        </w:rPr>
        <w:t>pressures</w:t>
      </w:r>
      <w:r w:rsidR="009C005E">
        <w:rPr>
          <w:rFonts w:ascii="Times New Roman" w:hAnsi="Times New Roman" w:cs="Times New Roman"/>
        </w:rPr>
        <w:t>.</w:t>
      </w:r>
      <w:r w:rsidR="009C005E">
        <w:rPr>
          <w:rStyle w:val="FootnoteReference"/>
          <w:rFonts w:ascii="Times New Roman" w:hAnsi="Times New Roman" w:cs="Times New Roman"/>
        </w:rPr>
        <w:footnoteReference w:id="112"/>
      </w:r>
      <w:r w:rsidR="000F31FD">
        <w:rPr>
          <w:rFonts w:ascii="Times New Roman" w:hAnsi="Times New Roman" w:cs="Times New Roman"/>
        </w:rPr>
        <w:t xml:space="preserve"> Whilst solving the problem of Al Qaeda’s insurgency in Iraq would not put an end to all the violence and civil strife currently present in Iraq, this thesis aims to address the specific insurgency as presented by Al Qaeda. It is recognised that the different issues of violence currently within Iraq would require their own solutions, this thesis aims to address the problem of Al Qaeda and their specific role in the civil conflict. </w:t>
      </w:r>
    </w:p>
    <w:p w14:paraId="35D4640C" w14:textId="77777777" w:rsidR="00C8159A" w:rsidRPr="005F691C" w:rsidRDefault="00C8159A" w:rsidP="00C8159A">
      <w:pPr>
        <w:spacing w:line="360" w:lineRule="auto"/>
        <w:ind w:left="-567" w:right="-631"/>
        <w:jc w:val="both"/>
        <w:rPr>
          <w:rFonts w:ascii="Times New Roman" w:hAnsi="Times New Roman" w:cs="Times New Roman"/>
        </w:rPr>
      </w:pPr>
    </w:p>
    <w:p w14:paraId="300EE66B" w14:textId="510D2751" w:rsidR="002320A0" w:rsidRDefault="00C8159A" w:rsidP="00C8159A">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Having discussed the evolution and classification of various insurgencies, as well as how both the IRA and Al Qaeda are categorised according to various elements which connect them either to state-centric insurgency or global insurgency, this thesis will now continue to discuss counterinsurgency and how this strategy has been developed in response to the threat of insurgency which was developed over the years. </w:t>
      </w:r>
    </w:p>
    <w:p w14:paraId="4A16CEE8" w14:textId="3231A7A4" w:rsidR="00CC5AE4" w:rsidRPr="002320A0" w:rsidRDefault="002320A0" w:rsidP="002320A0">
      <w:pPr>
        <w:rPr>
          <w:rFonts w:ascii="Times New Roman" w:hAnsi="Times New Roman" w:cs="Times New Roman"/>
        </w:rPr>
      </w:pPr>
      <w:r>
        <w:rPr>
          <w:rFonts w:ascii="Times New Roman" w:hAnsi="Times New Roman" w:cs="Times New Roman"/>
        </w:rPr>
        <w:br w:type="page"/>
      </w:r>
    </w:p>
    <w:p w14:paraId="2D06FE50" w14:textId="0057151D" w:rsidR="00520DD5" w:rsidRDefault="00520DD5" w:rsidP="00CC5AE4">
      <w:pPr>
        <w:spacing w:line="360" w:lineRule="auto"/>
        <w:ind w:right="-631"/>
        <w:jc w:val="both"/>
        <w:rPr>
          <w:rFonts w:ascii="Times New Roman" w:hAnsi="Times New Roman" w:cs="Times New Roman"/>
          <w:b/>
          <w:u w:val="single"/>
        </w:rPr>
      </w:pPr>
      <w:r>
        <w:rPr>
          <w:rFonts w:ascii="Times New Roman" w:hAnsi="Times New Roman" w:cs="Times New Roman"/>
          <w:b/>
          <w:u w:val="single"/>
        </w:rPr>
        <w:t>Appendix B</w:t>
      </w:r>
    </w:p>
    <w:p w14:paraId="76E4D653" w14:textId="25C10343" w:rsidR="008847AA" w:rsidRPr="005F691C" w:rsidRDefault="003876C0" w:rsidP="00CC5AE4">
      <w:pPr>
        <w:spacing w:line="360" w:lineRule="auto"/>
        <w:ind w:right="-631"/>
        <w:jc w:val="both"/>
        <w:rPr>
          <w:rFonts w:ascii="Times New Roman" w:hAnsi="Times New Roman" w:cs="Times New Roman"/>
        </w:rPr>
      </w:pPr>
      <w:r w:rsidRPr="005F691C">
        <w:rPr>
          <w:rFonts w:ascii="Times New Roman" w:hAnsi="Times New Roman" w:cs="Times New Roman"/>
          <w:b/>
          <w:u w:val="single"/>
        </w:rPr>
        <w:t>Table 1: Comparison of Forms of Insur</w:t>
      </w:r>
      <w:r w:rsidR="008847AA" w:rsidRPr="005F691C">
        <w:rPr>
          <w:rFonts w:ascii="Times New Roman" w:hAnsi="Times New Roman" w:cs="Times New Roman"/>
          <w:b/>
          <w:u w:val="single"/>
        </w:rPr>
        <w:t>gency</w:t>
      </w:r>
      <w:r w:rsidR="00C52467">
        <w:rPr>
          <w:rStyle w:val="FootnoteReference"/>
          <w:rFonts w:ascii="Times New Roman" w:hAnsi="Times New Roman" w:cs="Times New Roman"/>
          <w:b/>
          <w:u w:val="single"/>
        </w:rPr>
        <w:footnoteReference w:id="113"/>
      </w:r>
    </w:p>
    <w:p w14:paraId="0A172884" w14:textId="77777777" w:rsidR="00580699" w:rsidRPr="005F691C" w:rsidRDefault="00580699" w:rsidP="002320A0">
      <w:pPr>
        <w:spacing w:line="360" w:lineRule="auto"/>
        <w:ind w:right="-631"/>
        <w:jc w:val="both"/>
        <w:rPr>
          <w:rFonts w:ascii="Times New Roman" w:hAnsi="Times New Roman" w:cs="Times New Roman"/>
        </w:rPr>
      </w:pPr>
    </w:p>
    <w:tbl>
      <w:tblPr>
        <w:tblStyle w:val="LightShading-Accent2"/>
        <w:tblpPr w:leftFromText="180" w:rightFromText="180" w:vertAnchor="page" w:horzAnchor="page" w:tblpX="1052" w:tblpY="2701"/>
        <w:tblW w:w="9909" w:type="dxa"/>
        <w:tblLook w:val="04A0" w:firstRow="1" w:lastRow="0" w:firstColumn="1" w:lastColumn="0" w:noHBand="0" w:noVBand="1"/>
      </w:tblPr>
      <w:tblGrid>
        <w:gridCol w:w="1668"/>
        <w:gridCol w:w="1417"/>
        <w:gridCol w:w="1276"/>
        <w:gridCol w:w="1300"/>
        <w:gridCol w:w="1251"/>
        <w:gridCol w:w="1276"/>
        <w:gridCol w:w="1721"/>
      </w:tblGrid>
      <w:tr w:rsidR="002320A0" w:rsidRPr="005F691C" w14:paraId="09175371" w14:textId="77777777" w:rsidTr="00520DD5">
        <w:trPr>
          <w:cnfStyle w:val="100000000000" w:firstRow="1" w:lastRow="0" w:firstColumn="0" w:lastColumn="0" w:oddVBand="0" w:evenVBand="0" w:oddHBand="0"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1668" w:type="dxa"/>
          </w:tcPr>
          <w:p w14:paraId="64CCB1E6" w14:textId="77777777" w:rsidR="002320A0" w:rsidRDefault="002320A0" w:rsidP="00520DD5">
            <w:pPr>
              <w:tabs>
                <w:tab w:val="left" w:pos="-567"/>
              </w:tabs>
              <w:spacing w:line="360" w:lineRule="auto"/>
              <w:ind w:right="-631" w:hanging="11"/>
              <w:rPr>
                <w:rFonts w:ascii="Times New Roman" w:hAnsi="Times New Roman" w:cs="Times New Roman"/>
                <w:u w:val="single"/>
              </w:rPr>
            </w:pPr>
            <w:r w:rsidRPr="005F691C">
              <w:rPr>
                <w:rFonts w:ascii="Times New Roman" w:hAnsi="Times New Roman" w:cs="Times New Roman"/>
                <w:u w:val="single"/>
              </w:rPr>
              <w:t xml:space="preserve">Type of </w:t>
            </w:r>
          </w:p>
          <w:p w14:paraId="69D0DDEA" w14:textId="1BD1C18A" w:rsidR="002320A0" w:rsidRPr="005F691C" w:rsidRDefault="002320A0" w:rsidP="00520DD5">
            <w:pPr>
              <w:tabs>
                <w:tab w:val="left" w:pos="-567"/>
              </w:tabs>
              <w:spacing w:line="360" w:lineRule="auto"/>
              <w:ind w:right="-631" w:hanging="11"/>
              <w:rPr>
                <w:rFonts w:ascii="Times New Roman" w:hAnsi="Times New Roman" w:cs="Times New Roman"/>
                <w:u w:val="single"/>
              </w:rPr>
            </w:pPr>
            <w:r w:rsidRPr="005F691C">
              <w:rPr>
                <w:rFonts w:ascii="Times New Roman" w:hAnsi="Times New Roman" w:cs="Times New Roman"/>
                <w:u w:val="single"/>
              </w:rPr>
              <w:t>Insurgency</w:t>
            </w:r>
          </w:p>
        </w:tc>
        <w:tc>
          <w:tcPr>
            <w:tcW w:w="1417" w:type="dxa"/>
          </w:tcPr>
          <w:p w14:paraId="58FA7DB5" w14:textId="77777777" w:rsidR="002320A0" w:rsidRDefault="002320A0" w:rsidP="00520DD5">
            <w:pPr>
              <w:tabs>
                <w:tab w:val="left" w:pos="-567"/>
              </w:tabs>
              <w:spacing w:line="360" w:lineRule="auto"/>
              <w:ind w:right="-631" w:hanging="11"/>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5F691C">
              <w:rPr>
                <w:rFonts w:ascii="Times New Roman" w:hAnsi="Times New Roman" w:cs="Times New Roman"/>
                <w:u w:val="single"/>
              </w:rPr>
              <w:t xml:space="preserve">Insurgency </w:t>
            </w:r>
          </w:p>
          <w:p w14:paraId="0CDE3D97" w14:textId="1CB579E6" w:rsidR="002320A0" w:rsidRPr="005F691C" w:rsidRDefault="002320A0" w:rsidP="00520DD5">
            <w:pPr>
              <w:tabs>
                <w:tab w:val="left" w:pos="-567"/>
              </w:tabs>
              <w:spacing w:line="360" w:lineRule="auto"/>
              <w:ind w:right="-631" w:hanging="11"/>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5F691C">
              <w:rPr>
                <w:rFonts w:ascii="Times New Roman" w:hAnsi="Times New Roman" w:cs="Times New Roman"/>
                <w:u w:val="single"/>
              </w:rPr>
              <w:t>Level</w:t>
            </w:r>
          </w:p>
        </w:tc>
        <w:tc>
          <w:tcPr>
            <w:tcW w:w="1276" w:type="dxa"/>
          </w:tcPr>
          <w:p w14:paraId="44ED8CB1" w14:textId="77777777" w:rsidR="002320A0" w:rsidRPr="005F691C" w:rsidRDefault="002320A0" w:rsidP="00520DD5">
            <w:pPr>
              <w:tabs>
                <w:tab w:val="left" w:pos="-567"/>
              </w:tabs>
              <w:spacing w:line="360" w:lineRule="auto"/>
              <w:ind w:right="-631" w:hanging="11"/>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5F691C">
              <w:rPr>
                <w:rFonts w:ascii="Times New Roman" w:hAnsi="Times New Roman" w:cs="Times New Roman"/>
                <w:u w:val="single"/>
              </w:rPr>
              <w:t xml:space="preserve">Numbers </w:t>
            </w:r>
          </w:p>
          <w:p w14:paraId="683B3D09" w14:textId="77777777" w:rsidR="002320A0" w:rsidRPr="005F691C" w:rsidRDefault="002320A0" w:rsidP="00520DD5">
            <w:pPr>
              <w:tabs>
                <w:tab w:val="left" w:pos="-567"/>
              </w:tabs>
              <w:spacing w:line="360" w:lineRule="auto"/>
              <w:ind w:right="-631" w:hanging="11"/>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5F691C">
              <w:rPr>
                <w:rFonts w:ascii="Times New Roman" w:hAnsi="Times New Roman" w:cs="Times New Roman"/>
                <w:u w:val="single"/>
              </w:rPr>
              <w:t>Involved</w:t>
            </w:r>
          </w:p>
        </w:tc>
        <w:tc>
          <w:tcPr>
            <w:tcW w:w="1300" w:type="dxa"/>
          </w:tcPr>
          <w:p w14:paraId="43A18133" w14:textId="77777777" w:rsidR="002320A0" w:rsidRPr="005F691C" w:rsidRDefault="002320A0" w:rsidP="00520DD5">
            <w:pPr>
              <w:tabs>
                <w:tab w:val="left" w:pos="-567"/>
              </w:tabs>
              <w:spacing w:line="360" w:lineRule="auto"/>
              <w:ind w:right="-631" w:hanging="11"/>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5F691C">
              <w:rPr>
                <w:rFonts w:ascii="Times New Roman" w:hAnsi="Times New Roman" w:cs="Times New Roman"/>
                <w:u w:val="single"/>
              </w:rPr>
              <w:t xml:space="preserve">Struggle </w:t>
            </w:r>
          </w:p>
          <w:p w14:paraId="25E64FD4" w14:textId="77777777" w:rsidR="002320A0" w:rsidRPr="005F691C" w:rsidRDefault="002320A0" w:rsidP="00520DD5">
            <w:pPr>
              <w:tabs>
                <w:tab w:val="left" w:pos="-567"/>
              </w:tabs>
              <w:spacing w:line="360" w:lineRule="auto"/>
              <w:ind w:right="-631" w:hanging="11"/>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5F691C">
              <w:rPr>
                <w:rFonts w:ascii="Times New Roman" w:hAnsi="Times New Roman" w:cs="Times New Roman"/>
                <w:u w:val="single"/>
              </w:rPr>
              <w:t>Duration</w:t>
            </w:r>
          </w:p>
        </w:tc>
        <w:tc>
          <w:tcPr>
            <w:tcW w:w="1251" w:type="dxa"/>
          </w:tcPr>
          <w:p w14:paraId="0F914ABD" w14:textId="77777777" w:rsidR="002320A0" w:rsidRPr="005F691C" w:rsidRDefault="002320A0" w:rsidP="00520DD5">
            <w:pPr>
              <w:tabs>
                <w:tab w:val="left" w:pos="-567"/>
              </w:tabs>
              <w:spacing w:line="360" w:lineRule="auto"/>
              <w:ind w:right="-631" w:hanging="11"/>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5F691C">
              <w:rPr>
                <w:rFonts w:ascii="Times New Roman" w:hAnsi="Times New Roman" w:cs="Times New Roman"/>
                <w:u w:val="single"/>
              </w:rPr>
              <w:t>Violence</w:t>
            </w:r>
          </w:p>
        </w:tc>
        <w:tc>
          <w:tcPr>
            <w:tcW w:w="1276" w:type="dxa"/>
          </w:tcPr>
          <w:p w14:paraId="53ECFC84" w14:textId="77777777" w:rsidR="002320A0" w:rsidRPr="005F691C" w:rsidRDefault="002320A0" w:rsidP="00520DD5">
            <w:pPr>
              <w:tabs>
                <w:tab w:val="left" w:pos="-567"/>
              </w:tabs>
              <w:spacing w:line="360" w:lineRule="auto"/>
              <w:ind w:right="-631" w:hanging="11"/>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5F691C">
              <w:rPr>
                <w:rFonts w:ascii="Times New Roman" w:hAnsi="Times New Roman" w:cs="Times New Roman"/>
                <w:u w:val="single"/>
              </w:rPr>
              <w:t xml:space="preserve">Threat to </w:t>
            </w:r>
          </w:p>
          <w:p w14:paraId="45A03536" w14:textId="77777777" w:rsidR="002320A0" w:rsidRPr="005F691C" w:rsidRDefault="002320A0" w:rsidP="00520DD5">
            <w:pPr>
              <w:tabs>
                <w:tab w:val="left" w:pos="-567"/>
              </w:tabs>
              <w:spacing w:line="360" w:lineRule="auto"/>
              <w:ind w:right="-631" w:hanging="11"/>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5F691C">
              <w:rPr>
                <w:rFonts w:ascii="Times New Roman" w:hAnsi="Times New Roman" w:cs="Times New Roman"/>
                <w:u w:val="single"/>
              </w:rPr>
              <w:t>Regime</w:t>
            </w:r>
          </w:p>
        </w:tc>
        <w:tc>
          <w:tcPr>
            <w:tcW w:w="1721" w:type="dxa"/>
          </w:tcPr>
          <w:p w14:paraId="2E26299E" w14:textId="77777777" w:rsidR="002320A0" w:rsidRPr="005F691C" w:rsidRDefault="002320A0" w:rsidP="00520DD5">
            <w:pPr>
              <w:tabs>
                <w:tab w:val="left" w:pos="-567"/>
              </w:tabs>
              <w:spacing w:line="360" w:lineRule="auto"/>
              <w:ind w:right="-631" w:hanging="11"/>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5F691C">
              <w:rPr>
                <w:rFonts w:ascii="Times New Roman" w:hAnsi="Times New Roman" w:cs="Times New Roman"/>
                <w:u w:val="single"/>
              </w:rPr>
              <w:t>Spontaneous?</w:t>
            </w:r>
          </w:p>
        </w:tc>
      </w:tr>
      <w:tr w:rsidR="002320A0" w:rsidRPr="005F691C" w14:paraId="6D36EF72" w14:textId="77777777" w:rsidTr="00520DD5">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1668" w:type="dxa"/>
          </w:tcPr>
          <w:p w14:paraId="5EE8BCA3" w14:textId="77777777" w:rsidR="002320A0" w:rsidRPr="005F691C" w:rsidRDefault="002320A0" w:rsidP="00520DD5">
            <w:pPr>
              <w:tabs>
                <w:tab w:val="left" w:pos="-567"/>
              </w:tabs>
              <w:spacing w:line="360" w:lineRule="auto"/>
              <w:ind w:right="-631" w:hanging="11"/>
              <w:jc w:val="both"/>
              <w:rPr>
                <w:rFonts w:ascii="Times New Roman" w:hAnsi="Times New Roman" w:cs="Times New Roman"/>
              </w:rPr>
            </w:pPr>
            <w:r w:rsidRPr="005F691C">
              <w:rPr>
                <w:rFonts w:ascii="Times New Roman" w:hAnsi="Times New Roman" w:cs="Times New Roman"/>
              </w:rPr>
              <w:t>Coup d’état</w:t>
            </w:r>
          </w:p>
        </w:tc>
        <w:tc>
          <w:tcPr>
            <w:tcW w:w="1417" w:type="dxa"/>
          </w:tcPr>
          <w:p w14:paraId="2199A7F6"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High</w:t>
            </w:r>
          </w:p>
        </w:tc>
        <w:tc>
          <w:tcPr>
            <w:tcW w:w="1276" w:type="dxa"/>
          </w:tcPr>
          <w:p w14:paraId="1ECD4DAE"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Few</w:t>
            </w:r>
          </w:p>
        </w:tc>
        <w:tc>
          <w:tcPr>
            <w:tcW w:w="1300" w:type="dxa"/>
          </w:tcPr>
          <w:p w14:paraId="4529C05C"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Short</w:t>
            </w:r>
          </w:p>
        </w:tc>
        <w:tc>
          <w:tcPr>
            <w:tcW w:w="1251" w:type="dxa"/>
          </w:tcPr>
          <w:p w14:paraId="6DC57371"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Varies</w:t>
            </w:r>
          </w:p>
        </w:tc>
        <w:tc>
          <w:tcPr>
            <w:tcW w:w="1276" w:type="dxa"/>
          </w:tcPr>
          <w:p w14:paraId="4AEAB714"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Great</w:t>
            </w:r>
          </w:p>
        </w:tc>
        <w:tc>
          <w:tcPr>
            <w:tcW w:w="1721" w:type="dxa"/>
          </w:tcPr>
          <w:p w14:paraId="297E4C04"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No</w:t>
            </w:r>
          </w:p>
        </w:tc>
      </w:tr>
      <w:tr w:rsidR="002320A0" w:rsidRPr="005F691C" w14:paraId="481E5B45" w14:textId="77777777" w:rsidTr="00520DD5">
        <w:trPr>
          <w:trHeight w:val="543"/>
        </w:trPr>
        <w:tc>
          <w:tcPr>
            <w:cnfStyle w:val="001000000000" w:firstRow="0" w:lastRow="0" w:firstColumn="1" w:lastColumn="0" w:oddVBand="0" w:evenVBand="0" w:oddHBand="0" w:evenHBand="0" w:firstRowFirstColumn="0" w:firstRowLastColumn="0" w:lastRowFirstColumn="0" w:lastRowLastColumn="0"/>
            <w:tcW w:w="1668" w:type="dxa"/>
          </w:tcPr>
          <w:p w14:paraId="6F8CD8E1" w14:textId="77777777" w:rsidR="002320A0" w:rsidRPr="005F691C" w:rsidRDefault="002320A0" w:rsidP="00520DD5">
            <w:pPr>
              <w:tabs>
                <w:tab w:val="left" w:pos="-567"/>
              </w:tabs>
              <w:spacing w:line="360" w:lineRule="auto"/>
              <w:ind w:right="-631" w:hanging="11"/>
              <w:jc w:val="both"/>
              <w:rPr>
                <w:rFonts w:ascii="Times New Roman" w:hAnsi="Times New Roman" w:cs="Times New Roman"/>
              </w:rPr>
            </w:pPr>
            <w:r w:rsidRPr="005F691C">
              <w:rPr>
                <w:rFonts w:ascii="Times New Roman" w:hAnsi="Times New Roman" w:cs="Times New Roman"/>
              </w:rPr>
              <w:t xml:space="preserve">Leninist </w:t>
            </w:r>
          </w:p>
          <w:p w14:paraId="0969224F" w14:textId="77777777" w:rsidR="002320A0" w:rsidRPr="005F691C" w:rsidRDefault="002320A0" w:rsidP="00520DD5">
            <w:pPr>
              <w:tabs>
                <w:tab w:val="left" w:pos="-567"/>
              </w:tabs>
              <w:spacing w:line="360" w:lineRule="auto"/>
              <w:ind w:right="-631" w:hanging="11"/>
              <w:jc w:val="both"/>
              <w:rPr>
                <w:rFonts w:ascii="Times New Roman" w:hAnsi="Times New Roman" w:cs="Times New Roman"/>
              </w:rPr>
            </w:pPr>
            <w:r w:rsidRPr="005F691C">
              <w:rPr>
                <w:rFonts w:ascii="Times New Roman" w:hAnsi="Times New Roman" w:cs="Times New Roman"/>
              </w:rPr>
              <w:t>Revolution</w:t>
            </w:r>
          </w:p>
        </w:tc>
        <w:tc>
          <w:tcPr>
            <w:tcW w:w="1417" w:type="dxa"/>
          </w:tcPr>
          <w:p w14:paraId="2155D9D6"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Low</w:t>
            </w:r>
          </w:p>
        </w:tc>
        <w:tc>
          <w:tcPr>
            <w:tcW w:w="1276" w:type="dxa"/>
          </w:tcPr>
          <w:p w14:paraId="7592B5DD"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Many</w:t>
            </w:r>
          </w:p>
        </w:tc>
        <w:tc>
          <w:tcPr>
            <w:tcW w:w="1300" w:type="dxa"/>
          </w:tcPr>
          <w:p w14:paraId="1857D84C"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Short</w:t>
            </w:r>
          </w:p>
        </w:tc>
        <w:tc>
          <w:tcPr>
            <w:tcW w:w="1251" w:type="dxa"/>
          </w:tcPr>
          <w:p w14:paraId="7D119C92"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Great</w:t>
            </w:r>
          </w:p>
        </w:tc>
        <w:tc>
          <w:tcPr>
            <w:tcW w:w="1276" w:type="dxa"/>
          </w:tcPr>
          <w:p w14:paraId="27B07963"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Great</w:t>
            </w:r>
          </w:p>
        </w:tc>
        <w:tc>
          <w:tcPr>
            <w:tcW w:w="1721" w:type="dxa"/>
          </w:tcPr>
          <w:p w14:paraId="382D979E"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Maybe</w:t>
            </w:r>
          </w:p>
        </w:tc>
      </w:tr>
      <w:tr w:rsidR="002320A0" w:rsidRPr="005F691C" w14:paraId="0AC5F37C" w14:textId="77777777" w:rsidTr="00520DD5">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1668" w:type="dxa"/>
          </w:tcPr>
          <w:p w14:paraId="4FA03BDC" w14:textId="77777777" w:rsidR="002320A0" w:rsidRPr="005F691C" w:rsidRDefault="002320A0" w:rsidP="00520DD5">
            <w:pPr>
              <w:tabs>
                <w:tab w:val="left" w:pos="-567"/>
              </w:tabs>
              <w:spacing w:line="360" w:lineRule="auto"/>
              <w:ind w:right="-631" w:hanging="11"/>
              <w:jc w:val="both"/>
              <w:rPr>
                <w:rFonts w:ascii="Times New Roman" w:hAnsi="Times New Roman" w:cs="Times New Roman"/>
              </w:rPr>
            </w:pPr>
            <w:r w:rsidRPr="005F691C">
              <w:rPr>
                <w:rFonts w:ascii="Times New Roman" w:hAnsi="Times New Roman" w:cs="Times New Roman"/>
              </w:rPr>
              <w:t>Guerilla</w:t>
            </w:r>
          </w:p>
        </w:tc>
        <w:tc>
          <w:tcPr>
            <w:tcW w:w="1417" w:type="dxa"/>
          </w:tcPr>
          <w:p w14:paraId="51253FF0"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Low</w:t>
            </w:r>
          </w:p>
        </w:tc>
        <w:tc>
          <w:tcPr>
            <w:tcW w:w="1276" w:type="dxa"/>
          </w:tcPr>
          <w:p w14:paraId="1D12ABF0"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Medium</w:t>
            </w:r>
          </w:p>
        </w:tc>
        <w:tc>
          <w:tcPr>
            <w:tcW w:w="1300" w:type="dxa"/>
          </w:tcPr>
          <w:p w14:paraId="705AD02E"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Long</w:t>
            </w:r>
          </w:p>
        </w:tc>
        <w:tc>
          <w:tcPr>
            <w:tcW w:w="1251" w:type="dxa"/>
          </w:tcPr>
          <w:p w14:paraId="66F1652D"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Great</w:t>
            </w:r>
          </w:p>
        </w:tc>
        <w:tc>
          <w:tcPr>
            <w:tcW w:w="1276" w:type="dxa"/>
          </w:tcPr>
          <w:p w14:paraId="55C361E9"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Varies</w:t>
            </w:r>
          </w:p>
        </w:tc>
        <w:tc>
          <w:tcPr>
            <w:tcW w:w="1721" w:type="dxa"/>
          </w:tcPr>
          <w:p w14:paraId="43901D6F"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No</w:t>
            </w:r>
          </w:p>
        </w:tc>
      </w:tr>
      <w:tr w:rsidR="002320A0" w:rsidRPr="005F691C" w14:paraId="341A2AFB" w14:textId="77777777" w:rsidTr="00520DD5">
        <w:trPr>
          <w:trHeight w:val="522"/>
        </w:trPr>
        <w:tc>
          <w:tcPr>
            <w:cnfStyle w:val="001000000000" w:firstRow="0" w:lastRow="0" w:firstColumn="1" w:lastColumn="0" w:oddVBand="0" w:evenVBand="0" w:oddHBand="0" w:evenHBand="0" w:firstRowFirstColumn="0" w:firstRowLastColumn="0" w:lastRowFirstColumn="0" w:lastRowLastColumn="0"/>
            <w:tcW w:w="1668" w:type="dxa"/>
          </w:tcPr>
          <w:p w14:paraId="671A8C73" w14:textId="77777777" w:rsidR="002320A0" w:rsidRPr="005F691C" w:rsidRDefault="002320A0" w:rsidP="00520DD5">
            <w:pPr>
              <w:tabs>
                <w:tab w:val="left" w:pos="-567"/>
              </w:tabs>
              <w:spacing w:line="360" w:lineRule="auto"/>
              <w:ind w:right="-631" w:hanging="11"/>
              <w:jc w:val="both"/>
              <w:rPr>
                <w:rFonts w:ascii="Times New Roman" w:hAnsi="Times New Roman" w:cs="Times New Roman"/>
              </w:rPr>
            </w:pPr>
            <w:r w:rsidRPr="005F691C">
              <w:rPr>
                <w:rFonts w:ascii="Times New Roman" w:hAnsi="Times New Roman" w:cs="Times New Roman"/>
              </w:rPr>
              <w:t>Riot</w:t>
            </w:r>
          </w:p>
        </w:tc>
        <w:tc>
          <w:tcPr>
            <w:tcW w:w="1417" w:type="dxa"/>
          </w:tcPr>
          <w:p w14:paraId="008AFEA8"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Low</w:t>
            </w:r>
          </w:p>
        </w:tc>
        <w:tc>
          <w:tcPr>
            <w:tcW w:w="1276" w:type="dxa"/>
          </w:tcPr>
          <w:p w14:paraId="6F583591"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Medium</w:t>
            </w:r>
          </w:p>
        </w:tc>
        <w:tc>
          <w:tcPr>
            <w:tcW w:w="1300" w:type="dxa"/>
          </w:tcPr>
          <w:p w14:paraId="260BE0E8"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Short</w:t>
            </w:r>
          </w:p>
        </w:tc>
        <w:tc>
          <w:tcPr>
            <w:tcW w:w="1251" w:type="dxa"/>
          </w:tcPr>
          <w:p w14:paraId="30BFF295"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Little</w:t>
            </w:r>
          </w:p>
        </w:tc>
        <w:tc>
          <w:tcPr>
            <w:tcW w:w="1276" w:type="dxa"/>
          </w:tcPr>
          <w:p w14:paraId="4ECA10D9"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Small</w:t>
            </w:r>
          </w:p>
        </w:tc>
        <w:tc>
          <w:tcPr>
            <w:tcW w:w="1721" w:type="dxa"/>
          </w:tcPr>
          <w:p w14:paraId="38F5430D"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Yes</w:t>
            </w:r>
          </w:p>
        </w:tc>
      </w:tr>
      <w:tr w:rsidR="002320A0" w:rsidRPr="005F691C" w14:paraId="67BFE9DC" w14:textId="77777777" w:rsidTr="00520DD5">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668" w:type="dxa"/>
          </w:tcPr>
          <w:p w14:paraId="6AEFB02E" w14:textId="77777777" w:rsidR="002320A0" w:rsidRPr="005F691C" w:rsidRDefault="002320A0" w:rsidP="00520DD5">
            <w:pPr>
              <w:tabs>
                <w:tab w:val="left" w:pos="-567"/>
              </w:tabs>
              <w:spacing w:line="360" w:lineRule="auto"/>
              <w:ind w:right="-631" w:hanging="11"/>
              <w:jc w:val="both"/>
              <w:rPr>
                <w:rFonts w:ascii="Times New Roman" w:hAnsi="Times New Roman" w:cs="Times New Roman"/>
              </w:rPr>
            </w:pPr>
            <w:r w:rsidRPr="005F691C">
              <w:rPr>
                <w:rFonts w:ascii="Times New Roman" w:hAnsi="Times New Roman" w:cs="Times New Roman"/>
              </w:rPr>
              <w:t>Terrorism</w:t>
            </w:r>
          </w:p>
        </w:tc>
        <w:tc>
          <w:tcPr>
            <w:tcW w:w="1417" w:type="dxa"/>
          </w:tcPr>
          <w:p w14:paraId="0846BC1E"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Low</w:t>
            </w:r>
          </w:p>
        </w:tc>
        <w:tc>
          <w:tcPr>
            <w:tcW w:w="1276" w:type="dxa"/>
          </w:tcPr>
          <w:p w14:paraId="1CAB717D"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Few</w:t>
            </w:r>
          </w:p>
        </w:tc>
        <w:tc>
          <w:tcPr>
            <w:tcW w:w="1300" w:type="dxa"/>
          </w:tcPr>
          <w:p w14:paraId="782D90CA"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Long</w:t>
            </w:r>
          </w:p>
        </w:tc>
        <w:tc>
          <w:tcPr>
            <w:tcW w:w="1251" w:type="dxa"/>
          </w:tcPr>
          <w:p w14:paraId="0718810F"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Little</w:t>
            </w:r>
          </w:p>
        </w:tc>
        <w:tc>
          <w:tcPr>
            <w:tcW w:w="1276" w:type="dxa"/>
          </w:tcPr>
          <w:p w14:paraId="521BD0AC"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Small</w:t>
            </w:r>
          </w:p>
        </w:tc>
        <w:tc>
          <w:tcPr>
            <w:tcW w:w="1721" w:type="dxa"/>
          </w:tcPr>
          <w:p w14:paraId="1021477B" w14:textId="77777777" w:rsidR="002320A0" w:rsidRPr="005F691C" w:rsidRDefault="002320A0" w:rsidP="00520DD5">
            <w:pPr>
              <w:tabs>
                <w:tab w:val="left" w:pos="-567"/>
              </w:tabs>
              <w:spacing w:line="360" w:lineRule="auto"/>
              <w:ind w:right="-631" w:hanging="11"/>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No</w:t>
            </w:r>
          </w:p>
        </w:tc>
      </w:tr>
      <w:tr w:rsidR="002320A0" w:rsidRPr="005F691C" w14:paraId="58FFB4EC" w14:textId="77777777" w:rsidTr="00520DD5">
        <w:trPr>
          <w:trHeight w:val="522"/>
        </w:trPr>
        <w:tc>
          <w:tcPr>
            <w:cnfStyle w:val="001000000000" w:firstRow="0" w:lastRow="0" w:firstColumn="1" w:lastColumn="0" w:oddVBand="0" w:evenVBand="0" w:oddHBand="0" w:evenHBand="0" w:firstRowFirstColumn="0" w:firstRowLastColumn="0" w:lastRowFirstColumn="0" w:lastRowLastColumn="0"/>
            <w:tcW w:w="1668" w:type="dxa"/>
          </w:tcPr>
          <w:p w14:paraId="487B9542" w14:textId="77777777" w:rsidR="002320A0" w:rsidRPr="005F691C" w:rsidRDefault="002320A0" w:rsidP="00520DD5">
            <w:pPr>
              <w:tabs>
                <w:tab w:val="left" w:pos="-567"/>
              </w:tabs>
              <w:spacing w:line="360" w:lineRule="auto"/>
              <w:ind w:right="-631" w:hanging="11"/>
              <w:jc w:val="both"/>
              <w:rPr>
                <w:rFonts w:ascii="Times New Roman" w:hAnsi="Times New Roman" w:cs="Times New Roman"/>
              </w:rPr>
            </w:pPr>
            <w:r w:rsidRPr="005F691C">
              <w:rPr>
                <w:rFonts w:ascii="Times New Roman" w:hAnsi="Times New Roman" w:cs="Times New Roman"/>
              </w:rPr>
              <w:t>Non-Violent</w:t>
            </w:r>
          </w:p>
          <w:p w14:paraId="4819D3E0" w14:textId="77777777" w:rsidR="002320A0" w:rsidRPr="005F691C" w:rsidRDefault="002320A0" w:rsidP="00520DD5">
            <w:pPr>
              <w:tabs>
                <w:tab w:val="left" w:pos="-567"/>
              </w:tabs>
              <w:spacing w:line="360" w:lineRule="auto"/>
              <w:ind w:right="-631" w:hanging="11"/>
              <w:jc w:val="both"/>
              <w:rPr>
                <w:rFonts w:ascii="Times New Roman" w:hAnsi="Times New Roman" w:cs="Times New Roman"/>
              </w:rPr>
            </w:pPr>
            <w:r w:rsidRPr="005F691C">
              <w:rPr>
                <w:rFonts w:ascii="Times New Roman" w:hAnsi="Times New Roman" w:cs="Times New Roman"/>
              </w:rPr>
              <w:t>Resistance</w:t>
            </w:r>
          </w:p>
        </w:tc>
        <w:tc>
          <w:tcPr>
            <w:tcW w:w="1417" w:type="dxa"/>
          </w:tcPr>
          <w:p w14:paraId="21E21C7B"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 xml:space="preserve">Low </w:t>
            </w:r>
          </w:p>
        </w:tc>
        <w:tc>
          <w:tcPr>
            <w:tcW w:w="1276" w:type="dxa"/>
          </w:tcPr>
          <w:p w14:paraId="7A6B67EE"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Many</w:t>
            </w:r>
          </w:p>
        </w:tc>
        <w:tc>
          <w:tcPr>
            <w:tcW w:w="1300" w:type="dxa"/>
          </w:tcPr>
          <w:p w14:paraId="057F2015"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Long</w:t>
            </w:r>
          </w:p>
        </w:tc>
        <w:tc>
          <w:tcPr>
            <w:tcW w:w="1251" w:type="dxa"/>
          </w:tcPr>
          <w:p w14:paraId="78FE7A9A"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No</w:t>
            </w:r>
          </w:p>
        </w:tc>
        <w:tc>
          <w:tcPr>
            <w:tcW w:w="1276" w:type="dxa"/>
          </w:tcPr>
          <w:p w14:paraId="55B24FE5"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Varies</w:t>
            </w:r>
          </w:p>
        </w:tc>
        <w:tc>
          <w:tcPr>
            <w:tcW w:w="1721" w:type="dxa"/>
          </w:tcPr>
          <w:p w14:paraId="34AFD80A" w14:textId="77777777" w:rsidR="002320A0" w:rsidRPr="005F691C" w:rsidRDefault="002320A0" w:rsidP="00520DD5">
            <w:pPr>
              <w:tabs>
                <w:tab w:val="left" w:pos="-567"/>
              </w:tabs>
              <w:spacing w:line="360" w:lineRule="auto"/>
              <w:ind w:right="-631" w:hanging="11"/>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F691C">
              <w:rPr>
                <w:rFonts w:ascii="Times New Roman" w:hAnsi="Times New Roman" w:cs="Times New Roman"/>
              </w:rPr>
              <w:t>No</w:t>
            </w:r>
          </w:p>
        </w:tc>
      </w:tr>
    </w:tbl>
    <w:p w14:paraId="357A1902" w14:textId="77777777" w:rsidR="00580699" w:rsidRPr="005F691C" w:rsidRDefault="00580699" w:rsidP="00580699">
      <w:pPr>
        <w:spacing w:line="360" w:lineRule="auto"/>
        <w:ind w:left="-567" w:right="-631"/>
        <w:jc w:val="both"/>
        <w:rPr>
          <w:rFonts w:ascii="Times New Roman" w:hAnsi="Times New Roman" w:cs="Times New Roman"/>
        </w:rPr>
      </w:pPr>
    </w:p>
    <w:p w14:paraId="281E3F64" w14:textId="77777777" w:rsidR="00580699" w:rsidRPr="005F691C" w:rsidRDefault="00580699" w:rsidP="00580699">
      <w:pPr>
        <w:spacing w:line="360" w:lineRule="auto"/>
        <w:ind w:left="-567" w:right="-631"/>
        <w:jc w:val="both"/>
        <w:rPr>
          <w:rFonts w:ascii="Times New Roman" w:hAnsi="Times New Roman" w:cs="Times New Roman"/>
        </w:rPr>
      </w:pPr>
    </w:p>
    <w:p w14:paraId="2B7294C1" w14:textId="77777777" w:rsidR="00580699" w:rsidRPr="005F691C" w:rsidRDefault="00580699" w:rsidP="00580699">
      <w:pPr>
        <w:spacing w:line="360" w:lineRule="auto"/>
        <w:ind w:left="-567" w:right="-631"/>
        <w:jc w:val="both"/>
        <w:rPr>
          <w:rFonts w:ascii="Times New Roman" w:hAnsi="Times New Roman" w:cs="Times New Roman"/>
        </w:rPr>
      </w:pPr>
    </w:p>
    <w:p w14:paraId="65C17725" w14:textId="77777777" w:rsidR="00580699" w:rsidRPr="005F691C" w:rsidRDefault="00580699" w:rsidP="00580699">
      <w:pPr>
        <w:spacing w:line="360" w:lineRule="auto"/>
        <w:ind w:left="-567" w:right="-631"/>
        <w:jc w:val="both"/>
        <w:rPr>
          <w:rFonts w:ascii="Times New Roman" w:hAnsi="Times New Roman" w:cs="Times New Roman"/>
          <w:b/>
          <w:u w:val="single"/>
        </w:rPr>
      </w:pPr>
      <w:r w:rsidRPr="005F691C">
        <w:rPr>
          <w:rFonts w:ascii="Times New Roman" w:hAnsi="Times New Roman" w:cs="Times New Roman"/>
          <w:b/>
          <w:u w:val="single"/>
        </w:rPr>
        <w:br w:type="page"/>
      </w:r>
    </w:p>
    <w:p w14:paraId="4A04A7C6" w14:textId="4CE1CF41" w:rsidR="00580699" w:rsidRPr="00E021C9" w:rsidRDefault="00C52467" w:rsidP="00E021C9">
      <w:pPr>
        <w:spacing w:line="360" w:lineRule="auto"/>
        <w:ind w:left="-567" w:right="-631"/>
        <w:jc w:val="center"/>
        <w:rPr>
          <w:rFonts w:ascii="Times New Roman" w:hAnsi="Times New Roman" w:cs="Times New Roman"/>
          <w:b/>
          <w:sz w:val="28"/>
          <w:szCs w:val="28"/>
          <w:u w:val="single"/>
        </w:rPr>
      </w:pPr>
      <w:r w:rsidRPr="00E021C9">
        <w:rPr>
          <w:rFonts w:ascii="Times New Roman" w:hAnsi="Times New Roman" w:cs="Times New Roman"/>
          <w:b/>
          <w:sz w:val="28"/>
          <w:szCs w:val="28"/>
          <w:u w:val="single"/>
        </w:rPr>
        <w:t>CHAPTER 3</w:t>
      </w:r>
      <w:r w:rsidR="002320A0" w:rsidRPr="00E021C9">
        <w:rPr>
          <w:rFonts w:ascii="Times New Roman" w:hAnsi="Times New Roman" w:cs="Times New Roman"/>
          <w:b/>
          <w:sz w:val="28"/>
          <w:szCs w:val="28"/>
          <w:u w:val="single"/>
        </w:rPr>
        <w:t>: Counterinsurgency</w:t>
      </w:r>
    </w:p>
    <w:p w14:paraId="2FA52EE6" w14:textId="3240E4A1" w:rsidR="00580699" w:rsidRPr="002320A0" w:rsidRDefault="002320A0" w:rsidP="002320A0">
      <w:pPr>
        <w:pStyle w:val="ListParagraph"/>
        <w:numPr>
          <w:ilvl w:val="1"/>
          <w:numId w:val="41"/>
        </w:numPr>
        <w:spacing w:line="360" w:lineRule="auto"/>
        <w:ind w:left="-142" w:right="-631" w:hanging="425"/>
        <w:jc w:val="both"/>
        <w:rPr>
          <w:rFonts w:ascii="Times New Roman" w:hAnsi="Times New Roman" w:cs="Times New Roman"/>
          <w:b/>
          <w:u w:val="single"/>
        </w:rPr>
      </w:pPr>
      <w:r>
        <w:rPr>
          <w:rFonts w:ascii="Times New Roman" w:hAnsi="Times New Roman" w:cs="Times New Roman"/>
          <w:b/>
          <w:u w:val="single"/>
        </w:rPr>
        <w:t>Introduction</w:t>
      </w:r>
      <w:r w:rsidR="00580699" w:rsidRPr="002320A0">
        <w:rPr>
          <w:rFonts w:ascii="Times New Roman" w:hAnsi="Times New Roman" w:cs="Times New Roman"/>
          <w:b/>
          <w:u w:val="single"/>
        </w:rPr>
        <w:t xml:space="preserve"> </w:t>
      </w:r>
    </w:p>
    <w:p w14:paraId="6F04EA78" w14:textId="77777777" w:rsidR="00580699" w:rsidRPr="005F691C" w:rsidRDefault="00580699" w:rsidP="003876C0">
      <w:pPr>
        <w:pStyle w:val="ListParagraph"/>
        <w:spacing w:line="360" w:lineRule="auto"/>
        <w:ind w:left="0" w:right="-64"/>
        <w:jc w:val="both"/>
        <w:rPr>
          <w:rFonts w:ascii="Times New Roman" w:hAnsi="Times New Roman" w:cs="Times New Roman"/>
          <w:i/>
        </w:rPr>
      </w:pPr>
      <w:r w:rsidRPr="005F691C">
        <w:rPr>
          <w:rFonts w:ascii="Times New Roman" w:hAnsi="Times New Roman" w:cs="Times New Roman"/>
          <w:i/>
        </w:rPr>
        <w:t>“The first thing that must be apparent…is that there can be no such thing as a purely military activity, because insurgency is not primarily a military activity. At the same time there can be no such thing as a purely political solution.”</w:t>
      </w:r>
    </w:p>
    <w:p w14:paraId="2AA3F149" w14:textId="77777777" w:rsidR="00580699" w:rsidRPr="005F691C" w:rsidRDefault="00580699" w:rsidP="00580699">
      <w:pPr>
        <w:pStyle w:val="ListParagraph"/>
        <w:spacing w:line="360" w:lineRule="auto"/>
        <w:ind w:left="-567" w:right="-631"/>
        <w:jc w:val="both"/>
        <w:rPr>
          <w:rFonts w:ascii="Times New Roman" w:hAnsi="Times New Roman" w:cs="Times New Roman"/>
          <w:i/>
        </w:rPr>
      </w:pP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t>-F. Kitson</w:t>
      </w:r>
      <w:r w:rsidRPr="005F691C">
        <w:rPr>
          <w:rStyle w:val="FootnoteReference"/>
          <w:rFonts w:ascii="Times New Roman" w:hAnsi="Times New Roman" w:cs="Times New Roman"/>
          <w:i/>
        </w:rPr>
        <w:footnoteReference w:id="114"/>
      </w:r>
    </w:p>
    <w:p w14:paraId="6E6C4260" w14:textId="77777777" w:rsidR="00580699" w:rsidRPr="005F691C" w:rsidRDefault="00580699" w:rsidP="00580699">
      <w:pPr>
        <w:pStyle w:val="ListParagraph"/>
        <w:spacing w:line="360" w:lineRule="auto"/>
        <w:ind w:left="-567" w:right="-631"/>
        <w:jc w:val="both"/>
        <w:rPr>
          <w:rFonts w:ascii="Times New Roman" w:hAnsi="Times New Roman" w:cs="Times New Roman"/>
        </w:rPr>
      </w:pPr>
    </w:p>
    <w:p w14:paraId="4A3B5A4E" w14:textId="68C15E8B"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Governments, intergovernmental organisations, security companies and various other state, and non-state, actors are perplexed by how to combat insurgencies and to ensure the effectiveness of these counterinsurgency measures. In the wake of various attempts to respond to insurgencies, such as law enforcement or legal prohibitions, which continue to be applied but are not always successful, one of the most effective methods is considered to be that of counterinsurgency (COIN)</w:t>
      </w:r>
      <w:r w:rsidR="003876C0" w:rsidRPr="005F691C">
        <w:rPr>
          <w:rFonts w:ascii="Times New Roman" w:hAnsi="Times New Roman" w:cs="Times New Roman"/>
        </w:rPr>
        <w:t xml:space="preserve"> strategy</w:t>
      </w:r>
      <w:r w:rsidRPr="005F691C">
        <w:rPr>
          <w:rFonts w:ascii="Times New Roman" w:hAnsi="Times New Roman" w:cs="Times New Roman"/>
        </w:rPr>
        <w:t>. The Irish Republican Army (IRA) was defeated by the use of counterinsurgency in 1983.</w:t>
      </w:r>
      <w:r w:rsidRPr="005F691C">
        <w:rPr>
          <w:rStyle w:val="FootnoteReference"/>
          <w:rFonts w:ascii="Times New Roman" w:hAnsi="Times New Roman" w:cs="Times New Roman"/>
        </w:rPr>
        <w:footnoteReference w:id="115"/>
      </w:r>
      <w:r w:rsidR="00E67A86">
        <w:rPr>
          <w:rFonts w:ascii="Times New Roman" w:hAnsi="Times New Roman" w:cs="Times New Roman"/>
        </w:rPr>
        <w:t xml:space="preserve"> In Iraq in 2003</w:t>
      </w:r>
      <w:r w:rsidRPr="005F691C">
        <w:rPr>
          <w:rFonts w:ascii="Times New Roman" w:hAnsi="Times New Roman" w:cs="Times New Roman"/>
        </w:rPr>
        <w:t>,</w:t>
      </w:r>
      <w:r w:rsidR="003876C0" w:rsidRPr="005F691C">
        <w:rPr>
          <w:rFonts w:ascii="Times New Roman" w:hAnsi="Times New Roman" w:cs="Times New Roman"/>
        </w:rPr>
        <w:t xml:space="preserve"> and still ongoing,</w:t>
      </w:r>
      <w:r w:rsidRPr="005F691C">
        <w:rPr>
          <w:rFonts w:ascii="Times New Roman" w:hAnsi="Times New Roman" w:cs="Times New Roman"/>
        </w:rPr>
        <w:t xml:space="preserve"> the United States of America (USA) found itself engaging in counterinsurgency under the leadership of General David Petraeus, a campaign that is in fact seen as ineffective.</w:t>
      </w:r>
      <w:r w:rsidRPr="005F691C">
        <w:rPr>
          <w:rStyle w:val="FootnoteReference"/>
          <w:rFonts w:ascii="Times New Roman" w:hAnsi="Times New Roman" w:cs="Times New Roman"/>
        </w:rPr>
        <w:footnoteReference w:id="116"/>
      </w:r>
      <w:r w:rsidRPr="005F691C">
        <w:rPr>
          <w:rFonts w:ascii="Times New Roman" w:hAnsi="Times New Roman" w:cs="Times New Roman"/>
        </w:rPr>
        <w:t xml:space="preserve"> </w:t>
      </w:r>
    </w:p>
    <w:p w14:paraId="62043EDF" w14:textId="77777777" w:rsidR="00580699" w:rsidRPr="005F691C" w:rsidRDefault="00580699" w:rsidP="00580699">
      <w:pPr>
        <w:spacing w:line="360" w:lineRule="auto"/>
        <w:ind w:left="-567" w:right="-631"/>
        <w:jc w:val="both"/>
        <w:rPr>
          <w:rFonts w:ascii="Times New Roman" w:hAnsi="Times New Roman" w:cs="Times New Roman"/>
        </w:rPr>
      </w:pPr>
    </w:p>
    <w:p w14:paraId="57ECD75D" w14:textId="4AAF508F" w:rsidR="00580699"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 varying success or effectiveness of counterinsu</w:t>
      </w:r>
      <w:r w:rsidR="00E67A86">
        <w:rPr>
          <w:rFonts w:ascii="Times New Roman" w:hAnsi="Times New Roman" w:cs="Times New Roman"/>
        </w:rPr>
        <w:t>rgency in combating an insurgency</w:t>
      </w:r>
      <w:r w:rsidRPr="005F691C">
        <w:rPr>
          <w:rFonts w:ascii="Times New Roman" w:hAnsi="Times New Roman" w:cs="Times New Roman"/>
        </w:rPr>
        <w:t xml:space="preserve"> has res</w:t>
      </w:r>
      <w:r w:rsidR="003876C0" w:rsidRPr="005F691C">
        <w:rPr>
          <w:rFonts w:ascii="Times New Roman" w:hAnsi="Times New Roman" w:cs="Times New Roman"/>
        </w:rPr>
        <w:t xml:space="preserve">ulted in broad based discussion, by governments and other military strategists, </w:t>
      </w:r>
      <w:r w:rsidRPr="005F691C">
        <w:rPr>
          <w:rFonts w:ascii="Times New Roman" w:hAnsi="Times New Roman" w:cs="Times New Roman"/>
        </w:rPr>
        <w:t>of whether in fact counterinsurgency is an effective method of containment.</w:t>
      </w:r>
      <w:r w:rsidR="003876C0" w:rsidRPr="005F691C">
        <w:rPr>
          <w:rStyle w:val="FootnoteReference"/>
          <w:rFonts w:ascii="Times New Roman" w:hAnsi="Times New Roman" w:cs="Times New Roman"/>
        </w:rPr>
        <w:footnoteReference w:id="117"/>
      </w:r>
      <w:r w:rsidRPr="005F691C">
        <w:rPr>
          <w:rFonts w:ascii="Times New Roman" w:hAnsi="Times New Roman" w:cs="Times New Roman"/>
        </w:rPr>
        <w:t xml:space="preserve"> The cost of implementing a counterinsurgency movement is so great, costing up to one million dollars (USA) per year for each person deployed, that the question of probable success needs to be addressed, in order to validate the use of counterinsurgency. Aside from the financial implications of implementing a counterinsurgency campaign, there are also the costs of upholding, or instituting, democratic governance and the rule of law within the </w:t>
      </w:r>
      <w:r w:rsidR="002E4297" w:rsidRPr="005F691C">
        <w:rPr>
          <w:rFonts w:ascii="Times New Roman" w:hAnsi="Times New Roman" w:cs="Times New Roman"/>
        </w:rPr>
        <w:t>insurgent</w:t>
      </w:r>
      <w:r w:rsidRPr="005F691C">
        <w:rPr>
          <w:rFonts w:ascii="Times New Roman" w:hAnsi="Times New Roman" w:cs="Times New Roman"/>
        </w:rPr>
        <w:t xml:space="preserve"> occupied state.</w:t>
      </w:r>
      <w:r w:rsidRPr="005F691C">
        <w:rPr>
          <w:rStyle w:val="FootnoteReference"/>
          <w:rFonts w:ascii="Times New Roman" w:hAnsi="Times New Roman" w:cs="Times New Roman"/>
        </w:rPr>
        <w:footnoteReference w:id="118"/>
      </w:r>
      <w:r w:rsidR="00E67A86">
        <w:rPr>
          <w:rFonts w:ascii="Times New Roman" w:hAnsi="Times New Roman" w:cs="Times New Roman"/>
        </w:rPr>
        <w:t xml:space="preserve"> The ultimate costs of the war can be debilitating to the COIN forces. In Iraq, the USA is expected to spend over five hundred billion US dollars in total on a war that shows no sign of ending, or ending in success.</w:t>
      </w:r>
      <w:r w:rsidR="00E67A86">
        <w:rPr>
          <w:rStyle w:val="FootnoteReference"/>
          <w:rFonts w:ascii="Times New Roman" w:hAnsi="Times New Roman" w:cs="Times New Roman"/>
        </w:rPr>
        <w:footnoteReference w:id="119"/>
      </w:r>
      <w:r w:rsidR="00507822">
        <w:rPr>
          <w:rFonts w:ascii="Times New Roman" w:hAnsi="Times New Roman" w:cs="Times New Roman"/>
        </w:rPr>
        <w:t xml:space="preserve"> This figure is cumulative of all costs, including deployment of personnel and equipment, and extending as far as </w:t>
      </w:r>
      <w:r w:rsidR="000F0891">
        <w:rPr>
          <w:rFonts w:ascii="Times New Roman" w:hAnsi="Times New Roman" w:cs="Times New Roman"/>
        </w:rPr>
        <w:t>caring for wounded soldiers upon their return from Iraq.</w:t>
      </w:r>
      <w:r w:rsidR="000F0891">
        <w:rPr>
          <w:rStyle w:val="FootnoteReference"/>
          <w:rFonts w:ascii="Times New Roman" w:hAnsi="Times New Roman" w:cs="Times New Roman"/>
        </w:rPr>
        <w:footnoteReference w:id="120"/>
      </w:r>
    </w:p>
    <w:p w14:paraId="42D14204" w14:textId="77777777" w:rsidR="00C748CE" w:rsidRDefault="00C748CE" w:rsidP="00580699">
      <w:pPr>
        <w:spacing w:line="360" w:lineRule="auto"/>
        <w:ind w:left="-567" w:right="-631"/>
        <w:jc w:val="both"/>
        <w:rPr>
          <w:rFonts w:ascii="Times New Roman" w:hAnsi="Times New Roman" w:cs="Times New Roman"/>
        </w:rPr>
      </w:pPr>
    </w:p>
    <w:p w14:paraId="20D9FEFF" w14:textId="5A96FF8D" w:rsidR="00C748CE" w:rsidRPr="005F691C" w:rsidRDefault="00C748CE" w:rsidP="00C748CE">
      <w:pPr>
        <w:spacing w:line="360" w:lineRule="auto"/>
        <w:ind w:left="-567" w:right="-631"/>
        <w:jc w:val="both"/>
        <w:rPr>
          <w:rFonts w:ascii="Times New Roman" w:hAnsi="Times New Roman" w:cs="Times New Roman"/>
        </w:rPr>
      </w:pPr>
      <w:r w:rsidRPr="005F691C">
        <w:rPr>
          <w:rFonts w:ascii="Times New Roman" w:hAnsi="Times New Roman" w:cs="Times New Roman"/>
        </w:rPr>
        <w:t>This chapter will provide an analysis of counterinsurgency. This analysis will include identification of the key principles of the strategy of counterinsurgency in its primary state as put forward by Robert Thompson, as well as how it was applied in each case of the IRA in Ireland, and Al Qaeda in Iraq. By discussing the application of COIN strategy within each case, there will be an analysis of the development of the COIN strategy by various leaders. Finally, this chapter will serve to analyse how counterinsurgency is conceptualised today, and thus what the current principles of counterinsurgency are.</w:t>
      </w:r>
    </w:p>
    <w:p w14:paraId="340EE945" w14:textId="77777777" w:rsidR="00580699" w:rsidRPr="005F691C" w:rsidRDefault="00580699" w:rsidP="00C748CE">
      <w:pPr>
        <w:spacing w:line="360" w:lineRule="auto"/>
        <w:ind w:right="-631"/>
        <w:jc w:val="both"/>
        <w:rPr>
          <w:rFonts w:ascii="Times New Roman" w:hAnsi="Times New Roman" w:cs="Times New Roman"/>
        </w:rPr>
      </w:pPr>
    </w:p>
    <w:p w14:paraId="3B17D7C7" w14:textId="5649ACEC"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Counterinsurgency has evolved since its original conceptualisation by Thompson</w:t>
      </w:r>
      <w:r w:rsidR="003876C0" w:rsidRPr="005F691C">
        <w:rPr>
          <w:rFonts w:ascii="Times New Roman" w:hAnsi="Times New Roman" w:cs="Times New Roman"/>
        </w:rPr>
        <w:t xml:space="preserve">, who </w:t>
      </w:r>
      <w:r w:rsidR="002E4297" w:rsidRPr="005F691C">
        <w:rPr>
          <w:rFonts w:ascii="Times New Roman" w:hAnsi="Times New Roman" w:cs="Times New Roman"/>
        </w:rPr>
        <w:t>originally</w:t>
      </w:r>
      <w:r w:rsidR="003876C0" w:rsidRPr="005F691C">
        <w:rPr>
          <w:rFonts w:ascii="Times New Roman" w:hAnsi="Times New Roman" w:cs="Times New Roman"/>
        </w:rPr>
        <w:t xml:space="preserve"> wrote about the strategy in </w:t>
      </w:r>
      <w:r w:rsidR="002E4297" w:rsidRPr="005F691C">
        <w:rPr>
          <w:rFonts w:ascii="Times New Roman" w:hAnsi="Times New Roman" w:cs="Times New Roman"/>
        </w:rPr>
        <w:t>1966,</w:t>
      </w:r>
      <w:r w:rsidRPr="005F691C">
        <w:rPr>
          <w:rFonts w:ascii="Times New Roman" w:hAnsi="Times New Roman" w:cs="Times New Roman"/>
        </w:rPr>
        <w:t xml:space="preserve"> in order to accommodate a range of new objectives and strategies.</w:t>
      </w:r>
      <w:r w:rsidR="002E4297" w:rsidRPr="005F691C">
        <w:rPr>
          <w:rStyle w:val="FootnoteReference"/>
          <w:rFonts w:ascii="Times New Roman" w:hAnsi="Times New Roman" w:cs="Times New Roman"/>
        </w:rPr>
        <w:footnoteReference w:id="121"/>
      </w:r>
      <w:r w:rsidRPr="005F691C">
        <w:rPr>
          <w:rFonts w:ascii="Times New Roman" w:hAnsi="Times New Roman" w:cs="Times New Roman"/>
        </w:rPr>
        <w:t xml:space="preserve"> Those who have developed the theory include </w:t>
      </w:r>
      <w:r w:rsidR="00C748CE">
        <w:rPr>
          <w:rFonts w:ascii="Times New Roman" w:hAnsi="Times New Roman" w:cs="Times New Roman"/>
        </w:rPr>
        <w:t>Frank Kitson,</w:t>
      </w:r>
      <w:r w:rsidR="002E4297" w:rsidRPr="005F691C">
        <w:rPr>
          <w:rFonts w:ascii="Times New Roman" w:hAnsi="Times New Roman" w:cs="Times New Roman"/>
        </w:rPr>
        <w:t xml:space="preserve"> </w:t>
      </w:r>
      <w:r w:rsidR="00C748CE">
        <w:rPr>
          <w:rFonts w:ascii="Times New Roman" w:hAnsi="Times New Roman" w:cs="Times New Roman"/>
        </w:rPr>
        <w:t xml:space="preserve">Roger Moore, </w:t>
      </w:r>
      <w:r w:rsidR="002E4297" w:rsidRPr="005F691C">
        <w:rPr>
          <w:rFonts w:ascii="Times New Roman" w:hAnsi="Times New Roman" w:cs="Times New Roman"/>
        </w:rPr>
        <w:t>David Galula</w:t>
      </w:r>
      <w:r w:rsidR="00C748CE" w:rsidRPr="00C748CE">
        <w:rPr>
          <w:rFonts w:ascii="Times New Roman" w:hAnsi="Times New Roman" w:cs="Times New Roman"/>
        </w:rPr>
        <w:t xml:space="preserve"> </w:t>
      </w:r>
      <w:r w:rsidR="00C748CE">
        <w:rPr>
          <w:rFonts w:ascii="Times New Roman" w:hAnsi="Times New Roman" w:cs="Times New Roman"/>
        </w:rPr>
        <w:t xml:space="preserve">and </w:t>
      </w:r>
      <w:r w:rsidR="00C748CE" w:rsidRPr="005F691C">
        <w:rPr>
          <w:rFonts w:ascii="Times New Roman" w:hAnsi="Times New Roman" w:cs="Times New Roman"/>
        </w:rPr>
        <w:t>General Petraeus</w:t>
      </w:r>
      <w:r w:rsidRPr="005F691C">
        <w:rPr>
          <w:rFonts w:ascii="Times New Roman" w:hAnsi="Times New Roman" w:cs="Times New Roman"/>
        </w:rPr>
        <w:t>.</w:t>
      </w:r>
      <w:r w:rsidRPr="005F691C">
        <w:rPr>
          <w:rStyle w:val="FootnoteReference"/>
          <w:rFonts w:ascii="Times New Roman" w:hAnsi="Times New Roman" w:cs="Times New Roman"/>
        </w:rPr>
        <w:footnoteReference w:id="122"/>
      </w:r>
      <w:r w:rsidRPr="005F691C">
        <w:rPr>
          <w:rFonts w:ascii="Times New Roman" w:hAnsi="Times New Roman" w:cs="Times New Roman"/>
        </w:rPr>
        <w:t xml:space="preserve"> </w:t>
      </w:r>
      <w:r w:rsidR="00C748CE">
        <w:rPr>
          <w:rFonts w:ascii="Times New Roman" w:hAnsi="Times New Roman" w:cs="Times New Roman"/>
        </w:rPr>
        <w:t>Moore defined counterinsurgency as follows</w:t>
      </w:r>
      <w:r w:rsidRPr="005F691C">
        <w:rPr>
          <w:rFonts w:ascii="Times New Roman" w:hAnsi="Times New Roman" w:cs="Times New Roman"/>
        </w:rPr>
        <w:t>:</w:t>
      </w:r>
    </w:p>
    <w:p w14:paraId="76C78EC6" w14:textId="77777777" w:rsidR="002E4297" w:rsidRPr="005F691C" w:rsidRDefault="002E4297" w:rsidP="00580699">
      <w:pPr>
        <w:spacing w:line="360" w:lineRule="auto"/>
        <w:ind w:left="-567" w:right="-631"/>
        <w:jc w:val="both"/>
        <w:rPr>
          <w:rFonts w:ascii="Times New Roman" w:hAnsi="Times New Roman" w:cs="Times New Roman"/>
        </w:rPr>
      </w:pPr>
    </w:p>
    <w:p w14:paraId="1CBDD3B9" w14:textId="77777777" w:rsidR="00580699" w:rsidRPr="005F691C" w:rsidRDefault="00580699" w:rsidP="002E4297">
      <w:pPr>
        <w:spacing w:line="360" w:lineRule="auto"/>
        <w:ind w:right="-64"/>
        <w:jc w:val="both"/>
        <w:rPr>
          <w:rFonts w:ascii="Times New Roman" w:hAnsi="Times New Roman" w:cs="Times New Roman"/>
          <w:i/>
        </w:rPr>
      </w:pPr>
      <w:r w:rsidRPr="005F691C">
        <w:rPr>
          <w:rFonts w:ascii="Times New Roman" w:hAnsi="Times New Roman" w:cs="Times New Roman"/>
          <w:i/>
        </w:rPr>
        <w:t>“An integrated set of political, economic, social and security measures intended to end and prevent the recurrence of armed violence, create and maintain stable political, economic and social structures, and resolve the underlying causes of an insurgency in order to establish and sustain the conditions necessary for lasting stability.”</w:t>
      </w:r>
      <w:r w:rsidRPr="005F691C">
        <w:rPr>
          <w:rStyle w:val="FootnoteReference"/>
          <w:rFonts w:ascii="Times New Roman" w:hAnsi="Times New Roman" w:cs="Times New Roman"/>
          <w:i/>
        </w:rPr>
        <w:footnoteReference w:id="123"/>
      </w:r>
    </w:p>
    <w:p w14:paraId="39701F4C" w14:textId="77777777" w:rsidR="00580699" w:rsidRPr="005F691C" w:rsidRDefault="00580699" w:rsidP="00580699">
      <w:pPr>
        <w:spacing w:line="360" w:lineRule="auto"/>
        <w:ind w:left="-567" w:right="-631"/>
        <w:jc w:val="both"/>
        <w:rPr>
          <w:rFonts w:ascii="Times New Roman" w:hAnsi="Times New Roman" w:cs="Times New Roman"/>
          <w:i/>
        </w:rPr>
      </w:pPr>
    </w:p>
    <w:p w14:paraId="39502CB6" w14:textId="19DE5229" w:rsidR="002E4297" w:rsidRPr="005F691C" w:rsidRDefault="00C748CE" w:rsidP="002E4297">
      <w:pPr>
        <w:spacing w:line="360" w:lineRule="auto"/>
        <w:ind w:left="-567" w:right="-631"/>
        <w:jc w:val="both"/>
        <w:rPr>
          <w:rFonts w:ascii="Times New Roman" w:hAnsi="Times New Roman" w:cs="Times New Roman"/>
        </w:rPr>
      </w:pPr>
      <w:r>
        <w:rPr>
          <w:rFonts w:ascii="Times New Roman" w:hAnsi="Times New Roman" w:cs="Times New Roman"/>
        </w:rPr>
        <w:t>Counter</w:t>
      </w:r>
      <w:r w:rsidR="00580699" w:rsidRPr="005F691C">
        <w:rPr>
          <w:rFonts w:ascii="Times New Roman" w:hAnsi="Times New Roman" w:cs="Times New Roman"/>
        </w:rPr>
        <w:t>insurgency aims to put an end to any violen</w:t>
      </w:r>
      <w:r>
        <w:rPr>
          <w:rFonts w:ascii="Times New Roman" w:hAnsi="Times New Roman" w:cs="Times New Roman"/>
        </w:rPr>
        <w:t>t action or protest being</w:t>
      </w:r>
      <w:r w:rsidR="00580699" w:rsidRPr="005F691C">
        <w:rPr>
          <w:rFonts w:ascii="Times New Roman" w:hAnsi="Times New Roman" w:cs="Times New Roman"/>
        </w:rPr>
        <w:t xml:space="preserve"> performed by an insurgent group. It also aims to address the causes behind the insurgen</w:t>
      </w:r>
      <w:r>
        <w:rPr>
          <w:rFonts w:ascii="Times New Roman" w:hAnsi="Times New Roman" w:cs="Times New Roman"/>
        </w:rPr>
        <w:t>cy</w:t>
      </w:r>
      <w:r w:rsidR="00580699" w:rsidRPr="005F691C">
        <w:rPr>
          <w:rFonts w:ascii="Times New Roman" w:hAnsi="Times New Roman" w:cs="Times New Roman"/>
        </w:rPr>
        <w:t xml:space="preserve">, thereby not only putting an end to the violence being executed against civilian targets, but also ensuring the issues which sparked the </w:t>
      </w:r>
      <w:r>
        <w:rPr>
          <w:rFonts w:ascii="Times New Roman" w:hAnsi="Times New Roman" w:cs="Times New Roman"/>
        </w:rPr>
        <w:t>action</w:t>
      </w:r>
      <w:r w:rsidR="00580699" w:rsidRPr="005F691C">
        <w:rPr>
          <w:rFonts w:ascii="Times New Roman" w:hAnsi="Times New Roman" w:cs="Times New Roman"/>
        </w:rPr>
        <w:t xml:space="preserve"> have been dealt with, eliminating the threat of </w:t>
      </w:r>
      <w:r>
        <w:rPr>
          <w:rFonts w:ascii="Times New Roman" w:hAnsi="Times New Roman" w:cs="Times New Roman"/>
        </w:rPr>
        <w:t>recurrence</w:t>
      </w:r>
      <w:r w:rsidR="00580699" w:rsidRPr="005F691C">
        <w:rPr>
          <w:rFonts w:ascii="Times New Roman" w:hAnsi="Times New Roman" w:cs="Times New Roman"/>
        </w:rPr>
        <w:t>. A successful counterinsurgency operation involves various elements, including establishing and maintaining security, providing humanitarian relief and essential services, promoting effective governance, sustaining economic development and supporting reconciliation.</w:t>
      </w:r>
      <w:r w:rsidR="00580699" w:rsidRPr="005F691C">
        <w:rPr>
          <w:rStyle w:val="FootnoteReference"/>
          <w:rFonts w:ascii="Times New Roman" w:hAnsi="Times New Roman" w:cs="Times New Roman"/>
        </w:rPr>
        <w:footnoteReference w:id="124"/>
      </w:r>
      <w:r w:rsidR="00580699" w:rsidRPr="005F691C">
        <w:rPr>
          <w:rFonts w:ascii="Times New Roman" w:hAnsi="Times New Roman" w:cs="Times New Roman"/>
        </w:rPr>
        <w:t xml:space="preserve"> </w:t>
      </w:r>
      <w:r w:rsidR="002E4297" w:rsidRPr="005F691C">
        <w:rPr>
          <w:rFonts w:ascii="Times New Roman" w:hAnsi="Times New Roman" w:cs="Times New Roman"/>
        </w:rPr>
        <w:t xml:space="preserve">What distinguishes these measures from all other measures taken against conflict is the fact that </w:t>
      </w:r>
      <w:r>
        <w:rPr>
          <w:rFonts w:ascii="Times New Roman" w:hAnsi="Times New Roman" w:cs="Times New Roman"/>
        </w:rPr>
        <w:t>they</w:t>
      </w:r>
      <w:r w:rsidR="002E4297" w:rsidRPr="005F691C">
        <w:rPr>
          <w:rFonts w:ascii="Times New Roman" w:hAnsi="Times New Roman" w:cs="Times New Roman"/>
        </w:rPr>
        <w:t xml:space="preserve"> are employed through specific strategies, as will be discussed, and are implemented against an </w:t>
      </w:r>
      <w:r>
        <w:rPr>
          <w:rFonts w:ascii="Times New Roman" w:hAnsi="Times New Roman" w:cs="Times New Roman"/>
        </w:rPr>
        <w:t>enemy</w:t>
      </w:r>
      <w:r w:rsidR="002E4297" w:rsidRPr="005F691C">
        <w:rPr>
          <w:rFonts w:ascii="Times New Roman" w:hAnsi="Times New Roman" w:cs="Times New Roman"/>
        </w:rPr>
        <w:t xml:space="preserve"> </w:t>
      </w:r>
      <w:r w:rsidRPr="005F691C">
        <w:rPr>
          <w:rFonts w:ascii="Times New Roman" w:hAnsi="Times New Roman" w:cs="Times New Roman"/>
        </w:rPr>
        <w:t xml:space="preserve">identified </w:t>
      </w:r>
      <w:r>
        <w:rPr>
          <w:rFonts w:ascii="Times New Roman" w:hAnsi="Times New Roman" w:cs="Times New Roman"/>
        </w:rPr>
        <w:t>as an insurgency.</w:t>
      </w:r>
    </w:p>
    <w:p w14:paraId="0B443C05" w14:textId="77777777" w:rsidR="00580699" w:rsidRPr="005F691C" w:rsidRDefault="00580699" w:rsidP="000F0891">
      <w:pPr>
        <w:autoSpaceDE w:val="0"/>
        <w:autoSpaceDN w:val="0"/>
        <w:adjustRightInd w:val="0"/>
        <w:spacing w:line="360" w:lineRule="auto"/>
        <w:ind w:right="-631"/>
        <w:jc w:val="both"/>
        <w:rPr>
          <w:rFonts w:ascii="Times New Roman" w:hAnsi="Times New Roman" w:cs="Times New Roman"/>
        </w:rPr>
      </w:pPr>
    </w:p>
    <w:p w14:paraId="5E03DEDF" w14:textId="5CDFCA2C" w:rsidR="00580699" w:rsidRPr="005F691C" w:rsidRDefault="00580699" w:rsidP="002320A0">
      <w:pPr>
        <w:pStyle w:val="ListParagraph"/>
        <w:numPr>
          <w:ilvl w:val="1"/>
          <w:numId w:val="41"/>
        </w:numPr>
        <w:spacing w:line="360" w:lineRule="auto"/>
        <w:ind w:left="-142" w:right="-631" w:hanging="425"/>
        <w:jc w:val="both"/>
        <w:rPr>
          <w:rFonts w:ascii="Times New Roman" w:hAnsi="Times New Roman" w:cs="Times New Roman"/>
          <w:b/>
          <w:u w:val="single"/>
        </w:rPr>
      </w:pPr>
      <w:r w:rsidRPr="005F691C">
        <w:rPr>
          <w:rFonts w:ascii="Times New Roman" w:hAnsi="Times New Roman" w:cs="Times New Roman"/>
          <w:b/>
          <w:u w:val="single"/>
        </w:rPr>
        <w:t>Counterinsurgency in its Original State</w:t>
      </w:r>
    </w:p>
    <w:p w14:paraId="558A08D2" w14:textId="77777777" w:rsidR="00580699" w:rsidRDefault="00580699" w:rsidP="00580699">
      <w:pPr>
        <w:spacing w:line="360" w:lineRule="auto"/>
        <w:ind w:left="-567" w:right="-631"/>
        <w:jc w:val="both"/>
        <w:rPr>
          <w:rFonts w:ascii="Times New Roman" w:hAnsi="Times New Roman" w:cs="Times New Roman"/>
        </w:rPr>
      </w:pPr>
    </w:p>
    <w:p w14:paraId="3911019D" w14:textId="5C77C36B" w:rsidR="000C3A26" w:rsidRDefault="000C3A26" w:rsidP="000C3A26">
      <w:pPr>
        <w:spacing w:line="360" w:lineRule="auto"/>
        <w:ind w:right="42"/>
        <w:jc w:val="both"/>
        <w:rPr>
          <w:rFonts w:ascii="Times New Roman" w:hAnsi="Times New Roman" w:cs="Times New Roman"/>
          <w:i/>
          <w:color w:val="131313"/>
        </w:rPr>
      </w:pPr>
      <w:r w:rsidRPr="000C3A26">
        <w:rPr>
          <w:rFonts w:ascii="Times New Roman" w:hAnsi="Times New Roman" w:cs="Times New Roman"/>
          <w:i/>
          <w:color w:val="131313"/>
        </w:rPr>
        <w:t>“To confine soldiers to purely military functions while urgent and vital tasks have to be done, and nobody else is available to undertake them, would be senseless. The soldier must then be prepared to become a propagandist, a social worker, a civil engineer, a schoolteacher, a nurse, a boy scout. But only for as long as he cannot be replaced, for it is better to entrust civilian tasks to civilians.”</w:t>
      </w:r>
    </w:p>
    <w:p w14:paraId="7990C279" w14:textId="248A200F" w:rsidR="000C3A26" w:rsidRPr="000C3A26" w:rsidRDefault="000C3A26" w:rsidP="000C3A26">
      <w:pPr>
        <w:spacing w:line="360" w:lineRule="auto"/>
        <w:ind w:right="42"/>
        <w:jc w:val="both"/>
        <w:rPr>
          <w:rFonts w:ascii="Times New Roman" w:hAnsi="Times New Roman" w:cs="Times New Roman"/>
          <w:i/>
        </w:rPr>
      </w:pP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t>-David Galula</w:t>
      </w:r>
      <w:r>
        <w:rPr>
          <w:rStyle w:val="FootnoteReference"/>
          <w:rFonts w:ascii="Times New Roman" w:hAnsi="Times New Roman" w:cs="Times New Roman"/>
          <w:i/>
          <w:color w:val="131313"/>
        </w:rPr>
        <w:footnoteReference w:id="125"/>
      </w:r>
    </w:p>
    <w:p w14:paraId="2B814B23" w14:textId="3A64D63D"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Most often, the leaders of </w:t>
      </w:r>
      <w:r w:rsidR="003B7F2D" w:rsidRPr="005F691C">
        <w:rPr>
          <w:rFonts w:ascii="Times New Roman" w:hAnsi="Times New Roman" w:cs="Times New Roman"/>
        </w:rPr>
        <w:t>counterinsurgency</w:t>
      </w:r>
      <w:r w:rsidRPr="005F691C">
        <w:rPr>
          <w:rFonts w:ascii="Times New Roman" w:hAnsi="Times New Roman" w:cs="Times New Roman"/>
        </w:rPr>
        <w:t xml:space="preserve"> campaigns draw their ideas from colonial military </w:t>
      </w:r>
      <w:r w:rsidR="00C748CE">
        <w:rPr>
          <w:rFonts w:ascii="Times New Roman" w:hAnsi="Times New Roman" w:cs="Times New Roman"/>
        </w:rPr>
        <w:t xml:space="preserve">strategists </w:t>
      </w:r>
      <w:r w:rsidRPr="005F691C">
        <w:rPr>
          <w:rFonts w:ascii="Times New Roman" w:hAnsi="Times New Roman" w:cs="Times New Roman"/>
        </w:rPr>
        <w:t xml:space="preserve">who wrote about </w:t>
      </w:r>
      <w:r w:rsidR="00C748CE">
        <w:rPr>
          <w:rFonts w:ascii="Times New Roman" w:hAnsi="Times New Roman" w:cs="Times New Roman"/>
        </w:rPr>
        <w:t>COIN</w:t>
      </w:r>
      <w:r w:rsidRPr="005F691C">
        <w:rPr>
          <w:rFonts w:ascii="Times New Roman" w:hAnsi="Times New Roman" w:cs="Times New Roman"/>
        </w:rPr>
        <w:t>, thus it is important to understand the original conceptualisations of counterinsurgency doctrine and the various principles that guided its implementation.</w:t>
      </w:r>
      <w:r w:rsidRPr="005F691C">
        <w:rPr>
          <w:rStyle w:val="FootnoteReference"/>
          <w:rFonts w:ascii="Times New Roman" w:hAnsi="Times New Roman" w:cs="Times New Roman"/>
        </w:rPr>
        <w:footnoteReference w:id="126"/>
      </w:r>
      <w:r w:rsidR="00C748CE">
        <w:rPr>
          <w:rFonts w:ascii="Times New Roman" w:hAnsi="Times New Roman" w:cs="Times New Roman"/>
        </w:rPr>
        <w:t xml:space="preserve"> Sir Robert Thompson, </w:t>
      </w:r>
      <w:r w:rsidRPr="005F691C">
        <w:rPr>
          <w:rFonts w:ascii="Times New Roman" w:hAnsi="Times New Roman" w:cs="Times New Roman"/>
        </w:rPr>
        <w:t xml:space="preserve">Brigadier Frank Kitson </w:t>
      </w:r>
      <w:r w:rsidR="00C748CE">
        <w:rPr>
          <w:rFonts w:ascii="Times New Roman" w:hAnsi="Times New Roman" w:cs="Times New Roman"/>
        </w:rPr>
        <w:t xml:space="preserve">and </w:t>
      </w:r>
      <w:r w:rsidR="00C748CE" w:rsidRPr="005F691C">
        <w:rPr>
          <w:rFonts w:ascii="Times New Roman" w:hAnsi="Times New Roman" w:cs="Times New Roman"/>
        </w:rPr>
        <w:t xml:space="preserve">David Galula </w:t>
      </w:r>
      <w:r w:rsidRPr="005F691C">
        <w:rPr>
          <w:rFonts w:ascii="Times New Roman" w:hAnsi="Times New Roman" w:cs="Times New Roman"/>
        </w:rPr>
        <w:t>most famously authored the original texts.</w:t>
      </w:r>
      <w:r w:rsidRPr="005F691C">
        <w:rPr>
          <w:rStyle w:val="FootnoteReference"/>
          <w:rFonts w:ascii="Times New Roman" w:hAnsi="Times New Roman" w:cs="Times New Roman"/>
        </w:rPr>
        <w:footnoteReference w:id="127"/>
      </w:r>
      <w:r w:rsidRPr="005F691C">
        <w:rPr>
          <w:rFonts w:ascii="Times New Roman" w:hAnsi="Times New Roman" w:cs="Times New Roman"/>
        </w:rPr>
        <w:t xml:space="preserve"> These texts were inspired by the success of vari</w:t>
      </w:r>
      <w:r w:rsidR="00C748CE">
        <w:rPr>
          <w:rFonts w:ascii="Times New Roman" w:hAnsi="Times New Roman" w:cs="Times New Roman"/>
        </w:rPr>
        <w:t>ous insurgencies, and the texts</w:t>
      </w:r>
      <w:r w:rsidR="00C748CE" w:rsidRPr="005F691C">
        <w:rPr>
          <w:rFonts w:ascii="Times New Roman" w:hAnsi="Times New Roman" w:cs="Times New Roman"/>
        </w:rPr>
        <w:t xml:space="preserve"> that</w:t>
      </w:r>
      <w:r w:rsidRPr="005F691C">
        <w:rPr>
          <w:rFonts w:ascii="Times New Roman" w:hAnsi="Times New Roman" w:cs="Times New Roman"/>
        </w:rPr>
        <w:t xml:space="preserve"> had guided those wars, such as those written by Mao Tse Tung and Che Guevara. </w:t>
      </w:r>
    </w:p>
    <w:p w14:paraId="1A2C584E" w14:textId="77777777" w:rsidR="00580699" w:rsidRPr="005F691C" w:rsidRDefault="00580699" w:rsidP="00580699">
      <w:pPr>
        <w:spacing w:line="360" w:lineRule="auto"/>
        <w:ind w:left="-567" w:right="-631"/>
        <w:jc w:val="both"/>
        <w:rPr>
          <w:rFonts w:ascii="Times New Roman" w:hAnsi="Times New Roman" w:cs="Times New Roman"/>
        </w:rPr>
      </w:pPr>
    </w:p>
    <w:p w14:paraId="324472F7" w14:textId="424AFBC6"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Counterinsurgency was designed with its enemy in mind. Just as insurgency did not separate the spheres of the political and the military, creating a dual struggle, the counterinsurgency literature emphasises the dual nature of the response.</w:t>
      </w:r>
      <w:r w:rsidRPr="005F691C">
        <w:rPr>
          <w:rStyle w:val="FootnoteReference"/>
          <w:rFonts w:ascii="Times New Roman" w:hAnsi="Times New Roman" w:cs="Times New Roman"/>
        </w:rPr>
        <w:footnoteReference w:id="128"/>
      </w:r>
      <w:r w:rsidRPr="005F691C">
        <w:rPr>
          <w:rFonts w:ascii="Times New Roman" w:hAnsi="Times New Roman" w:cs="Times New Roman"/>
        </w:rPr>
        <w:t xml:space="preserve"> Originally, Sir Robert Thompson was responsible for the main principles which would guide and shape the implementation of counterinsurgency in a war against insurgency, which would undoubtedly take place within a Third World country.</w:t>
      </w:r>
      <w:r w:rsidR="00C748CE">
        <w:rPr>
          <w:rStyle w:val="FootnoteReference"/>
          <w:rFonts w:ascii="Times New Roman" w:hAnsi="Times New Roman" w:cs="Times New Roman"/>
        </w:rPr>
        <w:footnoteReference w:id="129"/>
      </w:r>
      <w:r w:rsidRPr="005F691C">
        <w:rPr>
          <w:rFonts w:ascii="Times New Roman" w:hAnsi="Times New Roman" w:cs="Times New Roman"/>
        </w:rPr>
        <w:t xml:space="preserve"> </w:t>
      </w:r>
    </w:p>
    <w:p w14:paraId="06FB4447" w14:textId="77777777" w:rsidR="00580699" w:rsidRPr="005F691C" w:rsidRDefault="00580699" w:rsidP="00580699">
      <w:pPr>
        <w:spacing w:line="360" w:lineRule="auto"/>
        <w:ind w:left="-567" w:right="-631"/>
        <w:jc w:val="both"/>
        <w:rPr>
          <w:rFonts w:ascii="Times New Roman" w:hAnsi="Times New Roman" w:cs="Times New Roman"/>
        </w:rPr>
      </w:pPr>
    </w:p>
    <w:p w14:paraId="0062FC9D" w14:textId="1D3D1305" w:rsidR="003B7F2D" w:rsidRPr="005F691C" w:rsidRDefault="00580699" w:rsidP="008D1552">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It is purported by McCuen that the same principles apply to both insurgency and counterinsurgency and thus </w:t>
      </w:r>
      <w:r w:rsidR="003B7F2D" w:rsidRPr="005F691C">
        <w:rPr>
          <w:rFonts w:ascii="Times New Roman" w:hAnsi="Times New Roman" w:cs="Times New Roman"/>
        </w:rPr>
        <w:t xml:space="preserve">the </w:t>
      </w:r>
      <w:r w:rsidRPr="005F691C">
        <w:rPr>
          <w:rFonts w:ascii="Times New Roman" w:hAnsi="Times New Roman" w:cs="Times New Roman"/>
        </w:rPr>
        <w:t xml:space="preserve">strategy is the same for both. These principles include preserving oneself and annihilating the enemy, establishing strategic base areas, </w:t>
      </w:r>
      <w:r w:rsidR="003B7F2D" w:rsidRPr="005F691C">
        <w:rPr>
          <w:rFonts w:ascii="Times New Roman" w:hAnsi="Times New Roman" w:cs="Times New Roman"/>
        </w:rPr>
        <w:t>mobilis</w:t>
      </w:r>
      <w:r w:rsidRPr="005F691C">
        <w:rPr>
          <w:rFonts w:ascii="Times New Roman" w:hAnsi="Times New Roman" w:cs="Times New Roman"/>
        </w:rPr>
        <w:t>ing the masses, seeking outside support and unifying the effort.</w:t>
      </w:r>
      <w:r w:rsidRPr="005F691C">
        <w:rPr>
          <w:rStyle w:val="FootnoteReference"/>
          <w:rFonts w:ascii="Times New Roman" w:hAnsi="Times New Roman" w:cs="Times New Roman"/>
        </w:rPr>
        <w:footnoteReference w:id="130"/>
      </w:r>
      <w:r w:rsidRPr="005F691C">
        <w:rPr>
          <w:rFonts w:ascii="Times New Roman" w:hAnsi="Times New Roman" w:cs="Times New Roman"/>
        </w:rPr>
        <w:t xml:space="preserve"> Whilst these are simplified notions of counterinsurgency strategy based on insurgency, the principles do correspond to the strategies that guided the British COIN campaign in Northern Ireland. These principles were developed and strengthened by Sir Robert Thompson.</w:t>
      </w:r>
    </w:p>
    <w:p w14:paraId="00374D93" w14:textId="77777777" w:rsidR="000F0891" w:rsidRDefault="000F0891" w:rsidP="00580699">
      <w:pPr>
        <w:autoSpaceDE w:val="0"/>
        <w:autoSpaceDN w:val="0"/>
        <w:adjustRightInd w:val="0"/>
        <w:spacing w:line="360" w:lineRule="auto"/>
        <w:ind w:left="-567" w:right="-631"/>
        <w:jc w:val="both"/>
        <w:rPr>
          <w:rFonts w:ascii="Times New Roman" w:hAnsi="Times New Roman" w:cs="Times New Roman"/>
        </w:rPr>
      </w:pPr>
    </w:p>
    <w:p w14:paraId="09E24BC8" w14:textId="627FB8F1" w:rsidR="00580699" w:rsidRPr="005F691C" w:rsidRDefault="000F0891" w:rsidP="00580699">
      <w:pPr>
        <w:autoSpaceDE w:val="0"/>
        <w:autoSpaceDN w:val="0"/>
        <w:adjustRightInd w:val="0"/>
        <w:spacing w:line="360" w:lineRule="auto"/>
        <w:ind w:left="-567" w:right="-631"/>
        <w:jc w:val="both"/>
        <w:rPr>
          <w:rFonts w:ascii="Times New Roman" w:hAnsi="Times New Roman" w:cs="Times New Roman"/>
        </w:rPr>
      </w:pPr>
      <w:r>
        <w:rPr>
          <w:rFonts w:ascii="Times New Roman" w:hAnsi="Times New Roman" w:cs="Times New Roman"/>
        </w:rPr>
        <w:t>The five principles of Thompson’s COIN strategy have already been identified, and they</w:t>
      </w:r>
      <w:r w:rsidR="00580699" w:rsidRPr="005F691C">
        <w:rPr>
          <w:rFonts w:ascii="Times New Roman" w:hAnsi="Times New Roman" w:cs="Times New Roman"/>
        </w:rPr>
        <w:t xml:space="preserve"> outline the importance </w:t>
      </w:r>
      <w:r w:rsidR="008D1552" w:rsidRPr="005F691C">
        <w:rPr>
          <w:rFonts w:ascii="Times New Roman" w:hAnsi="Times New Roman" w:cs="Times New Roman"/>
        </w:rPr>
        <w:t>that</w:t>
      </w:r>
      <w:r w:rsidR="00580699" w:rsidRPr="005F691C">
        <w:rPr>
          <w:rFonts w:ascii="Times New Roman" w:hAnsi="Times New Roman" w:cs="Times New Roman"/>
        </w:rPr>
        <w:t xml:space="preserve"> </w:t>
      </w:r>
      <w:r w:rsidR="008D1552">
        <w:rPr>
          <w:rFonts w:ascii="Times New Roman" w:hAnsi="Times New Roman" w:cs="Times New Roman"/>
        </w:rPr>
        <w:t xml:space="preserve">Thompson’s </w:t>
      </w:r>
      <w:r w:rsidR="00580699" w:rsidRPr="005F691C">
        <w:rPr>
          <w:rFonts w:ascii="Times New Roman" w:hAnsi="Times New Roman" w:cs="Times New Roman"/>
        </w:rPr>
        <w:t>counterinsurgency</w:t>
      </w:r>
      <w:r w:rsidR="008D1552">
        <w:rPr>
          <w:rFonts w:ascii="Times New Roman" w:hAnsi="Times New Roman" w:cs="Times New Roman"/>
        </w:rPr>
        <w:t xml:space="preserve"> strategy placed</w:t>
      </w:r>
      <w:r w:rsidR="00580699" w:rsidRPr="005F691C">
        <w:rPr>
          <w:rFonts w:ascii="Times New Roman" w:hAnsi="Times New Roman" w:cs="Times New Roman"/>
        </w:rPr>
        <w:t xml:space="preserve"> upon the national government that is attempting to combat the insurgen</w:t>
      </w:r>
      <w:r w:rsidR="008D1552">
        <w:rPr>
          <w:rFonts w:ascii="Times New Roman" w:hAnsi="Times New Roman" w:cs="Times New Roman"/>
        </w:rPr>
        <w:t>cy</w:t>
      </w:r>
      <w:r w:rsidR="00580699" w:rsidRPr="005F691C">
        <w:rPr>
          <w:rFonts w:ascii="Times New Roman" w:hAnsi="Times New Roman" w:cs="Times New Roman"/>
        </w:rPr>
        <w:t xml:space="preserve">. Thompson’s focus in a counterinsurgency campaign </w:t>
      </w:r>
      <w:r w:rsidR="008D1552">
        <w:rPr>
          <w:rFonts w:ascii="Times New Roman" w:hAnsi="Times New Roman" w:cs="Times New Roman"/>
        </w:rPr>
        <w:t>was</w:t>
      </w:r>
      <w:r w:rsidR="00580699" w:rsidRPr="005F691C">
        <w:rPr>
          <w:rFonts w:ascii="Times New Roman" w:hAnsi="Times New Roman" w:cs="Times New Roman"/>
        </w:rPr>
        <w:t xml:space="preserve"> to </w:t>
      </w:r>
      <w:r w:rsidR="008D1552">
        <w:rPr>
          <w:rFonts w:ascii="Times New Roman" w:hAnsi="Times New Roman" w:cs="Times New Roman"/>
        </w:rPr>
        <w:t>emphasise</w:t>
      </w:r>
      <w:r w:rsidR="00580699" w:rsidRPr="005F691C">
        <w:rPr>
          <w:rFonts w:ascii="Times New Roman" w:hAnsi="Times New Roman" w:cs="Times New Roman"/>
        </w:rPr>
        <w:t xml:space="preserve"> the national government and their ability to combat </w:t>
      </w:r>
      <w:r w:rsidR="003B7F2D" w:rsidRPr="005F691C">
        <w:rPr>
          <w:rFonts w:ascii="Times New Roman" w:hAnsi="Times New Roman" w:cs="Times New Roman"/>
        </w:rPr>
        <w:t xml:space="preserve">the </w:t>
      </w:r>
      <w:r w:rsidR="00580699" w:rsidRPr="005F691C">
        <w:rPr>
          <w:rFonts w:ascii="Times New Roman" w:hAnsi="Times New Roman" w:cs="Times New Roman"/>
        </w:rPr>
        <w:t>threat, barely mentioning the insurgen</w:t>
      </w:r>
      <w:r w:rsidR="008D1552">
        <w:rPr>
          <w:rFonts w:ascii="Times New Roman" w:hAnsi="Times New Roman" w:cs="Times New Roman"/>
        </w:rPr>
        <w:t xml:space="preserve">cy </w:t>
      </w:r>
      <w:r w:rsidR="00580699" w:rsidRPr="005F691C">
        <w:rPr>
          <w:rFonts w:ascii="Times New Roman" w:hAnsi="Times New Roman" w:cs="Times New Roman"/>
        </w:rPr>
        <w:t xml:space="preserve">at all. There has </w:t>
      </w:r>
      <w:r w:rsidR="008D1552">
        <w:rPr>
          <w:rFonts w:ascii="Times New Roman" w:hAnsi="Times New Roman" w:cs="Times New Roman"/>
        </w:rPr>
        <w:t>been a general shift in counter</w:t>
      </w:r>
      <w:r w:rsidR="00580699" w:rsidRPr="005F691C">
        <w:rPr>
          <w:rFonts w:ascii="Times New Roman" w:hAnsi="Times New Roman" w:cs="Times New Roman"/>
        </w:rPr>
        <w:t>insurgency literature towards a closer analysis of the enemy, rather than a sole focus on the ability of the government to defend their territory.</w:t>
      </w:r>
      <w:r w:rsidR="003B7F2D" w:rsidRPr="005F691C">
        <w:rPr>
          <w:rStyle w:val="FootnoteReference"/>
          <w:rFonts w:ascii="Times New Roman" w:hAnsi="Times New Roman" w:cs="Times New Roman"/>
        </w:rPr>
        <w:footnoteReference w:id="131"/>
      </w:r>
      <w:r w:rsidR="00580699" w:rsidRPr="005F691C">
        <w:rPr>
          <w:rFonts w:ascii="Times New Roman" w:hAnsi="Times New Roman" w:cs="Times New Roman"/>
        </w:rPr>
        <w:t xml:space="preserve"> </w:t>
      </w:r>
      <w:r w:rsidR="008D1552">
        <w:rPr>
          <w:rFonts w:ascii="Times New Roman" w:hAnsi="Times New Roman" w:cs="Times New Roman"/>
        </w:rPr>
        <w:t xml:space="preserve">Although Thompson provided the basic principles of </w:t>
      </w:r>
      <w:r>
        <w:rPr>
          <w:rFonts w:ascii="Times New Roman" w:hAnsi="Times New Roman" w:cs="Times New Roman"/>
        </w:rPr>
        <w:t>C</w:t>
      </w:r>
      <w:r w:rsidR="008D1552">
        <w:rPr>
          <w:rFonts w:ascii="Times New Roman" w:hAnsi="Times New Roman" w:cs="Times New Roman"/>
        </w:rPr>
        <w:t>OIN strategy in Northern Ireland, a</w:t>
      </w:r>
      <w:r w:rsidR="00580699" w:rsidRPr="005F691C">
        <w:rPr>
          <w:rFonts w:ascii="Times New Roman" w:hAnsi="Times New Roman" w:cs="Times New Roman"/>
        </w:rPr>
        <w:t xml:space="preserve"> shift in the development of counterinsurgency came from Brigadier Kitson, who was responsible for leading the British counterinsurgency campaign against the IRA in Northern Ireland, where it was ultimately accepted that insurgencies could erupt within urban areas, and within Western states, and thus counterinsurgency would need to adapt to fight against an urban enemy, rather than one in rural territory.</w:t>
      </w:r>
      <w:r w:rsidR="00580699" w:rsidRPr="005F691C">
        <w:rPr>
          <w:rStyle w:val="FootnoteReference"/>
          <w:rFonts w:ascii="Times New Roman" w:hAnsi="Times New Roman" w:cs="Times New Roman"/>
        </w:rPr>
        <w:footnoteReference w:id="132"/>
      </w:r>
      <w:r w:rsidR="00580699" w:rsidRPr="005F691C">
        <w:rPr>
          <w:rFonts w:ascii="Times New Roman" w:hAnsi="Times New Roman" w:cs="Times New Roman"/>
        </w:rPr>
        <w:t xml:space="preserve"> Kitson recognised that within a given territory, it is possible that genuine and serious grievances may give rise to a concentration of efforts between all those who once dissipated their concerns and thus produce a protest action that is out of the control of the police, requiring army intervention.</w:t>
      </w:r>
      <w:r w:rsidR="00580699" w:rsidRPr="005F691C">
        <w:rPr>
          <w:rStyle w:val="FootnoteReference"/>
          <w:rFonts w:ascii="Times New Roman" w:hAnsi="Times New Roman" w:cs="Times New Roman"/>
        </w:rPr>
        <w:footnoteReference w:id="133"/>
      </w:r>
      <w:r w:rsidR="00580699" w:rsidRPr="005F691C">
        <w:rPr>
          <w:rFonts w:ascii="Times New Roman" w:hAnsi="Times New Roman" w:cs="Times New Roman"/>
        </w:rPr>
        <w:t xml:space="preserve"> </w:t>
      </w:r>
    </w:p>
    <w:p w14:paraId="4981EC55"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185446F5" w14:textId="30E0D401"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This strategy has become increasingly important </w:t>
      </w:r>
      <w:r w:rsidR="008D1552">
        <w:rPr>
          <w:rFonts w:ascii="Times New Roman" w:hAnsi="Times New Roman" w:cs="Times New Roman"/>
        </w:rPr>
        <w:t>during</w:t>
      </w:r>
      <w:r w:rsidRPr="005F691C">
        <w:rPr>
          <w:rFonts w:ascii="Times New Roman" w:hAnsi="Times New Roman" w:cs="Times New Roman"/>
        </w:rPr>
        <w:t xml:space="preserve"> recent decades, where terrorism has come to be classified as insurgency, and has increasingly taken centre stage on many government agendas in terms of security campaigns. </w:t>
      </w:r>
      <w:r w:rsidR="008D1552">
        <w:rPr>
          <w:rFonts w:ascii="Times New Roman" w:hAnsi="Times New Roman" w:cs="Times New Roman"/>
        </w:rPr>
        <w:t xml:space="preserve">COIN has provided a way in which to identify insurgencies. </w:t>
      </w:r>
      <w:r w:rsidRPr="005F691C">
        <w:rPr>
          <w:rFonts w:ascii="Times New Roman" w:hAnsi="Times New Roman" w:cs="Times New Roman"/>
        </w:rPr>
        <w:t xml:space="preserve">Generally, counterinsurgency defines the </w:t>
      </w:r>
      <w:r w:rsidR="008D1552">
        <w:rPr>
          <w:rFonts w:ascii="Times New Roman" w:hAnsi="Times New Roman" w:cs="Times New Roman"/>
        </w:rPr>
        <w:t>insurgency</w:t>
      </w:r>
      <w:r w:rsidRPr="005F691C">
        <w:rPr>
          <w:rFonts w:ascii="Times New Roman" w:hAnsi="Times New Roman" w:cs="Times New Roman"/>
        </w:rPr>
        <w:t xml:space="preserve"> as a three stage process where stage one sees the formation of a party which leads the members to engage in campaigns of civil disorder; stage two begins and continues guerrilla warfare tactics; and in the third stage, either the security forces regain control of the initiative, or the insurgency begins a conventional war against the government.</w:t>
      </w:r>
      <w:r w:rsidRPr="005F691C">
        <w:rPr>
          <w:rStyle w:val="FootnoteReference"/>
          <w:rFonts w:ascii="Times New Roman" w:hAnsi="Times New Roman" w:cs="Times New Roman"/>
        </w:rPr>
        <w:footnoteReference w:id="134"/>
      </w:r>
      <w:r w:rsidRPr="005F691C">
        <w:rPr>
          <w:rFonts w:ascii="Times New Roman" w:hAnsi="Times New Roman" w:cs="Times New Roman"/>
        </w:rPr>
        <w:t xml:space="preserve"> Thus it is possible to see that none of the stages can be classified as solely military or political. Counterinsurgency also recognises the importance of subversion within an insurgency, viewing the ability of the insurgents to gain popular support as the principle danger to undermining </w:t>
      </w:r>
      <w:r w:rsidR="008D1552">
        <w:rPr>
          <w:rFonts w:ascii="Times New Roman" w:hAnsi="Times New Roman" w:cs="Times New Roman"/>
        </w:rPr>
        <w:t>the</w:t>
      </w:r>
      <w:r w:rsidRPr="005F691C">
        <w:rPr>
          <w:rFonts w:ascii="Times New Roman" w:hAnsi="Times New Roman" w:cs="Times New Roman"/>
        </w:rPr>
        <w:t xml:space="preserve"> existing government.</w:t>
      </w:r>
      <w:r w:rsidRPr="005F691C">
        <w:rPr>
          <w:rStyle w:val="FootnoteReference"/>
          <w:rFonts w:ascii="Times New Roman" w:hAnsi="Times New Roman" w:cs="Times New Roman"/>
        </w:rPr>
        <w:footnoteReference w:id="135"/>
      </w:r>
      <w:r w:rsidRPr="005F691C">
        <w:rPr>
          <w:rFonts w:ascii="Times New Roman" w:hAnsi="Times New Roman" w:cs="Times New Roman"/>
        </w:rPr>
        <w:t xml:space="preserve"> Whilst there is no concrete definition of subversion provided by the major counterinsurgency theorists, it is generally understood that subversion is not limited to criminal violence or crime, and its aims are not limited to overthrowing the government, and thus it is unique to each situation and must be classified as such.</w:t>
      </w:r>
      <w:r w:rsidRPr="005F691C">
        <w:rPr>
          <w:rStyle w:val="FootnoteReference"/>
          <w:rFonts w:ascii="Times New Roman" w:hAnsi="Times New Roman" w:cs="Times New Roman"/>
        </w:rPr>
        <w:footnoteReference w:id="136"/>
      </w:r>
    </w:p>
    <w:p w14:paraId="7432E2D1"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5F346682" w14:textId="58E6EC63"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However, there are general indicators that are employable in order to identify subversions. These include the ultimate objective of the subversion being that of revolution or major economic, social or political legislative reforms, which the government opposes.</w:t>
      </w:r>
      <w:r w:rsidRPr="005F691C">
        <w:rPr>
          <w:rStyle w:val="FootnoteReference"/>
          <w:rFonts w:ascii="Times New Roman" w:hAnsi="Times New Roman" w:cs="Times New Roman"/>
        </w:rPr>
        <w:footnoteReference w:id="137"/>
      </w:r>
      <w:r w:rsidRPr="005F691C">
        <w:rPr>
          <w:rFonts w:ascii="Times New Roman" w:hAnsi="Times New Roman" w:cs="Times New Roman"/>
        </w:rPr>
        <w:t xml:space="preserve"> Further, there is the organisation, or party, </w:t>
      </w:r>
      <w:r w:rsidR="000F0891">
        <w:rPr>
          <w:rFonts w:ascii="Times New Roman" w:hAnsi="Times New Roman" w:cs="Times New Roman"/>
        </w:rPr>
        <w:t xml:space="preserve">traditionally </w:t>
      </w:r>
      <w:r w:rsidRPr="005F691C">
        <w:rPr>
          <w:rFonts w:ascii="Times New Roman" w:hAnsi="Times New Roman" w:cs="Times New Roman"/>
        </w:rPr>
        <w:t>centred on Left-wing ideology, instilling discipline and provid</w:t>
      </w:r>
      <w:r w:rsidR="008D1552">
        <w:rPr>
          <w:rFonts w:ascii="Times New Roman" w:hAnsi="Times New Roman" w:cs="Times New Roman"/>
        </w:rPr>
        <w:t>ing</w:t>
      </w:r>
      <w:r w:rsidRPr="005F691C">
        <w:rPr>
          <w:rFonts w:ascii="Times New Roman" w:hAnsi="Times New Roman" w:cs="Times New Roman"/>
        </w:rPr>
        <w:t xml:space="preserve"> leadership for the campaign. Lastly, the campaign consists of political demonstrations and dissident protest</w:t>
      </w:r>
      <w:r w:rsidR="003B7F2D" w:rsidRPr="005F691C">
        <w:rPr>
          <w:rFonts w:ascii="Times New Roman" w:hAnsi="Times New Roman" w:cs="Times New Roman"/>
        </w:rPr>
        <w:t>s</w:t>
      </w:r>
      <w:r w:rsidRPr="005F691C">
        <w:rPr>
          <w:rFonts w:ascii="Times New Roman" w:hAnsi="Times New Roman" w:cs="Times New Roman"/>
        </w:rPr>
        <w:t>, where the behavioral violence varies between organisations. Ultimately the aim of the insurgents is to link the grievance to the ideology of the group and hence, to their ultimate aims, thus justifying the means.</w:t>
      </w:r>
      <w:r w:rsidRPr="005F691C">
        <w:rPr>
          <w:rStyle w:val="FootnoteReference"/>
          <w:rFonts w:ascii="Times New Roman" w:hAnsi="Times New Roman" w:cs="Times New Roman"/>
        </w:rPr>
        <w:footnoteReference w:id="138"/>
      </w:r>
      <w:r w:rsidRPr="005F691C">
        <w:rPr>
          <w:rFonts w:ascii="Times New Roman" w:hAnsi="Times New Roman" w:cs="Times New Roman"/>
        </w:rPr>
        <w:t xml:space="preserve"> </w:t>
      </w:r>
    </w:p>
    <w:p w14:paraId="784D695B"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4CCFC9FC" w14:textId="0CAEE9F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Having described the way in which insurgencies are to be identified, the counterinsurgency theorists provide a method by which to repress and take control of such situations. This strategy is two pronged, as </w:t>
      </w:r>
      <w:r w:rsidR="003B7F2D" w:rsidRPr="005F691C">
        <w:rPr>
          <w:rFonts w:ascii="Times New Roman" w:hAnsi="Times New Roman" w:cs="Times New Roman"/>
        </w:rPr>
        <w:t xml:space="preserve">it is </w:t>
      </w:r>
      <w:r w:rsidRPr="005F691C">
        <w:rPr>
          <w:rFonts w:ascii="Times New Roman" w:hAnsi="Times New Roman" w:cs="Times New Roman"/>
        </w:rPr>
        <w:t>aimed against both the subversive organisation (the insurgents), and the people who support them.</w:t>
      </w:r>
      <w:r w:rsidRPr="005F691C">
        <w:rPr>
          <w:rStyle w:val="FootnoteReference"/>
          <w:rFonts w:ascii="Times New Roman" w:hAnsi="Times New Roman" w:cs="Times New Roman"/>
        </w:rPr>
        <w:footnoteReference w:id="139"/>
      </w:r>
      <w:r w:rsidRPr="005F691C">
        <w:rPr>
          <w:rFonts w:ascii="Times New Roman" w:hAnsi="Times New Roman" w:cs="Times New Roman"/>
        </w:rPr>
        <w:t xml:space="preserve"> There is recognition that it is possible to repress an insurgency before it becomes violent and powerful</w:t>
      </w:r>
      <w:r w:rsidR="003B7F2D" w:rsidRPr="005F691C">
        <w:rPr>
          <w:rFonts w:ascii="Times New Roman" w:hAnsi="Times New Roman" w:cs="Times New Roman"/>
        </w:rPr>
        <w:t>,</w:t>
      </w:r>
      <w:r w:rsidRPr="005F691C">
        <w:rPr>
          <w:rFonts w:ascii="Times New Roman" w:hAnsi="Times New Roman" w:cs="Times New Roman"/>
        </w:rPr>
        <w:t xml:space="preserve"> by the government carefully timing and announcing reforms that would placate a plethora of grievances within society, thus eliminating the binds of the subversion.</w:t>
      </w:r>
      <w:r w:rsidR="008D1552">
        <w:rPr>
          <w:rStyle w:val="FootnoteReference"/>
          <w:rFonts w:ascii="Times New Roman" w:hAnsi="Times New Roman" w:cs="Times New Roman"/>
        </w:rPr>
        <w:footnoteReference w:id="140"/>
      </w:r>
      <w:r w:rsidRPr="005F691C">
        <w:rPr>
          <w:rFonts w:ascii="Times New Roman" w:hAnsi="Times New Roman" w:cs="Times New Roman"/>
        </w:rPr>
        <w:t xml:space="preserve"> Furthermore, the state must effectively repress the subversives so as to prevent a future recurrence. The ultimate aim must be a total eradication of the threat.</w:t>
      </w:r>
      <w:r w:rsidRPr="005F691C">
        <w:rPr>
          <w:rStyle w:val="FootnoteReference"/>
          <w:rFonts w:ascii="Times New Roman" w:hAnsi="Times New Roman" w:cs="Times New Roman"/>
        </w:rPr>
        <w:footnoteReference w:id="141"/>
      </w:r>
      <w:r w:rsidRPr="005F691C">
        <w:rPr>
          <w:rFonts w:ascii="Times New Roman" w:hAnsi="Times New Roman" w:cs="Times New Roman"/>
        </w:rPr>
        <w:t xml:space="preserve"> Within this element, there is the recognition that security forces should use leisure activities to collect information and infiltrate activist hubs, that is, the counterinsurgency movement should infiltrate the insurgents.</w:t>
      </w:r>
      <w:r w:rsidRPr="005F691C">
        <w:rPr>
          <w:rStyle w:val="FootnoteReference"/>
          <w:rFonts w:ascii="Times New Roman" w:hAnsi="Times New Roman" w:cs="Times New Roman"/>
        </w:rPr>
        <w:footnoteReference w:id="142"/>
      </w:r>
      <w:r w:rsidRPr="005F691C">
        <w:rPr>
          <w:rFonts w:ascii="Times New Roman" w:hAnsi="Times New Roman" w:cs="Times New Roman"/>
        </w:rPr>
        <w:t xml:space="preserve"> This allows for the discrediting of the activists. Although there is the option of more violent and brutal measures, there is recognition that there need not be use of such measures, as the nonviolent ones are as effective.</w:t>
      </w:r>
      <w:r w:rsidRPr="005F691C">
        <w:rPr>
          <w:rStyle w:val="FootnoteReference"/>
          <w:rFonts w:ascii="Times New Roman" w:hAnsi="Times New Roman" w:cs="Times New Roman"/>
        </w:rPr>
        <w:footnoteReference w:id="143"/>
      </w:r>
    </w:p>
    <w:p w14:paraId="5A84A130"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2D2883B5" w14:textId="2E076EF4"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There is also the proposition by counterinsurgency that the insurgents need to be isolated from their supporting population. Thompson proposed four phases for the occurrence of this isolation where phase one is where the government or its forces clear out an area by saturating it with police or military; phase two is where the forces hold this area; phase three sees the forces winning over the support</w:t>
      </w:r>
      <w:r w:rsidR="003B7F2D" w:rsidRPr="005F691C">
        <w:rPr>
          <w:rFonts w:ascii="Times New Roman" w:hAnsi="Times New Roman" w:cs="Times New Roman"/>
        </w:rPr>
        <w:t xml:space="preserve"> of the</w:t>
      </w:r>
      <w:r w:rsidRPr="005F691C">
        <w:rPr>
          <w:rFonts w:ascii="Times New Roman" w:hAnsi="Times New Roman" w:cs="Times New Roman"/>
        </w:rPr>
        <w:t xml:space="preserve"> population by providing incentives and the final phase will see the forces reinforcing normal conditions.</w:t>
      </w:r>
      <w:r w:rsidRPr="005F691C">
        <w:rPr>
          <w:rStyle w:val="FootnoteReference"/>
          <w:rFonts w:ascii="Times New Roman" w:hAnsi="Times New Roman" w:cs="Times New Roman"/>
        </w:rPr>
        <w:footnoteReference w:id="144"/>
      </w:r>
      <w:r w:rsidRPr="005F691C">
        <w:rPr>
          <w:rFonts w:ascii="Times New Roman" w:hAnsi="Times New Roman" w:cs="Times New Roman"/>
        </w:rPr>
        <w:t xml:space="preserve"> </w:t>
      </w:r>
    </w:p>
    <w:p w14:paraId="0651855C"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0075BC4B" w14:textId="2DCCBE02"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Thus it is portrayed through the various works of early counterinsurgency theorists that key principles and elements apply to the successful implementation of a counterinsurgency operation. The five principles outlined by Thompson appear as an inverse of those</w:t>
      </w:r>
      <w:r w:rsidR="003B7F2D" w:rsidRPr="005F691C">
        <w:rPr>
          <w:rFonts w:ascii="Times New Roman" w:hAnsi="Times New Roman" w:cs="Times New Roman"/>
        </w:rPr>
        <w:t xml:space="preserve"> offered by Mao</w:t>
      </w:r>
      <w:r w:rsidRPr="005F691C">
        <w:rPr>
          <w:rFonts w:ascii="Times New Roman" w:hAnsi="Times New Roman" w:cs="Times New Roman"/>
        </w:rPr>
        <w:t>. There is also an outline of what</w:t>
      </w:r>
      <w:r w:rsidR="008D1552">
        <w:rPr>
          <w:rFonts w:ascii="Times New Roman" w:hAnsi="Times New Roman" w:cs="Times New Roman"/>
        </w:rPr>
        <w:t xml:space="preserve"> to look for when identifying an </w:t>
      </w:r>
      <w:r w:rsidRPr="005F691C">
        <w:rPr>
          <w:rFonts w:ascii="Times New Roman" w:hAnsi="Times New Roman" w:cs="Times New Roman"/>
        </w:rPr>
        <w:t xml:space="preserve">insurgency. The problem with this, however, is that no absolute definition is provided for subversion and as such, it is not easily identified. </w:t>
      </w:r>
      <w:r w:rsidR="003B7F2D" w:rsidRPr="005F691C">
        <w:rPr>
          <w:rFonts w:ascii="Times New Roman" w:hAnsi="Times New Roman" w:cs="Times New Roman"/>
        </w:rPr>
        <w:t>T</w:t>
      </w:r>
      <w:r w:rsidRPr="005F691C">
        <w:rPr>
          <w:rFonts w:ascii="Times New Roman" w:hAnsi="Times New Roman" w:cs="Times New Roman"/>
        </w:rPr>
        <w:t xml:space="preserve">here are problems with original counterinsurgency doctrine, including the prescription by Thompson that government remains non-violent, where in reality there is the possibility that violence will be absolutely required. Furthermore, there is a lack of importance placed upon the fact that serious and genuine grievances should in fact be put at the centre of the </w:t>
      </w:r>
      <w:r w:rsidR="003B7F2D" w:rsidRPr="005F691C">
        <w:rPr>
          <w:rFonts w:ascii="Times New Roman" w:hAnsi="Times New Roman" w:cs="Times New Roman"/>
        </w:rPr>
        <w:t>solution</w:t>
      </w:r>
      <w:r w:rsidRPr="005F691C">
        <w:rPr>
          <w:rFonts w:ascii="Times New Roman" w:hAnsi="Times New Roman" w:cs="Times New Roman"/>
        </w:rPr>
        <w:t>, as no government deserves to survive if it is not willing to redress these issues.</w:t>
      </w:r>
      <w:r w:rsidRPr="005F691C">
        <w:rPr>
          <w:rStyle w:val="FootnoteReference"/>
          <w:rFonts w:ascii="Times New Roman" w:hAnsi="Times New Roman" w:cs="Times New Roman"/>
        </w:rPr>
        <w:footnoteReference w:id="145"/>
      </w:r>
      <w:r w:rsidRPr="005F691C">
        <w:rPr>
          <w:rFonts w:ascii="Times New Roman" w:hAnsi="Times New Roman" w:cs="Times New Roman"/>
        </w:rPr>
        <w:t xml:space="preserve"> </w:t>
      </w:r>
    </w:p>
    <w:p w14:paraId="3FC5409E"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037E9EBA" w14:textId="388614A0" w:rsidR="003B7F2D" w:rsidRPr="005F691C" w:rsidRDefault="008D1552" w:rsidP="000C3A26">
      <w:pPr>
        <w:autoSpaceDE w:val="0"/>
        <w:autoSpaceDN w:val="0"/>
        <w:adjustRightInd w:val="0"/>
        <w:spacing w:line="360" w:lineRule="auto"/>
        <w:ind w:left="-567" w:right="-631"/>
        <w:jc w:val="both"/>
        <w:rPr>
          <w:rFonts w:ascii="Times New Roman" w:hAnsi="Times New Roman" w:cs="Times New Roman"/>
        </w:rPr>
      </w:pPr>
      <w:r>
        <w:rPr>
          <w:rFonts w:ascii="Times New Roman" w:hAnsi="Times New Roman" w:cs="Times New Roman"/>
        </w:rPr>
        <w:t>There</w:t>
      </w:r>
      <w:r w:rsidR="00580699" w:rsidRPr="005F691C">
        <w:rPr>
          <w:rFonts w:ascii="Times New Roman" w:hAnsi="Times New Roman" w:cs="Times New Roman"/>
        </w:rPr>
        <w:t xml:space="preserve"> has been development and recourse </w:t>
      </w:r>
      <w:r w:rsidR="003B7F2D" w:rsidRPr="005F691C">
        <w:rPr>
          <w:rFonts w:ascii="Times New Roman" w:hAnsi="Times New Roman" w:cs="Times New Roman"/>
        </w:rPr>
        <w:t>to the</w:t>
      </w:r>
      <w:r w:rsidR="00580699" w:rsidRPr="005F691C">
        <w:rPr>
          <w:rFonts w:ascii="Times New Roman" w:hAnsi="Times New Roman" w:cs="Times New Roman"/>
        </w:rPr>
        <w:t xml:space="preserve"> original counterinsurgency doctrine so as to overcome these issues and provide for </w:t>
      </w:r>
      <w:r w:rsidR="0007181E">
        <w:rPr>
          <w:rFonts w:ascii="Times New Roman" w:hAnsi="Times New Roman" w:cs="Times New Roman"/>
        </w:rPr>
        <w:t>solutions to perceived issues with the</w:t>
      </w:r>
      <w:r w:rsidR="00580699" w:rsidRPr="005F691C">
        <w:rPr>
          <w:rFonts w:ascii="Times New Roman" w:hAnsi="Times New Roman" w:cs="Times New Roman"/>
        </w:rPr>
        <w:t xml:space="preserve"> strategy. By analyzing the implementation of COIN in the cases</w:t>
      </w:r>
      <w:r w:rsidR="003B7F2D" w:rsidRPr="005F691C">
        <w:rPr>
          <w:rFonts w:ascii="Times New Roman" w:hAnsi="Times New Roman" w:cs="Times New Roman"/>
        </w:rPr>
        <w:t xml:space="preserve"> of the IRA in Northern Ireland</w:t>
      </w:r>
      <w:r w:rsidR="00580699" w:rsidRPr="005F691C">
        <w:rPr>
          <w:rFonts w:ascii="Times New Roman" w:hAnsi="Times New Roman" w:cs="Times New Roman"/>
        </w:rPr>
        <w:t xml:space="preserve"> and Al Qaeda in Iraq, it will be possible to see how the development of COIN has taken place and how the strategy has evolved under different leaders.</w:t>
      </w:r>
    </w:p>
    <w:p w14:paraId="56DA5CE8"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122B09F9" w14:textId="25AD02B2" w:rsidR="00580699" w:rsidRPr="005F691C" w:rsidRDefault="00580699" w:rsidP="002320A0">
      <w:pPr>
        <w:pStyle w:val="ListParagraph"/>
        <w:numPr>
          <w:ilvl w:val="1"/>
          <w:numId w:val="41"/>
        </w:numPr>
        <w:autoSpaceDE w:val="0"/>
        <w:autoSpaceDN w:val="0"/>
        <w:adjustRightInd w:val="0"/>
        <w:spacing w:line="360" w:lineRule="auto"/>
        <w:ind w:left="-142" w:right="-631" w:hanging="425"/>
        <w:jc w:val="both"/>
        <w:rPr>
          <w:rFonts w:ascii="Times New Roman" w:hAnsi="Times New Roman" w:cs="Times New Roman"/>
          <w:b/>
          <w:u w:val="single"/>
        </w:rPr>
      </w:pPr>
      <w:r w:rsidRPr="005F691C">
        <w:rPr>
          <w:rFonts w:ascii="Times New Roman" w:hAnsi="Times New Roman" w:cs="Times New Roman"/>
          <w:b/>
          <w:u w:val="single"/>
        </w:rPr>
        <w:t>COIN and the IRA</w:t>
      </w:r>
    </w:p>
    <w:p w14:paraId="182A5932"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2BAC8E6F" w14:textId="48DEB800"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The experience of the British Army in their fight against insurgency as carried out by the IRA in Northern Ireland serves as an example of basic tactical and practical experience of the original principles of counterinsurgency.</w:t>
      </w:r>
      <w:r w:rsidRPr="005F691C">
        <w:rPr>
          <w:rStyle w:val="FootnoteReference"/>
          <w:rFonts w:ascii="Times New Roman" w:hAnsi="Times New Roman" w:cs="Times New Roman"/>
        </w:rPr>
        <w:footnoteReference w:id="146"/>
      </w:r>
      <w:r w:rsidRPr="005F691C">
        <w:rPr>
          <w:rFonts w:ascii="Times New Roman" w:hAnsi="Times New Roman" w:cs="Times New Roman"/>
        </w:rPr>
        <w:t xml:space="preserve">  In their application of COIN, the British acknowledged that conventional warfare strategy may become irrelevant</w:t>
      </w:r>
      <w:r w:rsidR="003B7F2D" w:rsidRPr="005F691C">
        <w:rPr>
          <w:rFonts w:ascii="Times New Roman" w:hAnsi="Times New Roman" w:cs="Times New Roman"/>
        </w:rPr>
        <w:t xml:space="preserve">, and that politics </w:t>
      </w:r>
      <w:r w:rsidR="0007181E">
        <w:rPr>
          <w:rFonts w:ascii="Times New Roman" w:hAnsi="Times New Roman" w:cs="Times New Roman"/>
        </w:rPr>
        <w:t xml:space="preserve">would </w:t>
      </w:r>
      <w:r w:rsidR="003B7F2D" w:rsidRPr="005F691C">
        <w:rPr>
          <w:rFonts w:ascii="Times New Roman" w:hAnsi="Times New Roman" w:cs="Times New Roman"/>
        </w:rPr>
        <w:t>become</w:t>
      </w:r>
      <w:r w:rsidRPr="005F691C">
        <w:rPr>
          <w:rFonts w:ascii="Times New Roman" w:hAnsi="Times New Roman" w:cs="Times New Roman"/>
        </w:rPr>
        <w:t xml:space="preserve"> a tight governing factor, however they also noted that because COIN employs a degree of military action, there are parallels with conventional warfare.</w:t>
      </w:r>
      <w:r w:rsidRPr="005F691C">
        <w:rPr>
          <w:rStyle w:val="FootnoteReference"/>
          <w:rFonts w:ascii="Times New Roman" w:hAnsi="Times New Roman" w:cs="Times New Roman"/>
        </w:rPr>
        <w:footnoteReference w:id="147"/>
      </w:r>
      <w:r w:rsidRPr="005F691C">
        <w:rPr>
          <w:rFonts w:ascii="Times New Roman" w:hAnsi="Times New Roman" w:cs="Times New Roman"/>
        </w:rPr>
        <w:t xml:space="preserve"> </w:t>
      </w:r>
      <w:r w:rsidR="003B7F2D" w:rsidRPr="005F691C">
        <w:rPr>
          <w:rFonts w:ascii="Times New Roman" w:hAnsi="Times New Roman" w:cs="Times New Roman"/>
        </w:rPr>
        <w:t>H</w:t>
      </w:r>
      <w:r w:rsidRPr="005F691C">
        <w:rPr>
          <w:rFonts w:ascii="Times New Roman" w:hAnsi="Times New Roman" w:cs="Times New Roman"/>
        </w:rPr>
        <w:t>ow did the British implement COIN? What were their tactics and what principles did they follow? This section will serve to analyse how the original principles of COIN were implemented and applied to fighting the insurgency of the IRA.</w:t>
      </w:r>
    </w:p>
    <w:p w14:paraId="15E105CE"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74A85C44" w14:textId="5A8CE3D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Within the IRA, the desired outcome was uniformly recognised as a free and Gaelic Ireland, thus they were informed by a political will which bound them, hoping to achieve an Ireland governed by their own unique brand of “socialist republicanism”.</w:t>
      </w:r>
      <w:r w:rsidRPr="005F691C">
        <w:rPr>
          <w:rStyle w:val="FootnoteReference"/>
          <w:rFonts w:ascii="Times New Roman" w:hAnsi="Times New Roman" w:cs="Times New Roman"/>
        </w:rPr>
        <w:footnoteReference w:id="148"/>
      </w:r>
      <w:r w:rsidRPr="005F691C">
        <w:rPr>
          <w:rFonts w:ascii="Times New Roman" w:hAnsi="Times New Roman" w:cs="Times New Roman"/>
        </w:rPr>
        <w:t xml:space="preserve"> The IRA employed terrorism as a tactic in order to mobilise support, their actions forcing people to either be “with us or against us”.</w:t>
      </w:r>
      <w:r w:rsidRPr="005F691C">
        <w:rPr>
          <w:rStyle w:val="FootnoteReference"/>
          <w:rFonts w:ascii="Times New Roman" w:hAnsi="Times New Roman" w:cs="Times New Roman"/>
        </w:rPr>
        <w:footnoteReference w:id="149"/>
      </w:r>
      <w:r w:rsidRPr="005F691C">
        <w:rPr>
          <w:rFonts w:ascii="Times New Roman" w:hAnsi="Times New Roman" w:cs="Times New Roman"/>
        </w:rPr>
        <w:t xml:space="preserve"> A more detailed analysis of the IRA will take place in the following chapter, however for the purposes of a COIN analysis it is sufficient to say that the IRA was recognised as an insurgency and thus the British Army responded to t</w:t>
      </w:r>
      <w:r w:rsidR="0007181E">
        <w:rPr>
          <w:rFonts w:ascii="Times New Roman" w:hAnsi="Times New Roman" w:cs="Times New Roman"/>
        </w:rPr>
        <w:t>he threat by using COIN tactics. The insurgency arose as a result of the grievances of the Catholic population not being adequately addressed by the dominant Protestant government.</w:t>
      </w:r>
      <w:r w:rsidR="0007181E">
        <w:rPr>
          <w:rStyle w:val="FootnoteReference"/>
          <w:rFonts w:ascii="Times New Roman" w:hAnsi="Times New Roman" w:cs="Times New Roman"/>
        </w:rPr>
        <w:footnoteReference w:id="150"/>
      </w:r>
    </w:p>
    <w:p w14:paraId="79E891E3"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6CD69BA5" w14:textId="45607610" w:rsidR="00580699" w:rsidRDefault="00580699" w:rsidP="0007181E">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By analyzing the British reaction and strategy with reference to the key principles laid out by Thompson, it is possible to see that the British Army employed a classical approach to COIN and adhered to its original tenets. </w:t>
      </w:r>
    </w:p>
    <w:p w14:paraId="209E0F44" w14:textId="77777777" w:rsidR="0007181E" w:rsidRPr="005F691C" w:rsidRDefault="0007181E" w:rsidP="0007181E">
      <w:pPr>
        <w:autoSpaceDE w:val="0"/>
        <w:autoSpaceDN w:val="0"/>
        <w:adjustRightInd w:val="0"/>
        <w:spacing w:line="360" w:lineRule="auto"/>
        <w:ind w:left="-567" w:right="-631"/>
        <w:jc w:val="both"/>
        <w:rPr>
          <w:rFonts w:ascii="Times New Roman" w:hAnsi="Times New Roman" w:cs="Times New Roman"/>
          <w:i/>
        </w:rPr>
      </w:pPr>
    </w:p>
    <w:p w14:paraId="001DFE35" w14:textId="6ABC7A2B"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The British government, which was the colonial power of Northern Ireland at the time, displayed a great commitment to finding both political and military solutions to the conflict. They wished to find an acceptable solution to all concerned, and to prevent the ultimate decay of the area into civil war.</w:t>
      </w:r>
      <w:r w:rsidRPr="005F691C">
        <w:rPr>
          <w:rStyle w:val="FootnoteReference"/>
          <w:rFonts w:ascii="Times New Roman" w:hAnsi="Times New Roman" w:cs="Times New Roman"/>
        </w:rPr>
        <w:footnoteReference w:id="151"/>
      </w:r>
      <w:r w:rsidRPr="005F691C">
        <w:rPr>
          <w:rFonts w:ascii="Times New Roman" w:hAnsi="Times New Roman" w:cs="Times New Roman"/>
        </w:rPr>
        <w:t xml:space="preserve"> When it became evident that the Northern Ireland government was incapable of effecting reconciliation with the Catholics, Britain took the step of implementing Direct Rule, and attempted to institute a range of solutions that would satisfy both the Protestants and Catholics. These attempts included power-sharing arrangements, displaying the British determination to achieve a political solution</w:t>
      </w:r>
      <w:r w:rsidR="003B7F2D" w:rsidRPr="005F691C">
        <w:rPr>
          <w:rFonts w:ascii="Times New Roman" w:hAnsi="Times New Roman" w:cs="Times New Roman"/>
        </w:rPr>
        <w:t xml:space="preserve"> rather than resorting</w:t>
      </w:r>
      <w:r w:rsidRPr="005F691C">
        <w:rPr>
          <w:rFonts w:ascii="Times New Roman" w:hAnsi="Times New Roman" w:cs="Times New Roman"/>
        </w:rPr>
        <w:t xml:space="preserve"> to the use of force.</w:t>
      </w:r>
      <w:r w:rsidRPr="005F691C">
        <w:rPr>
          <w:rStyle w:val="FootnoteReference"/>
          <w:rFonts w:ascii="Times New Roman" w:hAnsi="Times New Roman" w:cs="Times New Roman"/>
        </w:rPr>
        <w:footnoteReference w:id="152"/>
      </w:r>
    </w:p>
    <w:p w14:paraId="19ADF513"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419F87C3" w14:textId="6E384A13"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commitment of the British army to achieving a political solution that was acceptable to all those involved in the conflict </w:t>
      </w:r>
      <w:r w:rsidR="0007181E">
        <w:rPr>
          <w:rFonts w:ascii="Times New Roman" w:hAnsi="Times New Roman" w:cs="Times New Roman"/>
        </w:rPr>
        <w:t xml:space="preserve">and </w:t>
      </w:r>
      <w:r w:rsidRPr="005F691C">
        <w:rPr>
          <w:rFonts w:ascii="Times New Roman" w:hAnsi="Times New Roman" w:cs="Times New Roman"/>
        </w:rPr>
        <w:t xml:space="preserve">displayed the commitment of the British government to a clear political aim, of maintaining a free, independent (ultimately returning to self rule) and united (Protestant and Catholic unity) country which </w:t>
      </w:r>
      <w:r w:rsidR="0007181E">
        <w:rPr>
          <w:rFonts w:ascii="Times New Roman" w:hAnsi="Times New Roman" w:cs="Times New Roman"/>
        </w:rPr>
        <w:t>would be</w:t>
      </w:r>
      <w:r w:rsidRPr="005F691C">
        <w:rPr>
          <w:rFonts w:ascii="Times New Roman" w:hAnsi="Times New Roman" w:cs="Times New Roman"/>
        </w:rPr>
        <w:t xml:space="preserve"> politically and economically stable and viable.</w:t>
      </w:r>
      <w:r w:rsidR="003B7F2D" w:rsidRPr="005F691C">
        <w:rPr>
          <w:rStyle w:val="FootnoteReference"/>
          <w:rFonts w:ascii="Times New Roman" w:hAnsi="Times New Roman" w:cs="Times New Roman"/>
        </w:rPr>
        <w:footnoteReference w:id="153"/>
      </w:r>
      <w:r w:rsidRPr="005F691C">
        <w:rPr>
          <w:rFonts w:ascii="Times New Roman" w:hAnsi="Times New Roman" w:cs="Times New Roman"/>
        </w:rPr>
        <w:t xml:space="preserve"> This displays the implementation of the British Army of the first of Thompson’s five principles, and the first step of implementing a counterinsurgency campaign.</w:t>
      </w:r>
    </w:p>
    <w:p w14:paraId="20280BFB"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3B605475" w14:textId="37990D5B"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The restraint demonstrated by the British forces present in Northern Ireland demonstrates their implementation of the second principle; the government</w:t>
      </w:r>
      <w:r w:rsidR="0007181E">
        <w:rPr>
          <w:rFonts w:ascii="Times New Roman" w:hAnsi="Times New Roman" w:cs="Times New Roman"/>
        </w:rPr>
        <w:t>, or governing forces,</w:t>
      </w:r>
      <w:r w:rsidRPr="005F691C">
        <w:rPr>
          <w:rFonts w:ascii="Times New Roman" w:hAnsi="Times New Roman" w:cs="Times New Roman"/>
        </w:rPr>
        <w:t xml:space="preserve"> must function in accordance with the law. The British Army was responsible for street patrols and seeking out and apprehending any individuals suspected of rebellious behaviours. </w:t>
      </w:r>
      <w:r w:rsidRPr="005F691C">
        <w:rPr>
          <w:rStyle w:val="FootnoteReference"/>
          <w:rFonts w:ascii="Times New Roman" w:hAnsi="Times New Roman" w:cs="Times New Roman"/>
        </w:rPr>
        <w:footnoteReference w:id="154"/>
      </w:r>
      <w:r w:rsidRPr="005F691C">
        <w:rPr>
          <w:rFonts w:ascii="Times New Roman" w:hAnsi="Times New Roman" w:cs="Times New Roman"/>
        </w:rPr>
        <w:t xml:space="preserve"> The Army responsibly and effectively carried out the various tasks necessary to combat an insurgency. The development of effective bomb disposal procedures, and organised patrols carried out either on foot or</w:t>
      </w:r>
      <w:r w:rsidR="000F0891">
        <w:rPr>
          <w:rFonts w:ascii="Times New Roman" w:hAnsi="Times New Roman" w:cs="Times New Roman"/>
        </w:rPr>
        <w:t xml:space="preserve"> by armored vehicle </w:t>
      </w:r>
      <w:r w:rsidR="003B7F2D" w:rsidRPr="005F691C">
        <w:rPr>
          <w:rFonts w:ascii="Times New Roman" w:hAnsi="Times New Roman" w:cs="Times New Roman"/>
        </w:rPr>
        <w:t xml:space="preserve">were </w:t>
      </w:r>
      <w:r w:rsidR="000F0891" w:rsidRPr="005F691C">
        <w:rPr>
          <w:rFonts w:ascii="Times New Roman" w:hAnsi="Times New Roman" w:cs="Times New Roman"/>
        </w:rPr>
        <w:t>commonplace</w:t>
      </w:r>
      <w:r w:rsidRPr="005F691C">
        <w:rPr>
          <w:rFonts w:ascii="Times New Roman" w:hAnsi="Times New Roman" w:cs="Times New Roman"/>
        </w:rPr>
        <w:t>. Also, the Army would perform sweeps for subjects, avoiding blanket searches and rather searching selected houses, and using vacant houses as cover ups to get information from friendlier inhabitants.</w:t>
      </w:r>
      <w:r w:rsidRPr="005F691C">
        <w:rPr>
          <w:rStyle w:val="FootnoteReference"/>
          <w:rFonts w:ascii="Times New Roman" w:hAnsi="Times New Roman" w:cs="Times New Roman"/>
        </w:rPr>
        <w:footnoteReference w:id="155"/>
      </w:r>
      <w:r w:rsidRPr="005F691C">
        <w:rPr>
          <w:rFonts w:ascii="Times New Roman" w:hAnsi="Times New Roman" w:cs="Times New Roman"/>
        </w:rPr>
        <w:t xml:space="preserve"> </w:t>
      </w:r>
      <w:r w:rsidR="000F0891">
        <w:rPr>
          <w:rFonts w:ascii="Times New Roman" w:hAnsi="Times New Roman" w:cs="Times New Roman"/>
        </w:rPr>
        <w:t>The British were successful in their efforts to implement and administer effective rule of law.</w:t>
      </w:r>
    </w:p>
    <w:p w14:paraId="7994CFC9"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5CF45691" w14:textId="5B625F32" w:rsidR="00580699" w:rsidRPr="005F691C" w:rsidRDefault="000F0891" w:rsidP="00580699">
      <w:pPr>
        <w:autoSpaceDE w:val="0"/>
        <w:autoSpaceDN w:val="0"/>
        <w:adjustRightInd w:val="0"/>
        <w:spacing w:line="360" w:lineRule="auto"/>
        <w:ind w:left="-567" w:right="-631"/>
        <w:jc w:val="both"/>
        <w:rPr>
          <w:rFonts w:ascii="Times New Roman" w:hAnsi="Times New Roman" w:cs="Times New Roman"/>
        </w:rPr>
      </w:pPr>
      <w:r>
        <w:rPr>
          <w:rFonts w:ascii="Times New Roman" w:hAnsi="Times New Roman" w:cs="Times New Roman"/>
        </w:rPr>
        <w:t>However, the</w:t>
      </w:r>
      <w:r w:rsidR="00580699" w:rsidRPr="005F691C">
        <w:rPr>
          <w:rFonts w:ascii="Times New Roman" w:hAnsi="Times New Roman" w:cs="Times New Roman"/>
        </w:rPr>
        <w:t xml:space="preserve"> principle</w:t>
      </w:r>
      <w:r>
        <w:rPr>
          <w:rFonts w:ascii="Times New Roman" w:hAnsi="Times New Roman" w:cs="Times New Roman"/>
        </w:rPr>
        <w:t>s</w:t>
      </w:r>
      <w:r w:rsidR="00580699" w:rsidRPr="005F691C">
        <w:rPr>
          <w:rFonts w:ascii="Times New Roman" w:hAnsi="Times New Roman" w:cs="Times New Roman"/>
        </w:rPr>
        <w:t xml:space="preserve"> </w:t>
      </w:r>
      <w:r>
        <w:rPr>
          <w:rFonts w:ascii="Times New Roman" w:hAnsi="Times New Roman" w:cs="Times New Roman"/>
        </w:rPr>
        <w:t xml:space="preserve">of rule of law </w:t>
      </w:r>
      <w:r w:rsidR="00580699" w:rsidRPr="005F691C">
        <w:rPr>
          <w:rFonts w:ascii="Times New Roman" w:hAnsi="Times New Roman" w:cs="Times New Roman"/>
        </w:rPr>
        <w:t xml:space="preserve">becomes questionable where the forces are able to ensure that certain measures of law are </w:t>
      </w:r>
      <w:r w:rsidRPr="00CD1CE5">
        <w:rPr>
          <w:rFonts w:ascii="Times New Roman" w:hAnsi="Times New Roman" w:cs="Times New Roman"/>
        </w:rPr>
        <w:t>ad</w:t>
      </w:r>
      <w:r>
        <w:rPr>
          <w:rFonts w:ascii="Times New Roman" w:hAnsi="Times New Roman" w:cs="Times New Roman"/>
        </w:rPr>
        <w:t>justed</w:t>
      </w:r>
      <w:r w:rsidR="00580699" w:rsidRPr="005F691C">
        <w:rPr>
          <w:rFonts w:ascii="Times New Roman" w:hAnsi="Times New Roman" w:cs="Times New Roman"/>
        </w:rPr>
        <w:t xml:space="preserve"> in their favour. The British forces were not burdened by some of the conventional rules of law, which inhibited them in England, and were in fact observed in other countries, such as the explicit delineation of charge and sentence.</w:t>
      </w:r>
      <w:r w:rsidR="00580699" w:rsidRPr="005F691C">
        <w:rPr>
          <w:rStyle w:val="FootnoteReference"/>
          <w:rFonts w:ascii="Times New Roman" w:hAnsi="Times New Roman" w:cs="Times New Roman"/>
        </w:rPr>
        <w:footnoteReference w:id="156"/>
      </w:r>
      <w:r w:rsidR="00580699" w:rsidRPr="005F691C">
        <w:rPr>
          <w:rFonts w:ascii="Times New Roman" w:hAnsi="Times New Roman" w:cs="Times New Roman"/>
        </w:rPr>
        <w:t xml:space="preserve"> When the law is malleable to the enforcers, is there justice in its implementation? This gives the enforcer the room to change and mould the COIN strategy as is necessary within the situation. Whilst it is important that military strategy be adaptable, it is a fine line between adaptability to the circumstances and adaptability for the sake of not being held accountable.</w:t>
      </w:r>
    </w:p>
    <w:p w14:paraId="24A9DEF4"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23DB0E29" w14:textId="67EADC80"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While these measures demonstrate the second principle of Thompsons</w:t>
      </w:r>
      <w:r w:rsidR="003B7F2D" w:rsidRPr="005F691C">
        <w:rPr>
          <w:rFonts w:ascii="Times New Roman" w:hAnsi="Times New Roman" w:cs="Times New Roman"/>
        </w:rPr>
        <w:t xml:space="preserve"> 5 tenets</w:t>
      </w:r>
      <w:r w:rsidRPr="005F691C">
        <w:rPr>
          <w:rFonts w:ascii="Times New Roman" w:hAnsi="Times New Roman" w:cs="Times New Roman"/>
        </w:rPr>
        <w:t xml:space="preserve">, they also serve to demonstrate other principles of original COIN as laid out above. There is the assertion by COIN that the insurgents need to be isolated from their supporting population. Thompson proposed four phases for the occurrence of this isolation where phase one is where the government or its forces clear out an area by saturating it with police or military; phase two is where the forces hold this area; phase three sees the </w:t>
      </w:r>
      <w:r w:rsidR="000F0891">
        <w:rPr>
          <w:rFonts w:ascii="Times New Roman" w:hAnsi="Times New Roman" w:cs="Times New Roman"/>
        </w:rPr>
        <w:t xml:space="preserve">COIN </w:t>
      </w:r>
      <w:r w:rsidRPr="005F691C">
        <w:rPr>
          <w:rFonts w:ascii="Times New Roman" w:hAnsi="Times New Roman" w:cs="Times New Roman"/>
        </w:rPr>
        <w:t>forces winning over the supporting population by providing incentives for their support and the final phase will see the forces reinforcing normal conditions.</w:t>
      </w:r>
      <w:r w:rsidRPr="005F691C">
        <w:rPr>
          <w:rStyle w:val="FootnoteReference"/>
          <w:rFonts w:ascii="Times New Roman" w:hAnsi="Times New Roman" w:cs="Times New Roman"/>
        </w:rPr>
        <w:footnoteReference w:id="157"/>
      </w:r>
      <w:r w:rsidRPr="005F691C">
        <w:rPr>
          <w:rFonts w:ascii="Times New Roman" w:hAnsi="Times New Roman" w:cs="Times New Roman"/>
        </w:rPr>
        <w:t xml:space="preserve"> The action taken by the British Army in infiltrating areas through selective house searches, use of vacant houses as observation points and extraction of information from friendly inhabitants sees the British Army achieving phases one and two of the process. </w:t>
      </w:r>
    </w:p>
    <w:p w14:paraId="25BAF45E"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4C757A14" w14:textId="381A0473" w:rsidR="00CD1CE5"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The occupation of the houses was also an attempt to infiltrate the population and thus gain the support of the population through trust, a method for the government and Army to implement counter-organisation, whereby they gain support of the population and frustrate the enemy’s effort do so.</w:t>
      </w:r>
      <w:r w:rsidRPr="005F691C">
        <w:rPr>
          <w:rStyle w:val="FootnoteReference"/>
          <w:rFonts w:ascii="Times New Roman" w:hAnsi="Times New Roman" w:cs="Times New Roman"/>
        </w:rPr>
        <w:footnoteReference w:id="158"/>
      </w:r>
      <w:r w:rsidRPr="005F691C">
        <w:rPr>
          <w:rFonts w:ascii="Times New Roman" w:hAnsi="Times New Roman" w:cs="Times New Roman"/>
        </w:rPr>
        <w:t xml:space="preserve"> However, this attempt had mixed results. Whilst the British Army successfully diverted much support of the IRA by forcing them to employ terrorist style behaviour, there was not a clear turn to supporting the British Army. The British Army were seen as the defenders of the Protestants and thus many Catholics distrusted them and refrained from giving them their support.</w:t>
      </w:r>
      <w:r w:rsidRPr="005F691C">
        <w:rPr>
          <w:rStyle w:val="FootnoteReference"/>
          <w:rFonts w:ascii="Times New Roman" w:hAnsi="Times New Roman" w:cs="Times New Roman"/>
        </w:rPr>
        <w:footnoteReference w:id="159"/>
      </w:r>
      <w:r w:rsidRPr="005F691C">
        <w:rPr>
          <w:rFonts w:ascii="Times New Roman" w:hAnsi="Times New Roman" w:cs="Times New Roman"/>
        </w:rPr>
        <w:t xml:space="preserve"> </w:t>
      </w:r>
      <w:r w:rsidR="000F0891">
        <w:rPr>
          <w:rFonts w:ascii="Times New Roman" w:hAnsi="Times New Roman" w:cs="Times New Roman"/>
        </w:rPr>
        <w:t>This problem was addressed by the British during their information gathering campaign, which was ultimately extremely successful, as will be discussed later.</w:t>
      </w:r>
    </w:p>
    <w:p w14:paraId="16039DB4" w14:textId="77777777" w:rsidR="00CD1CE5" w:rsidRDefault="00CD1CE5" w:rsidP="00580699">
      <w:pPr>
        <w:autoSpaceDE w:val="0"/>
        <w:autoSpaceDN w:val="0"/>
        <w:adjustRightInd w:val="0"/>
        <w:spacing w:line="360" w:lineRule="auto"/>
        <w:ind w:left="-567" w:right="-631"/>
        <w:jc w:val="both"/>
        <w:rPr>
          <w:rFonts w:ascii="Times New Roman" w:hAnsi="Times New Roman" w:cs="Times New Roman"/>
        </w:rPr>
      </w:pPr>
    </w:p>
    <w:p w14:paraId="103D79D7" w14:textId="59298379"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The question of whether diverting support for the insurgency is sufficient, or whether in fact the support must be redirected to the COIN movement is raised. If the insurgency is losing popular support, and is therefore being isolated, it would appear that there is sufficient fulfillment of the requirements. However, problems arose where the initial sweeping of areas were too broad and saw innocent men being detained by the British forces. These mistakes cost the British much support and in fact spurred hatred and anger against the British from those arrested.</w:t>
      </w:r>
      <w:r w:rsidRPr="005F691C">
        <w:rPr>
          <w:rStyle w:val="FootnoteReference"/>
          <w:rFonts w:ascii="Times New Roman" w:hAnsi="Times New Roman" w:cs="Times New Roman"/>
        </w:rPr>
        <w:footnoteReference w:id="160"/>
      </w:r>
      <w:r w:rsidRPr="005F691C">
        <w:rPr>
          <w:rFonts w:ascii="Times New Roman" w:hAnsi="Times New Roman" w:cs="Times New Roman"/>
        </w:rPr>
        <w:t xml:space="preserve"> </w:t>
      </w:r>
      <w:r w:rsidR="00CD1CE5">
        <w:rPr>
          <w:rFonts w:ascii="Times New Roman" w:hAnsi="Times New Roman" w:cs="Times New Roman"/>
        </w:rPr>
        <w:t>T</w:t>
      </w:r>
      <w:r w:rsidRPr="005F691C">
        <w:rPr>
          <w:rFonts w:ascii="Times New Roman" w:hAnsi="Times New Roman" w:cs="Times New Roman"/>
        </w:rPr>
        <w:t xml:space="preserve">he British were able to somewhat regain their support, or at least </w:t>
      </w:r>
      <w:r w:rsidR="000F0891">
        <w:rPr>
          <w:rFonts w:ascii="Times New Roman" w:hAnsi="Times New Roman" w:cs="Times New Roman"/>
        </w:rPr>
        <w:t>t</w:t>
      </w:r>
      <w:r w:rsidRPr="005F691C">
        <w:rPr>
          <w:rFonts w:ascii="Times New Roman" w:hAnsi="Times New Roman" w:cs="Times New Roman"/>
        </w:rPr>
        <w:t>he indifference of the people which was preferable to hatred and anger, by enforcing certain measures which constrained the ability of the army to detain individuals.</w:t>
      </w:r>
      <w:r w:rsidRPr="005F691C">
        <w:rPr>
          <w:rStyle w:val="FootnoteReference"/>
          <w:rFonts w:ascii="Times New Roman" w:hAnsi="Times New Roman" w:cs="Times New Roman"/>
        </w:rPr>
        <w:footnoteReference w:id="161"/>
      </w:r>
      <w:r w:rsidRPr="005F691C">
        <w:rPr>
          <w:rFonts w:ascii="Times New Roman" w:hAnsi="Times New Roman" w:cs="Times New Roman"/>
        </w:rPr>
        <w:t xml:space="preserve"> The Army also actively pursued good relationships within the community and received much positive feedback from the people.</w:t>
      </w:r>
      <w:r w:rsidRPr="005F691C">
        <w:rPr>
          <w:rStyle w:val="FootnoteReference"/>
          <w:rFonts w:ascii="Times New Roman" w:hAnsi="Times New Roman" w:cs="Times New Roman"/>
        </w:rPr>
        <w:footnoteReference w:id="162"/>
      </w:r>
    </w:p>
    <w:p w14:paraId="2177EFB8"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11342BAE" w14:textId="29838618"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third principle of Thompson’s COIN </w:t>
      </w:r>
      <w:r w:rsidR="00CD1CE5">
        <w:rPr>
          <w:rFonts w:ascii="Times New Roman" w:hAnsi="Times New Roman" w:cs="Times New Roman"/>
        </w:rPr>
        <w:t>strategy</w:t>
      </w:r>
      <w:r w:rsidRPr="005F691C">
        <w:rPr>
          <w:rFonts w:ascii="Times New Roman" w:hAnsi="Times New Roman" w:cs="Times New Roman"/>
        </w:rPr>
        <w:t xml:space="preserve"> dictates that the government must have an overall plan. By having already assessed that the British government wished to enforce both political and military solutions to the problem of the IRA insurgency, </w:t>
      </w:r>
      <w:r w:rsidR="00CD1CE5">
        <w:rPr>
          <w:rFonts w:ascii="Times New Roman" w:hAnsi="Times New Roman" w:cs="Times New Roman"/>
        </w:rPr>
        <w:t>displays</w:t>
      </w:r>
      <w:r w:rsidRPr="005F691C">
        <w:rPr>
          <w:rFonts w:ascii="Times New Roman" w:hAnsi="Times New Roman" w:cs="Times New Roman"/>
        </w:rPr>
        <w:t xml:space="preserve"> an adherence </w:t>
      </w:r>
      <w:r w:rsidR="00CD1CE5">
        <w:rPr>
          <w:rFonts w:ascii="Times New Roman" w:hAnsi="Times New Roman" w:cs="Times New Roman"/>
        </w:rPr>
        <w:t xml:space="preserve">to, </w:t>
      </w:r>
      <w:r w:rsidRPr="005F691C">
        <w:rPr>
          <w:rFonts w:ascii="Times New Roman" w:hAnsi="Times New Roman" w:cs="Times New Roman"/>
        </w:rPr>
        <w:t>and implementation of</w:t>
      </w:r>
      <w:r w:rsidR="00CD1CE5">
        <w:rPr>
          <w:rFonts w:ascii="Times New Roman" w:hAnsi="Times New Roman" w:cs="Times New Roman"/>
        </w:rPr>
        <w:t>,</w:t>
      </w:r>
      <w:r w:rsidRPr="005F691C">
        <w:rPr>
          <w:rFonts w:ascii="Times New Roman" w:hAnsi="Times New Roman" w:cs="Times New Roman"/>
        </w:rPr>
        <w:t xml:space="preserve"> this principle. Furthermore, as outlined above, the British Army did implement very organised and strategic actions within Northern Ireland in order to achieve their aims. Whilst the various attempts at political reconciliation proved difficult, the British government could only propose new strategies based on the failure of old ones. Furthermore, by ensuring that politics was key to reconciliation, rather than purely military action, the British government implemented principle four of Thompson’s principles, whereby the political subversion must be addressed with priority.</w:t>
      </w:r>
    </w:p>
    <w:p w14:paraId="197C70C7"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55FF4F78" w14:textId="35BC19AA"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As a rule, whenever Britain has been involved in fighting an insurgency, she has first established a single organisation that is charged with gathering all the intelligence possible about the enemy.</w:t>
      </w:r>
      <w:r w:rsidRPr="005F691C">
        <w:rPr>
          <w:rStyle w:val="FootnoteReference"/>
          <w:rFonts w:ascii="Times New Roman" w:hAnsi="Times New Roman" w:cs="Times New Roman"/>
        </w:rPr>
        <w:footnoteReference w:id="163"/>
      </w:r>
      <w:r w:rsidRPr="005F691C">
        <w:rPr>
          <w:rFonts w:ascii="Times New Roman" w:hAnsi="Times New Roman" w:cs="Times New Roman"/>
        </w:rPr>
        <w:t xml:space="preserve"> This was the method employed by the British Army in Northern Ireland. This adherence to establishing an effective and successful intelligence base first</w:t>
      </w:r>
      <w:r w:rsidR="00CD1CE5">
        <w:rPr>
          <w:rFonts w:ascii="Times New Roman" w:hAnsi="Times New Roman" w:cs="Times New Roman"/>
        </w:rPr>
        <w:t>,</w:t>
      </w:r>
      <w:r w:rsidRPr="005F691C">
        <w:rPr>
          <w:rFonts w:ascii="Times New Roman" w:hAnsi="Times New Roman" w:cs="Times New Roman"/>
        </w:rPr>
        <w:t xml:space="preserve"> allows for the Army to implement the final principle. The final principle outlined by Thompson is that of the government securing its own bases first.</w:t>
      </w:r>
    </w:p>
    <w:p w14:paraId="3E988BE1"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7D3B160B" w14:textId="4E48AB0F"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above information demonstrates the way in which the British Army adhered to the five basic principles of COIN as outlined by Thompson. The strategy of the British within Northern Ireland demonstrates an adherence to the original principles and rather than stray from these principles, the British demonstrated a willingness to redefine the </w:t>
      </w:r>
      <w:r w:rsidR="000F0891">
        <w:rPr>
          <w:rFonts w:ascii="Times New Roman" w:hAnsi="Times New Roman" w:cs="Times New Roman"/>
        </w:rPr>
        <w:t>strategies</w:t>
      </w:r>
      <w:r w:rsidRPr="005F691C">
        <w:rPr>
          <w:rFonts w:ascii="Times New Roman" w:hAnsi="Times New Roman" w:cs="Times New Roman"/>
        </w:rPr>
        <w:t xml:space="preserve"> which governed their behaviour. However, as the strategy of insurgents has change</w:t>
      </w:r>
      <w:r w:rsidR="000F0891">
        <w:rPr>
          <w:rFonts w:ascii="Times New Roman" w:hAnsi="Times New Roman" w:cs="Times New Roman"/>
        </w:rPr>
        <w:t>d</w:t>
      </w:r>
      <w:r w:rsidRPr="005F691C">
        <w:rPr>
          <w:rFonts w:ascii="Times New Roman" w:hAnsi="Times New Roman" w:cs="Times New Roman"/>
        </w:rPr>
        <w:t xml:space="preserve"> and progressed, so too has the implementation of the COIN strategy. The next section of this chapter will analyse the implementation of counterinsurgency strategy in Iraq, again</w:t>
      </w:r>
      <w:r w:rsidR="00CD1CE5">
        <w:rPr>
          <w:rFonts w:ascii="Times New Roman" w:hAnsi="Times New Roman" w:cs="Times New Roman"/>
        </w:rPr>
        <w:t>st Al</w:t>
      </w:r>
      <w:r w:rsidRPr="005F691C">
        <w:rPr>
          <w:rFonts w:ascii="Times New Roman" w:hAnsi="Times New Roman" w:cs="Times New Roman"/>
        </w:rPr>
        <w:t xml:space="preserve"> Qaeda. The analysis will not be looking at the change in insurgency between the IRA and Al Qaeda, but rather the differences between the British counterinsurgency operation</w:t>
      </w:r>
      <w:r w:rsidR="00CD1CE5">
        <w:rPr>
          <w:rFonts w:ascii="Times New Roman" w:hAnsi="Times New Roman" w:cs="Times New Roman"/>
        </w:rPr>
        <w:t xml:space="preserve"> in Ireland</w:t>
      </w:r>
      <w:r w:rsidRPr="005F691C">
        <w:rPr>
          <w:rFonts w:ascii="Times New Roman" w:hAnsi="Times New Roman" w:cs="Times New Roman"/>
        </w:rPr>
        <w:t xml:space="preserve"> and the American one in Iraq. These differences will demonstrate how counterinsurgency has developed from its original state as described above. </w:t>
      </w:r>
    </w:p>
    <w:p w14:paraId="5EC9A5FF"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b/>
          <w:u w:val="single"/>
        </w:rPr>
      </w:pPr>
    </w:p>
    <w:p w14:paraId="78F2072B" w14:textId="2743750D" w:rsidR="00580699" w:rsidRPr="005F691C" w:rsidRDefault="00580699" w:rsidP="002320A0">
      <w:pPr>
        <w:pStyle w:val="ListParagraph"/>
        <w:numPr>
          <w:ilvl w:val="1"/>
          <w:numId w:val="41"/>
        </w:numPr>
        <w:autoSpaceDE w:val="0"/>
        <w:autoSpaceDN w:val="0"/>
        <w:adjustRightInd w:val="0"/>
        <w:spacing w:line="360" w:lineRule="auto"/>
        <w:ind w:left="-284" w:right="-631" w:hanging="283"/>
        <w:jc w:val="both"/>
        <w:rPr>
          <w:rFonts w:ascii="Times New Roman" w:hAnsi="Times New Roman" w:cs="Times New Roman"/>
          <w:b/>
          <w:u w:val="single"/>
        </w:rPr>
      </w:pPr>
      <w:r w:rsidRPr="005F691C">
        <w:rPr>
          <w:rFonts w:ascii="Times New Roman" w:hAnsi="Times New Roman" w:cs="Times New Roman"/>
          <w:b/>
          <w:u w:val="single"/>
        </w:rPr>
        <w:t>COIN in Iraq</w:t>
      </w:r>
    </w:p>
    <w:p w14:paraId="7809ED29"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559BAEB8" w14:textId="6E0F351B" w:rsidR="00754A04"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advent of terrorism as a mode of warfare has been particularly documented since the events of 11 September 2001, when the </w:t>
      </w:r>
      <w:r w:rsidR="00CD1CE5">
        <w:rPr>
          <w:rFonts w:ascii="Times New Roman" w:hAnsi="Times New Roman" w:cs="Times New Roman"/>
        </w:rPr>
        <w:t>USA fel</w:t>
      </w:r>
      <w:r w:rsidRPr="005F691C">
        <w:rPr>
          <w:rFonts w:ascii="Times New Roman" w:hAnsi="Times New Roman" w:cs="Times New Roman"/>
        </w:rPr>
        <w:t>l victim to the largest terrorist attack witnessed in history, due to both its number of victims, damage to property, and also its psychological impact.</w:t>
      </w:r>
      <w:r w:rsidRPr="005F691C">
        <w:rPr>
          <w:rStyle w:val="FootnoteReference"/>
          <w:rFonts w:ascii="Times New Roman" w:hAnsi="Times New Roman" w:cs="Times New Roman"/>
        </w:rPr>
        <w:footnoteReference w:id="164"/>
      </w:r>
      <w:r w:rsidRPr="005F691C">
        <w:rPr>
          <w:rFonts w:ascii="Times New Roman" w:hAnsi="Times New Roman" w:cs="Times New Roman"/>
        </w:rPr>
        <w:t xml:space="preserve"> Thus terrorism in its transnational form has come to transform the idea of revolutionary warfare and insurgency.</w:t>
      </w:r>
      <w:r w:rsidRPr="005F691C">
        <w:rPr>
          <w:rStyle w:val="FootnoteReference"/>
          <w:rFonts w:ascii="Times New Roman" w:hAnsi="Times New Roman" w:cs="Times New Roman"/>
        </w:rPr>
        <w:footnoteReference w:id="165"/>
      </w:r>
      <w:r w:rsidRPr="005F691C">
        <w:rPr>
          <w:rFonts w:ascii="Times New Roman" w:hAnsi="Times New Roman" w:cs="Times New Roman"/>
        </w:rPr>
        <w:t xml:space="preserve"> </w:t>
      </w:r>
      <w:r w:rsidR="00754A04">
        <w:rPr>
          <w:rFonts w:ascii="Times New Roman" w:hAnsi="Times New Roman" w:cs="Times New Roman"/>
        </w:rPr>
        <w:t>The USA has reiterated its commitment to the use of counterinsurgency on numerous occasions, and considers the practice the best possible way to counter any form of insurgency, and believe that no matter the basis of the insurgency, be it domestic struggles over power, ideology or ethno-sectarian violence, as long as these insurgencies are still in existence, the “age of counterinsurgency” too, will not end.</w:t>
      </w:r>
      <w:r w:rsidR="00754A04">
        <w:rPr>
          <w:rStyle w:val="FootnoteReference"/>
          <w:rFonts w:ascii="Times New Roman" w:hAnsi="Times New Roman" w:cs="Times New Roman"/>
        </w:rPr>
        <w:footnoteReference w:id="166"/>
      </w:r>
      <w:r w:rsidR="005E34CF">
        <w:rPr>
          <w:rFonts w:ascii="Times New Roman" w:hAnsi="Times New Roman" w:cs="Times New Roman"/>
        </w:rPr>
        <w:t xml:space="preserve"> However, counterinsurgency itself is a ever-evolving and fluid concept. </w:t>
      </w:r>
    </w:p>
    <w:p w14:paraId="714AE859" w14:textId="77777777" w:rsidR="00754A04" w:rsidRDefault="00754A04" w:rsidP="00580699">
      <w:pPr>
        <w:autoSpaceDE w:val="0"/>
        <w:autoSpaceDN w:val="0"/>
        <w:adjustRightInd w:val="0"/>
        <w:spacing w:line="360" w:lineRule="auto"/>
        <w:ind w:left="-567" w:right="-631"/>
        <w:jc w:val="both"/>
        <w:rPr>
          <w:rFonts w:ascii="Times New Roman" w:hAnsi="Times New Roman" w:cs="Times New Roman"/>
        </w:rPr>
      </w:pPr>
    </w:p>
    <w:p w14:paraId="2FDC3781" w14:textId="508AA0E2"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Recent definitions of counterinsurgency have evolved to counter the evolving definition and inclusions of insurgency. The U</w:t>
      </w:r>
      <w:r w:rsidR="00CD1CE5">
        <w:rPr>
          <w:rFonts w:ascii="Times New Roman" w:hAnsi="Times New Roman" w:cs="Times New Roman"/>
        </w:rPr>
        <w:t>nited States Army Department has</w:t>
      </w:r>
      <w:r w:rsidRPr="005F691C">
        <w:rPr>
          <w:rFonts w:ascii="Times New Roman" w:hAnsi="Times New Roman" w:cs="Times New Roman"/>
        </w:rPr>
        <w:t xml:space="preserve"> defined COIN as follows:</w:t>
      </w:r>
    </w:p>
    <w:p w14:paraId="2E4A2236"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6D0F3CFE" w14:textId="26535C61" w:rsidR="00580699" w:rsidRPr="005F691C" w:rsidRDefault="003B7F2D" w:rsidP="003B7F2D">
      <w:pPr>
        <w:autoSpaceDE w:val="0"/>
        <w:autoSpaceDN w:val="0"/>
        <w:adjustRightInd w:val="0"/>
        <w:spacing w:line="360" w:lineRule="auto"/>
        <w:ind w:right="-64"/>
        <w:jc w:val="both"/>
        <w:rPr>
          <w:rFonts w:ascii="Times New Roman" w:hAnsi="Times New Roman" w:cs="Times New Roman"/>
        </w:rPr>
      </w:pPr>
      <w:r w:rsidRPr="005F691C">
        <w:rPr>
          <w:rFonts w:ascii="Times New Roman" w:hAnsi="Times New Roman" w:cs="Times New Roman"/>
          <w:i/>
        </w:rPr>
        <w:t>“</w:t>
      </w:r>
      <w:r w:rsidR="00580699" w:rsidRPr="005F691C">
        <w:rPr>
          <w:rFonts w:ascii="Times New Roman" w:hAnsi="Times New Roman" w:cs="Times New Roman"/>
          <w:i/>
        </w:rPr>
        <w:t>Counter-insurgency consists of those military, paramilitary, political, economic, psychological, and civic actions taken by a government to defeat insurgency. It is an offensive approach involving all elements of national power; it can take place across the range of operations and spectrum of conflict. It supports and influences a host nation’s internal defense and development programme. It includes strategic and operational planning; intelligence development and analysis; training; material, technical and organisational assistance; advice; infrastructure development; tactical level operations; and elements of psychological operations. Generally the preferred methods of support are through assistance and development programmes. Leaders must consider the roles of the military, intelligence, diplomatic services, law enforcement, information, finance and economic elements in counter-insurgency.</w:t>
      </w:r>
      <w:r w:rsidRPr="005F691C">
        <w:rPr>
          <w:rFonts w:ascii="Times New Roman" w:hAnsi="Times New Roman" w:cs="Times New Roman"/>
          <w:i/>
        </w:rPr>
        <w:t>”</w:t>
      </w:r>
      <w:r w:rsidR="00580699" w:rsidRPr="005F691C">
        <w:rPr>
          <w:rStyle w:val="FootnoteReference"/>
          <w:rFonts w:ascii="Times New Roman" w:hAnsi="Times New Roman" w:cs="Times New Roman"/>
          <w:i/>
        </w:rPr>
        <w:footnoteReference w:id="167"/>
      </w:r>
    </w:p>
    <w:p w14:paraId="7CA3D222"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33C157EA" w14:textId="6CDBA400"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This definition immediately demonstrates the various differences </w:t>
      </w:r>
      <w:r w:rsidR="00CD1CE5">
        <w:rPr>
          <w:rFonts w:ascii="Times New Roman" w:hAnsi="Times New Roman" w:cs="Times New Roman"/>
        </w:rPr>
        <w:t>between</w:t>
      </w:r>
      <w:r w:rsidRPr="005F691C">
        <w:rPr>
          <w:rFonts w:ascii="Times New Roman" w:hAnsi="Times New Roman" w:cs="Times New Roman"/>
        </w:rPr>
        <w:t xml:space="preserve"> counterinsurgency as it is practiced today </w:t>
      </w:r>
      <w:r w:rsidR="00CD1CE5">
        <w:rPr>
          <w:rFonts w:ascii="Times New Roman" w:hAnsi="Times New Roman" w:cs="Times New Roman"/>
        </w:rPr>
        <w:t>and</w:t>
      </w:r>
      <w:r w:rsidRPr="005F691C">
        <w:rPr>
          <w:rFonts w:ascii="Times New Roman" w:hAnsi="Times New Roman" w:cs="Times New Roman"/>
        </w:rPr>
        <w:t xml:space="preserve"> the principles of counterinsurgency as described in its basic state, despite the various similarities that too exist. This section will focus on analyzing the counterinsurgency campaign in Iraq, so as to evaluate where the differences lie, and how the strategy has evolved over time. </w:t>
      </w:r>
    </w:p>
    <w:p w14:paraId="1B5685B3"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6153E7C3" w14:textId="15D653FB"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The first element of the USA COIN strategy in Iraq was to establish information centres and gather as much information as possible. However, the USA was forced to rely on a small group of Iraqi exiles to act as the contact between the C</w:t>
      </w:r>
      <w:r w:rsidR="00CD1CE5">
        <w:rPr>
          <w:rFonts w:ascii="Times New Roman" w:hAnsi="Times New Roman" w:cs="Times New Roman"/>
        </w:rPr>
        <w:t>OIN</w:t>
      </w:r>
      <w:r w:rsidRPr="005F691C">
        <w:rPr>
          <w:rFonts w:ascii="Times New Roman" w:hAnsi="Times New Roman" w:cs="Times New Roman"/>
        </w:rPr>
        <w:t xml:space="preserve"> forces and the Iraqi population.</w:t>
      </w:r>
      <w:r w:rsidRPr="005F691C">
        <w:rPr>
          <w:rStyle w:val="FootnoteReference"/>
          <w:rFonts w:ascii="Times New Roman" w:hAnsi="Times New Roman" w:cs="Times New Roman"/>
        </w:rPr>
        <w:footnoteReference w:id="168"/>
      </w:r>
      <w:r w:rsidRPr="005F691C">
        <w:rPr>
          <w:rFonts w:ascii="Times New Roman" w:hAnsi="Times New Roman" w:cs="Times New Roman"/>
        </w:rPr>
        <w:t xml:space="preserve"> This meant that Iraqi people were forced to risk their own safety for the success of the American intelligence operation. The aim of the information stage was also directly linked to principles of counterinsurgency as seen above, namely to isolate the insurgents from their support base and to rebuild the credibility of the government and the local population.</w:t>
      </w:r>
      <w:r w:rsidRPr="005F691C">
        <w:rPr>
          <w:rStyle w:val="FootnoteReference"/>
          <w:rFonts w:ascii="Times New Roman" w:hAnsi="Times New Roman" w:cs="Times New Roman"/>
        </w:rPr>
        <w:footnoteReference w:id="169"/>
      </w:r>
      <w:r w:rsidRPr="005F691C">
        <w:rPr>
          <w:rFonts w:ascii="Times New Roman" w:hAnsi="Times New Roman" w:cs="Times New Roman"/>
        </w:rPr>
        <w:t xml:space="preserve">The </w:t>
      </w:r>
      <w:r w:rsidR="00CD1CE5">
        <w:rPr>
          <w:rFonts w:ascii="Times New Roman" w:hAnsi="Times New Roman" w:cs="Times New Roman"/>
        </w:rPr>
        <w:t>impact</w:t>
      </w:r>
      <w:r w:rsidRPr="005F691C">
        <w:rPr>
          <w:rFonts w:ascii="Times New Roman" w:hAnsi="Times New Roman" w:cs="Times New Roman"/>
        </w:rPr>
        <w:t xml:space="preserve"> of the information-gathering phase on the counterinsurgency cannot be underestimated, and the American reliance on vulnerable Iraqi’s could possibly damage their attempts, however, the first stage of COIN in Iraq is considered a calculated and invaluable one.</w:t>
      </w:r>
      <w:r w:rsidRPr="005F691C">
        <w:rPr>
          <w:rStyle w:val="FootnoteReference"/>
          <w:rFonts w:ascii="Times New Roman" w:hAnsi="Times New Roman" w:cs="Times New Roman"/>
        </w:rPr>
        <w:footnoteReference w:id="170"/>
      </w:r>
      <w:r w:rsidRPr="005F691C">
        <w:rPr>
          <w:rFonts w:ascii="Times New Roman" w:hAnsi="Times New Roman" w:cs="Times New Roman"/>
        </w:rPr>
        <w:t xml:space="preserve"> </w:t>
      </w:r>
    </w:p>
    <w:p w14:paraId="6AEF0578"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6EB1C06E" w14:textId="5A58DEC3" w:rsidR="00580699" w:rsidRPr="005F691C" w:rsidRDefault="00CD1CE5" w:rsidP="000A4881">
      <w:pPr>
        <w:autoSpaceDE w:val="0"/>
        <w:autoSpaceDN w:val="0"/>
        <w:adjustRightInd w:val="0"/>
        <w:spacing w:line="360" w:lineRule="auto"/>
        <w:ind w:left="-567" w:right="-631"/>
        <w:jc w:val="both"/>
        <w:rPr>
          <w:rFonts w:ascii="Times New Roman" w:hAnsi="Times New Roman" w:cs="Times New Roman"/>
        </w:rPr>
      </w:pPr>
      <w:r>
        <w:rPr>
          <w:rFonts w:ascii="Times New Roman" w:hAnsi="Times New Roman" w:cs="Times New Roman"/>
        </w:rPr>
        <w:t>In General Petraeus’s handbook</w:t>
      </w:r>
      <w:r w:rsidR="00580699" w:rsidRPr="005F691C">
        <w:rPr>
          <w:rFonts w:ascii="Times New Roman" w:hAnsi="Times New Roman" w:cs="Times New Roman"/>
        </w:rPr>
        <w:t xml:space="preserve"> on counterinsurgency, distributed to every United States soldier sent to Iraq as a guideline to behaviour and how they should implement counterinsurgency within Iraq</w:t>
      </w:r>
      <w:r>
        <w:rPr>
          <w:rFonts w:ascii="Times New Roman" w:hAnsi="Times New Roman" w:cs="Times New Roman"/>
        </w:rPr>
        <w:t xml:space="preserve"> (FM 3-24)</w:t>
      </w:r>
      <w:r w:rsidR="00580699" w:rsidRPr="005F691C">
        <w:rPr>
          <w:rFonts w:ascii="Times New Roman" w:hAnsi="Times New Roman" w:cs="Times New Roman"/>
        </w:rPr>
        <w:t>, insurgency movements are described in greater detail and there is greater analysis of the threat at hand, which allows for government resource maximisation in the counterinsurgency movement.</w:t>
      </w:r>
      <w:r w:rsidR="00580699" w:rsidRPr="005F691C">
        <w:rPr>
          <w:rStyle w:val="FootnoteReference"/>
          <w:rFonts w:ascii="Times New Roman" w:hAnsi="Times New Roman" w:cs="Times New Roman"/>
        </w:rPr>
        <w:footnoteReference w:id="171"/>
      </w:r>
      <w:r w:rsidR="00580699" w:rsidRPr="005F691C">
        <w:rPr>
          <w:rFonts w:ascii="Times New Roman" w:hAnsi="Times New Roman" w:cs="Times New Roman"/>
        </w:rPr>
        <w:t xml:space="preserve">  There is also great emphasis placed on the objective of a counterinsurgency movement being aimed at legitimacy, acquired through</w:t>
      </w:r>
      <w:r>
        <w:rPr>
          <w:rFonts w:ascii="Times New Roman" w:hAnsi="Times New Roman" w:cs="Times New Roman"/>
        </w:rPr>
        <w:t xml:space="preserve"> mass support of the population</w:t>
      </w:r>
      <w:r w:rsidR="00580699" w:rsidRPr="005F691C">
        <w:rPr>
          <w:rFonts w:ascii="Times New Roman" w:hAnsi="Times New Roman" w:cs="Times New Roman"/>
        </w:rPr>
        <w:t>. As the handbook states:</w:t>
      </w:r>
    </w:p>
    <w:p w14:paraId="34303545"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00299DC9" w14:textId="66253224" w:rsidR="00580699" w:rsidRPr="00E021C9" w:rsidRDefault="000A4881" w:rsidP="00E021C9">
      <w:pPr>
        <w:autoSpaceDE w:val="0"/>
        <w:autoSpaceDN w:val="0"/>
        <w:adjustRightInd w:val="0"/>
        <w:spacing w:line="360" w:lineRule="auto"/>
        <w:ind w:right="-64"/>
        <w:jc w:val="both"/>
        <w:rPr>
          <w:rFonts w:ascii="Times New Roman" w:hAnsi="Times New Roman" w:cs="Times New Roman"/>
          <w:i/>
        </w:rPr>
      </w:pPr>
      <w:r w:rsidRPr="005F691C">
        <w:rPr>
          <w:rFonts w:ascii="Times New Roman" w:hAnsi="Times New Roman" w:cs="Times New Roman"/>
          <w:i/>
        </w:rPr>
        <w:t>“</w:t>
      </w:r>
      <w:r w:rsidR="00580699" w:rsidRPr="005F691C">
        <w:rPr>
          <w:rFonts w:ascii="Times New Roman" w:hAnsi="Times New Roman" w:cs="Times New Roman"/>
          <w:i/>
        </w:rPr>
        <w:t>At its heart, a counterinsurgency is an armed struggle for the support of the population. This support can be achieved or lost through information engagement, strong representative government, access to goods and services, fear, or violence. This armed struggle also involves eliminating insurgents who threaten the safety and security of the population. However, military units alone cannot defeat an insurgency. Most of the work involves discovering and solving the population’s underlying issues, that is, the root causes of their dissatisfaction with the current arrangement of political power.</w:t>
      </w:r>
      <w:r w:rsidRPr="005F691C">
        <w:rPr>
          <w:rFonts w:ascii="Times New Roman" w:hAnsi="Times New Roman" w:cs="Times New Roman"/>
          <w:i/>
        </w:rPr>
        <w:t>”</w:t>
      </w:r>
      <w:r w:rsidR="00580699" w:rsidRPr="005F691C">
        <w:rPr>
          <w:rStyle w:val="FootnoteReference"/>
          <w:rFonts w:ascii="Times New Roman" w:hAnsi="Times New Roman" w:cs="Times New Roman"/>
          <w:i/>
        </w:rPr>
        <w:footnoteReference w:id="172"/>
      </w:r>
    </w:p>
    <w:p w14:paraId="5796CFA8" w14:textId="1E8C53E2"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This element also alludes to the first key difference between the COIN operations led by General David Petraeus of the USA, to the COIN strategy that the British used in Ireland. The USA recognised the extreme value of having a fully collaborative partnership with the local government, the local military, and the local population.</w:t>
      </w:r>
      <w:r w:rsidRPr="005F691C">
        <w:rPr>
          <w:rStyle w:val="FootnoteReference"/>
          <w:rFonts w:ascii="Times New Roman" w:hAnsi="Times New Roman" w:cs="Times New Roman"/>
        </w:rPr>
        <w:footnoteReference w:id="173"/>
      </w:r>
      <w:r w:rsidRPr="005F691C">
        <w:rPr>
          <w:rFonts w:ascii="Times New Roman" w:hAnsi="Times New Roman" w:cs="Times New Roman"/>
        </w:rPr>
        <w:t xml:space="preserve">  This partnership is key in discovering the basic grievances of society, so as to be able to remedy them, and also in gathering key information upon which to base the counterinsurgency operation. This difference leads to the next one seen between Petraeus and Thompson. That is, where the information is disseminated from.</w:t>
      </w:r>
      <w:r w:rsidR="002320A0">
        <w:rPr>
          <w:rFonts w:ascii="Times New Roman" w:hAnsi="Times New Roman" w:cs="Times New Roman"/>
        </w:rPr>
        <w:t xml:space="preserve"> Whilst FM 3-24 was set out as the doctrine that the troops in Iraq were expected to follow, they were in fact unsuccessful in doing so. </w:t>
      </w:r>
    </w:p>
    <w:p w14:paraId="4FA93D3E"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2A9F5A40" w14:textId="687F5D95"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Whilst Thompson stated establishing base areas as a key strategic principle in his COIN operations, the American military distinctly avoided doing so. The reasoning behind the decision to avoid the establishment of large base areas and units lay within the logic that large unit operations, and the base areas that accompany them, create animosity between the population and the military forces. This allows the guerillas the opportunity to stage grand and theatrical attacks on fixed and large targets.</w:t>
      </w:r>
      <w:r w:rsidRPr="005F691C">
        <w:rPr>
          <w:rStyle w:val="FootnoteReference"/>
          <w:rFonts w:ascii="Times New Roman" w:hAnsi="Times New Roman" w:cs="Times New Roman"/>
        </w:rPr>
        <w:footnoteReference w:id="174"/>
      </w:r>
      <w:r w:rsidRPr="005F691C">
        <w:rPr>
          <w:rFonts w:ascii="Times New Roman" w:hAnsi="Times New Roman" w:cs="Times New Roman"/>
        </w:rPr>
        <w:t xml:space="preserve"> For this reason, the USA chose to rather employ the strategy of distributed units, which were fast, agile and reliant on small unit leaders that were trained to carry the burden of combat decision making.</w:t>
      </w:r>
      <w:r w:rsidRPr="005F691C">
        <w:rPr>
          <w:rStyle w:val="FootnoteReference"/>
          <w:rFonts w:ascii="Times New Roman" w:hAnsi="Times New Roman" w:cs="Times New Roman"/>
        </w:rPr>
        <w:footnoteReference w:id="175"/>
      </w:r>
      <w:r w:rsidRPr="005F691C">
        <w:rPr>
          <w:rFonts w:ascii="Times New Roman" w:hAnsi="Times New Roman" w:cs="Times New Roman"/>
        </w:rPr>
        <w:t xml:space="preserve"> The use of individual unit leaders also serves as a stark contrast to the strategy of Thompson, where the forces were all under the same leadership and were not able to implement strategy within their own capacity, allowing for less adaptability.</w:t>
      </w:r>
      <w:r w:rsidR="00CD1CE5">
        <w:rPr>
          <w:rStyle w:val="FootnoteReference"/>
          <w:rFonts w:ascii="Times New Roman" w:hAnsi="Times New Roman" w:cs="Times New Roman"/>
        </w:rPr>
        <w:footnoteReference w:id="176"/>
      </w:r>
    </w:p>
    <w:p w14:paraId="3E562437"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rPr>
      </w:pPr>
    </w:p>
    <w:p w14:paraId="09B81917" w14:textId="1F9574DA"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There has been a general move towards incorporation of civilian populations as a measurement of t</w:t>
      </w:r>
      <w:r w:rsidR="003958E1">
        <w:rPr>
          <w:rFonts w:ascii="Times New Roman" w:hAnsi="Times New Roman" w:cs="Times New Roman"/>
        </w:rPr>
        <w:t>he success of a counterinsurgency</w:t>
      </w:r>
      <w:r w:rsidRPr="005F691C">
        <w:rPr>
          <w:rFonts w:ascii="Times New Roman" w:hAnsi="Times New Roman" w:cs="Times New Roman"/>
        </w:rPr>
        <w:t xml:space="preserve"> campaign by General Petraeus.</w:t>
      </w:r>
      <w:r w:rsidRPr="005F691C">
        <w:rPr>
          <w:rStyle w:val="FootnoteReference"/>
          <w:rFonts w:ascii="Times New Roman" w:hAnsi="Times New Roman" w:cs="Times New Roman"/>
        </w:rPr>
        <w:footnoteReference w:id="177"/>
      </w:r>
      <w:r w:rsidRPr="005F691C">
        <w:rPr>
          <w:rFonts w:ascii="Times New Roman" w:hAnsi="Times New Roman" w:cs="Times New Roman"/>
        </w:rPr>
        <w:t xml:space="preserve">  There is also greater influence placed on discovering and solving the problems that have sparked the insurgent behaviour amongst the population. Thus, according to counterinsurgency literature, there are general patterns and staple means and objectives that have been carried through the counterinsurgency movement from its inception to present day application. These include the application of government resources,</w:t>
      </w:r>
      <w:r w:rsidR="00E021C9">
        <w:rPr>
          <w:rFonts w:ascii="Times New Roman" w:hAnsi="Times New Roman" w:cs="Times New Roman"/>
        </w:rPr>
        <w:t xml:space="preserve"> </w:t>
      </w:r>
      <w:r w:rsidRPr="005F691C">
        <w:rPr>
          <w:rFonts w:ascii="Times New Roman" w:hAnsi="Times New Roman" w:cs="Times New Roman"/>
        </w:rPr>
        <w:t xml:space="preserve">defeating </w:t>
      </w:r>
      <w:r w:rsidR="003958E1">
        <w:rPr>
          <w:rFonts w:ascii="Times New Roman" w:hAnsi="Times New Roman" w:cs="Times New Roman"/>
        </w:rPr>
        <w:t xml:space="preserve">the </w:t>
      </w:r>
      <w:r w:rsidRPr="005F691C">
        <w:rPr>
          <w:rFonts w:ascii="Times New Roman" w:hAnsi="Times New Roman" w:cs="Times New Roman"/>
        </w:rPr>
        <w:t xml:space="preserve">political subversion rather than just eliminating </w:t>
      </w:r>
      <w:r w:rsidR="003958E1">
        <w:rPr>
          <w:rFonts w:ascii="Times New Roman" w:hAnsi="Times New Roman" w:cs="Times New Roman"/>
        </w:rPr>
        <w:t xml:space="preserve">the insurgent threat, </w:t>
      </w:r>
      <w:r w:rsidRPr="005F691C">
        <w:rPr>
          <w:rFonts w:ascii="Times New Roman" w:hAnsi="Times New Roman" w:cs="Times New Roman"/>
        </w:rPr>
        <w:t>and the counterinsurgency forces must display a respect and obedience for the law.</w:t>
      </w:r>
      <w:r w:rsidRPr="005F691C">
        <w:rPr>
          <w:rStyle w:val="FootnoteReference"/>
          <w:rFonts w:ascii="Times New Roman" w:hAnsi="Times New Roman" w:cs="Times New Roman"/>
        </w:rPr>
        <w:footnoteReference w:id="178"/>
      </w:r>
    </w:p>
    <w:p w14:paraId="76A7494A" w14:textId="77777777" w:rsidR="00580699" w:rsidRPr="005F691C" w:rsidRDefault="00580699" w:rsidP="00580699">
      <w:pPr>
        <w:spacing w:line="360" w:lineRule="auto"/>
        <w:ind w:left="-567" w:right="-631"/>
        <w:jc w:val="both"/>
        <w:rPr>
          <w:rFonts w:ascii="Times New Roman" w:hAnsi="Times New Roman" w:cs="Times New Roman"/>
        </w:rPr>
      </w:pPr>
    </w:p>
    <w:p w14:paraId="0AB39618"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Population-centric COIN has become the standard strategy operation of the USA in Iraq, as well as within other counterinsurgency campaigns within which they have participated. The reason behind this is recognised by the American Army general charged with writing the USA Army Doctrine, General Caldwell, who stated that “the future is not one of major battles and engagements fought by armies on battlefields devoid of population; instead the course of conflict will be decided by forces operating among the people of the world.”</w:t>
      </w:r>
      <w:r w:rsidRPr="005F691C">
        <w:rPr>
          <w:rStyle w:val="FootnoteReference"/>
          <w:rFonts w:ascii="Times New Roman" w:hAnsi="Times New Roman" w:cs="Times New Roman"/>
        </w:rPr>
        <w:footnoteReference w:id="179"/>
      </w:r>
      <w:r w:rsidRPr="005F691C">
        <w:rPr>
          <w:rFonts w:ascii="Times New Roman" w:hAnsi="Times New Roman" w:cs="Times New Roman"/>
        </w:rPr>
        <w:t xml:space="preserve"> Whilst the principles of counterinsurgency have remained largely unchanged on a grander scale, they have been slightly altered so as to be more in line with a population-centric view of COIN. Thus the principles of the USA implementation of COIN in Iraq are as follows:</w:t>
      </w:r>
    </w:p>
    <w:p w14:paraId="2691D416" w14:textId="77777777" w:rsidR="00580699" w:rsidRPr="005F691C" w:rsidRDefault="00580699" w:rsidP="00580699">
      <w:pPr>
        <w:spacing w:line="360" w:lineRule="auto"/>
        <w:ind w:left="-567" w:right="-631"/>
        <w:jc w:val="both"/>
        <w:rPr>
          <w:rFonts w:ascii="Times New Roman" w:hAnsi="Times New Roman" w:cs="Times New Roman"/>
        </w:rPr>
      </w:pPr>
    </w:p>
    <w:p w14:paraId="438220C4" w14:textId="04FC97A3" w:rsidR="00580699" w:rsidRPr="005F691C" w:rsidRDefault="000A4881" w:rsidP="000A4881">
      <w:pPr>
        <w:pStyle w:val="ListParagraph"/>
        <w:numPr>
          <w:ilvl w:val="0"/>
          <w:numId w:val="7"/>
        </w:numPr>
        <w:spacing w:line="360" w:lineRule="auto"/>
        <w:ind w:left="0" w:right="-64" w:firstLine="0"/>
        <w:jc w:val="both"/>
        <w:rPr>
          <w:rFonts w:ascii="Times New Roman" w:hAnsi="Times New Roman" w:cs="Times New Roman"/>
          <w:i/>
        </w:rPr>
      </w:pPr>
      <w:r w:rsidRPr="005F691C">
        <w:rPr>
          <w:rFonts w:ascii="Times New Roman" w:hAnsi="Times New Roman" w:cs="Times New Roman"/>
          <w:i/>
        </w:rPr>
        <w:t>“</w:t>
      </w:r>
      <w:r w:rsidR="00580699" w:rsidRPr="005F691C">
        <w:rPr>
          <w:rFonts w:ascii="Times New Roman" w:hAnsi="Times New Roman" w:cs="Times New Roman"/>
          <w:i/>
        </w:rPr>
        <w:t>Populations are the focus of the campaign and they have to be protected.</w:t>
      </w:r>
    </w:p>
    <w:p w14:paraId="722FD1B2" w14:textId="77777777" w:rsidR="00580699" w:rsidRPr="005F691C" w:rsidRDefault="00580699" w:rsidP="000A4881">
      <w:pPr>
        <w:pStyle w:val="ListParagraph"/>
        <w:numPr>
          <w:ilvl w:val="0"/>
          <w:numId w:val="7"/>
        </w:numPr>
        <w:spacing w:line="360" w:lineRule="auto"/>
        <w:ind w:left="0" w:right="-64" w:firstLine="0"/>
        <w:jc w:val="both"/>
        <w:rPr>
          <w:rFonts w:ascii="Times New Roman" w:hAnsi="Times New Roman" w:cs="Times New Roman"/>
          <w:i/>
        </w:rPr>
      </w:pPr>
      <w:r w:rsidRPr="005F691C">
        <w:rPr>
          <w:rFonts w:ascii="Times New Roman" w:hAnsi="Times New Roman" w:cs="Times New Roman"/>
          <w:i/>
        </w:rPr>
        <w:t>The USA Army is required to infiltrate and disperse into small outposts to live amongst the people and to win their hearts and minds, known as the concept of clear, hold and build.</w:t>
      </w:r>
    </w:p>
    <w:p w14:paraId="2F8C9958" w14:textId="77777777" w:rsidR="00580699" w:rsidRPr="005F691C" w:rsidRDefault="00580699" w:rsidP="000A4881">
      <w:pPr>
        <w:pStyle w:val="ListParagraph"/>
        <w:numPr>
          <w:ilvl w:val="0"/>
          <w:numId w:val="7"/>
        </w:numPr>
        <w:spacing w:line="360" w:lineRule="auto"/>
        <w:ind w:left="0" w:right="-64" w:firstLine="0"/>
        <w:jc w:val="both"/>
        <w:rPr>
          <w:rFonts w:ascii="Times New Roman" w:hAnsi="Times New Roman" w:cs="Times New Roman"/>
          <w:i/>
        </w:rPr>
      </w:pPr>
      <w:r w:rsidRPr="005F691C">
        <w:rPr>
          <w:rFonts w:ascii="Times New Roman" w:hAnsi="Times New Roman" w:cs="Times New Roman"/>
          <w:i/>
        </w:rPr>
        <w:t>There must be the clear objective of nation building and thus a large investment of time.</w:t>
      </w:r>
    </w:p>
    <w:p w14:paraId="3FE38C3A" w14:textId="32615A2A" w:rsidR="00580699" w:rsidRPr="005F691C" w:rsidRDefault="00580699" w:rsidP="000A4881">
      <w:pPr>
        <w:pStyle w:val="ListParagraph"/>
        <w:numPr>
          <w:ilvl w:val="0"/>
          <w:numId w:val="7"/>
        </w:numPr>
        <w:spacing w:line="360" w:lineRule="auto"/>
        <w:ind w:left="0" w:right="-64" w:firstLine="0"/>
        <w:jc w:val="both"/>
        <w:rPr>
          <w:rFonts w:ascii="Times New Roman" w:hAnsi="Times New Roman" w:cs="Times New Roman"/>
          <w:i/>
        </w:rPr>
      </w:pPr>
      <w:r w:rsidRPr="005F691C">
        <w:rPr>
          <w:rFonts w:ascii="Times New Roman" w:hAnsi="Times New Roman" w:cs="Times New Roman"/>
          <w:i/>
        </w:rPr>
        <w:t>There must be a clear political objective in mind.</w:t>
      </w:r>
      <w:r w:rsidR="000A4881" w:rsidRPr="005F691C">
        <w:rPr>
          <w:rFonts w:ascii="Times New Roman" w:hAnsi="Times New Roman" w:cs="Times New Roman"/>
          <w:i/>
        </w:rPr>
        <w:t>”</w:t>
      </w:r>
      <w:r w:rsidRPr="005F691C">
        <w:rPr>
          <w:rStyle w:val="FootnoteReference"/>
          <w:rFonts w:ascii="Times New Roman" w:hAnsi="Times New Roman" w:cs="Times New Roman"/>
          <w:i/>
        </w:rPr>
        <w:footnoteReference w:id="180"/>
      </w:r>
    </w:p>
    <w:p w14:paraId="17875CF2" w14:textId="77777777" w:rsidR="00580699" w:rsidRPr="005F691C" w:rsidRDefault="00580699" w:rsidP="00580699">
      <w:pPr>
        <w:spacing w:line="360" w:lineRule="auto"/>
        <w:ind w:left="-567" w:right="-631"/>
        <w:jc w:val="both"/>
        <w:rPr>
          <w:rFonts w:ascii="Times New Roman" w:hAnsi="Times New Roman" w:cs="Times New Roman"/>
          <w:i/>
        </w:rPr>
      </w:pPr>
    </w:p>
    <w:p w14:paraId="3F057B84" w14:textId="7362AE65"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These principles, as deducted from </w:t>
      </w:r>
      <w:r w:rsidR="00883A63">
        <w:rPr>
          <w:rFonts w:ascii="Times New Roman" w:hAnsi="Times New Roman" w:cs="Times New Roman"/>
        </w:rPr>
        <w:t>FM 3-24</w:t>
      </w:r>
      <w:r w:rsidRPr="005F691C">
        <w:rPr>
          <w:rFonts w:ascii="Times New Roman" w:hAnsi="Times New Roman" w:cs="Times New Roman"/>
        </w:rPr>
        <w:t>, demonstrate how although similarities still exist between counterinsurgency as envisage</w:t>
      </w:r>
      <w:r w:rsidR="002A607F" w:rsidRPr="005F691C">
        <w:rPr>
          <w:rFonts w:ascii="Times New Roman" w:hAnsi="Times New Roman" w:cs="Times New Roman"/>
        </w:rPr>
        <w:t>d</w:t>
      </w:r>
      <w:r w:rsidRPr="005F691C">
        <w:rPr>
          <w:rFonts w:ascii="Times New Roman" w:hAnsi="Times New Roman" w:cs="Times New Roman"/>
        </w:rPr>
        <w:t xml:space="preserve"> by Thompson, and as executed by the British Army in Northern Ireland, COIN strategy as employed by the USA in Iraq has dramatically shifted the focus to be centred around a war of “hearts and minds”. This type of war requires the conquest of loyalty of the uncommitted general public, which is done by providing better goods and services, and government supplied security.</w:t>
      </w:r>
      <w:r w:rsidRPr="005F691C">
        <w:rPr>
          <w:rStyle w:val="FootnoteReference"/>
          <w:rFonts w:ascii="Times New Roman" w:hAnsi="Times New Roman" w:cs="Times New Roman"/>
        </w:rPr>
        <w:footnoteReference w:id="181"/>
      </w:r>
      <w:r w:rsidRPr="005F691C">
        <w:rPr>
          <w:rFonts w:ascii="Times New Roman" w:hAnsi="Times New Roman" w:cs="Times New Roman"/>
        </w:rPr>
        <w:t xml:space="preserve"> </w:t>
      </w:r>
      <w:r w:rsidR="002A607F" w:rsidRPr="005F691C">
        <w:rPr>
          <w:rFonts w:ascii="Times New Roman" w:hAnsi="Times New Roman" w:cs="Times New Roman"/>
        </w:rPr>
        <w:t xml:space="preserve">Ultimately, support is won through the improvement of government, and this support provides the government with legitimacy. </w:t>
      </w:r>
      <w:r w:rsidRPr="005F691C">
        <w:rPr>
          <w:rFonts w:ascii="Times New Roman" w:hAnsi="Times New Roman" w:cs="Times New Roman"/>
        </w:rPr>
        <w:t>Furthermore, the ultimate role of the USA Army is seen as a supportive one to the host government, defending and protecting the role of a threatened government, which possesses assumed legitimacy.</w:t>
      </w:r>
      <w:r w:rsidRPr="005F691C">
        <w:rPr>
          <w:rStyle w:val="FootnoteReference"/>
          <w:rFonts w:ascii="Times New Roman" w:hAnsi="Times New Roman" w:cs="Times New Roman"/>
        </w:rPr>
        <w:footnoteReference w:id="182"/>
      </w:r>
      <w:r w:rsidRPr="005F691C">
        <w:rPr>
          <w:rFonts w:ascii="Times New Roman" w:hAnsi="Times New Roman" w:cs="Times New Roman"/>
        </w:rPr>
        <w:t xml:space="preserve"> This is a further divergence from the traditional conceptualisation of COIN, where </w:t>
      </w:r>
      <w:r w:rsidR="002A607F" w:rsidRPr="005F691C">
        <w:rPr>
          <w:rFonts w:ascii="Times New Roman" w:hAnsi="Times New Roman" w:cs="Times New Roman"/>
        </w:rPr>
        <w:t>the role of the counterinsurgency</w:t>
      </w:r>
      <w:r w:rsidRPr="005F691C">
        <w:rPr>
          <w:rFonts w:ascii="Times New Roman" w:hAnsi="Times New Roman" w:cs="Times New Roman"/>
        </w:rPr>
        <w:t xml:space="preserve"> force</w:t>
      </w:r>
      <w:r w:rsidR="002A607F" w:rsidRPr="005F691C">
        <w:rPr>
          <w:rFonts w:ascii="Times New Roman" w:hAnsi="Times New Roman" w:cs="Times New Roman"/>
        </w:rPr>
        <w:t>s</w:t>
      </w:r>
      <w:r w:rsidRPr="005F691C">
        <w:rPr>
          <w:rFonts w:ascii="Times New Roman" w:hAnsi="Times New Roman" w:cs="Times New Roman"/>
        </w:rPr>
        <w:t xml:space="preserve"> </w:t>
      </w:r>
      <w:r w:rsidR="002A607F" w:rsidRPr="005F691C">
        <w:rPr>
          <w:rFonts w:ascii="Times New Roman" w:hAnsi="Times New Roman" w:cs="Times New Roman"/>
        </w:rPr>
        <w:t>was</w:t>
      </w:r>
      <w:r w:rsidRPr="005F691C">
        <w:rPr>
          <w:rFonts w:ascii="Times New Roman" w:hAnsi="Times New Roman" w:cs="Times New Roman"/>
        </w:rPr>
        <w:t xml:space="preserve"> viewed as sovereign and </w:t>
      </w:r>
      <w:r w:rsidR="002A607F" w:rsidRPr="005F691C">
        <w:rPr>
          <w:rFonts w:ascii="Times New Roman" w:hAnsi="Times New Roman" w:cs="Times New Roman"/>
        </w:rPr>
        <w:t>was</w:t>
      </w:r>
      <w:r w:rsidRPr="005F691C">
        <w:rPr>
          <w:rFonts w:ascii="Times New Roman" w:hAnsi="Times New Roman" w:cs="Times New Roman"/>
        </w:rPr>
        <w:t xml:space="preserve"> ultimately aimed at implementing legitimate rule. Although there are obvious issues with the choice to play a supporting role to the home government, given the stre</w:t>
      </w:r>
      <w:r w:rsidR="002A607F" w:rsidRPr="005F691C">
        <w:rPr>
          <w:rFonts w:ascii="Times New Roman" w:hAnsi="Times New Roman" w:cs="Times New Roman"/>
        </w:rPr>
        <w:t>ngth of domestic security forces</w:t>
      </w:r>
      <w:r w:rsidRPr="005F691C">
        <w:rPr>
          <w:rFonts w:ascii="Times New Roman" w:hAnsi="Times New Roman" w:cs="Times New Roman"/>
        </w:rPr>
        <w:t xml:space="preserve"> this presents one of the largest shifts in COIN strategy.</w:t>
      </w:r>
    </w:p>
    <w:p w14:paraId="50605B5B" w14:textId="77777777" w:rsidR="00580699" w:rsidRPr="005F691C" w:rsidRDefault="00580699" w:rsidP="00580699">
      <w:pPr>
        <w:spacing w:line="360" w:lineRule="auto"/>
        <w:ind w:left="-567" w:right="-631"/>
        <w:jc w:val="both"/>
        <w:rPr>
          <w:rFonts w:ascii="Times New Roman" w:hAnsi="Times New Roman" w:cs="Times New Roman"/>
        </w:rPr>
      </w:pPr>
    </w:p>
    <w:p w14:paraId="1B9D9B2F" w14:textId="4B245740"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main precepts of the manual fall directly in line with </w:t>
      </w:r>
      <w:r w:rsidR="002A607F" w:rsidRPr="005F691C">
        <w:rPr>
          <w:rFonts w:ascii="Times New Roman" w:hAnsi="Times New Roman" w:cs="Times New Roman"/>
        </w:rPr>
        <w:t>t</w:t>
      </w:r>
      <w:r w:rsidRPr="005F691C">
        <w:rPr>
          <w:rFonts w:ascii="Times New Roman" w:hAnsi="Times New Roman" w:cs="Times New Roman"/>
        </w:rPr>
        <w:t>he principles outlined by Thompson. They are as follows: identifying and eliminating key insurgents while establishing effective population control; severing the relationship between the population and the insurgents; political reforms which render the government more efficient and responsive (thus improving legitimacy); using selective violence to achieve state building and disseminating credible</w:t>
      </w:r>
      <w:r w:rsidR="002A607F" w:rsidRPr="005F691C">
        <w:rPr>
          <w:rFonts w:ascii="Times New Roman" w:hAnsi="Times New Roman" w:cs="Times New Roman"/>
        </w:rPr>
        <w:t xml:space="preserve"> mass ideology; and </w:t>
      </w:r>
      <w:r w:rsidRPr="005F691C">
        <w:rPr>
          <w:rFonts w:ascii="Times New Roman" w:hAnsi="Times New Roman" w:cs="Times New Roman"/>
        </w:rPr>
        <w:t>imposing the rule of law and spurring economic development.</w:t>
      </w:r>
      <w:r w:rsidRPr="005F691C">
        <w:rPr>
          <w:rStyle w:val="FootnoteReference"/>
          <w:rFonts w:ascii="Times New Roman" w:hAnsi="Times New Roman" w:cs="Times New Roman"/>
        </w:rPr>
        <w:footnoteReference w:id="183"/>
      </w:r>
      <w:r w:rsidRPr="005F691C">
        <w:rPr>
          <w:rFonts w:ascii="Times New Roman" w:hAnsi="Times New Roman" w:cs="Times New Roman"/>
        </w:rPr>
        <w:t xml:space="preserve"> These elements directly correlate to the principles outlined by Thompson, where it is necessary to maintain rule of law, the government must have a clear plan and the guerilla insurgency must be overcome. </w:t>
      </w:r>
    </w:p>
    <w:p w14:paraId="08572DD9" w14:textId="77777777" w:rsidR="00580699" w:rsidRPr="005F691C" w:rsidRDefault="00580699" w:rsidP="00580699">
      <w:pPr>
        <w:spacing w:line="360" w:lineRule="auto"/>
        <w:ind w:left="-567" w:right="-631"/>
        <w:jc w:val="both"/>
        <w:rPr>
          <w:rFonts w:ascii="Times New Roman" w:hAnsi="Times New Roman" w:cs="Times New Roman"/>
        </w:rPr>
      </w:pPr>
    </w:p>
    <w:p w14:paraId="13869428" w14:textId="77777777"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FM 3-24 explains the divergence from traditional COIN strategy in the introduction of the manual:</w:t>
      </w:r>
    </w:p>
    <w:p w14:paraId="2CEE9075" w14:textId="77777777" w:rsidR="00580699" w:rsidRPr="005F691C" w:rsidRDefault="00580699" w:rsidP="00580699">
      <w:pPr>
        <w:spacing w:line="360" w:lineRule="auto"/>
        <w:ind w:left="-567" w:right="-631"/>
        <w:jc w:val="both"/>
        <w:rPr>
          <w:rFonts w:ascii="Times New Roman" w:hAnsi="Times New Roman" w:cs="Times New Roman"/>
          <w:i/>
        </w:rPr>
      </w:pPr>
    </w:p>
    <w:p w14:paraId="5728AEBF" w14:textId="77777777" w:rsidR="00580699" w:rsidRPr="005F691C" w:rsidRDefault="00580699" w:rsidP="002A607F">
      <w:pPr>
        <w:spacing w:line="360" w:lineRule="auto"/>
        <w:ind w:right="-64"/>
        <w:jc w:val="both"/>
        <w:rPr>
          <w:rFonts w:ascii="Times New Roman" w:hAnsi="Times New Roman" w:cs="Times New Roman"/>
          <w:i/>
        </w:rPr>
      </w:pPr>
      <w:r w:rsidRPr="005F691C">
        <w:rPr>
          <w:rFonts w:ascii="Times New Roman" w:hAnsi="Times New Roman" w:cs="Times New Roman"/>
          <w:i/>
        </w:rPr>
        <w:t>“…Requested outside assistance in understanding foreign political, cultural, social and other situations beyond their experience; promoted suggestions from the field…these are not always easy practices for an organisation to establish. Adopting them is particularly challenging for a military engaged in conflict. However, … learning organisations defeat insurgencies, bureaucratic hierarchies do not.”</w:t>
      </w:r>
      <w:r w:rsidRPr="005F691C">
        <w:rPr>
          <w:rStyle w:val="FootnoteReference"/>
          <w:rFonts w:ascii="Times New Roman" w:hAnsi="Times New Roman" w:cs="Times New Roman"/>
          <w:i/>
        </w:rPr>
        <w:footnoteReference w:id="184"/>
      </w:r>
    </w:p>
    <w:p w14:paraId="4EC4B1D9" w14:textId="77777777" w:rsidR="00580699" w:rsidRPr="005F691C" w:rsidRDefault="00580699" w:rsidP="00580699">
      <w:pPr>
        <w:spacing w:line="360" w:lineRule="auto"/>
        <w:ind w:left="-567" w:right="-631"/>
        <w:jc w:val="both"/>
        <w:rPr>
          <w:rFonts w:ascii="Times New Roman" w:hAnsi="Times New Roman" w:cs="Times New Roman"/>
          <w:i/>
        </w:rPr>
      </w:pPr>
    </w:p>
    <w:p w14:paraId="6AE7B137" w14:textId="05924B15" w:rsidR="00580699" w:rsidRPr="005F691C" w:rsidRDefault="00580699" w:rsidP="0058069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This demonstrates the USA Army’s objective to not only be a comprehensive, successful and intimidating branch of government, but also to develop and maintain open borders between military and non-military </w:t>
      </w:r>
      <w:r w:rsidR="002A607F" w:rsidRPr="005F691C">
        <w:rPr>
          <w:rFonts w:ascii="Times New Roman" w:hAnsi="Times New Roman" w:cs="Times New Roman"/>
        </w:rPr>
        <w:t>actors</w:t>
      </w:r>
      <w:r w:rsidRPr="005F691C">
        <w:rPr>
          <w:rFonts w:ascii="Times New Roman" w:hAnsi="Times New Roman" w:cs="Times New Roman"/>
        </w:rPr>
        <w:t>, allowing for a complete understanding of the diverse social, cultural and political differences between different states, thus giving them the best starting point from which to launch a tactical and strategic COIN operation, which will achieve the desired political objectives with minimal military force.</w:t>
      </w:r>
      <w:r w:rsidRPr="005F691C">
        <w:rPr>
          <w:rStyle w:val="FootnoteReference"/>
          <w:rFonts w:ascii="Times New Roman" w:hAnsi="Times New Roman" w:cs="Times New Roman"/>
        </w:rPr>
        <w:footnoteReference w:id="185"/>
      </w:r>
      <w:r w:rsidRPr="005F691C">
        <w:rPr>
          <w:rFonts w:ascii="Times New Roman" w:hAnsi="Times New Roman" w:cs="Times New Roman"/>
        </w:rPr>
        <w:t xml:space="preserve"> </w:t>
      </w:r>
    </w:p>
    <w:p w14:paraId="55866D96" w14:textId="77777777" w:rsidR="00580699" w:rsidRPr="005F691C" w:rsidRDefault="00580699" w:rsidP="00580699">
      <w:pPr>
        <w:spacing w:line="360" w:lineRule="auto"/>
        <w:ind w:left="-567" w:right="-631"/>
        <w:jc w:val="both"/>
        <w:rPr>
          <w:rFonts w:ascii="Times New Roman" w:hAnsi="Times New Roman" w:cs="Times New Roman"/>
        </w:rPr>
      </w:pPr>
    </w:p>
    <w:p w14:paraId="2126EED5" w14:textId="5702F397" w:rsidR="00580699" w:rsidRDefault="002A607F" w:rsidP="00580699">
      <w:pPr>
        <w:spacing w:line="360" w:lineRule="auto"/>
        <w:ind w:left="-567" w:right="-631"/>
        <w:jc w:val="both"/>
        <w:rPr>
          <w:rFonts w:ascii="Times New Roman" w:hAnsi="Times New Roman" w:cs="Times New Roman"/>
        </w:rPr>
      </w:pPr>
      <w:r w:rsidRPr="005F691C">
        <w:rPr>
          <w:rFonts w:ascii="Times New Roman" w:hAnsi="Times New Roman" w:cs="Times New Roman"/>
        </w:rPr>
        <w:t>T</w:t>
      </w:r>
      <w:r w:rsidR="00580699" w:rsidRPr="005F691C">
        <w:rPr>
          <w:rFonts w:ascii="Times New Roman" w:hAnsi="Times New Roman" w:cs="Times New Roman"/>
        </w:rPr>
        <w:t xml:space="preserve">he COIN strategy employed by the USA in Iraq, whilst maintaining certain principles that were adopted by the British from counterinsurgency in its original state, has dramatically shifted the key focus of the strategy, and has changed </w:t>
      </w:r>
      <w:r w:rsidRPr="005F691C">
        <w:rPr>
          <w:rFonts w:ascii="Times New Roman" w:hAnsi="Times New Roman" w:cs="Times New Roman"/>
        </w:rPr>
        <w:t>the role of the counterinsurgency</w:t>
      </w:r>
      <w:r w:rsidR="00580699" w:rsidRPr="005F691C">
        <w:rPr>
          <w:rFonts w:ascii="Times New Roman" w:hAnsi="Times New Roman" w:cs="Times New Roman"/>
        </w:rPr>
        <w:t xml:space="preserve"> forces</w:t>
      </w:r>
      <w:r w:rsidR="003958E1">
        <w:rPr>
          <w:rFonts w:ascii="Times New Roman" w:hAnsi="Times New Roman" w:cs="Times New Roman"/>
        </w:rPr>
        <w:t xml:space="preserve"> to being more involved in the population, and submerging themselves in the culture</w:t>
      </w:r>
      <w:r w:rsidR="00580699" w:rsidRPr="005F691C">
        <w:rPr>
          <w:rFonts w:ascii="Times New Roman" w:hAnsi="Times New Roman" w:cs="Times New Roman"/>
        </w:rPr>
        <w:t xml:space="preserve">. The similarities between the two observed COIN operations demonstrate the common concerns and objectives that a successful COIN operation requires. Another commonality between the two different applications of COIN is the cost of the operations. The next section of this chapter will serve to analyse the costs of implementing a COIN operation, both tangible and intangible. </w:t>
      </w:r>
    </w:p>
    <w:p w14:paraId="2BC95AFE" w14:textId="77777777" w:rsidR="00883A63" w:rsidRDefault="00883A63" w:rsidP="00580699">
      <w:pPr>
        <w:spacing w:line="360" w:lineRule="auto"/>
        <w:ind w:left="-567" w:right="-631"/>
        <w:jc w:val="both"/>
        <w:rPr>
          <w:rFonts w:ascii="Times New Roman" w:hAnsi="Times New Roman" w:cs="Times New Roman"/>
        </w:rPr>
      </w:pPr>
    </w:p>
    <w:p w14:paraId="66B49751" w14:textId="6E92516E" w:rsidR="00883A63" w:rsidRPr="005F691C" w:rsidRDefault="00883A63" w:rsidP="00580699">
      <w:pPr>
        <w:spacing w:line="360" w:lineRule="auto"/>
        <w:ind w:left="-567" w:right="-631"/>
        <w:jc w:val="both"/>
        <w:rPr>
          <w:rFonts w:ascii="Times New Roman" w:hAnsi="Times New Roman" w:cs="Times New Roman"/>
        </w:rPr>
      </w:pPr>
      <w:r>
        <w:rPr>
          <w:rFonts w:ascii="Times New Roman" w:hAnsi="Times New Roman" w:cs="Times New Roman"/>
        </w:rPr>
        <w:t xml:space="preserve">Whilst the Americans, and in particular General Petraeus, developed a counterinsurgency manual and strategy that was principally sound, there was a failure in the execution of the strategy. There was no direct implementation of the strategy as seen with the British and their strategy of COIN in Northern Ireland. There appeared to be a break down between planning and action of the COIN strategy in Iraq.  </w:t>
      </w:r>
    </w:p>
    <w:p w14:paraId="27A84994" w14:textId="77777777" w:rsidR="00AE6313" w:rsidRDefault="00AE6313" w:rsidP="00AE6313">
      <w:pPr>
        <w:tabs>
          <w:tab w:val="left" w:pos="-1134"/>
        </w:tabs>
        <w:spacing w:line="360" w:lineRule="auto"/>
        <w:ind w:right="-631"/>
        <w:jc w:val="both"/>
        <w:rPr>
          <w:rFonts w:ascii="Times New Roman" w:hAnsi="Times New Roman" w:cs="Times New Roman"/>
        </w:rPr>
      </w:pPr>
    </w:p>
    <w:p w14:paraId="6EC5F608" w14:textId="7DEE9604" w:rsidR="0035261D" w:rsidRPr="00AE6313" w:rsidRDefault="0035261D" w:rsidP="00AE6313">
      <w:pPr>
        <w:pStyle w:val="ListParagraph"/>
        <w:numPr>
          <w:ilvl w:val="1"/>
          <w:numId w:val="41"/>
        </w:numPr>
        <w:tabs>
          <w:tab w:val="left" w:pos="-1134"/>
        </w:tabs>
        <w:spacing w:line="360" w:lineRule="auto"/>
        <w:ind w:left="0" w:right="-631" w:hanging="567"/>
        <w:jc w:val="both"/>
        <w:rPr>
          <w:rFonts w:ascii="Times New Roman" w:hAnsi="Times New Roman" w:cs="Times New Roman"/>
          <w:b/>
          <w:u w:val="single"/>
        </w:rPr>
      </w:pPr>
      <w:r w:rsidRPr="00AE6313">
        <w:rPr>
          <w:rFonts w:ascii="Times New Roman" w:hAnsi="Times New Roman" w:cs="Times New Roman"/>
          <w:b/>
          <w:u w:val="single"/>
        </w:rPr>
        <w:t>What Makes a Successful Counterinsurgency?</w:t>
      </w:r>
    </w:p>
    <w:p w14:paraId="3363685B" w14:textId="77777777" w:rsidR="0035261D" w:rsidRPr="005F691C" w:rsidRDefault="0035261D" w:rsidP="0035261D">
      <w:pPr>
        <w:tabs>
          <w:tab w:val="left" w:pos="-1134"/>
        </w:tabs>
        <w:spacing w:line="360" w:lineRule="auto"/>
        <w:ind w:left="-567" w:right="-631"/>
        <w:jc w:val="both"/>
        <w:rPr>
          <w:rFonts w:ascii="Times New Roman" w:hAnsi="Times New Roman" w:cs="Times New Roman"/>
        </w:rPr>
      </w:pPr>
    </w:p>
    <w:p w14:paraId="3B7C8964" w14:textId="79E0653F" w:rsidR="0035261D" w:rsidRPr="005F691C" w:rsidRDefault="0035261D" w:rsidP="0035261D">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There are various objectives and desired outcomes for counterinsurgency operations as sought after by the different leadership of that specific operation. However, for the purposes of the analysis which will be undertaken, it is necessary to determine which criteria will be used in order to assess whether the counterinsurgencies being examined may be considered as either successful or unsuccessful. </w:t>
      </w:r>
    </w:p>
    <w:p w14:paraId="6DE8AA83" w14:textId="77777777" w:rsidR="0035261D" w:rsidRPr="005F691C" w:rsidRDefault="0035261D" w:rsidP="0035261D">
      <w:pPr>
        <w:tabs>
          <w:tab w:val="left" w:pos="-1134"/>
        </w:tabs>
        <w:spacing w:line="360" w:lineRule="auto"/>
        <w:ind w:left="-567" w:right="-631"/>
        <w:jc w:val="both"/>
        <w:rPr>
          <w:rFonts w:ascii="Times New Roman" w:hAnsi="Times New Roman" w:cs="Times New Roman"/>
        </w:rPr>
      </w:pPr>
    </w:p>
    <w:p w14:paraId="48B847CF" w14:textId="2BFA992D" w:rsidR="0035261D" w:rsidRDefault="0035261D" w:rsidP="0035261D">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In order to determine what the criteria for success will be, this chapter will draw on the basic principles and desired outcomes of both the counterinsurgency operation against the IRA in Ireland, as well as the counterinsurgency operation against Al Qaeda in Iraq. Whilst it is acknowledged that certain outcomes and goals of each counterinsurgency operation looked at might be left out in the final determination of criteria, the most common objectives and commonalities between the two will be used in order to ensure a more fair and just norm for evaluation. </w:t>
      </w:r>
    </w:p>
    <w:p w14:paraId="47D31655" w14:textId="77777777" w:rsidR="00CD1CE5" w:rsidRPr="005F691C" w:rsidRDefault="00CD1CE5" w:rsidP="0035261D">
      <w:pPr>
        <w:tabs>
          <w:tab w:val="left" w:pos="-1134"/>
        </w:tabs>
        <w:spacing w:line="360" w:lineRule="auto"/>
        <w:ind w:left="-567" w:right="-631"/>
        <w:jc w:val="both"/>
        <w:rPr>
          <w:rFonts w:ascii="Times New Roman" w:hAnsi="Times New Roman" w:cs="Times New Roman"/>
        </w:rPr>
      </w:pPr>
    </w:p>
    <w:p w14:paraId="73538D1E" w14:textId="5C8DA6AE" w:rsidR="0035261D" w:rsidRDefault="0035261D" w:rsidP="0035261D">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As discussed above there are various factors and outcomes that shape and inform a counterinsurgency operation and how that operation is implemented. A successful counterinsurgency operation involves various elements, including establishing and maintaining security, providing humanitarian relief and essential services, promoting effective governance, sustaining economic development and supporting reconciliation.</w:t>
      </w:r>
      <w:r w:rsidRPr="005F691C">
        <w:rPr>
          <w:rStyle w:val="FootnoteReference"/>
          <w:rFonts w:ascii="Times New Roman" w:hAnsi="Times New Roman" w:cs="Times New Roman"/>
        </w:rPr>
        <w:footnoteReference w:id="186"/>
      </w:r>
      <w:r w:rsidRPr="005F691C">
        <w:rPr>
          <w:rFonts w:ascii="Times New Roman" w:hAnsi="Times New Roman" w:cs="Times New Roman"/>
        </w:rPr>
        <w:t xml:space="preserve"> However both Thompson and Petraeus had different main objectives in the implementation of counterinsurgency in Ireland and in Iraq respectively. </w:t>
      </w:r>
    </w:p>
    <w:p w14:paraId="080CA38F" w14:textId="77777777" w:rsidR="00CD1CE5" w:rsidRPr="005F691C" w:rsidRDefault="00CD1CE5" w:rsidP="0035261D">
      <w:pPr>
        <w:tabs>
          <w:tab w:val="left" w:pos="-1134"/>
        </w:tabs>
        <w:spacing w:line="360" w:lineRule="auto"/>
        <w:ind w:left="-567" w:right="-631"/>
        <w:jc w:val="both"/>
        <w:rPr>
          <w:rFonts w:ascii="Times New Roman" w:hAnsi="Times New Roman" w:cs="Times New Roman"/>
        </w:rPr>
      </w:pPr>
    </w:p>
    <w:p w14:paraId="6759AC43" w14:textId="6AC7963A" w:rsidR="0035261D" w:rsidRPr="005F691C" w:rsidRDefault="0035261D" w:rsidP="0035261D">
      <w:pPr>
        <w:tabs>
          <w:tab w:val="left" w:pos="-1134"/>
        </w:tabs>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Thompson viewed counterinsurgency as a movement undertaken by a national government in an attempt to combat an insurgent movement.</w:t>
      </w:r>
      <w:r w:rsidRPr="005F691C">
        <w:rPr>
          <w:rStyle w:val="FootnoteReference"/>
          <w:rFonts w:ascii="Times New Roman" w:hAnsi="Times New Roman" w:cs="Times New Roman"/>
        </w:rPr>
        <w:footnoteReference w:id="187"/>
      </w:r>
      <w:r w:rsidRPr="005F691C">
        <w:rPr>
          <w:rFonts w:ascii="Times New Roman" w:hAnsi="Times New Roman" w:cs="Times New Roman"/>
        </w:rPr>
        <w:t xml:space="preserve"> All the emphasis was placed on the national government, with almost no regard shown for the insurgency being tackled. There was also emphasis placed on political legitimacy of the governing structures that the counterinsurgency operation would implement.</w:t>
      </w:r>
      <w:r w:rsidRPr="005F691C">
        <w:rPr>
          <w:rStyle w:val="FootnoteReference"/>
          <w:rFonts w:ascii="Times New Roman" w:hAnsi="Times New Roman" w:cs="Times New Roman"/>
        </w:rPr>
        <w:footnoteReference w:id="188"/>
      </w:r>
      <w:r w:rsidRPr="005F691C">
        <w:rPr>
          <w:rFonts w:ascii="Times New Roman" w:hAnsi="Times New Roman" w:cs="Times New Roman"/>
        </w:rPr>
        <w:t xml:space="preserve"> Thompson proposed four phases for the occurrence of a counterinsurgency operation whereby political success was held as the ultimate goal. More specifically, with regards to the case study of the IRA in Northern Ireland, the commitment of the British army to achieving a political solution that was acceptable to all those involved in the conflict displayed </w:t>
      </w:r>
      <w:r w:rsidR="003958E1">
        <w:rPr>
          <w:rFonts w:ascii="Times New Roman" w:hAnsi="Times New Roman" w:cs="Times New Roman"/>
        </w:rPr>
        <w:t>the</w:t>
      </w:r>
      <w:r w:rsidRPr="005F691C">
        <w:rPr>
          <w:rFonts w:ascii="Times New Roman" w:hAnsi="Times New Roman" w:cs="Times New Roman"/>
        </w:rPr>
        <w:t xml:space="preserve"> clear political aim</w:t>
      </w:r>
      <w:r w:rsidR="003958E1">
        <w:rPr>
          <w:rFonts w:ascii="Times New Roman" w:hAnsi="Times New Roman" w:cs="Times New Roman"/>
        </w:rPr>
        <w:t xml:space="preserve"> of the British government</w:t>
      </w:r>
      <w:r w:rsidRPr="005F691C">
        <w:rPr>
          <w:rFonts w:ascii="Times New Roman" w:hAnsi="Times New Roman" w:cs="Times New Roman"/>
        </w:rPr>
        <w:t xml:space="preserve">, </w:t>
      </w:r>
      <w:r w:rsidR="003958E1">
        <w:rPr>
          <w:rFonts w:ascii="Times New Roman" w:hAnsi="Times New Roman" w:cs="Times New Roman"/>
        </w:rPr>
        <w:t>including</w:t>
      </w:r>
      <w:r w:rsidRPr="005F691C">
        <w:rPr>
          <w:rFonts w:ascii="Times New Roman" w:hAnsi="Times New Roman" w:cs="Times New Roman"/>
        </w:rPr>
        <w:t xml:space="preserve"> maintaining a free, independent (ultimately returning to self rule) and united (Protestant and Catholic unity) country which </w:t>
      </w:r>
      <w:r w:rsidR="003958E1">
        <w:rPr>
          <w:rFonts w:ascii="Times New Roman" w:hAnsi="Times New Roman" w:cs="Times New Roman"/>
        </w:rPr>
        <w:t>was</w:t>
      </w:r>
      <w:r w:rsidRPr="005F691C">
        <w:rPr>
          <w:rFonts w:ascii="Times New Roman" w:hAnsi="Times New Roman" w:cs="Times New Roman"/>
        </w:rPr>
        <w:t xml:space="preserve"> politically and economically stable and viable.</w:t>
      </w:r>
    </w:p>
    <w:p w14:paraId="488007BA" w14:textId="77777777" w:rsidR="0035261D" w:rsidRPr="005F691C" w:rsidRDefault="0035261D" w:rsidP="0035261D">
      <w:pPr>
        <w:tabs>
          <w:tab w:val="left" w:pos="-1134"/>
        </w:tabs>
        <w:autoSpaceDE w:val="0"/>
        <w:autoSpaceDN w:val="0"/>
        <w:adjustRightInd w:val="0"/>
        <w:spacing w:line="360" w:lineRule="auto"/>
        <w:ind w:left="-567" w:right="-631"/>
        <w:jc w:val="both"/>
        <w:rPr>
          <w:rFonts w:ascii="Times New Roman" w:hAnsi="Times New Roman" w:cs="Times New Roman"/>
        </w:rPr>
      </w:pPr>
    </w:p>
    <w:p w14:paraId="7632639F" w14:textId="426F9C3F" w:rsidR="0035261D" w:rsidRPr="005F691C" w:rsidRDefault="0035261D" w:rsidP="0035261D">
      <w:pPr>
        <w:tabs>
          <w:tab w:val="left" w:pos="-1134"/>
        </w:tabs>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General Petraeus has reinforced the importance of political legitimacy in a counterinsurgency movement. It is vital that the counterinsurgents use all available national power instruments to their advantage in order to sustain the existing or emerging government.</w:t>
      </w:r>
      <w:r w:rsidRPr="005F691C">
        <w:rPr>
          <w:rStyle w:val="FootnoteReference"/>
          <w:rFonts w:ascii="Times New Roman" w:hAnsi="Times New Roman" w:cs="Times New Roman"/>
        </w:rPr>
        <w:footnoteReference w:id="189"/>
      </w:r>
      <w:r w:rsidRPr="005F691C">
        <w:rPr>
          <w:rFonts w:ascii="Times New Roman" w:hAnsi="Times New Roman" w:cs="Times New Roman"/>
        </w:rPr>
        <w:t xml:space="preserve"> General Petraeus views the long-term success of counterinsurgency operations as dependent on the people taking charge of their own affairs and consenting to the government’s rule, which requires the government to eliminate as many causes of the insurgency as possible.</w:t>
      </w:r>
      <w:r w:rsidRPr="005F691C">
        <w:rPr>
          <w:rStyle w:val="FootnoteReference"/>
          <w:rFonts w:ascii="Times New Roman" w:hAnsi="Times New Roman" w:cs="Times New Roman"/>
        </w:rPr>
        <w:footnoteReference w:id="190"/>
      </w:r>
      <w:r w:rsidRPr="005F691C">
        <w:rPr>
          <w:rFonts w:ascii="Times New Roman" w:hAnsi="Times New Roman" w:cs="Times New Roman"/>
        </w:rPr>
        <w:t xml:space="preserve"> This can include eliminating those extremists whose beliefs prevent them from ever reconciling with the government. Petraeus views the ultimate goal of counterinsurgency as enabling a country or regime to provide the security and rule of law that allow for the establishment of social services and growth of economic activity.</w:t>
      </w:r>
      <w:r w:rsidRPr="005F691C">
        <w:rPr>
          <w:rStyle w:val="FootnoteReference"/>
          <w:rFonts w:ascii="Times New Roman" w:hAnsi="Times New Roman" w:cs="Times New Roman"/>
        </w:rPr>
        <w:footnoteReference w:id="191"/>
      </w:r>
      <w:r w:rsidRPr="005F691C">
        <w:rPr>
          <w:rFonts w:ascii="Times New Roman" w:hAnsi="Times New Roman" w:cs="Times New Roman"/>
        </w:rPr>
        <w:t xml:space="preserve"> </w:t>
      </w:r>
      <w:r w:rsidR="003958E1">
        <w:rPr>
          <w:rFonts w:ascii="Times New Roman" w:hAnsi="Times New Roman" w:cs="Times New Roman"/>
        </w:rPr>
        <w:t>As FM 3-24 states;</w:t>
      </w:r>
    </w:p>
    <w:p w14:paraId="57AC8D23" w14:textId="77777777" w:rsidR="0035261D" w:rsidRPr="005F691C" w:rsidRDefault="0035261D" w:rsidP="0035261D">
      <w:pPr>
        <w:tabs>
          <w:tab w:val="left" w:pos="-1134"/>
        </w:tabs>
        <w:autoSpaceDE w:val="0"/>
        <w:autoSpaceDN w:val="0"/>
        <w:adjustRightInd w:val="0"/>
        <w:spacing w:line="360" w:lineRule="auto"/>
        <w:ind w:left="-567" w:right="-631"/>
        <w:jc w:val="both"/>
        <w:rPr>
          <w:rFonts w:ascii="Times New Roman" w:hAnsi="Times New Roman" w:cs="Times New Roman"/>
        </w:rPr>
      </w:pPr>
    </w:p>
    <w:p w14:paraId="0624D070" w14:textId="48570EF4" w:rsidR="0035261D" w:rsidRPr="005F691C" w:rsidRDefault="0035261D" w:rsidP="0035261D">
      <w:pPr>
        <w:tabs>
          <w:tab w:val="left" w:pos="-1134"/>
        </w:tabs>
        <w:autoSpaceDE w:val="0"/>
        <w:autoSpaceDN w:val="0"/>
        <w:adjustRightInd w:val="0"/>
        <w:spacing w:line="360" w:lineRule="auto"/>
        <w:ind w:right="-64"/>
        <w:jc w:val="both"/>
        <w:rPr>
          <w:rFonts w:ascii="Times New Roman" w:hAnsi="Times New Roman" w:cs="Times New Roman"/>
          <w:i/>
        </w:rPr>
      </w:pPr>
      <w:r w:rsidRPr="005F691C">
        <w:rPr>
          <w:rFonts w:ascii="Times New Roman" w:hAnsi="Times New Roman" w:cs="Times New Roman"/>
          <w:i/>
        </w:rPr>
        <w:t>“At its heart, a counterinsurgency is an armed struggle for the support of the population. This support can be achieved or lost through information engagement, strong representative government, access to goods and services, fear, or violence. This armed struggle also involves eliminating insurgents who threaten the safety and security of the population. However, military units alone cannot defeat an insurgency. Most of the work involves discovering and solving the population’s underlying issues, that is, the root causes of their dissatisfaction with the current arrangement of political power.”</w:t>
      </w:r>
      <w:r w:rsidRPr="005F691C">
        <w:rPr>
          <w:rStyle w:val="FootnoteReference"/>
          <w:rFonts w:ascii="Times New Roman" w:hAnsi="Times New Roman" w:cs="Times New Roman"/>
          <w:i/>
        </w:rPr>
        <w:footnoteReference w:id="192"/>
      </w:r>
    </w:p>
    <w:p w14:paraId="36BDD4DC" w14:textId="77777777" w:rsidR="0035261D" w:rsidRPr="005F691C" w:rsidRDefault="0035261D" w:rsidP="003958E1">
      <w:pPr>
        <w:tabs>
          <w:tab w:val="left" w:pos="-1134"/>
        </w:tabs>
        <w:autoSpaceDE w:val="0"/>
        <w:autoSpaceDN w:val="0"/>
        <w:adjustRightInd w:val="0"/>
        <w:spacing w:line="360" w:lineRule="auto"/>
        <w:ind w:right="-631"/>
        <w:jc w:val="both"/>
        <w:rPr>
          <w:rFonts w:ascii="Times New Roman" w:hAnsi="Times New Roman" w:cs="Times New Roman"/>
        </w:rPr>
      </w:pPr>
    </w:p>
    <w:p w14:paraId="05ED75D4" w14:textId="4EC9F48D" w:rsidR="0035261D" w:rsidRPr="005F691C" w:rsidRDefault="0035261D" w:rsidP="009B1381">
      <w:pPr>
        <w:tabs>
          <w:tab w:val="left" w:pos="-1134"/>
        </w:tabs>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Whilst the principles of counterinsurgency have remained largely unchanged on a grander scale, they have been slightly altered so as to be more in line with a population-centric view of COIN</w:t>
      </w:r>
      <w:r w:rsidR="003958E1">
        <w:rPr>
          <w:rFonts w:ascii="Times New Roman" w:hAnsi="Times New Roman" w:cs="Times New Roman"/>
        </w:rPr>
        <w:t>, as practiced in Iraq</w:t>
      </w:r>
      <w:r w:rsidRPr="005F691C">
        <w:rPr>
          <w:rFonts w:ascii="Times New Roman" w:hAnsi="Times New Roman" w:cs="Times New Roman"/>
        </w:rPr>
        <w:t>.</w:t>
      </w:r>
      <w:r w:rsidR="009B1381" w:rsidRPr="005F691C">
        <w:rPr>
          <w:rFonts w:ascii="Times New Roman" w:hAnsi="Times New Roman" w:cs="Times New Roman"/>
        </w:rPr>
        <w:t xml:space="preserve"> </w:t>
      </w:r>
      <w:r w:rsidRPr="005F691C">
        <w:rPr>
          <w:rFonts w:ascii="Times New Roman" w:hAnsi="Times New Roman" w:cs="Times New Roman"/>
        </w:rPr>
        <w:t xml:space="preserve">The ultimate goal of counterinsurgency remains the same despite having been developed and adapted to </w:t>
      </w:r>
      <w:r w:rsidR="009B1381" w:rsidRPr="005F691C">
        <w:rPr>
          <w:rFonts w:ascii="Times New Roman" w:hAnsi="Times New Roman" w:cs="Times New Roman"/>
        </w:rPr>
        <w:t>different insurgency situations. Ultimately, the goal remains</w:t>
      </w:r>
      <w:r w:rsidRPr="005F691C">
        <w:rPr>
          <w:rFonts w:ascii="Times New Roman" w:hAnsi="Times New Roman" w:cs="Times New Roman"/>
        </w:rPr>
        <w:t xml:space="preserve"> sustainable and lasting peace and legitimacy of rule of law. The methods employed traditionally, as seen in the implementation of counterinsurgency by the British in Ireland, are only slightly different to those employed by General Petraeus in Iraq, where Petraeus used national power instruments in order to implement a counterinsurgency movement. Drawing from this, what can be considered the key indicators of a successful counterinsurgency operation?</w:t>
      </w:r>
    </w:p>
    <w:p w14:paraId="77598679" w14:textId="77777777" w:rsidR="009B1381" w:rsidRPr="005F691C" w:rsidRDefault="009B1381" w:rsidP="009B1381">
      <w:pPr>
        <w:tabs>
          <w:tab w:val="left" w:pos="-1134"/>
        </w:tabs>
        <w:autoSpaceDE w:val="0"/>
        <w:autoSpaceDN w:val="0"/>
        <w:adjustRightInd w:val="0"/>
        <w:spacing w:line="360" w:lineRule="auto"/>
        <w:ind w:left="-567" w:right="-631"/>
        <w:jc w:val="both"/>
        <w:rPr>
          <w:rFonts w:ascii="Times New Roman" w:hAnsi="Times New Roman" w:cs="Times New Roman"/>
        </w:rPr>
      </w:pPr>
    </w:p>
    <w:p w14:paraId="01CE093B" w14:textId="34B7B2FE" w:rsidR="0035261D" w:rsidRPr="005F691C" w:rsidRDefault="0035261D" w:rsidP="0035261D">
      <w:pPr>
        <w:tabs>
          <w:tab w:val="left" w:pos="-1134"/>
        </w:tabs>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For the purposes of this research, the following principles and desired outcomes, which are shared between the two observed counterinsurgency operation</w:t>
      </w:r>
      <w:r w:rsidR="003958E1">
        <w:rPr>
          <w:rFonts w:ascii="Times New Roman" w:hAnsi="Times New Roman" w:cs="Times New Roman"/>
        </w:rPr>
        <w:t>s</w:t>
      </w:r>
      <w:r w:rsidRPr="005F691C">
        <w:rPr>
          <w:rFonts w:ascii="Times New Roman" w:hAnsi="Times New Roman" w:cs="Times New Roman"/>
        </w:rPr>
        <w:t>, and which are commonly employed to judge the success of an operation, will be used to determine whether or not the counterinsurgency campaign can be considered successful in its implementation.</w:t>
      </w:r>
    </w:p>
    <w:p w14:paraId="4088D209" w14:textId="77777777" w:rsidR="009B1381" w:rsidRPr="005F691C" w:rsidRDefault="009B1381" w:rsidP="0035261D">
      <w:pPr>
        <w:tabs>
          <w:tab w:val="left" w:pos="-1134"/>
        </w:tabs>
        <w:autoSpaceDE w:val="0"/>
        <w:autoSpaceDN w:val="0"/>
        <w:adjustRightInd w:val="0"/>
        <w:spacing w:line="360" w:lineRule="auto"/>
        <w:ind w:left="-567" w:right="-631"/>
        <w:jc w:val="both"/>
        <w:rPr>
          <w:rFonts w:ascii="Times New Roman" w:hAnsi="Times New Roman" w:cs="Times New Roman"/>
        </w:rPr>
      </w:pPr>
    </w:p>
    <w:p w14:paraId="3F9654E5" w14:textId="6B4B7BEE" w:rsidR="009B1381" w:rsidRPr="005F691C" w:rsidRDefault="0035261D" w:rsidP="0035261D">
      <w:pPr>
        <w:tabs>
          <w:tab w:val="left" w:pos="-1134"/>
        </w:tabs>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first indicator of success will be whether violence has been stopped within the defined territory where the COIN operation has been implemented. The violence to which this refers will include any acts of </w:t>
      </w:r>
      <w:r w:rsidR="009B1381" w:rsidRPr="005F691C">
        <w:rPr>
          <w:rFonts w:ascii="Times New Roman" w:hAnsi="Times New Roman" w:cs="Times New Roman"/>
        </w:rPr>
        <w:t>unlawfulness</w:t>
      </w:r>
      <w:r w:rsidRPr="005F691C">
        <w:rPr>
          <w:rFonts w:ascii="Times New Roman" w:hAnsi="Times New Roman" w:cs="Times New Roman"/>
        </w:rPr>
        <w:t xml:space="preserve"> which the state has deemed </w:t>
      </w:r>
      <w:r w:rsidR="009B1381" w:rsidRPr="005F691C">
        <w:rPr>
          <w:rFonts w:ascii="Times New Roman" w:hAnsi="Times New Roman" w:cs="Times New Roman"/>
        </w:rPr>
        <w:t xml:space="preserve">to be considered </w:t>
      </w:r>
      <w:r w:rsidRPr="005F691C">
        <w:rPr>
          <w:rFonts w:ascii="Times New Roman" w:hAnsi="Times New Roman" w:cs="Times New Roman"/>
        </w:rPr>
        <w:t>insurgent behaviour</w:t>
      </w:r>
      <w:r w:rsidR="009B1381" w:rsidRPr="005F691C">
        <w:rPr>
          <w:rFonts w:ascii="Times New Roman" w:hAnsi="Times New Roman" w:cs="Times New Roman"/>
        </w:rPr>
        <w:t>,</w:t>
      </w:r>
      <w:r w:rsidRPr="005F691C">
        <w:rPr>
          <w:rFonts w:ascii="Times New Roman" w:hAnsi="Times New Roman" w:cs="Times New Roman"/>
        </w:rPr>
        <w:t xml:space="preserve"> and </w:t>
      </w:r>
      <w:r w:rsidR="009B1381" w:rsidRPr="005F691C">
        <w:rPr>
          <w:rFonts w:ascii="Times New Roman" w:hAnsi="Times New Roman" w:cs="Times New Roman"/>
        </w:rPr>
        <w:t>interrupts</w:t>
      </w:r>
      <w:r w:rsidRPr="005F691C">
        <w:rPr>
          <w:rFonts w:ascii="Times New Roman" w:hAnsi="Times New Roman" w:cs="Times New Roman"/>
        </w:rPr>
        <w:t xml:space="preserve"> the implementation of the rule of law. The second indicator of success will be the enforcement of rule of law by a legitimately recognised government or governing force; whether this government or governing force is elected, reinstated or enforced by the counterinsurgency power. This is linked to the next </w:t>
      </w:r>
      <w:r w:rsidR="009B1381" w:rsidRPr="005F691C">
        <w:rPr>
          <w:rFonts w:ascii="Times New Roman" w:hAnsi="Times New Roman" w:cs="Times New Roman"/>
        </w:rPr>
        <w:t>indicator, which</w:t>
      </w:r>
      <w:r w:rsidRPr="005F691C">
        <w:rPr>
          <w:rFonts w:ascii="Times New Roman" w:hAnsi="Times New Roman" w:cs="Times New Roman"/>
        </w:rPr>
        <w:t xml:space="preserve"> is the requirement that the government </w:t>
      </w:r>
      <w:r w:rsidR="009B1381" w:rsidRPr="005F691C">
        <w:rPr>
          <w:rFonts w:ascii="Times New Roman" w:hAnsi="Times New Roman" w:cs="Times New Roman"/>
        </w:rPr>
        <w:t>enforcing</w:t>
      </w:r>
      <w:r w:rsidRPr="005F691C">
        <w:rPr>
          <w:rFonts w:ascii="Times New Roman" w:hAnsi="Times New Roman" w:cs="Times New Roman"/>
        </w:rPr>
        <w:t xml:space="preserve"> the rule of law be acknowledged and accepted by the people as the legitimate ruler of the people and enforcer of the law. Legitimacy of government is difficult to define and measure, howev</w:t>
      </w:r>
      <w:r w:rsidR="003958E1">
        <w:rPr>
          <w:rFonts w:ascii="Times New Roman" w:hAnsi="Times New Roman" w:cs="Times New Roman"/>
        </w:rPr>
        <w:t>er, the analysis section of the following</w:t>
      </w:r>
      <w:r w:rsidRPr="005F691C">
        <w:rPr>
          <w:rFonts w:ascii="Times New Roman" w:hAnsi="Times New Roman" w:cs="Times New Roman"/>
        </w:rPr>
        <w:t xml:space="preserve"> chapter</w:t>
      </w:r>
      <w:r w:rsidR="003958E1">
        <w:rPr>
          <w:rFonts w:ascii="Times New Roman" w:hAnsi="Times New Roman" w:cs="Times New Roman"/>
        </w:rPr>
        <w:t>s</w:t>
      </w:r>
      <w:r w:rsidRPr="005F691C">
        <w:rPr>
          <w:rFonts w:ascii="Times New Roman" w:hAnsi="Times New Roman" w:cs="Times New Roman"/>
        </w:rPr>
        <w:t xml:space="preserve"> will determine whether the government of the state was recognised by the general population, looking at the issue of legitimacy more closely. </w:t>
      </w:r>
    </w:p>
    <w:p w14:paraId="0DDB7765" w14:textId="77777777" w:rsidR="009B1381" w:rsidRPr="005F691C" w:rsidRDefault="009B1381" w:rsidP="0035261D">
      <w:pPr>
        <w:tabs>
          <w:tab w:val="left" w:pos="-1134"/>
        </w:tabs>
        <w:autoSpaceDE w:val="0"/>
        <w:autoSpaceDN w:val="0"/>
        <w:adjustRightInd w:val="0"/>
        <w:spacing w:line="360" w:lineRule="auto"/>
        <w:ind w:left="-567" w:right="-631"/>
        <w:jc w:val="both"/>
        <w:rPr>
          <w:rFonts w:ascii="Times New Roman" w:hAnsi="Times New Roman" w:cs="Times New Roman"/>
        </w:rPr>
      </w:pPr>
    </w:p>
    <w:p w14:paraId="5844CD49" w14:textId="0E390EA2" w:rsidR="0035261D" w:rsidRPr="005F691C" w:rsidRDefault="0035261D" w:rsidP="0035261D">
      <w:pPr>
        <w:tabs>
          <w:tab w:val="left" w:pos="-1134"/>
        </w:tabs>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fourth indicator of success is that the </w:t>
      </w:r>
      <w:r w:rsidR="009B1381" w:rsidRPr="005F691C">
        <w:rPr>
          <w:rFonts w:ascii="Times New Roman" w:hAnsi="Times New Roman" w:cs="Times New Roman"/>
        </w:rPr>
        <w:t>grievances that sparked the insurgency</w:t>
      </w:r>
      <w:r w:rsidRPr="005F691C">
        <w:rPr>
          <w:rFonts w:ascii="Times New Roman" w:hAnsi="Times New Roman" w:cs="Times New Roman"/>
        </w:rPr>
        <w:t xml:space="preserve"> to begin with must be dealt with so as to avoid the </w:t>
      </w:r>
      <w:r w:rsidR="009B1381" w:rsidRPr="005F691C">
        <w:rPr>
          <w:rFonts w:ascii="Times New Roman" w:hAnsi="Times New Roman" w:cs="Times New Roman"/>
        </w:rPr>
        <w:t>repetition</w:t>
      </w:r>
      <w:r w:rsidRPr="005F691C">
        <w:rPr>
          <w:rFonts w:ascii="Times New Roman" w:hAnsi="Times New Roman" w:cs="Times New Roman"/>
        </w:rPr>
        <w:t xml:space="preserve"> of the violence and insurgent behaviour. The recognised and legitimate government must acknowledge, understand and suitably deal with the grievances of the people. The final indicator of success will be that the new government is able to maintain rule of law and stability within the state, or region targeted for counterinsurgency, for a considerable length of time. This length of time will be discussed within the analysis section. </w:t>
      </w:r>
    </w:p>
    <w:p w14:paraId="3DF3259B" w14:textId="77777777" w:rsidR="009B1381" w:rsidRPr="005F691C" w:rsidRDefault="009B1381" w:rsidP="0035261D">
      <w:pPr>
        <w:tabs>
          <w:tab w:val="left" w:pos="-1134"/>
        </w:tabs>
        <w:autoSpaceDE w:val="0"/>
        <w:autoSpaceDN w:val="0"/>
        <w:adjustRightInd w:val="0"/>
        <w:spacing w:line="360" w:lineRule="auto"/>
        <w:ind w:left="-567" w:right="-631"/>
        <w:jc w:val="both"/>
        <w:rPr>
          <w:rFonts w:ascii="Times New Roman" w:hAnsi="Times New Roman" w:cs="Times New Roman"/>
        </w:rPr>
      </w:pPr>
    </w:p>
    <w:p w14:paraId="09916CA6" w14:textId="49DE39E5" w:rsidR="0035261D" w:rsidRPr="005F691C" w:rsidRDefault="0035261D" w:rsidP="0035261D">
      <w:pPr>
        <w:tabs>
          <w:tab w:val="left" w:pos="-1134"/>
        </w:tabs>
        <w:autoSpaceDE w:val="0"/>
        <w:autoSpaceDN w:val="0"/>
        <w:adjustRightInd w:val="0"/>
        <w:spacing w:line="360" w:lineRule="auto"/>
        <w:ind w:left="-567" w:right="-631"/>
        <w:jc w:val="both"/>
        <w:rPr>
          <w:rFonts w:ascii="Times New Roman" w:hAnsi="Times New Roman" w:cs="Times New Roman"/>
        </w:rPr>
      </w:pPr>
      <w:r w:rsidRPr="005F691C">
        <w:rPr>
          <w:rFonts w:ascii="Times New Roman" w:hAnsi="Times New Roman" w:cs="Times New Roman"/>
        </w:rPr>
        <w:t xml:space="preserve">Based on the above indicators of success which have been drawn from both Thompson’s model of counterinsurgency as well as the more </w:t>
      </w:r>
      <w:r w:rsidR="009B1381" w:rsidRPr="005F691C">
        <w:rPr>
          <w:rFonts w:ascii="Times New Roman" w:hAnsi="Times New Roman" w:cs="Times New Roman"/>
        </w:rPr>
        <w:t>modern</w:t>
      </w:r>
      <w:r w:rsidRPr="005F691C">
        <w:rPr>
          <w:rFonts w:ascii="Times New Roman" w:hAnsi="Times New Roman" w:cs="Times New Roman"/>
        </w:rPr>
        <w:t xml:space="preserve"> model of General Petraeus, </w:t>
      </w:r>
      <w:r w:rsidR="009B1381" w:rsidRPr="005F691C">
        <w:rPr>
          <w:rFonts w:ascii="Times New Roman" w:hAnsi="Times New Roman" w:cs="Times New Roman"/>
        </w:rPr>
        <w:t>the following</w:t>
      </w:r>
      <w:r w:rsidRPr="005F691C">
        <w:rPr>
          <w:rFonts w:ascii="Times New Roman" w:hAnsi="Times New Roman" w:cs="Times New Roman"/>
        </w:rPr>
        <w:t xml:space="preserve"> chapter will perform a </w:t>
      </w:r>
      <w:r w:rsidR="009B1381" w:rsidRPr="005F691C">
        <w:rPr>
          <w:rFonts w:ascii="Times New Roman" w:hAnsi="Times New Roman" w:cs="Times New Roman"/>
        </w:rPr>
        <w:t>comparative</w:t>
      </w:r>
      <w:r w:rsidRPr="005F691C">
        <w:rPr>
          <w:rFonts w:ascii="Times New Roman" w:hAnsi="Times New Roman" w:cs="Times New Roman"/>
        </w:rPr>
        <w:t xml:space="preserve"> analysis using the IRA in Northern Ireland as one case study and Al Qaeda in Iraq as the other case study for whether in fact counterinsurgency can be considered </w:t>
      </w:r>
      <w:r w:rsidR="009B1381" w:rsidRPr="005F691C">
        <w:rPr>
          <w:rFonts w:ascii="Times New Roman" w:hAnsi="Times New Roman" w:cs="Times New Roman"/>
        </w:rPr>
        <w:t xml:space="preserve">successful </w:t>
      </w:r>
      <w:r w:rsidRPr="005F691C">
        <w:rPr>
          <w:rFonts w:ascii="Times New Roman" w:hAnsi="Times New Roman" w:cs="Times New Roman"/>
        </w:rPr>
        <w:t>in each of these situations</w:t>
      </w:r>
      <w:r w:rsidR="003958E1">
        <w:rPr>
          <w:rFonts w:ascii="Times New Roman" w:hAnsi="Times New Roman" w:cs="Times New Roman"/>
        </w:rPr>
        <w:t>, as performed against two differently categorised forms of insurgency</w:t>
      </w:r>
      <w:r w:rsidRPr="005F691C">
        <w:rPr>
          <w:rFonts w:ascii="Times New Roman" w:hAnsi="Times New Roman" w:cs="Times New Roman"/>
        </w:rPr>
        <w:t xml:space="preserve">. The chapter will then go on to discuss whether the success, or failure, of the counterinsurgency movement can be predetermined based on causal </w:t>
      </w:r>
      <w:r w:rsidR="009B1381" w:rsidRPr="005F691C">
        <w:rPr>
          <w:rFonts w:ascii="Times New Roman" w:hAnsi="Times New Roman" w:cs="Times New Roman"/>
        </w:rPr>
        <w:t>relationships between</w:t>
      </w:r>
      <w:r w:rsidRPr="005F691C">
        <w:rPr>
          <w:rFonts w:ascii="Times New Roman" w:hAnsi="Times New Roman" w:cs="Times New Roman"/>
        </w:rPr>
        <w:t xml:space="preserve"> the factors of the different insurgencies identified in each case and the factors indicating a successful counterinsurgency movement.</w:t>
      </w:r>
    </w:p>
    <w:p w14:paraId="3E6CCB74" w14:textId="77777777" w:rsidR="0035261D" w:rsidRPr="005F691C" w:rsidRDefault="0035261D" w:rsidP="00580699">
      <w:pPr>
        <w:spacing w:line="360" w:lineRule="auto"/>
        <w:ind w:left="-567" w:right="-631"/>
        <w:jc w:val="both"/>
        <w:rPr>
          <w:rFonts w:ascii="Times New Roman" w:hAnsi="Times New Roman" w:cs="Times New Roman"/>
        </w:rPr>
      </w:pPr>
    </w:p>
    <w:p w14:paraId="092BA1B2" w14:textId="77777777" w:rsidR="008847AA" w:rsidRPr="005F691C" w:rsidRDefault="008847AA">
      <w:pPr>
        <w:rPr>
          <w:rFonts w:ascii="Times New Roman" w:hAnsi="Times New Roman" w:cs="Times New Roman"/>
        </w:rPr>
      </w:pPr>
      <w:r w:rsidRPr="005F691C">
        <w:rPr>
          <w:rFonts w:ascii="Times New Roman" w:hAnsi="Times New Roman" w:cs="Times New Roman"/>
        </w:rPr>
        <w:br w:type="page"/>
      </w:r>
    </w:p>
    <w:p w14:paraId="543E49BC" w14:textId="20CB6117" w:rsidR="00580699" w:rsidRPr="00E021C9" w:rsidRDefault="00AE6313" w:rsidP="00E021C9">
      <w:pPr>
        <w:spacing w:line="360" w:lineRule="auto"/>
        <w:ind w:left="-567" w:right="-631"/>
        <w:jc w:val="center"/>
        <w:rPr>
          <w:rFonts w:ascii="Times New Roman" w:hAnsi="Times New Roman" w:cs="Times New Roman"/>
          <w:b/>
          <w:i/>
          <w:sz w:val="28"/>
          <w:szCs w:val="28"/>
          <w:u w:val="single"/>
        </w:rPr>
      </w:pPr>
      <w:r w:rsidRPr="00E021C9">
        <w:rPr>
          <w:rFonts w:ascii="Times New Roman" w:hAnsi="Times New Roman" w:cs="Times New Roman"/>
          <w:b/>
          <w:sz w:val="28"/>
          <w:szCs w:val="28"/>
          <w:u w:val="single"/>
        </w:rPr>
        <w:t>C</w:t>
      </w:r>
      <w:r w:rsidR="008847AA" w:rsidRPr="00E021C9">
        <w:rPr>
          <w:rFonts w:ascii="Times New Roman" w:hAnsi="Times New Roman" w:cs="Times New Roman"/>
          <w:b/>
          <w:sz w:val="28"/>
          <w:szCs w:val="28"/>
          <w:u w:val="single"/>
        </w:rPr>
        <w:t>HAPTER 4</w:t>
      </w:r>
      <w:r w:rsidR="003958E1" w:rsidRPr="00E021C9">
        <w:rPr>
          <w:rFonts w:ascii="Times New Roman" w:hAnsi="Times New Roman" w:cs="Times New Roman"/>
          <w:b/>
          <w:sz w:val="28"/>
          <w:szCs w:val="28"/>
          <w:u w:val="single"/>
        </w:rPr>
        <w:t xml:space="preserve">: </w:t>
      </w:r>
      <w:r w:rsidR="00883A63" w:rsidRPr="00E021C9">
        <w:rPr>
          <w:rFonts w:ascii="Times New Roman" w:hAnsi="Times New Roman" w:cs="Times New Roman"/>
          <w:b/>
          <w:sz w:val="28"/>
          <w:szCs w:val="28"/>
          <w:u w:val="single"/>
        </w:rPr>
        <w:t xml:space="preserve">Two Sides of the COIN: </w:t>
      </w:r>
      <w:r w:rsidR="003958E1" w:rsidRPr="00E021C9">
        <w:rPr>
          <w:rFonts w:ascii="Times New Roman" w:hAnsi="Times New Roman" w:cs="Times New Roman"/>
          <w:b/>
          <w:sz w:val="28"/>
          <w:szCs w:val="28"/>
          <w:u w:val="single"/>
        </w:rPr>
        <w:t>COIN in Northern Ireland</w:t>
      </w:r>
    </w:p>
    <w:p w14:paraId="749F9FE3" w14:textId="77777777" w:rsidR="00580699" w:rsidRPr="005F691C" w:rsidRDefault="00580699" w:rsidP="00580699">
      <w:pPr>
        <w:autoSpaceDE w:val="0"/>
        <w:autoSpaceDN w:val="0"/>
        <w:adjustRightInd w:val="0"/>
        <w:spacing w:line="360" w:lineRule="auto"/>
        <w:ind w:left="-567" w:right="-631"/>
        <w:jc w:val="both"/>
        <w:rPr>
          <w:rFonts w:ascii="Times New Roman" w:hAnsi="Times New Roman" w:cs="Times New Roman"/>
          <w:b/>
          <w:u w:val="single"/>
        </w:rPr>
      </w:pPr>
    </w:p>
    <w:p w14:paraId="2AC5CB91" w14:textId="392CF897" w:rsidR="00580699" w:rsidRPr="005F691C" w:rsidRDefault="00580699" w:rsidP="00AE6313">
      <w:pPr>
        <w:pStyle w:val="ListParagraph"/>
        <w:numPr>
          <w:ilvl w:val="1"/>
          <w:numId w:val="7"/>
        </w:numPr>
        <w:tabs>
          <w:tab w:val="left" w:pos="-1134"/>
        </w:tabs>
        <w:spacing w:after="200" w:line="360" w:lineRule="auto"/>
        <w:ind w:left="-284" w:right="-631"/>
        <w:jc w:val="both"/>
        <w:rPr>
          <w:rFonts w:ascii="Times New Roman" w:hAnsi="Times New Roman" w:cs="Times New Roman"/>
          <w:b/>
          <w:u w:val="single"/>
        </w:rPr>
      </w:pPr>
      <w:r w:rsidRPr="005F691C">
        <w:rPr>
          <w:rFonts w:ascii="Times New Roman" w:hAnsi="Times New Roman" w:cs="Times New Roman"/>
          <w:b/>
          <w:u w:val="single"/>
        </w:rPr>
        <w:t>Introduction</w:t>
      </w:r>
    </w:p>
    <w:p w14:paraId="011F3626" w14:textId="6B9E0939" w:rsidR="00580699" w:rsidRPr="005F691C" w:rsidRDefault="008847AA" w:rsidP="008847AA">
      <w:pPr>
        <w:widowControl w:val="0"/>
        <w:tabs>
          <w:tab w:val="left" w:pos="-1134"/>
        </w:tabs>
        <w:autoSpaceDE w:val="0"/>
        <w:autoSpaceDN w:val="0"/>
        <w:adjustRightInd w:val="0"/>
        <w:spacing w:after="240" w:line="360" w:lineRule="auto"/>
        <w:ind w:right="-64"/>
        <w:jc w:val="both"/>
        <w:rPr>
          <w:rFonts w:ascii="Times New Roman" w:hAnsi="Times New Roman" w:cs="Times New Roman"/>
          <w:i/>
        </w:rPr>
      </w:pPr>
      <w:r w:rsidRPr="005F691C">
        <w:rPr>
          <w:rFonts w:ascii="Times New Roman" w:hAnsi="Times New Roman" w:cs="Times New Roman"/>
          <w:i/>
        </w:rPr>
        <w:t>“</w:t>
      </w:r>
      <w:r w:rsidR="00580699" w:rsidRPr="005F691C">
        <w:rPr>
          <w:rFonts w:ascii="Times New Roman" w:hAnsi="Times New Roman" w:cs="Times New Roman"/>
          <w:i/>
        </w:rPr>
        <w:t>Political, social, and economic programs are usually more valuable than conventional military operations in addressing the root causes of conflict and undermining an insurgency.</w:t>
      </w:r>
      <w:r w:rsidRPr="005F691C">
        <w:rPr>
          <w:rFonts w:ascii="Times New Roman" w:hAnsi="Times New Roman" w:cs="Times New Roman"/>
          <w:i/>
        </w:rPr>
        <w:t>”</w:t>
      </w:r>
    </w:p>
    <w:p w14:paraId="256CF353" w14:textId="4400D1C4" w:rsidR="00580699" w:rsidRPr="005F691C" w:rsidRDefault="008847AA"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i/>
          <w:iCs/>
          <w:color w:val="131313"/>
        </w:rPr>
        <w:tab/>
      </w:r>
      <w:r w:rsidRPr="005F691C">
        <w:rPr>
          <w:rFonts w:ascii="Times New Roman" w:hAnsi="Times New Roman" w:cs="Times New Roman"/>
          <w:i/>
          <w:iCs/>
          <w:color w:val="131313"/>
        </w:rPr>
        <w:tab/>
      </w:r>
      <w:r w:rsidRPr="005F691C">
        <w:rPr>
          <w:rFonts w:ascii="Times New Roman" w:hAnsi="Times New Roman" w:cs="Times New Roman"/>
          <w:i/>
          <w:iCs/>
          <w:color w:val="131313"/>
        </w:rPr>
        <w:tab/>
      </w:r>
      <w:r w:rsidR="00580699" w:rsidRPr="005F691C">
        <w:rPr>
          <w:rFonts w:ascii="Times New Roman" w:hAnsi="Times New Roman" w:cs="Times New Roman"/>
          <w:i/>
          <w:iCs/>
          <w:color w:val="131313"/>
        </w:rPr>
        <w:t>— The U.S. Army/Marine Corps Counterinsurgency Field Manual</w:t>
      </w:r>
      <w:r w:rsidR="003958E1">
        <w:rPr>
          <w:rFonts w:ascii="Times New Roman" w:hAnsi="Times New Roman" w:cs="Times New Roman"/>
          <w:i/>
          <w:iCs/>
          <w:color w:val="131313"/>
        </w:rPr>
        <w:t xml:space="preserve"> </w:t>
      </w:r>
      <w:r w:rsidR="003958E1">
        <w:rPr>
          <w:rStyle w:val="FootnoteReference"/>
          <w:rFonts w:ascii="Times New Roman" w:hAnsi="Times New Roman" w:cs="Times New Roman"/>
          <w:i/>
          <w:iCs/>
          <w:color w:val="131313"/>
        </w:rPr>
        <w:footnoteReference w:id="193"/>
      </w:r>
    </w:p>
    <w:p w14:paraId="5FBF6E60" w14:textId="028156A5"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This research has thus far provided a clear and distinct summarisation of both the various types of </w:t>
      </w:r>
      <w:r w:rsidR="008847AA" w:rsidRPr="005F691C">
        <w:rPr>
          <w:rFonts w:ascii="Times New Roman" w:hAnsi="Times New Roman" w:cs="Times New Roman"/>
        </w:rPr>
        <w:t xml:space="preserve">insurgency, </w:t>
      </w:r>
      <w:r w:rsidR="003958E1">
        <w:rPr>
          <w:rFonts w:ascii="Times New Roman" w:hAnsi="Times New Roman" w:cs="Times New Roman"/>
        </w:rPr>
        <w:t>categorising the IRA and Al Qaeda</w:t>
      </w:r>
      <w:r w:rsidRPr="005F691C">
        <w:rPr>
          <w:rFonts w:ascii="Times New Roman" w:hAnsi="Times New Roman" w:cs="Times New Roman"/>
        </w:rPr>
        <w:t>, as well as an analysis of the evolution of counterinsurgency as it has been applied in each of the cases aforementioned. This analysis of both insur</w:t>
      </w:r>
      <w:r w:rsidR="003958E1">
        <w:rPr>
          <w:rFonts w:ascii="Times New Roman" w:hAnsi="Times New Roman" w:cs="Times New Roman"/>
        </w:rPr>
        <w:t>gency and counterinsurgency has</w:t>
      </w:r>
      <w:r w:rsidRPr="005F691C">
        <w:rPr>
          <w:rFonts w:ascii="Times New Roman" w:hAnsi="Times New Roman" w:cs="Times New Roman"/>
        </w:rPr>
        <w:t xml:space="preserve"> provided the basis for the following chapter which will evaluate the causal relationships between the two types of </w:t>
      </w:r>
      <w:r w:rsidR="008847AA" w:rsidRPr="005F691C">
        <w:rPr>
          <w:rFonts w:ascii="Times New Roman" w:hAnsi="Times New Roman" w:cs="Times New Roman"/>
        </w:rPr>
        <w:t>insurgencies</w:t>
      </w:r>
      <w:r w:rsidRPr="005F691C">
        <w:rPr>
          <w:rFonts w:ascii="Times New Roman" w:hAnsi="Times New Roman" w:cs="Times New Roman"/>
        </w:rPr>
        <w:t xml:space="preserve"> and their </w:t>
      </w:r>
      <w:r w:rsidR="008847AA" w:rsidRPr="005F691C">
        <w:rPr>
          <w:rFonts w:ascii="Times New Roman" w:hAnsi="Times New Roman" w:cs="Times New Roman"/>
        </w:rPr>
        <w:t>respective</w:t>
      </w:r>
      <w:r w:rsidRPr="005F691C">
        <w:rPr>
          <w:rFonts w:ascii="Times New Roman" w:hAnsi="Times New Roman" w:cs="Times New Roman"/>
        </w:rPr>
        <w:t xml:space="preserve"> distinguishing factors; state-centric insurgency and global insurgency; and the expected outcome</w:t>
      </w:r>
      <w:r w:rsidR="00D85A86" w:rsidRPr="005F691C">
        <w:rPr>
          <w:rFonts w:ascii="Times New Roman" w:hAnsi="Times New Roman" w:cs="Times New Roman"/>
        </w:rPr>
        <w:t>s</w:t>
      </w:r>
      <w:r w:rsidRPr="005F691C">
        <w:rPr>
          <w:rFonts w:ascii="Times New Roman" w:hAnsi="Times New Roman" w:cs="Times New Roman"/>
        </w:rPr>
        <w:t xml:space="preserve"> of a counterinsurgency operation. </w:t>
      </w:r>
    </w:p>
    <w:p w14:paraId="0689975C" w14:textId="77777777" w:rsidR="008847AA" w:rsidRPr="005F691C" w:rsidRDefault="008847AA" w:rsidP="00580699">
      <w:pPr>
        <w:tabs>
          <w:tab w:val="left" w:pos="-1134"/>
        </w:tabs>
        <w:spacing w:line="360" w:lineRule="auto"/>
        <w:ind w:left="-567" w:right="-631"/>
        <w:jc w:val="both"/>
        <w:rPr>
          <w:rFonts w:ascii="Times New Roman" w:hAnsi="Times New Roman" w:cs="Times New Roman"/>
        </w:rPr>
      </w:pPr>
    </w:p>
    <w:p w14:paraId="662780F0" w14:textId="3B8D1131" w:rsidR="0035261D" w:rsidRDefault="003958E1" w:rsidP="003958E1">
      <w:pPr>
        <w:tabs>
          <w:tab w:val="left" w:pos="-1134"/>
        </w:tabs>
        <w:spacing w:line="360" w:lineRule="auto"/>
        <w:ind w:left="-567" w:right="-631"/>
        <w:jc w:val="both"/>
        <w:rPr>
          <w:rFonts w:ascii="Times New Roman" w:hAnsi="Times New Roman" w:cs="Times New Roman"/>
        </w:rPr>
      </w:pPr>
      <w:r>
        <w:rPr>
          <w:rFonts w:ascii="Times New Roman" w:hAnsi="Times New Roman" w:cs="Times New Roman"/>
        </w:rPr>
        <w:t>The</w:t>
      </w:r>
      <w:r w:rsidR="00580699" w:rsidRPr="005F691C">
        <w:rPr>
          <w:rFonts w:ascii="Times New Roman" w:hAnsi="Times New Roman" w:cs="Times New Roman"/>
        </w:rPr>
        <w:t xml:space="preserve"> chapter</w:t>
      </w:r>
      <w:r>
        <w:rPr>
          <w:rFonts w:ascii="Times New Roman" w:hAnsi="Times New Roman" w:cs="Times New Roman"/>
        </w:rPr>
        <w:t>s</w:t>
      </w:r>
      <w:r w:rsidR="00580699" w:rsidRPr="005F691C">
        <w:rPr>
          <w:rFonts w:ascii="Times New Roman" w:hAnsi="Times New Roman" w:cs="Times New Roman"/>
        </w:rPr>
        <w:t xml:space="preserve"> will comprise of a comparative case study between the effectiveness of counterinsurgency </w:t>
      </w:r>
      <w:r w:rsidR="00D85A86" w:rsidRPr="005F691C">
        <w:rPr>
          <w:rFonts w:ascii="Times New Roman" w:hAnsi="Times New Roman" w:cs="Times New Roman"/>
        </w:rPr>
        <w:t>operations against the cases of insurgency of</w:t>
      </w:r>
      <w:r w:rsidR="00580699" w:rsidRPr="005F691C">
        <w:rPr>
          <w:rFonts w:ascii="Times New Roman" w:hAnsi="Times New Roman" w:cs="Times New Roman"/>
        </w:rPr>
        <w:t xml:space="preserve"> the IRA </w:t>
      </w:r>
      <w:r w:rsidR="00D85A86" w:rsidRPr="005F691C">
        <w:rPr>
          <w:rFonts w:ascii="Times New Roman" w:hAnsi="Times New Roman" w:cs="Times New Roman"/>
        </w:rPr>
        <w:t xml:space="preserve">in Ireland </w:t>
      </w:r>
      <w:r w:rsidR="00580699" w:rsidRPr="005F691C">
        <w:rPr>
          <w:rFonts w:ascii="Times New Roman" w:hAnsi="Times New Roman" w:cs="Times New Roman"/>
        </w:rPr>
        <w:t>and of Al Qaeda</w:t>
      </w:r>
      <w:r w:rsidR="00D85A86" w:rsidRPr="005F691C">
        <w:rPr>
          <w:rFonts w:ascii="Times New Roman" w:hAnsi="Times New Roman" w:cs="Times New Roman"/>
        </w:rPr>
        <w:t xml:space="preserve"> in Iraq</w:t>
      </w:r>
      <w:r w:rsidR="00580699" w:rsidRPr="005F691C">
        <w:rPr>
          <w:rFonts w:ascii="Times New Roman" w:hAnsi="Times New Roman" w:cs="Times New Roman"/>
        </w:rPr>
        <w:t xml:space="preserve">. This study will endeavour to identify key relationships between factors guiding the classification of insurgency and the principles of counterinsurgency. Effectiveness will be gauged by whether the counterinsurgency operation was able to achieve all the </w:t>
      </w:r>
      <w:r>
        <w:rPr>
          <w:rFonts w:ascii="Times New Roman" w:hAnsi="Times New Roman" w:cs="Times New Roman"/>
        </w:rPr>
        <w:t>indicators of success</w:t>
      </w:r>
      <w:r w:rsidR="00580699" w:rsidRPr="005F691C">
        <w:rPr>
          <w:rFonts w:ascii="Times New Roman" w:hAnsi="Times New Roman" w:cs="Times New Roman"/>
        </w:rPr>
        <w:t xml:space="preserve">, including putting an end to the violence taking place, as well as whether there was an introduction of rule of law and stability within the territory. </w:t>
      </w:r>
    </w:p>
    <w:p w14:paraId="2DD962C3" w14:textId="77777777" w:rsidR="003958E1" w:rsidRPr="005F691C" w:rsidRDefault="003958E1" w:rsidP="003958E1">
      <w:pPr>
        <w:tabs>
          <w:tab w:val="left" w:pos="-1134"/>
        </w:tabs>
        <w:spacing w:line="360" w:lineRule="auto"/>
        <w:ind w:left="-567" w:right="-631"/>
        <w:jc w:val="both"/>
        <w:rPr>
          <w:rFonts w:ascii="Times New Roman" w:hAnsi="Times New Roman" w:cs="Times New Roman"/>
        </w:rPr>
      </w:pPr>
    </w:p>
    <w:p w14:paraId="78207F23" w14:textId="1C20F0D0" w:rsidR="0035261D" w:rsidRPr="005F691C" w:rsidRDefault="00580699" w:rsidP="00950C7D">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outcome of this analysis will </w:t>
      </w:r>
      <w:r w:rsidR="00950C7D" w:rsidRPr="005F691C">
        <w:rPr>
          <w:rFonts w:ascii="Times New Roman" w:hAnsi="Times New Roman" w:cs="Times New Roman"/>
        </w:rPr>
        <w:t>illustrate</w:t>
      </w:r>
      <w:r w:rsidRPr="005F691C">
        <w:rPr>
          <w:rFonts w:ascii="Times New Roman" w:hAnsi="Times New Roman" w:cs="Times New Roman"/>
        </w:rPr>
        <w:t xml:space="preserve"> that </w:t>
      </w:r>
      <w:r w:rsidR="00950C7D" w:rsidRPr="005F691C">
        <w:rPr>
          <w:rFonts w:ascii="Times New Roman" w:hAnsi="Times New Roman" w:cs="Times New Roman"/>
        </w:rPr>
        <w:t>the various</w:t>
      </w:r>
      <w:r w:rsidRPr="005F691C">
        <w:rPr>
          <w:rFonts w:ascii="Times New Roman" w:hAnsi="Times New Roman" w:cs="Times New Roman"/>
        </w:rPr>
        <w:t xml:space="preserve"> factors leading to the classification of an insurgency as either state-centric or global</w:t>
      </w:r>
      <w:r w:rsidR="0035261D" w:rsidRPr="005F691C">
        <w:rPr>
          <w:rFonts w:ascii="Times New Roman" w:hAnsi="Times New Roman" w:cs="Times New Roman"/>
        </w:rPr>
        <w:t>,</w:t>
      </w:r>
      <w:r w:rsidRPr="005F691C">
        <w:rPr>
          <w:rFonts w:ascii="Times New Roman" w:hAnsi="Times New Roman" w:cs="Times New Roman"/>
        </w:rPr>
        <w:t xml:space="preserve"> </w:t>
      </w:r>
      <w:r w:rsidR="00950C7D" w:rsidRPr="005F691C">
        <w:rPr>
          <w:rFonts w:ascii="Times New Roman" w:hAnsi="Times New Roman" w:cs="Times New Roman"/>
        </w:rPr>
        <w:t>will</w:t>
      </w:r>
      <w:r w:rsidRPr="005F691C">
        <w:rPr>
          <w:rFonts w:ascii="Times New Roman" w:hAnsi="Times New Roman" w:cs="Times New Roman"/>
        </w:rPr>
        <w:t xml:space="preserve"> be able to explain the success of counterinsurgency operations. A state-centric</w:t>
      </w:r>
      <w:r w:rsidR="00950C7D" w:rsidRPr="005F691C">
        <w:rPr>
          <w:rFonts w:ascii="Times New Roman" w:hAnsi="Times New Roman" w:cs="Times New Roman"/>
        </w:rPr>
        <w:t xml:space="preserve"> </w:t>
      </w:r>
      <w:r w:rsidRPr="005F691C">
        <w:rPr>
          <w:rFonts w:ascii="Times New Roman" w:hAnsi="Times New Roman" w:cs="Times New Roman"/>
        </w:rPr>
        <w:t>insurgency will be easier remedied and contained by the tangible outcomes of counterinsurgency, which include the establishment of rule of law and democracy. This is due to the fa</w:t>
      </w:r>
      <w:r w:rsidR="00950C7D" w:rsidRPr="005F691C">
        <w:rPr>
          <w:rFonts w:ascii="Times New Roman" w:hAnsi="Times New Roman" w:cs="Times New Roman"/>
        </w:rPr>
        <w:t>ct that state-centric insurgencies</w:t>
      </w:r>
      <w:r w:rsidRPr="005F691C">
        <w:rPr>
          <w:rFonts w:ascii="Times New Roman" w:hAnsi="Times New Roman" w:cs="Times New Roman"/>
        </w:rPr>
        <w:t xml:space="preserve"> seek concrete and achievable outcomes.</w:t>
      </w:r>
      <w:r w:rsidRPr="005F691C">
        <w:rPr>
          <w:rStyle w:val="FootnoteReference"/>
          <w:rFonts w:ascii="Times New Roman" w:hAnsi="Times New Roman" w:cs="Times New Roman"/>
        </w:rPr>
        <w:footnoteReference w:id="194"/>
      </w:r>
      <w:r w:rsidRPr="005F691C">
        <w:rPr>
          <w:rFonts w:ascii="Times New Roman" w:hAnsi="Times New Roman" w:cs="Times New Roman"/>
        </w:rPr>
        <w:t xml:space="preserve"> In contrast to this, insurgenc</w:t>
      </w:r>
      <w:r w:rsidR="00950C7D" w:rsidRPr="005F691C">
        <w:rPr>
          <w:rFonts w:ascii="Times New Roman" w:hAnsi="Times New Roman" w:cs="Times New Roman"/>
        </w:rPr>
        <w:t xml:space="preserve">ies </w:t>
      </w:r>
      <w:r w:rsidRPr="005F691C">
        <w:rPr>
          <w:rFonts w:ascii="Times New Roman" w:hAnsi="Times New Roman" w:cs="Times New Roman"/>
        </w:rPr>
        <w:t xml:space="preserve">with global objectives are less likely to be addressed by the state-centric, substantial solutions which counterinsurgency provides. If counterinsurgency is to achieve all its desired objectives, which include putting an end to the acts of violence performed by the insurgents and addressing the causes behind the use of violence, then it needs to be able to implement tangible changes within society, such as addressing </w:t>
      </w:r>
      <w:r w:rsidR="009549CE">
        <w:rPr>
          <w:rFonts w:ascii="Times New Roman" w:hAnsi="Times New Roman" w:cs="Times New Roman"/>
        </w:rPr>
        <w:t>economic, social or political grievances</w:t>
      </w:r>
      <w:r w:rsidRPr="005F691C">
        <w:rPr>
          <w:rFonts w:ascii="Times New Roman" w:hAnsi="Times New Roman" w:cs="Times New Roman"/>
        </w:rPr>
        <w:t>.</w:t>
      </w:r>
      <w:r w:rsidRPr="005F691C">
        <w:rPr>
          <w:rStyle w:val="FootnoteReference"/>
          <w:rFonts w:ascii="Times New Roman" w:hAnsi="Times New Roman" w:cs="Times New Roman"/>
        </w:rPr>
        <w:footnoteReference w:id="195"/>
      </w:r>
      <w:r w:rsidRPr="005F691C">
        <w:rPr>
          <w:rFonts w:ascii="Times New Roman" w:hAnsi="Times New Roman" w:cs="Times New Roman"/>
        </w:rPr>
        <w:t xml:space="preserve"> </w:t>
      </w:r>
    </w:p>
    <w:p w14:paraId="5FD26CF7" w14:textId="77777777" w:rsidR="00950C7D" w:rsidRPr="005F691C" w:rsidRDefault="00950C7D" w:rsidP="00950C7D">
      <w:pPr>
        <w:tabs>
          <w:tab w:val="left" w:pos="-1134"/>
        </w:tabs>
        <w:spacing w:line="360" w:lineRule="auto"/>
        <w:ind w:left="-567" w:right="-631"/>
        <w:jc w:val="both"/>
        <w:rPr>
          <w:rFonts w:ascii="Times New Roman" w:hAnsi="Times New Roman" w:cs="Times New Roman"/>
        </w:rPr>
      </w:pPr>
    </w:p>
    <w:p w14:paraId="7309D129" w14:textId="282EE63A" w:rsidR="00580699" w:rsidRPr="005F691C" w:rsidRDefault="009549CE" w:rsidP="00580699">
      <w:pPr>
        <w:tabs>
          <w:tab w:val="left" w:pos="-1134"/>
        </w:tabs>
        <w:spacing w:line="360" w:lineRule="auto"/>
        <w:ind w:left="-567" w:right="-631"/>
        <w:jc w:val="both"/>
        <w:rPr>
          <w:rFonts w:ascii="Times New Roman" w:hAnsi="Times New Roman" w:cs="Times New Roman"/>
        </w:rPr>
      </w:pPr>
      <w:r>
        <w:rPr>
          <w:rFonts w:ascii="Times New Roman" w:hAnsi="Times New Roman" w:cs="Times New Roman"/>
        </w:rPr>
        <w:t>T</w:t>
      </w:r>
      <w:r w:rsidR="00580699" w:rsidRPr="005F691C">
        <w:rPr>
          <w:rFonts w:ascii="Times New Roman" w:hAnsi="Times New Roman" w:cs="Times New Roman"/>
        </w:rPr>
        <w:t xml:space="preserve">he analysis </w:t>
      </w:r>
      <w:r>
        <w:rPr>
          <w:rFonts w:ascii="Times New Roman" w:hAnsi="Times New Roman" w:cs="Times New Roman"/>
        </w:rPr>
        <w:t xml:space="preserve">will be performed </w:t>
      </w:r>
      <w:r w:rsidR="00580699" w:rsidRPr="005F691C">
        <w:rPr>
          <w:rFonts w:ascii="Times New Roman" w:hAnsi="Times New Roman" w:cs="Times New Roman"/>
        </w:rPr>
        <w:t>by first assessing the causal relationship between the various factors of the IRA insurgency and how they linked to</w:t>
      </w:r>
      <w:r w:rsidR="0035261D" w:rsidRPr="005F691C">
        <w:rPr>
          <w:rFonts w:ascii="Times New Roman" w:hAnsi="Times New Roman" w:cs="Times New Roman"/>
        </w:rPr>
        <w:t>,</w:t>
      </w:r>
      <w:r w:rsidR="00580699" w:rsidRPr="005F691C">
        <w:rPr>
          <w:rFonts w:ascii="Times New Roman" w:hAnsi="Times New Roman" w:cs="Times New Roman"/>
        </w:rPr>
        <w:t xml:space="preserve"> and thus exhibited</w:t>
      </w:r>
      <w:r w:rsidR="0035261D" w:rsidRPr="005F691C">
        <w:rPr>
          <w:rFonts w:ascii="Times New Roman" w:hAnsi="Times New Roman" w:cs="Times New Roman"/>
        </w:rPr>
        <w:t>,</w:t>
      </w:r>
      <w:r w:rsidR="00580699" w:rsidRPr="005F691C">
        <w:rPr>
          <w:rFonts w:ascii="Times New Roman" w:hAnsi="Times New Roman" w:cs="Times New Roman"/>
        </w:rPr>
        <w:t xml:space="preserve"> a positive relationship with the counterinsurgency operation as it was applied by the British in Ireland. </w:t>
      </w:r>
      <w:r w:rsidR="00950C7D" w:rsidRPr="005F691C">
        <w:rPr>
          <w:rFonts w:ascii="Times New Roman" w:hAnsi="Times New Roman" w:cs="Times New Roman"/>
        </w:rPr>
        <w:t xml:space="preserve">The following chapter will perform the same analysis with regards to Al Qaeda in Iraq. </w:t>
      </w:r>
      <w:r w:rsidR="00580699" w:rsidRPr="005F691C">
        <w:rPr>
          <w:rFonts w:ascii="Times New Roman" w:hAnsi="Times New Roman" w:cs="Times New Roman"/>
        </w:rPr>
        <w:t>Drawing upon the similarities and dissimilarities found between the two cases, with regards to the factors determining the classification of each of these insurgencies, it will be observed that these differences in motivations, ideologies or operational styles have had an influence on the effectiveness of counterinsurgency</w:t>
      </w:r>
      <w:r w:rsidR="0035261D" w:rsidRPr="005F691C">
        <w:rPr>
          <w:rFonts w:ascii="Times New Roman" w:hAnsi="Times New Roman" w:cs="Times New Roman"/>
        </w:rPr>
        <w:t>. The factors for gauging a successful counterinsurgency campaign, which will be used</w:t>
      </w:r>
      <w:r w:rsidR="00950C7D" w:rsidRPr="005F691C">
        <w:rPr>
          <w:rFonts w:ascii="Times New Roman" w:hAnsi="Times New Roman" w:cs="Times New Roman"/>
        </w:rPr>
        <w:t xml:space="preserve"> to establish causality, are those that </w:t>
      </w:r>
      <w:r w:rsidR="0035261D" w:rsidRPr="005F691C">
        <w:rPr>
          <w:rFonts w:ascii="Times New Roman" w:hAnsi="Times New Roman" w:cs="Times New Roman"/>
        </w:rPr>
        <w:t>were di</w:t>
      </w:r>
      <w:r>
        <w:rPr>
          <w:rFonts w:ascii="Times New Roman" w:hAnsi="Times New Roman" w:cs="Times New Roman"/>
        </w:rPr>
        <w:t>scussed in the previous chapter. T</w:t>
      </w:r>
      <w:r w:rsidR="0035261D" w:rsidRPr="005F691C">
        <w:rPr>
          <w:rFonts w:ascii="Times New Roman" w:hAnsi="Times New Roman" w:cs="Times New Roman"/>
        </w:rPr>
        <w:t>hey are as follows:</w:t>
      </w:r>
    </w:p>
    <w:p w14:paraId="16023A4D" w14:textId="77777777" w:rsidR="0035261D" w:rsidRPr="005F691C" w:rsidRDefault="0035261D" w:rsidP="00580699">
      <w:pPr>
        <w:tabs>
          <w:tab w:val="left" w:pos="-1134"/>
        </w:tabs>
        <w:spacing w:line="360" w:lineRule="auto"/>
        <w:ind w:left="-567" w:right="-631"/>
        <w:jc w:val="both"/>
        <w:rPr>
          <w:rFonts w:ascii="Times New Roman" w:hAnsi="Times New Roman" w:cs="Times New Roman"/>
        </w:rPr>
      </w:pPr>
    </w:p>
    <w:p w14:paraId="6E8349FA" w14:textId="2A43020F" w:rsidR="0035261D" w:rsidRPr="005F691C" w:rsidRDefault="0035261D" w:rsidP="0035261D">
      <w:pPr>
        <w:pStyle w:val="ListParagraph"/>
        <w:numPr>
          <w:ilvl w:val="0"/>
          <w:numId w:val="20"/>
        </w:numPr>
        <w:tabs>
          <w:tab w:val="left" w:pos="-1134"/>
        </w:tabs>
        <w:spacing w:line="360" w:lineRule="auto"/>
        <w:ind w:right="-631"/>
        <w:jc w:val="both"/>
        <w:rPr>
          <w:rFonts w:ascii="Times New Roman" w:hAnsi="Times New Roman" w:cs="Times New Roman"/>
        </w:rPr>
      </w:pPr>
      <w:r w:rsidRPr="005F691C">
        <w:rPr>
          <w:rFonts w:ascii="Times New Roman" w:hAnsi="Times New Roman" w:cs="Times New Roman"/>
        </w:rPr>
        <w:t>Cessation of Violence</w:t>
      </w:r>
      <w:r w:rsidR="009549CE">
        <w:rPr>
          <w:rFonts w:ascii="Times New Roman" w:hAnsi="Times New Roman" w:cs="Times New Roman"/>
        </w:rPr>
        <w:t>.</w:t>
      </w:r>
    </w:p>
    <w:p w14:paraId="204EA33A" w14:textId="67B2BBC2" w:rsidR="0035261D" w:rsidRPr="005F691C" w:rsidRDefault="0035261D" w:rsidP="0035261D">
      <w:pPr>
        <w:pStyle w:val="ListParagraph"/>
        <w:numPr>
          <w:ilvl w:val="0"/>
          <w:numId w:val="20"/>
        </w:numPr>
        <w:tabs>
          <w:tab w:val="left" w:pos="-1134"/>
        </w:tabs>
        <w:spacing w:line="360" w:lineRule="auto"/>
        <w:ind w:right="-631"/>
        <w:jc w:val="both"/>
        <w:rPr>
          <w:rFonts w:ascii="Times New Roman" w:hAnsi="Times New Roman" w:cs="Times New Roman"/>
        </w:rPr>
      </w:pPr>
      <w:r w:rsidRPr="005F691C">
        <w:rPr>
          <w:rFonts w:ascii="Times New Roman" w:hAnsi="Times New Roman" w:cs="Times New Roman"/>
        </w:rPr>
        <w:t>Rule of Law</w:t>
      </w:r>
      <w:r w:rsidR="009549CE">
        <w:rPr>
          <w:rFonts w:ascii="Times New Roman" w:hAnsi="Times New Roman" w:cs="Times New Roman"/>
        </w:rPr>
        <w:t>.</w:t>
      </w:r>
    </w:p>
    <w:p w14:paraId="6F4F5E64" w14:textId="4ED9F82A" w:rsidR="0035261D" w:rsidRPr="005F691C" w:rsidRDefault="0035261D" w:rsidP="0035261D">
      <w:pPr>
        <w:pStyle w:val="ListParagraph"/>
        <w:numPr>
          <w:ilvl w:val="0"/>
          <w:numId w:val="20"/>
        </w:numPr>
        <w:tabs>
          <w:tab w:val="left" w:pos="-1134"/>
        </w:tabs>
        <w:spacing w:line="360" w:lineRule="auto"/>
        <w:ind w:right="-631"/>
        <w:jc w:val="both"/>
        <w:rPr>
          <w:rFonts w:ascii="Times New Roman" w:hAnsi="Times New Roman" w:cs="Times New Roman"/>
        </w:rPr>
      </w:pPr>
      <w:r w:rsidRPr="005F691C">
        <w:rPr>
          <w:rFonts w:ascii="Times New Roman" w:hAnsi="Times New Roman" w:cs="Times New Roman"/>
        </w:rPr>
        <w:t>Legitimisation of the Government in Control</w:t>
      </w:r>
      <w:r w:rsidR="009549CE">
        <w:rPr>
          <w:rFonts w:ascii="Times New Roman" w:hAnsi="Times New Roman" w:cs="Times New Roman"/>
        </w:rPr>
        <w:t>.</w:t>
      </w:r>
    </w:p>
    <w:p w14:paraId="372BFE0A" w14:textId="1B12324F" w:rsidR="0035261D" w:rsidRPr="005F691C" w:rsidRDefault="0035261D" w:rsidP="0035261D">
      <w:pPr>
        <w:pStyle w:val="ListParagraph"/>
        <w:numPr>
          <w:ilvl w:val="0"/>
          <w:numId w:val="20"/>
        </w:numPr>
        <w:tabs>
          <w:tab w:val="left" w:pos="-1134"/>
        </w:tabs>
        <w:spacing w:line="360" w:lineRule="auto"/>
        <w:ind w:right="-631"/>
        <w:jc w:val="both"/>
        <w:rPr>
          <w:rFonts w:ascii="Times New Roman" w:hAnsi="Times New Roman" w:cs="Times New Roman"/>
        </w:rPr>
      </w:pPr>
      <w:r w:rsidRPr="005F691C">
        <w:rPr>
          <w:rFonts w:ascii="Times New Roman" w:hAnsi="Times New Roman" w:cs="Times New Roman"/>
        </w:rPr>
        <w:t>Revision and Remedy of Grievances</w:t>
      </w:r>
      <w:r w:rsidR="009549CE">
        <w:rPr>
          <w:rFonts w:ascii="Times New Roman" w:hAnsi="Times New Roman" w:cs="Times New Roman"/>
        </w:rPr>
        <w:t>.</w:t>
      </w:r>
    </w:p>
    <w:p w14:paraId="5D512580" w14:textId="2420CC61" w:rsidR="0035261D" w:rsidRPr="005F691C" w:rsidRDefault="0035261D" w:rsidP="0035261D">
      <w:pPr>
        <w:pStyle w:val="ListParagraph"/>
        <w:numPr>
          <w:ilvl w:val="0"/>
          <w:numId w:val="20"/>
        </w:numPr>
        <w:tabs>
          <w:tab w:val="left" w:pos="-1134"/>
        </w:tabs>
        <w:spacing w:line="360" w:lineRule="auto"/>
        <w:ind w:right="-631"/>
        <w:jc w:val="both"/>
        <w:rPr>
          <w:rFonts w:ascii="Times New Roman" w:hAnsi="Times New Roman" w:cs="Times New Roman"/>
        </w:rPr>
      </w:pPr>
      <w:r w:rsidRPr="005F691C">
        <w:rPr>
          <w:rFonts w:ascii="Times New Roman" w:hAnsi="Times New Roman" w:cs="Times New Roman"/>
        </w:rPr>
        <w:t>Maintenance of Peace (Long Term Stability)</w:t>
      </w:r>
      <w:r w:rsidR="009549CE">
        <w:rPr>
          <w:rFonts w:ascii="Times New Roman" w:hAnsi="Times New Roman" w:cs="Times New Roman"/>
        </w:rPr>
        <w:t>.</w:t>
      </w:r>
      <w:r w:rsidRPr="005F691C">
        <w:rPr>
          <w:rFonts w:ascii="Times New Roman" w:hAnsi="Times New Roman" w:cs="Times New Roman"/>
        </w:rPr>
        <w:t xml:space="preserve"> </w:t>
      </w:r>
    </w:p>
    <w:p w14:paraId="33836D44" w14:textId="77777777" w:rsidR="00AE6313" w:rsidRDefault="00AE6313" w:rsidP="00AE6313">
      <w:pPr>
        <w:tabs>
          <w:tab w:val="left" w:pos="-1134"/>
        </w:tabs>
        <w:spacing w:line="360" w:lineRule="auto"/>
        <w:ind w:right="-631"/>
        <w:jc w:val="both"/>
        <w:rPr>
          <w:rFonts w:ascii="Times New Roman" w:hAnsi="Times New Roman" w:cs="Times New Roman"/>
        </w:rPr>
      </w:pPr>
    </w:p>
    <w:p w14:paraId="033710D9" w14:textId="2BD3AF97" w:rsidR="00580699" w:rsidRPr="00AE6313" w:rsidRDefault="00580699" w:rsidP="00AE6313">
      <w:pPr>
        <w:pStyle w:val="ListParagraph"/>
        <w:numPr>
          <w:ilvl w:val="1"/>
          <w:numId w:val="7"/>
        </w:numPr>
        <w:tabs>
          <w:tab w:val="left" w:pos="-1134"/>
        </w:tabs>
        <w:spacing w:line="360" w:lineRule="auto"/>
        <w:ind w:left="-284" w:right="-631" w:hanging="283"/>
        <w:jc w:val="both"/>
        <w:rPr>
          <w:rFonts w:ascii="Times New Roman" w:hAnsi="Times New Roman" w:cs="Times New Roman"/>
          <w:b/>
          <w:u w:val="single"/>
        </w:rPr>
      </w:pPr>
      <w:r w:rsidRPr="00AE6313">
        <w:rPr>
          <w:rFonts w:ascii="Times New Roman" w:hAnsi="Times New Roman" w:cs="Times New Roman"/>
          <w:b/>
          <w:u w:val="single"/>
        </w:rPr>
        <w:t xml:space="preserve">The IRA and British Counterinsurgency </w:t>
      </w:r>
    </w:p>
    <w:p w14:paraId="3137F158" w14:textId="77777777" w:rsidR="009B1381" w:rsidRPr="005F691C" w:rsidRDefault="009B1381" w:rsidP="009B1381">
      <w:pPr>
        <w:pStyle w:val="ListParagraph"/>
        <w:tabs>
          <w:tab w:val="left" w:pos="-1134"/>
        </w:tabs>
        <w:spacing w:line="360" w:lineRule="auto"/>
        <w:ind w:right="-631"/>
        <w:jc w:val="both"/>
        <w:rPr>
          <w:rFonts w:ascii="Times New Roman" w:hAnsi="Times New Roman" w:cs="Times New Roman"/>
          <w:b/>
          <w:u w:val="single"/>
        </w:rPr>
      </w:pPr>
    </w:p>
    <w:p w14:paraId="728E071B" w14:textId="55763082" w:rsidR="00580699" w:rsidRPr="005F691C" w:rsidRDefault="009B1381" w:rsidP="009B1381">
      <w:pPr>
        <w:widowControl w:val="0"/>
        <w:tabs>
          <w:tab w:val="left" w:pos="-1134"/>
        </w:tabs>
        <w:autoSpaceDE w:val="0"/>
        <w:autoSpaceDN w:val="0"/>
        <w:adjustRightInd w:val="0"/>
        <w:spacing w:after="240" w:line="360" w:lineRule="auto"/>
        <w:ind w:right="-64"/>
        <w:jc w:val="both"/>
        <w:rPr>
          <w:rFonts w:ascii="Times New Roman" w:hAnsi="Times New Roman" w:cs="Times New Roman"/>
          <w:i/>
        </w:rPr>
      </w:pPr>
      <w:r w:rsidRPr="005F691C">
        <w:rPr>
          <w:rFonts w:ascii="Times New Roman" w:hAnsi="Times New Roman" w:cs="Times New Roman"/>
          <w:i/>
        </w:rPr>
        <w:t>“</w:t>
      </w:r>
      <w:r w:rsidR="00580699" w:rsidRPr="005F691C">
        <w:rPr>
          <w:rFonts w:ascii="Times New Roman" w:hAnsi="Times New Roman" w:cs="Times New Roman"/>
          <w:i/>
        </w:rPr>
        <w:t>The cultural characteristics of the British Army set it up for success in counterinsurgency operations.</w:t>
      </w:r>
      <w:r w:rsidRPr="005F691C">
        <w:rPr>
          <w:rFonts w:ascii="Times New Roman" w:hAnsi="Times New Roman" w:cs="Times New Roman"/>
          <w:i/>
        </w:rPr>
        <w:t>”</w:t>
      </w:r>
    </w:p>
    <w:p w14:paraId="4DB39271" w14:textId="419F69B3" w:rsidR="00580699" w:rsidRPr="005F691C" w:rsidRDefault="009B1381" w:rsidP="009B1381">
      <w:pPr>
        <w:pStyle w:val="ListParagraph"/>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i/>
          <w:iCs/>
          <w:color w:val="131313"/>
        </w:rPr>
        <w:tab/>
      </w:r>
      <w:r w:rsidRPr="005F691C">
        <w:rPr>
          <w:rFonts w:ascii="Times New Roman" w:hAnsi="Times New Roman" w:cs="Times New Roman"/>
          <w:i/>
          <w:iCs/>
          <w:color w:val="131313"/>
        </w:rPr>
        <w:tab/>
      </w:r>
      <w:r w:rsidRPr="005F691C">
        <w:rPr>
          <w:rFonts w:ascii="Times New Roman" w:hAnsi="Times New Roman" w:cs="Times New Roman"/>
          <w:i/>
          <w:iCs/>
          <w:color w:val="131313"/>
        </w:rPr>
        <w:tab/>
      </w:r>
      <w:r w:rsidRPr="005F691C">
        <w:rPr>
          <w:rFonts w:ascii="Times New Roman" w:hAnsi="Times New Roman" w:cs="Times New Roman"/>
          <w:i/>
          <w:iCs/>
          <w:color w:val="131313"/>
        </w:rPr>
        <w:tab/>
      </w:r>
      <w:r w:rsidRPr="005F691C">
        <w:rPr>
          <w:rFonts w:ascii="Times New Roman" w:hAnsi="Times New Roman" w:cs="Times New Roman"/>
          <w:i/>
          <w:iCs/>
          <w:color w:val="131313"/>
        </w:rPr>
        <w:tab/>
      </w:r>
      <w:r w:rsidRPr="005F691C">
        <w:rPr>
          <w:rFonts w:ascii="Times New Roman" w:hAnsi="Times New Roman" w:cs="Times New Roman"/>
          <w:i/>
          <w:iCs/>
          <w:color w:val="131313"/>
        </w:rPr>
        <w:tab/>
        <w:t xml:space="preserve">- </w:t>
      </w:r>
      <w:r w:rsidR="00580699" w:rsidRPr="005F691C">
        <w:rPr>
          <w:rFonts w:ascii="Times New Roman" w:hAnsi="Times New Roman" w:cs="Times New Roman"/>
          <w:i/>
          <w:iCs/>
          <w:color w:val="131313"/>
        </w:rPr>
        <w:t>Lieutenant Colonel Robert M. Cassidy, U.S. Army</w:t>
      </w:r>
      <w:r w:rsidR="00580699" w:rsidRPr="005F691C">
        <w:rPr>
          <w:rStyle w:val="FootnoteReference"/>
          <w:rFonts w:ascii="Times New Roman" w:hAnsi="Times New Roman" w:cs="Times New Roman"/>
          <w:i/>
          <w:iCs/>
          <w:color w:val="131313"/>
        </w:rPr>
        <w:footnoteReference w:id="196"/>
      </w:r>
    </w:p>
    <w:p w14:paraId="7D05DEBA" w14:textId="77777777" w:rsidR="00580699" w:rsidRPr="005F691C" w:rsidRDefault="00580699" w:rsidP="00580699">
      <w:pPr>
        <w:pStyle w:val="ListParagraph"/>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p>
    <w:p w14:paraId="653E7211" w14:textId="485FE473"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By first assessing the successful outcome of the counterinsurgency operation in Ireland and determining what the causal relationships are between the insurgency and counterinsurgency in this case study, it will be possible to assess what the various </w:t>
      </w:r>
      <w:r w:rsidR="009B1381" w:rsidRPr="005F691C">
        <w:rPr>
          <w:rFonts w:ascii="Times New Roman" w:hAnsi="Times New Roman" w:cs="Times New Roman"/>
        </w:rPr>
        <w:t>indicators</w:t>
      </w:r>
      <w:r w:rsidRPr="005F691C">
        <w:rPr>
          <w:rFonts w:ascii="Times New Roman" w:hAnsi="Times New Roman" w:cs="Times New Roman"/>
        </w:rPr>
        <w:t xml:space="preserve"> would be for a successful counterinsurgency movement. </w:t>
      </w:r>
    </w:p>
    <w:p w14:paraId="21CBF083" w14:textId="77777777" w:rsidR="009B1381" w:rsidRPr="005F691C" w:rsidRDefault="009B1381" w:rsidP="00580699">
      <w:pPr>
        <w:tabs>
          <w:tab w:val="left" w:pos="-1134"/>
        </w:tabs>
        <w:spacing w:line="360" w:lineRule="auto"/>
        <w:ind w:left="-567" w:right="-631"/>
        <w:jc w:val="both"/>
        <w:rPr>
          <w:rFonts w:ascii="Times New Roman" w:hAnsi="Times New Roman" w:cs="Times New Roman"/>
        </w:rPr>
      </w:pPr>
    </w:p>
    <w:p w14:paraId="27AAD09E" w14:textId="194D6A40"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It has already been determined that the IRA’s behaviour in Northern Ireland can be categorised as state-centric insurgency based on the following factors:</w:t>
      </w:r>
    </w:p>
    <w:p w14:paraId="27D6982D" w14:textId="77777777" w:rsidR="009B1381" w:rsidRPr="005F691C" w:rsidRDefault="009B1381" w:rsidP="00580699">
      <w:pPr>
        <w:tabs>
          <w:tab w:val="left" w:pos="-1134"/>
        </w:tabs>
        <w:spacing w:line="360" w:lineRule="auto"/>
        <w:ind w:left="-567" w:right="-631"/>
        <w:jc w:val="both"/>
        <w:rPr>
          <w:rFonts w:ascii="Times New Roman" w:hAnsi="Times New Roman" w:cs="Times New Roman"/>
        </w:rPr>
      </w:pPr>
    </w:p>
    <w:p w14:paraId="5F11FA17" w14:textId="5DF419F9" w:rsidR="00580699" w:rsidRPr="005F691C" w:rsidRDefault="00580699" w:rsidP="00580699">
      <w:pPr>
        <w:pStyle w:val="ListParagraph"/>
        <w:numPr>
          <w:ilvl w:val="0"/>
          <w:numId w:val="8"/>
        </w:numPr>
        <w:tabs>
          <w:tab w:val="left" w:pos="-1134"/>
        </w:tabs>
        <w:spacing w:after="200" w:line="360" w:lineRule="auto"/>
        <w:ind w:left="-567" w:right="-631" w:firstLine="0"/>
        <w:jc w:val="both"/>
        <w:rPr>
          <w:rFonts w:ascii="Times New Roman" w:hAnsi="Times New Roman" w:cs="Times New Roman"/>
        </w:rPr>
      </w:pPr>
      <w:r w:rsidRPr="005F691C">
        <w:rPr>
          <w:rFonts w:ascii="Times New Roman" w:hAnsi="Times New Roman" w:cs="Times New Roman"/>
        </w:rPr>
        <w:t>Specific developed ideology</w:t>
      </w:r>
      <w:r w:rsidR="009549CE">
        <w:rPr>
          <w:rFonts w:ascii="Times New Roman" w:hAnsi="Times New Roman" w:cs="Times New Roman"/>
        </w:rPr>
        <w:t>.</w:t>
      </w:r>
      <w:r w:rsidRPr="005F691C">
        <w:rPr>
          <w:rFonts w:ascii="Times New Roman" w:hAnsi="Times New Roman" w:cs="Times New Roman"/>
        </w:rPr>
        <w:t xml:space="preserve"> </w:t>
      </w:r>
    </w:p>
    <w:p w14:paraId="4FB42324" w14:textId="78953E9E" w:rsidR="00580699" w:rsidRPr="005F691C" w:rsidRDefault="00580699" w:rsidP="00580699">
      <w:pPr>
        <w:pStyle w:val="ListParagraph"/>
        <w:numPr>
          <w:ilvl w:val="0"/>
          <w:numId w:val="8"/>
        </w:numPr>
        <w:tabs>
          <w:tab w:val="left" w:pos="-1134"/>
        </w:tabs>
        <w:spacing w:after="200" w:line="360" w:lineRule="auto"/>
        <w:ind w:left="-567" w:right="-631" w:firstLine="0"/>
        <w:jc w:val="both"/>
        <w:rPr>
          <w:rFonts w:ascii="Times New Roman" w:hAnsi="Times New Roman" w:cs="Times New Roman"/>
        </w:rPr>
      </w:pPr>
      <w:r w:rsidRPr="005F691C">
        <w:rPr>
          <w:rFonts w:ascii="Times New Roman" w:hAnsi="Times New Roman" w:cs="Times New Roman"/>
        </w:rPr>
        <w:t>Close relationship with large sections of the population of a specific territory</w:t>
      </w:r>
      <w:r w:rsidR="009549CE">
        <w:rPr>
          <w:rFonts w:ascii="Times New Roman" w:hAnsi="Times New Roman" w:cs="Times New Roman"/>
        </w:rPr>
        <w:t>.</w:t>
      </w:r>
    </w:p>
    <w:p w14:paraId="4CB4ED4D" w14:textId="10903973" w:rsidR="00580699" w:rsidRPr="005F691C" w:rsidRDefault="00580699" w:rsidP="00580699">
      <w:pPr>
        <w:pStyle w:val="ListParagraph"/>
        <w:numPr>
          <w:ilvl w:val="0"/>
          <w:numId w:val="8"/>
        </w:numPr>
        <w:tabs>
          <w:tab w:val="left" w:pos="-1134"/>
        </w:tabs>
        <w:spacing w:after="200" w:line="360" w:lineRule="auto"/>
        <w:ind w:left="-567" w:right="-631" w:firstLine="0"/>
        <w:jc w:val="both"/>
        <w:rPr>
          <w:rFonts w:ascii="Times New Roman" w:hAnsi="Times New Roman" w:cs="Times New Roman"/>
        </w:rPr>
      </w:pPr>
      <w:r w:rsidRPr="005F691C">
        <w:rPr>
          <w:rFonts w:ascii="Times New Roman" w:hAnsi="Times New Roman" w:cs="Times New Roman"/>
        </w:rPr>
        <w:t>Will to overthrow the existing government</w:t>
      </w:r>
      <w:r w:rsidR="009549CE">
        <w:rPr>
          <w:rFonts w:ascii="Times New Roman" w:hAnsi="Times New Roman" w:cs="Times New Roman"/>
        </w:rPr>
        <w:t>.</w:t>
      </w:r>
    </w:p>
    <w:p w14:paraId="540078EA" w14:textId="77777777" w:rsidR="00580699" w:rsidRPr="005F691C" w:rsidRDefault="00580699" w:rsidP="00580699">
      <w:pPr>
        <w:pStyle w:val="ListParagraph"/>
        <w:numPr>
          <w:ilvl w:val="0"/>
          <w:numId w:val="8"/>
        </w:numPr>
        <w:tabs>
          <w:tab w:val="left" w:pos="-1134"/>
        </w:tabs>
        <w:spacing w:after="200" w:line="360" w:lineRule="auto"/>
        <w:ind w:left="-567" w:right="-631" w:firstLine="0"/>
        <w:jc w:val="both"/>
        <w:rPr>
          <w:rFonts w:ascii="Times New Roman" w:hAnsi="Times New Roman" w:cs="Times New Roman"/>
        </w:rPr>
      </w:pPr>
      <w:r w:rsidRPr="005F691C">
        <w:rPr>
          <w:rFonts w:ascii="Times New Roman" w:hAnsi="Times New Roman" w:cs="Times New Roman"/>
        </w:rPr>
        <w:t xml:space="preserve">Desired outcome of the behaviour is a change in political, social or economic order. </w:t>
      </w:r>
      <w:r w:rsidRPr="005F691C">
        <w:rPr>
          <w:rStyle w:val="FootnoteReference"/>
          <w:rFonts w:ascii="Times New Roman" w:hAnsi="Times New Roman" w:cs="Times New Roman"/>
        </w:rPr>
        <w:footnoteReference w:id="197"/>
      </w:r>
    </w:p>
    <w:p w14:paraId="312B8FF6" w14:textId="3A4222B4"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This behaviour was evident within the IRA. Within Ireland, the simplistic ideology of the IRA was to gain equal and fair representation for the Catholic populatio</w:t>
      </w:r>
      <w:r w:rsidR="009549CE">
        <w:rPr>
          <w:rFonts w:ascii="Times New Roman" w:hAnsi="Times New Roman" w:cs="Times New Roman"/>
        </w:rPr>
        <w:t>n and thus to end ethnic polaris</w:t>
      </w:r>
      <w:r w:rsidRPr="005F691C">
        <w:rPr>
          <w:rFonts w:ascii="Times New Roman" w:hAnsi="Times New Roman" w:cs="Times New Roman"/>
        </w:rPr>
        <w:t>ation.</w:t>
      </w:r>
      <w:r w:rsidRPr="005F691C">
        <w:rPr>
          <w:rStyle w:val="FootnoteReference"/>
          <w:rFonts w:ascii="Times New Roman" w:hAnsi="Times New Roman" w:cs="Times New Roman"/>
        </w:rPr>
        <w:footnoteReference w:id="198"/>
      </w:r>
      <w:r w:rsidRPr="005F691C">
        <w:rPr>
          <w:rFonts w:ascii="Times New Roman" w:hAnsi="Times New Roman" w:cs="Times New Roman"/>
        </w:rPr>
        <w:t xml:space="preserve"> Although the IRA was </w:t>
      </w:r>
      <w:r w:rsidR="009B1381" w:rsidRPr="005F691C">
        <w:rPr>
          <w:rFonts w:ascii="Times New Roman" w:hAnsi="Times New Roman" w:cs="Times New Roman"/>
        </w:rPr>
        <w:t>persistent</w:t>
      </w:r>
      <w:r w:rsidRPr="005F691C">
        <w:rPr>
          <w:rFonts w:ascii="Times New Roman" w:hAnsi="Times New Roman" w:cs="Times New Roman"/>
        </w:rPr>
        <w:t xml:space="preserve"> and dedicated, ultimately the British were successful in enforcing counterinsurgency and brin</w:t>
      </w:r>
      <w:r w:rsidR="009549CE">
        <w:rPr>
          <w:rFonts w:ascii="Times New Roman" w:hAnsi="Times New Roman" w:cs="Times New Roman"/>
        </w:rPr>
        <w:t>g</w:t>
      </w:r>
      <w:r w:rsidRPr="005F691C">
        <w:rPr>
          <w:rFonts w:ascii="Times New Roman" w:hAnsi="Times New Roman" w:cs="Times New Roman"/>
        </w:rPr>
        <w:t xml:space="preserve">ing an end to the insurgency of the IRA. The question now becomes </w:t>
      </w:r>
      <w:r w:rsidR="00950C7D" w:rsidRPr="005F691C">
        <w:rPr>
          <w:rFonts w:ascii="Times New Roman" w:hAnsi="Times New Roman" w:cs="Times New Roman"/>
        </w:rPr>
        <w:t>what are the links between the more state-centric insurgency of the IRA and the successful outcome of counterinsurgency</w:t>
      </w:r>
      <w:r w:rsidR="009549CE">
        <w:rPr>
          <w:rFonts w:ascii="Times New Roman" w:hAnsi="Times New Roman" w:cs="Times New Roman"/>
        </w:rPr>
        <w:t xml:space="preserve">? </w:t>
      </w:r>
      <w:r w:rsidRPr="005F691C">
        <w:rPr>
          <w:rFonts w:ascii="Times New Roman" w:hAnsi="Times New Roman" w:cs="Times New Roman"/>
        </w:rPr>
        <w:t xml:space="preserve">This section will assess the IRA and the </w:t>
      </w:r>
      <w:r w:rsidR="009B1381" w:rsidRPr="005F691C">
        <w:rPr>
          <w:rFonts w:ascii="Times New Roman" w:hAnsi="Times New Roman" w:cs="Times New Roman"/>
        </w:rPr>
        <w:t>factors that</w:t>
      </w:r>
      <w:r w:rsidRPr="005F691C">
        <w:rPr>
          <w:rFonts w:ascii="Times New Roman" w:hAnsi="Times New Roman" w:cs="Times New Roman"/>
        </w:rPr>
        <w:t xml:space="preserve"> are linked to counterinsurgency, thus creating a successful outcome. </w:t>
      </w:r>
      <w:r w:rsidR="009B1381" w:rsidRPr="005F691C">
        <w:rPr>
          <w:rFonts w:ascii="Times New Roman" w:hAnsi="Times New Roman" w:cs="Times New Roman"/>
        </w:rPr>
        <w:t>F</w:t>
      </w:r>
      <w:r w:rsidRPr="005F691C">
        <w:rPr>
          <w:rFonts w:ascii="Times New Roman" w:hAnsi="Times New Roman" w:cs="Times New Roman"/>
        </w:rPr>
        <w:t xml:space="preserve">irst </w:t>
      </w:r>
      <w:r w:rsidR="009B1381" w:rsidRPr="005F691C">
        <w:rPr>
          <w:rFonts w:ascii="Times New Roman" w:hAnsi="Times New Roman" w:cs="Times New Roman"/>
        </w:rPr>
        <w:t xml:space="preserve">there will be an </w:t>
      </w:r>
      <w:r w:rsidRPr="005F691C">
        <w:rPr>
          <w:rFonts w:ascii="Times New Roman" w:hAnsi="Times New Roman" w:cs="Times New Roman"/>
        </w:rPr>
        <w:t xml:space="preserve">outline </w:t>
      </w:r>
      <w:r w:rsidR="009B1381" w:rsidRPr="005F691C">
        <w:rPr>
          <w:rFonts w:ascii="Times New Roman" w:hAnsi="Times New Roman" w:cs="Times New Roman"/>
        </w:rPr>
        <w:t xml:space="preserve">of </w:t>
      </w:r>
      <w:r w:rsidRPr="005F691C">
        <w:rPr>
          <w:rFonts w:ascii="Times New Roman" w:hAnsi="Times New Roman" w:cs="Times New Roman"/>
        </w:rPr>
        <w:t>the way in which counterinsurgency was implemented by the British with</w:t>
      </w:r>
      <w:r w:rsidR="009B1381" w:rsidRPr="005F691C">
        <w:rPr>
          <w:rFonts w:ascii="Times New Roman" w:hAnsi="Times New Roman" w:cs="Times New Roman"/>
        </w:rPr>
        <w:t>in</w:t>
      </w:r>
      <w:r w:rsidRPr="005F691C">
        <w:rPr>
          <w:rFonts w:ascii="Times New Roman" w:hAnsi="Times New Roman" w:cs="Times New Roman"/>
        </w:rPr>
        <w:t xml:space="preserve"> Ireland and then </w:t>
      </w:r>
      <w:r w:rsidR="009B1381" w:rsidRPr="005F691C">
        <w:rPr>
          <w:rFonts w:ascii="Times New Roman" w:hAnsi="Times New Roman" w:cs="Times New Roman"/>
        </w:rPr>
        <w:t>there will be an analysis of</w:t>
      </w:r>
      <w:r w:rsidRPr="005F691C">
        <w:rPr>
          <w:rFonts w:ascii="Times New Roman" w:hAnsi="Times New Roman" w:cs="Times New Roman"/>
        </w:rPr>
        <w:t xml:space="preserve"> the correlation between the successful outcomes achieved, the actions which created </w:t>
      </w:r>
      <w:r w:rsidR="009549CE">
        <w:rPr>
          <w:rFonts w:ascii="Times New Roman" w:hAnsi="Times New Roman" w:cs="Times New Roman"/>
        </w:rPr>
        <w:t>them, and the elements of state-</w:t>
      </w:r>
      <w:r w:rsidRPr="005F691C">
        <w:rPr>
          <w:rFonts w:ascii="Times New Roman" w:hAnsi="Times New Roman" w:cs="Times New Roman"/>
        </w:rPr>
        <w:t>centric insurgency as displayed by the IRA.</w:t>
      </w:r>
    </w:p>
    <w:p w14:paraId="52D74FBF" w14:textId="77777777" w:rsidR="009B1381" w:rsidRPr="005F691C" w:rsidRDefault="009B1381" w:rsidP="00580699">
      <w:pPr>
        <w:tabs>
          <w:tab w:val="left" w:pos="-1134"/>
        </w:tabs>
        <w:spacing w:line="360" w:lineRule="auto"/>
        <w:ind w:left="-567" w:right="-631"/>
        <w:jc w:val="both"/>
        <w:rPr>
          <w:rFonts w:ascii="Times New Roman" w:hAnsi="Times New Roman" w:cs="Times New Roman"/>
        </w:rPr>
      </w:pPr>
    </w:p>
    <w:p w14:paraId="6F3E99DF" w14:textId="14A744FD" w:rsidR="00580699" w:rsidRPr="00AE6313" w:rsidRDefault="00580699" w:rsidP="00AE6313">
      <w:pPr>
        <w:pStyle w:val="ListParagraph"/>
        <w:numPr>
          <w:ilvl w:val="2"/>
          <w:numId w:val="7"/>
        </w:numPr>
        <w:tabs>
          <w:tab w:val="left" w:pos="-1134"/>
        </w:tabs>
        <w:spacing w:line="360" w:lineRule="auto"/>
        <w:ind w:right="-631"/>
        <w:jc w:val="both"/>
        <w:rPr>
          <w:rFonts w:ascii="Times New Roman" w:hAnsi="Times New Roman" w:cs="Times New Roman"/>
          <w:b/>
          <w:u w:val="single"/>
        </w:rPr>
      </w:pPr>
      <w:r w:rsidRPr="00AE6313">
        <w:rPr>
          <w:rFonts w:ascii="Times New Roman" w:hAnsi="Times New Roman" w:cs="Times New Roman"/>
          <w:b/>
          <w:u w:val="single"/>
        </w:rPr>
        <w:t>The Importance of Intelligence Gathering</w:t>
      </w:r>
    </w:p>
    <w:p w14:paraId="170923A1" w14:textId="77777777" w:rsidR="009B1381" w:rsidRPr="005F691C" w:rsidRDefault="009B1381" w:rsidP="009B1381">
      <w:pPr>
        <w:tabs>
          <w:tab w:val="left" w:pos="-1134"/>
        </w:tabs>
        <w:spacing w:line="360" w:lineRule="auto"/>
        <w:ind w:right="-631"/>
        <w:jc w:val="both"/>
        <w:rPr>
          <w:rFonts w:ascii="Times New Roman" w:hAnsi="Times New Roman" w:cs="Times New Roman"/>
          <w:b/>
          <w:u w:val="single"/>
        </w:rPr>
      </w:pPr>
    </w:p>
    <w:p w14:paraId="4FA1E11E" w14:textId="26F9A5CF"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The main issues identified by the British forces in the intelligence gathering stage of the counterinsurgency operation in Ireland found that the disputes within Ireland centred around misunderstandings by Irish leadership regarding the root causes of the violence, the length of time which would be realistically required to counter the insurgency, intelligence shortfalls which ultimately served to help the IRA rather than to halt its progress, and a failure to recognise the impact of both insurgency and counterinsurgency on the political sphere.</w:t>
      </w:r>
      <w:r w:rsidRPr="005F691C">
        <w:rPr>
          <w:rStyle w:val="FootnoteReference"/>
          <w:rFonts w:ascii="Times New Roman" w:hAnsi="Times New Roman" w:cs="Times New Roman"/>
        </w:rPr>
        <w:footnoteReference w:id="199"/>
      </w:r>
      <w:r w:rsidRPr="005F691C">
        <w:rPr>
          <w:rFonts w:ascii="Times New Roman" w:hAnsi="Times New Roman" w:cs="Times New Roman"/>
        </w:rPr>
        <w:t xml:space="preserve"> Initially, the paramount challenge to the success of the counterinsurgency operation was a poorly coordinated and inefficient intelligence operation.</w:t>
      </w:r>
      <w:r w:rsidRPr="005F691C">
        <w:rPr>
          <w:rStyle w:val="FootnoteReference"/>
          <w:rFonts w:ascii="Times New Roman" w:hAnsi="Times New Roman" w:cs="Times New Roman"/>
        </w:rPr>
        <w:footnoteReference w:id="200"/>
      </w:r>
      <w:r w:rsidRPr="005F691C">
        <w:rPr>
          <w:rFonts w:ascii="Times New Roman" w:hAnsi="Times New Roman" w:cs="Times New Roman"/>
        </w:rPr>
        <w:t xml:space="preserve"> As has been previously mentioned, one of the vital initial stages of any counterinsurgency operation is the </w:t>
      </w:r>
      <w:r w:rsidR="009B1381" w:rsidRPr="005F691C">
        <w:rPr>
          <w:rFonts w:ascii="Times New Roman" w:hAnsi="Times New Roman" w:cs="Times New Roman"/>
        </w:rPr>
        <w:t>intelligence-gathering</w:t>
      </w:r>
      <w:r w:rsidRPr="005F691C">
        <w:rPr>
          <w:rFonts w:ascii="Times New Roman" w:hAnsi="Times New Roman" w:cs="Times New Roman"/>
        </w:rPr>
        <w:t xml:space="preserve"> phase.</w:t>
      </w:r>
      <w:r w:rsidRPr="005F691C">
        <w:rPr>
          <w:rStyle w:val="FootnoteReference"/>
          <w:rFonts w:ascii="Times New Roman" w:hAnsi="Times New Roman" w:cs="Times New Roman"/>
        </w:rPr>
        <w:footnoteReference w:id="201"/>
      </w:r>
    </w:p>
    <w:p w14:paraId="412E584F" w14:textId="77777777" w:rsidR="009B1381" w:rsidRPr="005F691C" w:rsidRDefault="009B1381" w:rsidP="00580699">
      <w:pPr>
        <w:tabs>
          <w:tab w:val="left" w:pos="-1134"/>
        </w:tabs>
        <w:spacing w:line="360" w:lineRule="auto"/>
        <w:ind w:left="-567" w:right="-631"/>
        <w:jc w:val="both"/>
        <w:rPr>
          <w:rFonts w:ascii="Times New Roman" w:hAnsi="Times New Roman" w:cs="Times New Roman"/>
        </w:rPr>
      </w:pPr>
    </w:p>
    <w:p w14:paraId="10462553" w14:textId="285615FA"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As central to remedying this lapse in intelligence, the British troops created a strategy whereby every soldier was considered a collector of information, using foot patrols whereby soldiers could become </w:t>
      </w:r>
      <w:r w:rsidR="009B1381" w:rsidRPr="005F691C">
        <w:rPr>
          <w:rFonts w:ascii="Times New Roman" w:hAnsi="Times New Roman" w:cs="Times New Roman"/>
        </w:rPr>
        <w:t>familiarised</w:t>
      </w:r>
      <w:r w:rsidRPr="005F691C">
        <w:rPr>
          <w:rFonts w:ascii="Times New Roman" w:hAnsi="Times New Roman" w:cs="Times New Roman"/>
        </w:rPr>
        <w:t xml:space="preserve"> with the local population, gain their trust and thus receive more information.</w:t>
      </w:r>
      <w:r w:rsidRPr="005F691C">
        <w:rPr>
          <w:rStyle w:val="FootnoteReference"/>
          <w:rFonts w:ascii="Times New Roman" w:hAnsi="Times New Roman" w:cs="Times New Roman"/>
        </w:rPr>
        <w:footnoteReference w:id="202"/>
      </w:r>
      <w:r w:rsidRPr="005F691C">
        <w:rPr>
          <w:rFonts w:ascii="Times New Roman" w:hAnsi="Times New Roman" w:cs="Times New Roman"/>
        </w:rPr>
        <w:t xml:space="preserve"> This was vital as it is not possible for the counterinsurgents to infiltrate all areas of the </w:t>
      </w:r>
      <w:r w:rsidR="009549CE">
        <w:rPr>
          <w:rFonts w:ascii="Times New Roman" w:hAnsi="Times New Roman" w:cs="Times New Roman"/>
        </w:rPr>
        <w:t>insurgency</w:t>
      </w:r>
      <w:r w:rsidRPr="005F691C">
        <w:rPr>
          <w:rFonts w:ascii="Times New Roman" w:hAnsi="Times New Roman" w:cs="Times New Roman"/>
        </w:rPr>
        <w:t xml:space="preserve"> and hiding locations, whereas members of the local population </w:t>
      </w:r>
      <w:r w:rsidR="009549CE">
        <w:rPr>
          <w:rFonts w:ascii="Times New Roman" w:hAnsi="Times New Roman" w:cs="Times New Roman"/>
        </w:rPr>
        <w:t>were</w:t>
      </w:r>
      <w:r w:rsidRPr="005F691C">
        <w:rPr>
          <w:rFonts w:ascii="Times New Roman" w:hAnsi="Times New Roman" w:cs="Times New Roman"/>
        </w:rPr>
        <w:t xml:space="preserve"> privy to certain information or action. In Northern Ireland, much success was attributed to the relationship built between the counterinsurgency forces and the local </w:t>
      </w:r>
      <w:r w:rsidR="009B1381" w:rsidRPr="005F691C">
        <w:rPr>
          <w:rFonts w:ascii="Times New Roman" w:hAnsi="Times New Roman" w:cs="Times New Roman"/>
        </w:rPr>
        <w:t>population that ultimately resulted in much intelligence gathering that otherwise</w:t>
      </w:r>
      <w:r w:rsidRPr="005F691C">
        <w:rPr>
          <w:rFonts w:ascii="Times New Roman" w:hAnsi="Times New Roman" w:cs="Times New Roman"/>
        </w:rPr>
        <w:t xml:space="preserve"> would have been impossible.</w:t>
      </w:r>
      <w:r w:rsidRPr="005F691C">
        <w:rPr>
          <w:rStyle w:val="FootnoteReference"/>
          <w:rFonts w:ascii="Times New Roman" w:hAnsi="Times New Roman" w:cs="Times New Roman"/>
        </w:rPr>
        <w:footnoteReference w:id="203"/>
      </w:r>
      <w:r w:rsidRPr="005F691C">
        <w:rPr>
          <w:rFonts w:ascii="Times New Roman" w:hAnsi="Times New Roman" w:cs="Times New Roman"/>
        </w:rPr>
        <w:t xml:space="preserve"> Many reviews of British counterinsurgency in Northern Ireland have stressed the substitution in tactics from a rigid militarized occupation to an intelligence-informed unconventional force.</w:t>
      </w:r>
      <w:r w:rsidR="009549CE">
        <w:rPr>
          <w:rStyle w:val="FootnoteReference"/>
          <w:rFonts w:ascii="Times New Roman" w:hAnsi="Times New Roman" w:cs="Times New Roman"/>
        </w:rPr>
        <w:footnoteReference w:id="204"/>
      </w:r>
      <w:r w:rsidRPr="005F691C">
        <w:rPr>
          <w:rFonts w:ascii="Times New Roman" w:hAnsi="Times New Roman" w:cs="Times New Roman"/>
        </w:rPr>
        <w:t xml:space="preserve"> </w:t>
      </w:r>
    </w:p>
    <w:p w14:paraId="6E12AA6E" w14:textId="77777777" w:rsidR="00580699" w:rsidRPr="005F691C" w:rsidRDefault="00580699" w:rsidP="00580699">
      <w:pPr>
        <w:tabs>
          <w:tab w:val="left" w:pos="-1134"/>
        </w:tabs>
        <w:spacing w:line="360" w:lineRule="auto"/>
        <w:ind w:left="-567" w:right="-631"/>
        <w:jc w:val="both"/>
        <w:rPr>
          <w:rFonts w:ascii="Times New Roman" w:hAnsi="Times New Roman" w:cs="Times New Roman"/>
        </w:rPr>
      </w:pPr>
    </w:p>
    <w:p w14:paraId="5D213086" w14:textId="0C613229" w:rsidR="00580699" w:rsidRPr="005F691C" w:rsidRDefault="00580699" w:rsidP="00AE6313">
      <w:pPr>
        <w:pStyle w:val="ListParagraph"/>
        <w:numPr>
          <w:ilvl w:val="2"/>
          <w:numId w:val="7"/>
        </w:numPr>
        <w:tabs>
          <w:tab w:val="left" w:pos="-1134"/>
        </w:tabs>
        <w:spacing w:line="360" w:lineRule="auto"/>
        <w:ind w:right="-631"/>
        <w:jc w:val="both"/>
        <w:rPr>
          <w:rFonts w:ascii="Times New Roman" w:hAnsi="Times New Roman" w:cs="Times New Roman"/>
          <w:b/>
          <w:u w:val="single"/>
        </w:rPr>
      </w:pPr>
      <w:r w:rsidRPr="005F691C">
        <w:rPr>
          <w:rFonts w:ascii="Times New Roman" w:hAnsi="Times New Roman" w:cs="Times New Roman"/>
          <w:b/>
          <w:u w:val="single"/>
        </w:rPr>
        <w:t>Military and Non-Military Approaches</w:t>
      </w:r>
    </w:p>
    <w:p w14:paraId="5D1D49BA" w14:textId="77777777" w:rsidR="009B1381" w:rsidRPr="005F691C" w:rsidRDefault="009B1381" w:rsidP="009B1381">
      <w:pPr>
        <w:pStyle w:val="ListParagraph"/>
        <w:tabs>
          <w:tab w:val="left" w:pos="-1134"/>
        </w:tabs>
        <w:spacing w:line="360" w:lineRule="auto"/>
        <w:ind w:right="-631"/>
        <w:jc w:val="both"/>
        <w:rPr>
          <w:rFonts w:ascii="Times New Roman" w:hAnsi="Times New Roman" w:cs="Times New Roman"/>
          <w:b/>
          <w:u w:val="single"/>
        </w:rPr>
      </w:pPr>
    </w:p>
    <w:p w14:paraId="5D4F7A8A" w14:textId="5175664D"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Known as the “soft approach,” the British strategy evolved to center on passive reactions to attacks. It emphasized interaction with the locals to present a nonthreatening posture and to tease out intelligence.</w:t>
      </w:r>
      <w:r w:rsidRPr="005F691C">
        <w:rPr>
          <w:rStyle w:val="FootnoteReference"/>
          <w:rFonts w:ascii="Times New Roman" w:hAnsi="Times New Roman" w:cs="Times New Roman"/>
        </w:rPr>
        <w:footnoteReference w:id="205"/>
      </w:r>
      <w:r w:rsidRPr="005F691C">
        <w:rPr>
          <w:rFonts w:ascii="Times New Roman" w:hAnsi="Times New Roman" w:cs="Times New Roman"/>
        </w:rPr>
        <w:t xml:space="preserve"> British officers promoted this “stability-by-civility” course of action.</w:t>
      </w:r>
      <w:r w:rsidRPr="005F691C">
        <w:rPr>
          <w:rStyle w:val="FootnoteReference"/>
          <w:rFonts w:ascii="Times New Roman" w:hAnsi="Times New Roman" w:cs="Times New Roman"/>
        </w:rPr>
        <w:footnoteReference w:id="206"/>
      </w:r>
      <w:r w:rsidRPr="005F691C">
        <w:rPr>
          <w:rFonts w:ascii="Times New Roman" w:hAnsi="Times New Roman" w:cs="Times New Roman"/>
        </w:rPr>
        <w:t xml:space="preserve"> There are various </w:t>
      </w:r>
      <w:r w:rsidR="009B1381" w:rsidRPr="005F691C">
        <w:rPr>
          <w:rFonts w:ascii="Times New Roman" w:hAnsi="Times New Roman" w:cs="Times New Roman"/>
        </w:rPr>
        <w:t>factors that</w:t>
      </w:r>
      <w:r w:rsidRPr="005F691C">
        <w:rPr>
          <w:rFonts w:ascii="Times New Roman" w:hAnsi="Times New Roman" w:cs="Times New Roman"/>
        </w:rPr>
        <w:t xml:space="preserve"> result in the population feeling secure and safe enough to reveal information to the counterinsurgent forces. Included in these factors is the ability of the counterinsurgents to speak the language of the population, understand their culture and to provide a sense of security and protection to those individuals who provide the information.</w:t>
      </w:r>
      <w:r w:rsidRPr="005F691C">
        <w:rPr>
          <w:rStyle w:val="FootnoteReference"/>
          <w:rFonts w:ascii="Times New Roman" w:hAnsi="Times New Roman" w:cs="Times New Roman"/>
        </w:rPr>
        <w:footnoteReference w:id="207"/>
      </w:r>
    </w:p>
    <w:p w14:paraId="1FE27F9A" w14:textId="77777777" w:rsidR="009B1381" w:rsidRPr="005F691C" w:rsidRDefault="009B1381" w:rsidP="00580699">
      <w:pPr>
        <w:tabs>
          <w:tab w:val="left" w:pos="-1134"/>
        </w:tabs>
        <w:spacing w:line="360" w:lineRule="auto"/>
        <w:ind w:left="-567" w:right="-631"/>
        <w:jc w:val="both"/>
        <w:rPr>
          <w:rFonts w:ascii="Times New Roman" w:hAnsi="Times New Roman" w:cs="Times New Roman"/>
        </w:rPr>
      </w:pPr>
    </w:p>
    <w:p w14:paraId="4D1CF59F" w14:textId="1D6341FB"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Within Ireland, the British were able to communicate effectively given that the majority of the Irish population were primarily English speaking, and their culture was not far removed from their Western European </w:t>
      </w:r>
      <w:r w:rsidR="009B1381" w:rsidRPr="005F691C">
        <w:rPr>
          <w:rFonts w:ascii="Times New Roman" w:hAnsi="Times New Roman" w:cs="Times New Roman"/>
        </w:rPr>
        <w:t>neighbours</w:t>
      </w:r>
      <w:r w:rsidRPr="005F691C">
        <w:rPr>
          <w:rFonts w:ascii="Times New Roman" w:hAnsi="Times New Roman" w:cs="Times New Roman"/>
        </w:rPr>
        <w:t xml:space="preserve">, the British. Furthermore, the </w:t>
      </w:r>
      <w:r w:rsidR="009B1381" w:rsidRPr="005F691C">
        <w:rPr>
          <w:rFonts w:ascii="Times New Roman" w:hAnsi="Times New Roman" w:cs="Times New Roman"/>
        </w:rPr>
        <w:t>British</w:t>
      </w:r>
      <w:r w:rsidRPr="005F691C">
        <w:rPr>
          <w:rFonts w:ascii="Times New Roman" w:hAnsi="Times New Roman" w:cs="Times New Roman"/>
        </w:rPr>
        <w:t xml:space="preserve"> forces were able to provide an environment where those citizens providing information felt safe and protected by the forces, and thus did not fear reprisals for being considered traitors of the cause.</w:t>
      </w:r>
      <w:r w:rsidRPr="005F691C">
        <w:rPr>
          <w:rStyle w:val="FootnoteReference"/>
          <w:rFonts w:ascii="Times New Roman" w:hAnsi="Times New Roman" w:cs="Times New Roman"/>
        </w:rPr>
        <w:footnoteReference w:id="208"/>
      </w:r>
    </w:p>
    <w:p w14:paraId="03E6FD53" w14:textId="77777777" w:rsidR="009B1381" w:rsidRPr="005F691C" w:rsidRDefault="009B1381" w:rsidP="00580699">
      <w:pPr>
        <w:tabs>
          <w:tab w:val="left" w:pos="-1134"/>
        </w:tabs>
        <w:spacing w:line="360" w:lineRule="auto"/>
        <w:ind w:left="-567" w:right="-631"/>
        <w:jc w:val="both"/>
        <w:rPr>
          <w:rFonts w:ascii="Times New Roman" w:hAnsi="Times New Roman" w:cs="Times New Roman"/>
        </w:rPr>
      </w:pPr>
    </w:p>
    <w:p w14:paraId="6B07A768" w14:textId="5B287310" w:rsidR="00580699" w:rsidRPr="005F691C" w:rsidRDefault="00580699" w:rsidP="000905EF">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The significance of this relationship</w:t>
      </w:r>
      <w:r w:rsidR="009549CE">
        <w:rPr>
          <w:rFonts w:ascii="Times New Roman" w:hAnsi="Times New Roman" w:cs="Times New Roman"/>
        </w:rPr>
        <w:t>,</w:t>
      </w:r>
      <w:r w:rsidRPr="005F691C">
        <w:rPr>
          <w:rFonts w:ascii="Times New Roman" w:hAnsi="Times New Roman" w:cs="Times New Roman"/>
        </w:rPr>
        <w:t xml:space="preserve"> and of intelligence gathering</w:t>
      </w:r>
      <w:r w:rsidR="009549CE">
        <w:rPr>
          <w:rFonts w:ascii="Times New Roman" w:hAnsi="Times New Roman" w:cs="Times New Roman"/>
        </w:rPr>
        <w:t>,</w:t>
      </w:r>
      <w:r w:rsidRPr="005F691C">
        <w:rPr>
          <w:rFonts w:ascii="Times New Roman" w:hAnsi="Times New Roman" w:cs="Times New Roman"/>
        </w:rPr>
        <w:t xml:space="preserve"> should not be underestimated. Due to the fact that insurgencies thrive on the element of surprise, it is vital that counterinsurgents are able to gain as much of a knowledge advantage as possible so that they can be prepared. This element of a successful counterinsurgency operation can be linked to the factor of a state centric </w:t>
      </w:r>
      <w:r w:rsidR="009B1381" w:rsidRPr="005F691C">
        <w:rPr>
          <w:rFonts w:ascii="Times New Roman" w:hAnsi="Times New Roman" w:cs="Times New Roman"/>
        </w:rPr>
        <w:t>insurgency that states that the insurgency is confined to the boundaries of a specific state and demonstrates</w:t>
      </w:r>
      <w:r w:rsidRPr="005F691C">
        <w:rPr>
          <w:rFonts w:ascii="Times New Roman" w:hAnsi="Times New Roman" w:cs="Times New Roman"/>
        </w:rPr>
        <w:t xml:space="preserve"> a close relationship with large sections of the population of the specific territory.</w:t>
      </w:r>
      <w:r w:rsidRPr="005F691C">
        <w:rPr>
          <w:rStyle w:val="FootnoteReference"/>
          <w:rFonts w:ascii="Times New Roman" w:hAnsi="Times New Roman" w:cs="Times New Roman"/>
        </w:rPr>
        <w:footnoteReference w:id="209"/>
      </w:r>
      <w:r w:rsidRPr="005F691C">
        <w:rPr>
          <w:rFonts w:ascii="Times New Roman" w:hAnsi="Times New Roman" w:cs="Times New Roman"/>
        </w:rPr>
        <w:t xml:space="preserve"> </w:t>
      </w:r>
      <w:r w:rsidR="000905EF" w:rsidRPr="005F691C">
        <w:rPr>
          <w:rFonts w:ascii="Times New Roman" w:hAnsi="Times New Roman" w:cs="Times New Roman"/>
        </w:rPr>
        <w:t>The British forces followed the policy prescriptions of counterinsurgency as laid out by Sir Robert Thompson and Sir Frank Kitson, and hearts and minds, due to its political element, was greatly emphasised. The first principles of the counterinsurgency operation included intelligence and information, separating the insurgent from their support and longer term post-insurgency planning including political reform.</w:t>
      </w:r>
      <w:r w:rsidR="000905EF" w:rsidRPr="005F691C">
        <w:rPr>
          <w:rStyle w:val="FootnoteReference"/>
          <w:rFonts w:ascii="Times New Roman" w:hAnsi="Times New Roman" w:cs="Times New Roman"/>
        </w:rPr>
        <w:footnoteReference w:id="210"/>
      </w:r>
    </w:p>
    <w:p w14:paraId="4F910309" w14:textId="77777777" w:rsidR="009B1381" w:rsidRPr="005F691C" w:rsidRDefault="009B1381" w:rsidP="00580699">
      <w:pPr>
        <w:tabs>
          <w:tab w:val="left" w:pos="-1134"/>
        </w:tabs>
        <w:spacing w:line="360" w:lineRule="auto"/>
        <w:ind w:left="-567" w:right="-631"/>
        <w:jc w:val="both"/>
        <w:rPr>
          <w:rFonts w:ascii="Times New Roman" w:hAnsi="Times New Roman" w:cs="Times New Roman"/>
        </w:rPr>
      </w:pPr>
    </w:p>
    <w:p w14:paraId="7742A06E" w14:textId="13F22FC8"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Whilst “hearts and minds” did come to be a central component of the British counterinsurgency campaign in Northern Ireland, there was also an element of militarisation, where force was employed on a grand scale in order to restore the rule of law and force the end of </w:t>
      </w:r>
      <w:r w:rsidR="009B1381" w:rsidRPr="005F691C">
        <w:rPr>
          <w:rFonts w:ascii="Times New Roman" w:hAnsi="Times New Roman" w:cs="Times New Roman"/>
        </w:rPr>
        <w:t>terrorist</w:t>
      </w:r>
      <w:r w:rsidRPr="005F691C">
        <w:rPr>
          <w:rFonts w:ascii="Times New Roman" w:hAnsi="Times New Roman" w:cs="Times New Roman"/>
        </w:rPr>
        <w:t xml:space="preserve"> behaviour. The British forces lethal action against IRA operatives resulted in the insurgents labeling it the “Special Assassination Squad” out of fear. These brutal methods did much to curb terrorism, but they were not without controversy. British troops killed 28 IRA members from 1987–1992 in ambushes and assaults. </w:t>
      </w:r>
      <w:r w:rsidRPr="005F691C">
        <w:rPr>
          <w:rStyle w:val="FootnoteReference"/>
          <w:rFonts w:ascii="Times New Roman" w:hAnsi="Times New Roman" w:cs="Times New Roman"/>
        </w:rPr>
        <w:footnoteReference w:id="211"/>
      </w:r>
      <w:r w:rsidRPr="005F691C">
        <w:rPr>
          <w:rFonts w:ascii="Times New Roman" w:hAnsi="Times New Roman" w:cs="Times New Roman"/>
        </w:rPr>
        <w:t xml:space="preserve">  Whilst these tactics did invoke fear, one of the keys to the British success is the fact that they </w:t>
      </w:r>
      <w:r w:rsidR="009549CE">
        <w:rPr>
          <w:rFonts w:ascii="Times New Roman" w:hAnsi="Times New Roman" w:cs="Times New Roman"/>
        </w:rPr>
        <w:t>were</w:t>
      </w:r>
      <w:r w:rsidRPr="005F691C">
        <w:rPr>
          <w:rFonts w:ascii="Times New Roman" w:hAnsi="Times New Roman" w:cs="Times New Roman"/>
        </w:rPr>
        <w:t xml:space="preserve"> credited with exhibiting self-control. </w:t>
      </w:r>
    </w:p>
    <w:p w14:paraId="4F455B2B" w14:textId="77777777" w:rsidR="009B1381" w:rsidRPr="005F691C" w:rsidRDefault="009B1381" w:rsidP="00580699">
      <w:pPr>
        <w:tabs>
          <w:tab w:val="left" w:pos="-1134"/>
        </w:tabs>
        <w:spacing w:line="360" w:lineRule="auto"/>
        <w:ind w:left="-567" w:right="-631"/>
        <w:jc w:val="both"/>
        <w:rPr>
          <w:rFonts w:ascii="Times New Roman" w:hAnsi="Times New Roman" w:cs="Times New Roman"/>
        </w:rPr>
      </w:pPr>
    </w:p>
    <w:p w14:paraId="5211A0E2" w14:textId="5F9C2AD0"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Patience ranks near the top of qualities for counterinsurgency, but it is surpassed by political action. Restraint could protect the Army from making enemies, but it also prevented the army from gaining local allies.</w:t>
      </w:r>
      <w:r w:rsidRPr="005F691C">
        <w:rPr>
          <w:rStyle w:val="FootnoteReference"/>
          <w:rFonts w:ascii="Times New Roman" w:hAnsi="Times New Roman" w:cs="Times New Roman"/>
        </w:rPr>
        <w:footnoteReference w:id="212"/>
      </w:r>
      <w:r w:rsidRPr="005F691C">
        <w:rPr>
          <w:rFonts w:ascii="Times New Roman" w:hAnsi="Times New Roman" w:cs="Times New Roman"/>
        </w:rPr>
        <w:t xml:space="preserve"> Jobs, housing, and education programs could win over the nonaligned to the supremacy of British rule, creating an established and legitimated rule of law. It is an established f</w:t>
      </w:r>
      <w:r w:rsidR="009B1381" w:rsidRPr="005F691C">
        <w:rPr>
          <w:rFonts w:ascii="Times New Roman" w:hAnsi="Times New Roman" w:cs="Times New Roman"/>
        </w:rPr>
        <w:t>act that the British government was</w:t>
      </w:r>
      <w:r w:rsidRPr="005F691C">
        <w:rPr>
          <w:rFonts w:ascii="Times New Roman" w:hAnsi="Times New Roman" w:cs="Times New Roman"/>
        </w:rPr>
        <w:t xml:space="preserve"> not only able to adapt the military COIN measures; they changed their policy prescriptions too. These include</w:t>
      </w:r>
      <w:r w:rsidR="000905EF">
        <w:rPr>
          <w:rFonts w:ascii="Times New Roman" w:hAnsi="Times New Roman" w:cs="Times New Roman"/>
        </w:rPr>
        <w:t>d</w:t>
      </w:r>
      <w:r w:rsidRPr="005F691C">
        <w:rPr>
          <w:rFonts w:ascii="Times New Roman" w:hAnsi="Times New Roman" w:cs="Times New Roman"/>
        </w:rPr>
        <w:t xml:space="preserve"> urban foot patrols, painstaking and frustrating surveillance of suspects, instant checkpoints or reactions to incidents, bomb-disposal methods, redundant radio networks to maintain communications in a crisis, improved searching techniques, and, most important, enhanced intelligence gathering.</w:t>
      </w:r>
      <w:r w:rsidRPr="005F691C">
        <w:rPr>
          <w:rStyle w:val="FootnoteReference"/>
          <w:rFonts w:ascii="Times New Roman" w:hAnsi="Times New Roman" w:cs="Times New Roman"/>
        </w:rPr>
        <w:footnoteReference w:id="213"/>
      </w:r>
    </w:p>
    <w:p w14:paraId="08C13E14" w14:textId="77777777" w:rsidR="009B1381" w:rsidRPr="005F691C" w:rsidRDefault="009B1381" w:rsidP="00580699">
      <w:pPr>
        <w:tabs>
          <w:tab w:val="left" w:pos="-1134"/>
        </w:tabs>
        <w:spacing w:line="360" w:lineRule="auto"/>
        <w:ind w:left="-567" w:right="-631"/>
        <w:jc w:val="both"/>
        <w:rPr>
          <w:rFonts w:ascii="Times New Roman" w:hAnsi="Times New Roman" w:cs="Times New Roman"/>
        </w:rPr>
      </w:pPr>
    </w:p>
    <w:p w14:paraId="05BCF14B" w14:textId="39D30574" w:rsidR="00240A3F" w:rsidRDefault="00580699" w:rsidP="000905EF">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Through adapting their policy prescriptions and combining them with a softer military approach (where this was viable), the British forces were able to establish a rule of law, which the majority of the popul</w:t>
      </w:r>
      <w:r w:rsidR="009B1381" w:rsidRPr="005F691C">
        <w:rPr>
          <w:rFonts w:ascii="Times New Roman" w:hAnsi="Times New Roman" w:cs="Times New Roman"/>
        </w:rPr>
        <w:t>ation were satisfied with and ca</w:t>
      </w:r>
      <w:r w:rsidRPr="005F691C">
        <w:rPr>
          <w:rFonts w:ascii="Times New Roman" w:hAnsi="Times New Roman" w:cs="Times New Roman"/>
        </w:rPr>
        <w:t xml:space="preserve">me to recognise as beneficial to the overall desired outcome of peace. This acceptance and acknowledgement of rule of law was ultimately aided by the fact that the British forces themselves took responsibility for the remedying of grievances that initially </w:t>
      </w:r>
      <w:r w:rsidR="000905EF">
        <w:rPr>
          <w:rFonts w:ascii="Times New Roman" w:hAnsi="Times New Roman" w:cs="Times New Roman"/>
        </w:rPr>
        <w:t>s</w:t>
      </w:r>
      <w:r w:rsidRPr="005F691C">
        <w:rPr>
          <w:rFonts w:ascii="Times New Roman" w:hAnsi="Times New Roman" w:cs="Times New Roman"/>
        </w:rPr>
        <w:t>parked the conflict.</w:t>
      </w:r>
      <w:r w:rsidR="000905EF">
        <w:rPr>
          <w:rFonts w:ascii="Times New Roman" w:hAnsi="Times New Roman" w:cs="Times New Roman"/>
        </w:rPr>
        <w:t xml:space="preserve"> By addressing grievances and taking control, the government was able to create legitimacy. This legitimacy laid the groundwork for the success of the entire campaign.</w:t>
      </w:r>
      <w:r w:rsidRPr="005F691C">
        <w:rPr>
          <w:rFonts w:ascii="Times New Roman" w:hAnsi="Times New Roman" w:cs="Times New Roman"/>
        </w:rPr>
        <w:t xml:space="preserve"> </w:t>
      </w:r>
    </w:p>
    <w:p w14:paraId="6F850868" w14:textId="77777777" w:rsidR="000905EF" w:rsidRDefault="000905EF" w:rsidP="000905EF">
      <w:pPr>
        <w:tabs>
          <w:tab w:val="left" w:pos="-1134"/>
        </w:tabs>
        <w:spacing w:line="360" w:lineRule="auto"/>
        <w:ind w:left="-567" w:right="-631"/>
        <w:jc w:val="both"/>
        <w:rPr>
          <w:rFonts w:ascii="Times New Roman" w:hAnsi="Times New Roman" w:cs="Times New Roman"/>
        </w:rPr>
      </w:pPr>
    </w:p>
    <w:p w14:paraId="74C5A78E" w14:textId="27BF3031" w:rsidR="00240A3F" w:rsidRDefault="000905EF" w:rsidP="000905EF">
      <w:pPr>
        <w:tabs>
          <w:tab w:val="left" w:pos="-1134"/>
        </w:tabs>
        <w:spacing w:line="360" w:lineRule="auto"/>
        <w:ind w:left="-567" w:right="-631"/>
        <w:jc w:val="both"/>
        <w:rPr>
          <w:rFonts w:ascii="Times New Roman" w:hAnsi="Times New Roman" w:cs="Times New Roman"/>
        </w:rPr>
      </w:pPr>
      <w:r>
        <w:rPr>
          <w:rFonts w:ascii="Times New Roman" w:hAnsi="Times New Roman" w:cs="Times New Roman"/>
        </w:rPr>
        <w:t xml:space="preserve">The following analysis will demonstrate the various causal relationships that existed between the counterinsurgency campaign of the British, and the state-centric insurgency of the IRA, which eventually led to a successful outcome and can thus be used as indicators of success. </w:t>
      </w:r>
    </w:p>
    <w:p w14:paraId="2505C198" w14:textId="77777777" w:rsidR="000905EF" w:rsidRPr="005F691C" w:rsidRDefault="000905EF" w:rsidP="000905EF">
      <w:pPr>
        <w:tabs>
          <w:tab w:val="left" w:pos="-1134"/>
        </w:tabs>
        <w:spacing w:line="360" w:lineRule="auto"/>
        <w:ind w:left="-567" w:right="-631"/>
        <w:jc w:val="both"/>
        <w:rPr>
          <w:rFonts w:ascii="Times New Roman" w:hAnsi="Times New Roman" w:cs="Times New Roman"/>
        </w:rPr>
      </w:pPr>
    </w:p>
    <w:p w14:paraId="36B4C461" w14:textId="55384698" w:rsidR="00580699" w:rsidRPr="005F691C" w:rsidRDefault="00AE6313"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b/>
          <w:u w:val="single"/>
        </w:rPr>
      </w:pPr>
      <w:r w:rsidRPr="00AE6313">
        <w:rPr>
          <w:rFonts w:ascii="Times New Roman" w:hAnsi="Times New Roman" w:cs="Times New Roman"/>
          <w:b/>
        </w:rPr>
        <w:t xml:space="preserve">4.3 </w:t>
      </w:r>
      <w:r w:rsidR="00580699" w:rsidRPr="005F691C">
        <w:rPr>
          <w:rFonts w:ascii="Times New Roman" w:hAnsi="Times New Roman" w:cs="Times New Roman"/>
          <w:b/>
          <w:u w:val="single"/>
        </w:rPr>
        <w:t>Causal Relationships</w:t>
      </w:r>
    </w:p>
    <w:p w14:paraId="4FDE9D98" w14:textId="2C483052" w:rsidR="00580699" w:rsidRPr="005F691C" w:rsidRDefault="00AE6313" w:rsidP="00AE6313">
      <w:pPr>
        <w:widowControl w:val="0"/>
        <w:tabs>
          <w:tab w:val="left" w:pos="-1134"/>
        </w:tabs>
        <w:autoSpaceDE w:val="0"/>
        <w:autoSpaceDN w:val="0"/>
        <w:adjustRightInd w:val="0"/>
        <w:spacing w:after="240" w:line="360" w:lineRule="auto"/>
        <w:ind w:right="-631"/>
        <w:jc w:val="both"/>
        <w:rPr>
          <w:rFonts w:ascii="Times New Roman" w:hAnsi="Times New Roman" w:cs="Times New Roman"/>
          <w:b/>
          <w:u w:val="single"/>
        </w:rPr>
      </w:pPr>
      <w:r w:rsidRPr="00AE6313">
        <w:rPr>
          <w:rFonts w:ascii="Times New Roman" w:hAnsi="Times New Roman" w:cs="Times New Roman"/>
          <w:b/>
        </w:rPr>
        <w:t xml:space="preserve">4.3.1 </w:t>
      </w:r>
      <w:r w:rsidR="00580699" w:rsidRPr="005F691C">
        <w:rPr>
          <w:rFonts w:ascii="Times New Roman" w:hAnsi="Times New Roman" w:cs="Times New Roman"/>
          <w:b/>
          <w:u w:val="single"/>
        </w:rPr>
        <w:t>Cessation of Violence</w:t>
      </w:r>
    </w:p>
    <w:p w14:paraId="2A50C0B0" w14:textId="6CA8847E" w:rsidR="00580699"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halting of </w:t>
      </w:r>
      <w:r w:rsidR="00A90EEB" w:rsidRPr="005F691C">
        <w:rPr>
          <w:rFonts w:ascii="Times New Roman" w:hAnsi="Times New Roman" w:cs="Times New Roman"/>
        </w:rPr>
        <w:t>violence</w:t>
      </w:r>
      <w:r w:rsidRPr="005F691C">
        <w:rPr>
          <w:rFonts w:ascii="Times New Roman" w:hAnsi="Times New Roman" w:cs="Times New Roman"/>
        </w:rPr>
        <w:t xml:space="preserve"> within Northern Ireland is greatly attributable to the success of the information gathering phase the British forces employed, as well as the significance of the </w:t>
      </w:r>
      <w:r w:rsidR="00A90EEB" w:rsidRPr="005F691C">
        <w:rPr>
          <w:rFonts w:ascii="Times New Roman" w:hAnsi="Times New Roman" w:cs="Times New Roman"/>
        </w:rPr>
        <w:t>relationship that</w:t>
      </w:r>
      <w:r w:rsidRPr="005F691C">
        <w:rPr>
          <w:rFonts w:ascii="Times New Roman" w:hAnsi="Times New Roman" w:cs="Times New Roman"/>
        </w:rPr>
        <w:t xml:space="preserve"> the forces were able to form between themselves and the local population. This element of a successful counterinsurgency operation can be linked to the factor of a state centric </w:t>
      </w:r>
      <w:r w:rsidR="00A90EEB" w:rsidRPr="005F691C">
        <w:rPr>
          <w:rFonts w:ascii="Times New Roman" w:hAnsi="Times New Roman" w:cs="Times New Roman"/>
        </w:rPr>
        <w:t>insurgency that</w:t>
      </w:r>
      <w:r w:rsidRPr="005F691C">
        <w:rPr>
          <w:rFonts w:ascii="Times New Roman" w:hAnsi="Times New Roman" w:cs="Times New Roman"/>
        </w:rPr>
        <w:t xml:space="preserve"> states that the insurgency is confined to the boundaries of a specific state and dem</w:t>
      </w:r>
      <w:r w:rsidR="00A90EEB" w:rsidRPr="005F691C">
        <w:rPr>
          <w:rFonts w:ascii="Times New Roman" w:hAnsi="Times New Roman" w:cs="Times New Roman"/>
        </w:rPr>
        <w:t>on</w:t>
      </w:r>
      <w:r w:rsidRPr="005F691C">
        <w:rPr>
          <w:rFonts w:ascii="Times New Roman" w:hAnsi="Times New Roman" w:cs="Times New Roman"/>
        </w:rPr>
        <w:t>strates a close relationship with large sections of the population of the specific territory.</w:t>
      </w:r>
      <w:r w:rsidRPr="005F691C">
        <w:rPr>
          <w:rStyle w:val="FootnoteReference"/>
          <w:rFonts w:ascii="Times New Roman" w:hAnsi="Times New Roman" w:cs="Times New Roman"/>
        </w:rPr>
        <w:footnoteReference w:id="214"/>
      </w:r>
      <w:r w:rsidRPr="005F691C">
        <w:rPr>
          <w:rFonts w:ascii="Times New Roman" w:hAnsi="Times New Roman" w:cs="Times New Roman"/>
        </w:rPr>
        <w:t xml:space="preserve"> </w:t>
      </w:r>
    </w:p>
    <w:p w14:paraId="57F2FC8E" w14:textId="77777777" w:rsidR="00A90EEB" w:rsidRPr="005F691C" w:rsidRDefault="00A90EEB" w:rsidP="00580699">
      <w:pPr>
        <w:tabs>
          <w:tab w:val="left" w:pos="-1134"/>
        </w:tabs>
        <w:spacing w:line="360" w:lineRule="auto"/>
        <w:ind w:left="-567" w:right="-631"/>
        <w:jc w:val="both"/>
        <w:rPr>
          <w:rFonts w:ascii="Times New Roman" w:hAnsi="Times New Roman" w:cs="Times New Roman"/>
        </w:rPr>
      </w:pPr>
    </w:p>
    <w:p w14:paraId="5FF910A1" w14:textId="1D414B6C" w:rsidR="00580699" w:rsidRPr="005F691C" w:rsidRDefault="00580699" w:rsidP="000905EF">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The element of militarisation employed by the British forces also links to state-centric insurgency as it allows the counterinsurgency forces to focus their efforts in one specific region, and to have a clear and determinable area of action. Whilst the military operation often created the adverse effect of fear, the hearts and minds campaign employed by th</w:t>
      </w:r>
      <w:r w:rsidR="00A90EEB" w:rsidRPr="005F691C">
        <w:rPr>
          <w:rFonts w:ascii="Times New Roman" w:hAnsi="Times New Roman" w:cs="Times New Roman"/>
        </w:rPr>
        <w:t>e</w:t>
      </w:r>
      <w:r w:rsidRPr="005F691C">
        <w:rPr>
          <w:rFonts w:ascii="Times New Roman" w:hAnsi="Times New Roman" w:cs="Times New Roman"/>
        </w:rPr>
        <w:t xml:space="preserve"> British</w:t>
      </w:r>
      <w:r w:rsidR="000905EF">
        <w:rPr>
          <w:rFonts w:ascii="Times New Roman" w:hAnsi="Times New Roman" w:cs="Times New Roman"/>
        </w:rPr>
        <w:t xml:space="preserve"> forces was largely successful. </w:t>
      </w:r>
      <w:r w:rsidRPr="005F691C">
        <w:rPr>
          <w:rFonts w:ascii="Times New Roman" w:hAnsi="Times New Roman" w:cs="Times New Roman"/>
        </w:rPr>
        <w:t xml:space="preserve">The element which allowed the counterinsurgency forces to infiltrate and focus on one specific population, one culture and one language, being confined to one territory and not having to worry about any outside interference, violence or action, ultimately </w:t>
      </w:r>
      <w:r w:rsidR="00A90EEB" w:rsidRPr="005F691C">
        <w:rPr>
          <w:rFonts w:ascii="Times New Roman" w:hAnsi="Times New Roman" w:cs="Times New Roman"/>
        </w:rPr>
        <w:t>result</w:t>
      </w:r>
      <w:r w:rsidR="000905EF">
        <w:rPr>
          <w:rFonts w:ascii="Times New Roman" w:hAnsi="Times New Roman" w:cs="Times New Roman"/>
        </w:rPr>
        <w:t>ed</w:t>
      </w:r>
      <w:r w:rsidRPr="005F691C">
        <w:rPr>
          <w:rFonts w:ascii="Times New Roman" w:hAnsi="Times New Roman" w:cs="Times New Roman"/>
        </w:rPr>
        <w:t xml:space="preserve"> in a more focused and well disciplined enforcement of counterinsurgency doctrine. A territory bound insurgency also allows the counterinsurgency operation to focus its efforts and m</w:t>
      </w:r>
      <w:r w:rsidR="00A90EEB" w:rsidRPr="005F691C">
        <w:rPr>
          <w:rFonts w:ascii="Times New Roman" w:hAnsi="Times New Roman" w:cs="Times New Roman"/>
        </w:rPr>
        <w:t>a</w:t>
      </w:r>
      <w:r w:rsidRPr="005F691C">
        <w:rPr>
          <w:rFonts w:ascii="Times New Roman" w:hAnsi="Times New Roman" w:cs="Times New Roman"/>
        </w:rPr>
        <w:t xml:space="preserve">intain certain codes of conduct which can be evaluated to be either useful or counterproductive in that specific </w:t>
      </w:r>
      <w:r w:rsidR="00A90EEB" w:rsidRPr="005F691C">
        <w:rPr>
          <w:rFonts w:ascii="Times New Roman" w:hAnsi="Times New Roman" w:cs="Times New Roman"/>
        </w:rPr>
        <w:t xml:space="preserve">economic, </w:t>
      </w:r>
      <w:r w:rsidRPr="005F691C">
        <w:rPr>
          <w:rFonts w:ascii="Times New Roman" w:hAnsi="Times New Roman" w:cs="Times New Roman"/>
        </w:rPr>
        <w:t xml:space="preserve">social, </w:t>
      </w:r>
      <w:r w:rsidR="00A90EEB" w:rsidRPr="005F691C">
        <w:rPr>
          <w:rFonts w:ascii="Times New Roman" w:hAnsi="Times New Roman" w:cs="Times New Roman"/>
        </w:rPr>
        <w:t xml:space="preserve">and </w:t>
      </w:r>
      <w:r w:rsidRPr="005F691C">
        <w:rPr>
          <w:rFonts w:ascii="Times New Roman" w:hAnsi="Times New Roman" w:cs="Times New Roman"/>
        </w:rPr>
        <w:t>political atm</w:t>
      </w:r>
      <w:r w:rsidR="00A90EEB" w:rsidRPr="005F691C">
        <w:rPr>
          <w:rFonts w:ascii="Times New Roman" w:hAnsi="Times New Roman" w:cs="Times New Roman"/>
        </w:rPr>
        <w:t>o</w:t>
      </w:r>
      <w:r w:rsidRPr="005F691C">
        <w:rPr>
          <w:rFonts w:ascii="Times New Roman" w:hAnsi="Times New Roman" w:cs="Times New Roman"/>
        </w:rPr>
        <w:t xml:space="preserve">sphere. </w:t>
      </w:r>
    </w:p>
    <w:p w14:paraId="785FC2C1" w14:textId="77777777" w:rsidR="00A90EEB" w:rsidRPr="005F691C" w:rsidRDefault="00A90EEB" w:rsidP="00580699">
      <w:pPr>
        <w:tabs>
          <w:tab w:val="left" w:pos="-1134"/>
        </w:tabs>
        <w:spacing w:line="360" w:lineRule="auto"/>
        <w:ind w:left="-567" w:right="-631"/>
        <w:jc w:val="both"/>
        <w:rPr>
          <w:rFonts w:ascii="Times New Roman" w:hAnsi="Times New Roman" w:cs="Times New Roman"/>
        </w:rPr>
      </w:pPr>
    </w:p>
    <w:p w14:paraId="547CBA4E" w14:textId="74478B57" w:rsidR="008F4C36" w:rsidRPr="005F691C" w:rsidRDefault="00580699" w:rsidP="00883A63">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The IRA was able to gain the support and trust of the Catholic population within Ireland based on their simplistic ideology and end goals, which the population found easily relatable. By havin</w:t>
      </w:r>
      <w:r w:rsidR="00A90EEB" w:rsidRPr="005F691C">
        <w:rPr>
          <w:rFonts w:ascii="Times New Roman" w:hAnsi="Times New Roman" w:cs="Times New Roman"/>
        </w:rPr>
        <w:t xml:space="preserve">g a close relationship with a </w:t>
      </w:r>
      <w:r w:rsidRPr="005F691C">
        <w:rPr>
          <w:rFonts w:ascii="Times New Roman" w:hAnsi="Times New Roman" w:cs="Times New Roman"/>
        </w:rPr>
        <w:t xml:space="preserve">large section of the population, the IRA imparted much vital information to </w:t>
      </w:r>
      <w:r w:rsidR="000905EF">
        <w:rPr>
          <w:rFonts w:ascii="Times New Roman" w:hAnsi="Times New Roman" w:cs="Times New Roman"/>
        </w:rPr>
        <w:t>them</w:t>
      </w:r>
      <w:r w:rsidRPr="005F691C">
        <w:rPr>
          <w:rFonts w:ascii="Times New Roman" w:hAnsi="Times New Roman" w:cs="Times New Roman"/>
        </w:rPr>
        <w:t>, and thus, once the British were able to successfully implement their intelligence operation, the population had much information to share with them.</w:t>
      </w:r>
      <w:r w:rsidR="00A90EEB" w:rsidRPr="005F691C">
        <w:rPr>
          <w:rStyle w:val="FootnoteReference"/>
          <w:rFonts w:ascii="Times New Roman" w:hAnsi="Times New Roman" w:cs="Times New Roman"/>
        </w:rPr>
        <w:footnoteReference w:id="215"/>
      </w:r>
      <w:r w:rsidR="000905EF">
        <w:rPr>
          <w:rFonts w:ascii="Times New Roman" w:hAnsi="Times New Roman" w:cs="Times New Roman"/>
        </w:rPr>
        <w:t xml:space="preserve"> The British were then able to stop the violence in the planning stages, rather than after it had been initiated. The intelligence that the British gathered also allowed them to ascertain and understand the grievances of the population and thus implement various reform programs. </w:t>
      </w:r>
      <w:r w:rsidR="000905EF" w:rsidRPr="005F691C">
        <w:rPr>
          <w:rFonts w:ascii="Times New Roman" w:hAnsi="Times New Roman" w:cs="Times New Roman"/>
        </w:rPr>
        <w:t>The experience of the Catholic population of exclusion from economic and social services increased support for the IRA, providing them with a steady flow of recruits, intelligence networks, safe houses, and financial or human resources.</w:t>
      </w:r>
      <w:r w:rsidR="000905EF" w:rsidRPr="005F691C">
        <w:rPr>
          <w:rStyle w:val="FootnoteReference"/>
          <w:rFonts w:ascii="Times New Roman" w:hAnsi="Times New Roman" w:cs="Times New Roman"/>
        </w:rPr>
        <w:footnoteReference w:id="216"/>
      </w:r>
      <w:r w:rsidR="000905EF" w:rsidRPr="005F691C">
        <w:rPr>
          <w:rFonts w:ascii="Times New Roman" w:hAnsi="Times New Roman" w:cs="Times New Roman"/>
        </w:rPr>
        <w:t xml:space="preserve"> By lessening Catholic alienation, the British authorities separated the non-Protestant members of society from those members of society who were willing to participate in insurgent behaviour.</w:t>
      </w:r>
      <w:r w:rsidR="007A0AA6">
        <w:rPr>
          <w:rFonts w:ascii="Times New Roman" w:hAnsi="Times New Roman" w:cs="Times New Roman"/>
        </w:rPr>
        <w:t xml:space="preserve"> </w:t>
      </w:r>
      <w:r w:rsidR="007A0AA6" w:rsidRPr="005F691C">
        <w:rPr>
          <w:rFonts w:ascii="Times New Roman" w:hAnsi="Times New Roman" w:cs="Times New Roman"/>
        </w:rPr>
        <w:t>Working with Dublin, the British Prime Minister Tony Blair issued a declaration in 1993, allowing any political party participation in elections, if it renounced the use of violence. This declaration paved the way for a cessation of violence.</w:t>
      </w:r>
      <w:r w:rsidR="007A0AA6" w:rsidRPr="005F691C">
        <w:rPr>
          <w:rStyle w:val="FootnoteReference"/>
          <w:rFonts w:ascii="Times New Roman" w:hAnsi="Times New Roman" w:cs="Times New Roman"/>
        </w:rPr>
        <w:footnoteReference w:id="217"/>
      </w:r>
    </w:p>
    <w:p w14:paraId="4C62D1DC" w14:textId="7B2861FC" w:rsidR="008F4C36" w:rsidRPr="005F691C" w:rsidRDefault="000905EF" w:rsidP="008F4C3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Pr>
          <w:rFonts w:ascii="Times New Roman" w:hAnsi="Times New Roman" w:cs="Times New Roman"/>
        </w:rPr>
        <w:t xml:space="preserve">It is thus observable that </w:t>
      </w:r>
      <w:r w:rsidR="008F4C36" w:rsidRPr="005F691C">
        <w:rPr>
          <w:rFonts w:ascii="Times New Roman" w:hAnsi="Times New Roman" w:cs="Times New Roman"/>
        </w:rPr>
        <w:t xml:space="preserve">British social programs, </w:t>
      </w:r>
      <w:r>
        <w:rPr>
          <w:rFonts w:ascii="Times New Roman" w:hAnsi="Times New Roman" w:cs="Times New Roman"/>
        </w:rPr>
        <w:t>including the hearts and minds campaign,</w:t>
      </w:r>
      <w:r w:rsidR="008F4C36" w:rsidRPr="005F691C">
        <w:rPr>
          <w:rFonts w:ascii="Times New Roman" w:hAnsi="Times New Roman" w:cs="Times New Roman"/>
        </w:rPr>
        <w:t xml:space="preserve"> brought about a cessation of conflict in Northern Ireland.</w:t>
      </w:r>
      <w:r w:rsidR="008F4C36" w:rsidRPr="005F691C">
        <w:rPr>
          <w:rStyle w:val="FootnoteReference"/>
          <w:rFonts w:ascii="Times New Roman" w:hAnsi="Times New Roman" w:cs="Times New Roman"/>
        </w:rPr>
        <w:footnoteReference w:id="218"/>
      </w:r>
      <w:r w:rsidR="008F4C36" w:rsidRPr="005F691C">
        <w:rPr>
          <w:rFonts w:ascii="Times New Roman" w:hAnsi="Times New Roman" w:cs="Times New Roman"/>
        </w:rPr>
        <w:t xml:space="preserve"> As one observer reported:</w:t>
      </w:r>
    </w:p>
    <w:p w14:paraId="0619BD91" w14:textId="77777777" w:rsidR="008F4C36" w:rsidRPr="005F691C" w:rsidRDefault="008F4C36" w:rsidP="008F4C36">
      <w:pPr>
        <w:widowControl w:val="0"/>
        <w:tabs>
          <w:tab w:val="left" w:pos="-1134"/>
        </w:tabs>
        <w:autoSpaceDE w:val="0"/>
        <w:autoSpaceDN w:val="0"/>
        <w:adjustRightInd w:val="0"/>
        <w:spacing w:after="240" w:line="360" w:lineRule="auto"/>
        <w:ind w:right="-64"/>
        <w:jc w:val="both"/>
        <w:rPr>
          <w:rFonts w:ascii="Times New Roman" w:hAnsi="Times New Roman" w:cs="Times New Roman"/>
          <w:i/>
        </w:rPr>
      </w:pPr>
      <w:r w:rsidRPr="005F691C">
        <w:rPr>
          <w:rFonts w:ascii="Times New Roman" w:hAnsi="Times New Roman" w:cs="Times New Roman"/>
          <w:i/>
        </w:rPr>
        <w:t>“By the early 1990s most of the issues on which the Civil Rights Movement had campaigned had been addressed, in part or whole, and the only remaining grievance was that of the nationalists for a united Ireland, a position which even Dublin appeared to be distancing itself from. It may therefore be argued that by the 1990s the British government was, at some level, winning the hearts and minds campaign.”</w:t>
      </w:r>
      <w:r w:rsidRPr="005F691C">
        <w:rPr>
          <w:rStyle w:val="FootnoteReference"/>
          <w:rFonts w:ascii="Times New Roman" w:hAnsi="Times New Roman" w:cs="Times New Roman"/>
          <w:i/>
        </w:rPr>
        <w:footnoteReference w:id="219"/>
      </w:r>
    </w:p>
    <w:p w14:paraId="5004349A" w14:textId="77777777" w:rsidR="008F4C36" w:rsidRPr="005F691C" w:rsidRDefault="008F4C36" w:rsidP="00580699">
      <w:pPr>
        <w:tabs>
          <w:tab w:val="left" w:pos="-1134"/>
        </w:tabs>
        <w:spacing w:line="360" w:lineRule="auto"/>
        <w:ind w:left="-567" w:right="-631"/>
        <w:jc w:val="both"/>
        <w:rPr>
          <w:rFonts w:ascii="Times New Roman" w:hAnsi="Times New Roman" w:cs="Times New Roman"/>
        </w:rPr>
      </w:pPr>
    </w:p>
    <w:p w14:paraId="122E806C" w14:textId="77777777" w:rsidR="00A90EEB" w:rsidRPr="005F691C" w:rsidRDefault="00580699" w:rsidP="00580699">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 xml:space="preserve">Through this analysis </w:t>
      </w:r>
      <w:r w:rsidR="00A90EEB" w:rsidRPr="005F691C">
        <w:rPr>
          <w:rFonts w:ascii="Times New Roman" w:hAnsi="Times New Roman" w:cs="Times New Roman"/>
        </w:rPr>
        <w:t>the following causal relationship is</w:t>
      </w:r>
      <w:r w:rsidRPr="005F691C">
        <w:rPr>
          <w:rFonts w:ascii="Times New Roman" w:hAnsi="Times New Roman" w:cs="Times New Roman"/>
        </w:rPr>
        <w:t xml:space="preserve"> determinable</w:t>
      </w:r>
      <w:r w:rsidR="00A90EEB" w:rsidRPr="005F691C">
        <w:rPr>
          <w:rFonts w:ascii="Times New Roman" w:hAnsi="Times New Roman" w:cs="Times New Roman"/>
        </w:rPr>
        <w:t>:</w:t>
      </w:r>
    </w:p>
    <w:p w14:paraId="5903D3FD" w14:textId="77777777" w:rsidR="00A90EEB" w:rsidRPr="005F691C" w:rsidRDefault="00A90EEB" w:rsidP="00580699">
      <w:pPr>
        <w:tabs>
          <w:tab w:val="left" w:pos="-1134"/>
        </w:tabs>
        <w:spacing w:line="360" w:lineRule="auto"/>
        <w:ind w:left="-567" w:right="-631"/>
        <w:jc w:val="both"/>
        <w:rPr>
          <w:rFonts w:ascii="Times New Roman" w:hAnsi="Times New Roman" w:cs="Times New Roman"/>
        </w:rPr>
      </w:pPr>
    </w:p>
    <w:p w14:paraId="23BC1F41" w14:textId="35F8B61D" w:rsidR="00580699" w:rsidRDefault="00A90EEB" w:rsidP="00A90EEB">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b/>
          <w:u w:val="single"/>
        </w:rPr>
        <w:t>Causal Relationship 1</w:t>
      </w:r>
      <w:r w:rsidRPr="005F691C">
        <w:rPr>
          <w:rFonts w:ascii="Times New Roman" w:hAnsi="Times New Roman" w:cs="Times New Roman"/>
        </w:rPr>
        <w:t>: If there exists a</w:t>
      </w:r>
      <w:r w:rsidR="00580699" w:rsidRPr="005F691C">
        <w:rPr>
          <w:rFonts w:ascii="Times New Roman" w:hAnsi="Times New Roman" w:cs="Times New Roman"/>
        </w:rPr>
        <w:t xml:space="preserve"> state centric insurgency with a close relationship with a large portion of the population</w:t>
      </w:r>
      <w:r w:rsidRPr="005F691C">
        <w:rPr>
          <w:rFonts w:ascii="Times New Roman" w:hAnsi="Times New Roman" w:cs="Times New Roman"/>
        </w:rPr>
        <w:t>, then this</w:t>
      </w:r>
      <w:r w:rsidR="00580699" w:rsidRPr="005F691C">
        <w:rPr>
          <w:rFonts w:ascii="Times New Roman" w:hAnsi="Times New Roman" w:cs="Times New Roman"/>
        </w:rPr>
        <w:t xml:space="preserve"> will lead to a more effective cessation of violence when the counterinsurgency forces implement a successful and disciplined i</w:t>
      </w:r>
      <w:r w:rsidR="00201586">
        <w:rPr>
          <w:rFonts w:ascii="Times New Roman" w:hAnsi="Times New Roman" w:cs="Times New Roman"/>
        </w:rPr>
        <w:t>nformation gathering campaign.</w:t>
      </w:r>
    </w:p>
    <w:p w14:paraId="423B14C9" w14:textId="77777777" w:rsidR="00201586" w:rsidRDefault="00201586" w:rsidP="00A90EEB">
      <w:pPr>
        <w:tabs>
          <w:tab w:val="left" w:pos="-1134"/>
        </w:tabs>
        <w:spacing w:line="360" w:lineRule="auto"/>
        <w:ind w:left="-567" w:right="-631"/>
        <w:jc w:val="both"/>
        <w:rPr>
          <w:rFonts w:ascii="Times New Roman" w:hAnsi="Times New Roman" w:cs="Times New Roman"/>
        </w:rPr>
      </w:pPr>
    </w:p>
    <w:p w14:paraId="6927C68B" w14:textId="4931C083" w:rsidR="00201586" w:rsidRPr="00201586" w:rsidRDefault="00201586" w:rsidP="00A90EEB">
      <w:pPr>
        <w:tabs>
          <w:tab w:val="left" w:pos="-1134"/>
        </w:tabs>
        <w:spacing w:line="360" w:lineRule="auto"/>
        <w:ind w:left="-567" w:right="-631"/>
        <w:jc w:val="both"/>
        <w:rPr>
          <w:rFonts w:ascii="Times New Roman" w:hAnsi="Times New Roman" w:cs="Times New Roman"/>
        </w:rPr>
      </w:pPr>
      <w:r w:rsidRPr="00201586">
        <w:rPr>
          <w:rFonts w:ascii="Times New Roman" w:hAnsi="Times New Roman" w:cs="Times New Roman"/>
        </w:rPr>
        <w:t>This is based on the fact that ultimately, the information gathering campaign will allow the counterinsurgency</w:t>
      </w:r>
      <w:r>
        <w:rPr>
          <w:rFonts w:ascii="Times New Roman" w:hAnsi="Times New Roman" w:cs="Times New Roman"/>
        </w:rPr>
        <w:t xml:space="preserve"> forces to understand grievances and address them, lessening the reasons for taking part in the insurgency, and will also allow for the forces to combat violence in the planning stages, rather than waiting for the actions to occur.</w:t>
      </w:r>
    </w:p>
    <w:p w14:paraId="38D51697" w14:textId="77777777" w:rsidR="00A90EEB" w:rsidRPr="005F691C" w:rsidRDefault="00A90EEB" w:rsidP="00580699">
      <w:pPr>
        <w:tabs>
          <w:tab w:val="left" w:pos="-1134"/>
        </w:tabs>
        <w:spacing w:line="360" w:lineRule="auto"/>
        <w:ind w:left="-567" w:right="-631"/>
        <w:jc w:val="both"/>
        <w:rPr>
          <w:rFonts w:ascii="Times New Roman" w:hAnsi="Times New Roman" w:cs="Times New Roman"/>
        </w:rPr>
      </w:pPr>
    </w:p>
    <w:p w14:paraId="1F579B34" w14:textId="099A1296" w:rsidR="002E5D42" w:rsidRPr="005F691C" w:rsidRDefault="00AE6313" w:rsidP="00AE6313">
      <w:pPr>
        <w:widowControl w:val="0"/>
        <w:tabs>
          <w:tab w:val="left" w:pos="-1134"/>
        </w:tabs>
        <w:autoSpaceDE w:val="0"/>
        <w:autoSpaceDN w:val="0"/>
        <w:adjustRightInd w:val="0"/>
        <w:spacing w:after="240" w:line="360" w:lineRule="auto"/>
        <w:ind w:right="-631"/>
        <w:jc w:val="both"/>
        <w:rPr>
          <w:rFonts w:ascii="Times New Roman" w:hAnsi="Times New Roman" w:cs="Times New Roman"/>
          <w:b/>
          <w:u w:val="single"/>
        </w:rPr>
      </w:pPr>
      <w:r w:rsidRPr="00AE6313">
        <w:rPr>
          <w:rFonts w:ascii="Times New Roman" w:hAnsi="Times New Roman" w:cs="Times New Roman"/>
          <w:b/>
        </w:rPr>
        <w:t xml:space="preserve">4.3.2 </w:t>
      </w:r>
      <w:r w:rsidR="00580699" w:rsidRPr="00AE6313">
        <w:rPr>
          <w:rFonts w:ascii="Times New Roman" w:hAnsi="Times New Roman" w:cs="Times New Roman"/>
          <w:b/>
        </w:rPr>
        <w:t xml:space="preserve"> </w:t>
      </w:r>
      <w:r w:rsidR="00580699" w:rsidRPr="005F691C">
        <w:rPr>
          <w:rFonts w:ascii="Times New Roman" w:hAnsi="Times New Roman" w:cs="Times New Roman"/>
          <w:b/>
          <w:u w:val="single"/>
        </w:rPr>
        <w:t>Rule of Law</w:t>
      </w:r>
    </w:p>
    <w:p w14:paraId="2B77EDDE" w14:textId="14B341A7" w:rsidR="00A90EEB" w:rsidRDefault="00580699" w:rsidP="00201586">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In order to implement a successful rule of law, the British forces had to gain the support of the local population, and be viewed as the legitimate implementer of the law. Restraint could only allow for so much progress on the part of the counterinsurgency forces in their attempt to gain not only support, but also allies.</w:t>
      </w:r>
      <w:r w:rsidRPr="005F691C">
        <w:rPr>
          <w:rStyle w:val="FootnoteReference"/>
          <w:rFonts w:ascii="Times New Roman" w:hAnsi="Times New Roman" w:cs="Times New Roman"/>
        </w:rPr>
        <w:footnoteReference w:id="220"/>
      </w:r>
      <w:r w:rsidRPr="005F691C">
        <w:rPr>
          <w:rFonts w:ascii="Times New Roman" w:hAnsi="Times New Roman" w:cs="Times New Roman"/>
        </w:rPr>
        <w:t xml:space="preserve"> Jobs, housing, and education programs could win over the nonaligned to the supremacy of British rule, creating an established and legitimated rule of law. The British forces were compelled to implement the counterinsurgency element of political legitimacy</w:t>
      </w:r>
      <w:r w:rsidR="00A90EEB" w:rsidRPr="005F691C">
        <w:rPr>
          <w:rFonts w:ascii="Times New Roman" w:hAnsi="Times New Roman" w:cs="Times New Roman"/>
        </w:rPr>
        <w:t>, such as the cessation of violence,</w:t>
      </w:r>
      <w:r w:rsidRPr="005F691C">
        <w:rPr>
          <w:rFonts w:ascii="Times New Roman" w:hAnsi="Times New Roman" w:cs="Times New Roman"/>
        </w:rPr>
        <w:t xml:space="preserve"> in order to accomplish their aims and to try and secure the success of the counterinsurgency operation.</w:t>
      </w:r>
    </w:p>
    <w:p w14:paraId="3BEA51E6" w14:textId="77777777" w:rsidR="00201586" w:rsidRPr="005F691C" w:rsidRDefault="00201586" w:rsidP="00201586">
      <w:pPr>
        <w:tabs>
          <w:tab w:val="left" w:pos="-1134"/>
        </w:tabs>
        <w:spacing w:line="360" w:lineRule="auto"/>
        <w:ind w:left="-567" w:right="-631"/>
        <w:jc w:val="both"/>
        <w:rPr>
          <w:rFonts w:ascii="Times New Roman" w:hAnsi="Times New Roman" w:cs="Times New Roman"/>
        </w:rPr>
      </w:pPr>
    </w:p>
    <w:p w14:paraId="5D37775D" w14:textId="77777777" w:rsidR="00201586" w:rsidRDefault="00580699"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This success in implementing the legitimate rule of law can be linked to the element of state-centric insurgency that states that a state-centric insurgency will hold a very specific ideology. As mentioned above, the IRA maintained a simplistic ideology to gain equal and fair representation for the Catholic population and thus to end ethnic polarization.</w:t>
      </w:r>
      <w:r w:rsidRPr="005F691C">
        <w:rPr>
          <w:rStyle w:val="FootnoteReference"/>
          <w:rFonts w:ascii="Times New Roman" w:hAnsi="Times New Roman" w:cs="Times New Roman"/>
        </w:rPr>
        <w:footnoteReference w:id="221"/>
      </w:r>
      <w:r w:rsidRPr="005F691C">
        <w:rPr>
          <w:rFonts w:ascii="Times New Roman" w:hAnsi="Times New Roman" w:cs="Times New Roman"/>
        </w:rPr>
        <w:t xml:space="preserve"> Through addressing the specific </w:t>
      </w:r>
      <w:r w:rsidR="00A90EEB" w:rsidRPr="005F691C">
        <w:rPr>
          <w:rFonts w:ascii="Times New Roman" w:hAnsi="Times New Roman" w:cs="Times New Roman"/>
        </w:rPr>
        <w:t>grievances</w:t>
      </w:r>
      <w:r w:rsidRPr="005F691C">
        <w:rPr>
          <w:rFonts w:ascii="Times New Roman" w:hAnsi="Times New Roman" w:cs="Times New Roman"/>
        </w:rPr>
        <w:t xml:space="preserve"> which the IRA identifies in the </w:t>
      </w:r>
      <w:r w:rsidR="00A90EEB" w:rsidRPr="005F691C">
        <w:rPr>
          <w:rFonts w:ascii="Times New Roman" w:hAnsi="Times New Roman" w:cs="Times New Roman"/>
        </w:rPr>
        <w:t xml:space="preserve">economic, </w:t>
      </w:r>
      <w:r w:rsidRPr="005F691C">
        <w:rPr>
          <w:rFonts w:ascii="Times New Roman" w:hAnsi="Times New Roman" w:cs="Times New Roman"/>
        </w:rPr>
        <w:t xml:space="preserve">social, </w:t>
      </w:r>
      <w:r w:rsidR="00A90EEB" w:rsidRPr="005F691C">
        <w:rPr>
          <w:rFonts w:ascii="Times New Roman" w:hAnsi="Times New Roman" w:cs="Times New Roman"/>
        </w:rPr>
        <w:t xml:space="preserve">and </w:t>
      </w:r>
      <w:r w:rsidRPr="005F691C">
        <w:rPr>
          <w:rFonts w:ascii="Times New Roman" w:hAnsi="Times New Roman" w:cs="Times New Roman"/>
        </w:rPr>
        <w:t>political spheres, the British counterinsurgency forces were able to gain the trust and loyalty of large portions of the Catholic population, thus establishing a legitimate rule of law and alienating the IRA from their recruit base.</w:t>
      </w:r>
    </w:p>
    <w:p w14:paraId="467364C3" w14:textId="3FB30947" w:rsidR="00580699" w:rsidRPr="005F691C" w:rsidRDefault="00201586"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Pr>
          <w:rFonts w:ascii="Times New Roman" w:hAnsi="Times New Roman" w:cs="Times New Roman"/>
        </w:rPr>
        <w:t>In this situation, legitimacy is gained through demonstrating a dedication to addressing the grievances of the affected population, and finding adequate solutions which are enacted and effective.</w:t>
      </w:r>
      <w:r w:rsidR="00580699" w:rsidRPr="005F691C">
        <w:rPr>
          <w:rFonts w:ascii="Times New Roman" w:hAnsi="Times New Roman" w:cs="Times New Roman"/>
        </w:rPr>
        <w:t xml:space="preserve"> </w:t>
      </w:r>
    </w:p>
    <w:p w14:paraId="3384A343" w14:textId="09F8438D" w:rsidR="00A90EEB" w:rsidRPr="005F691C" w:rsidRDefault="00A90EEB"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From the above analysis, the following causal relationship can be determined:</w:t>
      </w:r>
    </w:p>
    <w:p w14:paraId="53ED7703" w14:textId="1109971F" w:rsidR="00580699" w:rsidRPr="005F691C" w:rsidRDefault="00A90EEB"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b/>
          <w:u w:val="single"/>
        </w:rPr>
        <w:t>Causal Relationship 2</w:t>
      </w:r>
      <w:r w:rsidRPr="005F691C">
        <w:rPr>
          <w:rFonts w:ascii="Times New Roman" w:hAnsi="Times New Roman" w:cs="Times New Roman"/>
        </w:rPr>
        <w:t>:</w:t>
      </w:r>
      <w:r w:rsidR="00580699" w:rsidRPr="005F691C">
        <w:rPr>
          <w:rFonts w:ascii="Times New Roman" w:hAnsi="Times New Roman" w:cs="Times New Roman"/>
        </w:rPr>
        <w:t xml:space="preserve"> </w:t>
      </w:r>
      <w:r w:rsidRPr="005F691C">
        <w:rPr>
          <w:rFonts w:ascii="Times New Roman" w:hAnsi="Times New Roman" w:cs="Times New Roman"/>
        </w:rPr>
        <w:t>If there exists a</w:t>
      </w:r>
      <w:r w:rsidR="00580699" w:rsidRPr="005F691C">
        <w:rPr>
          <w:rFonts w:ascii="Times New Roman" w:hAnsi="Times New Roman" w:cs="Times New Roman"/>
        </w:rPr>
        <w:t xml:space="preserve"> specified ideology </w:t>
      </w:r>
      <w:r w:rsidR="002B6E07" w:rsidRPr="005F691C">
        <w:rPr>
          <w:rFonts w:ascii="Times New Roman" w:hAnsi="Times New Roman" w:cs="Times New Roman"/>
        </w:rPr>
        <w:t>within a</w:t>
      </w:r>
      <w:r w:rsidR="00580699" w:rsidRPr="005F691C">
        <w:rPr>
          <w:rFonts w:ascii="Times New Roman" w:hAnsi="Times New Roman" w:cs="Times New Roman"/>
        </w:rPr>
        <w:t xml:space="preserve"> state-centric insurgency</w:t>
      </w:r>
      <w:r w:rsidR="002B6E07" w:rsidRPr="005F691C">
        <w:rPr>
          <w:rFonts w:ascii="Times New Roman" w:hAnsi="Times New Roman" w:cs="Times New Roman"/>
        </w:rPr>
        <w:t>, then this</w:t>
      </w:r>
      <w:r w:rsidR="00580699" w:rsidRPr="005F691C">
        <w:rPr>
          <w:rFonts w:ascii="Times New Roman" w:hAnsi="Times New Roman" w:cs="Times New Roman"/>
        </w:rPr>
        <w:t xml:space="preserve"> will allow for the counterinsurgency forces to implement a legitimate rule of law due to the fact that they will be able to address the concerns of the insurgency, as well as </w:t>
      </w:r>
      <w:r w:rsidR="00201586">
        <w:rPr>
          <w:rFonts w:ascii="Times New Roman" w:hAnsi="Times New Roman" w:cs="Times New Roman"/>
        </w:rPr>
        <w:t>achieve the</w:t>
      </w:r>
      <w:r w:rsidR="002B6E07" w:rsidRPr="005F691C">
        <w:rPr>
          <w:rFonts w:ascii="Times New Roman" w:hAnsi="Times New Roman" w:cs="Times New Roman"/>
        </w:rPr>
        <w:t xml:space="preserve"> desired outcomes </w:t>
      </w:r>
      <w:r w:rsidR="00201586">
        <w:rPr>
          <w:rFonts w:ascii="Times New Roman" w:hAnsi="Times New Roman" w:cs="Times New Roman"/>
        </w:rPr>
        <w:t xml:space="preserve">of the insurgency </w:t>
      </w:r>
      <w:r w:rsidR="00580699" w:rsidRPr="005F691C">
        <w:rPr>
          <w:rFonts w:ascii="Times New Roman" w:hAnsi="Times New Roman" w:cs="Times New Roman"/>
        </w:rPr>
        <w:t xml:space="preserve">(a change in the </w:t>
      </w:r>
      <w:r w:rsidR="002B6E07" w:rsidRPr="005F691C">
        <w:rPr>
          <w:rFonts w:ascii="Times New Roman" w:hAnsi="Times New Roman" w:cs="Times New Roman"/>
        </w:rPr>
        <w:t xml:space="preserve">economic, </w:t>
      </w:r>
      <w:r w:rsidR="00580699" w:rsidRPr="005F691C">
        <w:rPr>
          <w:rFonts w:ascii="Times New Roman" w:hAnsi="Times New Roman" w:cs="Times New Roman"/>
        </w:rPr>
        <w:t xml:space="preserve">political, </w:t>
      </w:r>
      <w:r w:rsidR="002B6E07" w:rsidRPr="005F691C">
        <w:rPr>
          <w:rFonts w:ascii="Times New Roman" w:hAnsi="Times New Roman" w:cs="Times New Roman"/>
        </w:rPr>
        <w:t xml:space="preserve">or </w:t>
      </w:r>
      <w:r w:rsidR="00580699" w:rsidRPr="005F691C">
        <w:rPr>
          <w:rFonts w:ascii="Times New Roman" w:hAnsi="Times New Roman" w:cs="Times New Roman"/>
        </w:rPr>
        <w:t xml:space="preserve">social order of the specific territory). </w:t>
      </w:r>
    </w:p>
    <w:p w14:paraId="57FB96B0" w14:textId="6517CBB7" w:rsidR="00580699" w:rsidRPr="005F691C" w:rsidRDefault="00580699" w:rsidP="00AE6313">
      <w:pPr>
        <w:pStyle w:val="ListParagraph"/>
        <w:widowControl w:val="0"/>
        <w:numPr>
          <w:ilvl w:val="2"/>
          <w:numId w:val="42"/>
        </w:numPr>
        <w:tabs>
          <w:tab w:val="left" w:pos="-1134"/>
        </w:tabs>
        <w:autoSpaceDE w:val="0"/>
        <w:autoSpaceDN w:val="0"/>
        <w:adjustRightInd w:val="0"/>
        <w:spacing w:after="240" w:line="360" w:lineRule="auto"/>
        <w:ind w:right="-631"/>
        <w:jc w:val="both"/>
        <w:rPr>
          <w:rFonts w:ascii="Times New Roman" w:hAnsi="Times New Roman" w:cs="Times New Roman"/>
          <w:b/>
          <w:u w:val="single"/>
        </w:rPr>
      </w:pPr>
      <w:r w:rsidRPr="005F691C">
        <w:rPr>
          <w:rFonts w:ascii="Times New Roman" w:hAnsi="Times New Roman" w:cs="Times New Roman"/>
          <w:b/>
          <w:u w:val="single"/>
        </w:rPr>
        <w:t>Legitimization of the Government in Control</w:t>
      </w:r>
    </w:p>
    <w:p w14:paraId="69D0CDA7" w14:textId="1DB0FBAD" w:rsidR="00580699" w:rsidRPr="005F691C" w:rsidRDefault="00580699"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b/>
          <w:u w:val="single"/>
        </w:rPr>
      </w:pPr>
      <w:r w:rsidRPr="005F691C">
        <w:rPr>
          <w:rFonts w:ascii="Times New Roman" w:hAnsi="Times New Roman" w:cs="Times New Roman"/>
        </w:rPr>
        <w:t>Much like the legitimate implementation of the r</w:t>
      </w:r>
      <w:r w:rsidR="002B6E07" w:rsidRPr="005F691C">
        <w:rPr>
          <w:rFonts w:ascii="Times New Roman" w:hAnsi="Times New Roman" w:cs="Times New Roman"/>
        </w:rPr>
        <w:t>ule of law, the legitimis</w:t>
      </w:r>
      <w:r w:rsidRPr="005F691C">
        <w:rPr>
          <w:rFonts w:ascii="Times New Roman" w:hAnsi="Times New Roman" w:cs="Times New Roman"/>
        </w:rPr>
        <w:t xml:space="preserve">ation of the government, or forces, in control relies on the ability of that ruling party to gain the trust and confidence of the population and to enforce a regime that the insurgency finds acceptable and sees as a remedy to their specific grievances. A hostile implementation of rule of law without demonstrating adequate regard for the grievances of the population will result in further </w:t>
      </w:r>
      <w:r w:rsidR="002B6E07" w:rsidRPr="005F691C">
        <w:rPr>
          <w:rFonts w:ascii="Times New Roman" w:hAnsi="Times New Roman" w:cs="Times New Roman"/>
        </w:rPr>
        <w:t>antagonism</w:t>
      </w:r>
      <w:r w:rsidRPr="005F691C">
        <w:rPr>
          <w:rFonts w:ascii="Times New Roman" w:hAnsi="Times New Roman" w:cs="Times New Roman"/>
        </w:rPr>
        <w:t xml:space="preserve"> and action taken in retaliation. The key elements of counterinsurgency as identified by Thompson are impleme</w:t>
      </w:r>
      <w:r w:rsidR="002B6E07" w:rsidRPr="005F691C">
        <w:rPr>
          <w:rFonts w:ascii="Times New Roman" w:hAnsi="Times New Roman" w:cs="Times New Roman"/>
        </w:rPr>
        <w:t>nted in the attempt to legitimis</w:t>
      </w:r>
      <w:r w:rsidRPr="005F691C">
        <w:rPr>
          <w:rFonts w:ascii="Times New Roman" w:hAnsi="Times New Roman" w:cs="Times New Roman"/>
        </w:rPr>
        <w:t xml:space="preserve">e the rule of law. These are that the government </w:t>
      </w:r>
      <w:r w:rsidR="002B6E07" w:rsidRPr="005F691C">
        <w:rPr>
          <w:rFonts w:ascii="Times New Roman" w:hAnsi="Times New Roman" w:cs="Times New Roman"/>
        </w:rPr>
        <w:t>must have a clear political aim</w:t>
      </w:r>
      <w:r w:rsidRPr="005F691C">
        <w:rPr>
          <w:rFonts w:ascii="Times New Roman" w:hAnsi="Times New Roman" w:cs="Times New Roman"/>
        </w:rPr>
        <w:t xml:space="preserve"> to establish and maintain a free, independent and united country which is politically and economically stable and viable, the government must function in accordance with the law and the government must have an overall plan.</w:t>
      </w:r>
      <w:r w:rsidRPr="005F691C">
        <w:rPr>
          <w:rStyle w:val="FootnoteReference"/>
          <w:rFonts w:ascii="Times New Roman" w:hAnsi="Times New Roman" w:cs="Times New Roman"/>
          <w:i/>
        </w:rPr>
        <w:t xml:space="preserve"> </w:t>
      </w:r>
      <w:r w:rsidRPr="005F691C">
        <w:rPr>
          <w:rStyle w:val="FootnoteReference"/>
          <w:rFonts w:ascii="Times New Roman" w:hAnsi="Times New Roman" w:cs="Times New Roman"/>
          <w:i/>
        </w:rPr>
        <w:footnoteReference w:id="222"/>
      </w:r>
      <w:r w:rsidRPr="005F691C">
        <w:rPr>
          <w:rFonts w:ascii="Times New Roman" w:hAnsi="Times New Roman" w:cs="Times New Roman"/>
        </w:rPr>
        <w:t xml:space="preserve"> Most importantly, Thompson identified one of the key ways of ensuring success is that the government must give priority to defeating the political subversion, not the guerrilla.</w:t>
      </w:r>
      <w:r w:rsidRPr="005F691C">
        <w:rPr>
          <w:rStyle w:val="FootnoteReference"/>
          <w:rFonts w:ascii="Times New Roman" w:hAnsi="Times New Roman" w:cs="Times New Roman"/>
        </w:rPr>
        <w:footnoteReference w:id="223"/>
      </w:r>
      <w:r w:rsidRPr="005F691C">
        <w:rPr>
          <w:rFonts w:ascii="Times New Roman" w:hAnsi="Times New Roman" w:cs="Times New Roman"/>
        </w:rPr>
        <w:t xml:space="preserve"> </w:t>
      </w:r>
    </w:p>
    <w:p w14:paraId="0A6E7935" w14:textId="2296DF2D" w:rsidR="00580699" w:rsidRPr="005F691C" w:rsidRDefault="00580699"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 xml:space="preserve">The state-centric element of an insurgency, which specifies the will to overthrow the existing government, rests on the fundamental belief by the insurgents that the current regime </w:t>
      </w:r>
      <w:r w:rsidR="00201586">
        <w:rPr>
          <w:rFonts w:ascii="Times New Roman" w:hAnsi="Times New Roman" w:cs="Times New Roman"/>
        </w:rPr>
        <w:t xml:space="preserve">in </w:t>
      </w:r>
      <w:r w:rsidRPr="005F691C">
        <w:rPr>
          <w:rFonts w:ascii="Times New Roman" w:hAnsi="Times New Roman" w:cs="Times New Roman"/>
        </w:rPr>
        <w:t xml:space="preserve">control is inadequately addressing the concerns of the people, and has thus lost its legitimacy. The British counterinsurgency forces, in collaboration with the Dublin authorities, were able to remedy this concern of the IRA by addressing the </w:t>
      </w:r>
      <w:r w:rsidR="002B6E07" w:rsidRPr="005F691C">
        <w:rPr>
          <w:rFonts w:ascii="Times New Roman" w:hAnsi="Times New Roman" w:cs="Times New Roman"/>
        </w:rPr>
        <w:t xml:space="preserve">economic, </w:t>
      </w:r>
      <w:r w:rsidRPr="005F691C">
        <w:rPr>
          <w:rFonts w:ascii="Times New Roman" w:hAnsi="Times New Roman" w:cs="Times New Roman"/>
        </w:rPr>
        <w:t xml:space="preserve">social, </w:t>
      </w:r>
      <w:r w:rsidR="002B6E07" w:rsidRPr="005F691C">
        <w:rPr>
          <w:rFonts w:ascii="Times New Roman" w:hAnsi="Times New Roman" w:cs="Times New Roman"/>
        </w:rPr>
        <w:t xml:space="preserve">and </w:t>
      </w:r>
      <w:r w:rsidRPr="005F691C">
        <w:rPr>
          <w:rFonts w:ascii="Times New Roman" w:hAnsi="Times New Roman" w:cs="Times New Roman"/>
        </w:rPr>
        <w:t xml:space="preserve">political grievances of the Catholic population. </w:t>
      </w:r>
    </w:p>
    <w:p w14:paraId="4B2C8B31" w14:textId="5504AA02" w:rsidR="00580699" w:rsidRPr="005F691C" w:rsidRDefault="00580699"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It is thus observable that those British social programs, political reforms, and the diplomatic initiatives within Northern Ireland brought about a cessation of conflict in Northern Ireland, and ultimately allowed for the l</w:t>
      </w:r>
      <w:r w:rsidR="002B6E07" w:rsidRPr="005F691C">
        <w:rPr>
          <w:rFonts w:ascii="Times New Roman" w:hAnsi="Times New Roman" w:cs="Times New Roman"/>
        </w:rPr>
        <w:t>egitimis</w:t>
      </w:r>
      <w:r w:rsidRPr="005F691C">
        <w:rPr>
          <w:rFonts w:ascii="Times New Roman" w:hAnsi="Times New Roman" w:cs="Times New Roman"/>
        </w:rPr>
        <w:t>ation of the ruling forces and government.</w:t>
      </w:r>
      <w:r w:rsidRPr="005F691C">
        <w:rPr>
          <w:rStyle w:val="FootnoteReference"/>
          <w:rFonts w:ascii="Times New Roman" w:hAnsi="Times New Roman" w:cs="Times New Roman"/>
        </w:rPr>
        <w:footnoteReference w:id="224"/>
      </w:r>
      <w:r w:rsidRPr="005F691C">
        <w:rPr>
          <w:rFonts w:ascii="Times New Roman" w:hAnsi="Times New Roman" w:cs="Times New Roman"/>
        </w:rPr>
        <w:t xml:space="preserve"> A demonstration by the government to show concern for the specific ideology of the IRA, and thus for the concerns of the Catholic population (or any affected portion of the population), allowed for the government to regain any lost confidence and ultimately allowed them to implement their rule effectively.</w:t>
      </w:r>
    </w:p>
    <w:p w14:paraId="6A5CD87C" w14:textId="77777777" w:rsidR="002B6E07" w:rsidRPr="005F691C" w:rsidRDefault="002B6E07"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The following causal relationship is thus determinable:</w:t>
      </w:r>
    </w:p>
    <w:p w14:paraId="06E4C5B3" w14:textId="4425ABAF" w:rsidR="00580699" w:rsidRPr="005F691C" w:rsidRDefault="002B6E07"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b/>
          <w:u w:val="single"/>
        </w:rPr>
        <w:t>Causal Relationship 3</w:t>
      </w:r>
      <w:r w:rsidRPr="005F691C">
        <w:rPr>
          <w:rFonts w:ascii="Times New Roman" w:hAnsi="Times New Roman" w:cs="Times New Roman"/>
        </w:rPr>
        <w:t xml:space="preserve">: </w:t>
      </w:r>
      <w:r w:rsidR="00580699" w:rsidRPr="005F691C">
        <w:rPr>
          <w:rFonts w:ascii="Times New Roman" w:hAnsi="Times New Roman" w:cs="Times New Roman"/>
        </w:rPr>
        <w:t xml:space="preserve"> </w:t>
      </w:r>
      <w:r w:rsidRPr="005F691C">
        <w:rPr>
          <w:rFonts w:ascii="Times New Roman" w:hAnsi="Times New Roman" w:cs="Times New Roman"/>
        </w:rPr>
        <w:t xml:space="preserve">If the </w:t>
      </w:r>
      <w:r w:rsidR="00580699" w:rsidRPr="005F691C">
        <w:rPr>
          <w:rFonts w:ascii="Times New Roman" w:hAnsi="Times New Roman" w:cs="Times New Roman"/>
        </w:rPr>
        <w:t>state-centric insurgency</w:t>
      </w:r>
      <w:r w:rsidRPr="005F691C">
        <w:rPr>
          <w:rFonts w:ascii="Times New Roman" w:hAnsi="Times New Roman" w:cs="Times New Roman"/>
        </w:rPr>
        <w:t xml:space="preserve"> has the will</w:t>
      </w:r>
      <w:r w:rsidR="00580699" w:rsidRPr="005F691C">
        <w:rPr>
          <w:rFonts w:ascii="Times New Roman" w:hAnsi="Times New Roman" w:cs="Times New Roman"/>
        </w:rPr>
        <w:t xml:space="preserve"> to overthrow the government in control</w:t>
      </w:r>
      <w:r w:rsidRPr="005F691C">
        <w:rPr>
          <w:rFonts w:ascii="Times New Roman" w:hAnsi="Times New Roman" w:cs="Times New Roman"/>
        </w:rPr>
        <w:t xml:space="preserve"> for specific economic, social or political restructuring, then this</w:t>
      </w:r>
      <w:r w:rsidR="00580699" w:rsidRPr="005F691C">
        <w:rPr>
          <w:rFonts w:ascii="Times New Roman" w:hAnsi="Times New Roman" w:cs="Times New Roman"/>
        </w:rPr>
        <w:t xml:space="preserve"> can be remedied by addressing the specific concerns </w:t>
      </w:r>
      <w:r w:rsidRPr="005F691C">
        <w:rPr>
          <w:rFonts w:ascii="Times New Roman" w:hAnsi="Times New Roman" w:cs="Times New Roman"/>
        </w:rPr>
        <w:t xml:space="preserve">of the affected population and </w:t>
      </w:r>
      <w:r w:rsidR="00580699" w:rsidRPr="005F691C">
        <w:rPr>
          <w:rFonts w:ascii="Times New Roman" w:hAnsi="Times New Roman" w:cs="Times New Roman"/>
        </w:rPr>
        <w:t xml:space="preserve">allowing them to view the government </w:t>
      </w:r>
      <w:r w:rsidR="00201586">
        <w:rPr>
          <w:rFonts w:ascii="Times New Roman" w:hAnsi="Times New Roman" w:cs="Times New Roman"/>
        </w:rPr>
        <w:t>as l</w:t>
      </w:r>
      <w:r w:rsidR="00580699" w:rsidRPr="005F691C">
        <w:rPr>
          <w:rFonts w:ascii="Times New Roman" w:hAnsi="Times New Roman" w:cs="Times New Roman"/>
        </w:rPr>
        <w:t xml:space="preserve">egitimate, where there is no longer room for the specific ideology based on the will to achieve social, political and economic reform. </w:t>
      </w:r>
    </w:p>
    <w:p w14:paraId="6CF23333" w14:textId="6E2C5F34" w:rsidR="002E5D42" w:rsidRPr="005F691C" w:rsidRDefault="00580699" w:rsidP="00AE6313">
      <w:pPr>
        <w:pStyle w:val="ListParagraph"/>
        <w:widowControl w:val="0"/>
        <w:numPr>
          <w:ilvl w:val="2"/>
          <w:numId w:val="42"/>
        </w:numPr>
        <w:tabs>
          <w:tab w:val="left" w:pos="-1134"/>
        </w:tabs>
        <w:autoSpaceDE w:val="0"/>
        <w:autoSpaceDN w:val="0"/>
        <w:adjustRightInd w:val="0"/>
        <w:spacing w:after="240" w:line="360" w:lineRule="auto"/>
        <w:ind w:right="-631"/>
        <w:jc w:val="both"/>
        <w:rPr>
          <w:rFonts w:ascii="Times New Roman" w:hAnsi="Times New Roman" w:cs="Times New Roman"/>
          <w:b/>
          <w:u w:val="single"/>
        </w:rPr>
      </w:pPr>
      <w:r w:rsidRPr="005F691C">
        <w:rPr>
          <w:rFonts w:ascii="Times New Roman" w:hAnsi="Times New Roman" w:cs="Times New Roman"/>
          <w:b/>
          <w:u w:val="single"/>
        </w:rPr>
        <w:t>Revisions and Remedy of Grievances</w:t>
      </w:r>
    </w:p>
    <w:p w14:paraId="6692908B" w14:textId="77777777" w:rsidR="002E5D42" w:rsidRPr="005F691C" w:rsidRDefault="002E5D42" w:rsidP="002E5D42">
      <w:pPr>
        <w:pStyle w:val="ListParagraph"/>
        <w:widowControl w:val="0"/>
        <w:tabs>
          <w:tab w:val="left" w:pos="-1134"/>
        </w:tabs>
        <w:autoSpaceDE w:val="0"/>
        <w:autoSpaceDN w:val="0"/>
        <w:adjustRightInd w:val="0"/>
        <w:spacing w:after="240" w:line="360" w:lineRule="auto"/>
        <w:ind w:left="-567" w:right="-631"/>
        <w:jc w:val="both"/>
        <w:rPr>
          <w:rFonts w:ascii="Times New Roman" w:hAnsi="Times New Roman" w:cs="Times New Roman"/>
          <w:b/>
          <w:u w:val="single"/>
        </w:rPr>
      </w:pPr>
    </w:p>
    <w:p w14:paraId="1F728CEB" w14:textId="2BD03439" w:rsidR="00580699" w:rsidRDefault="00580699" w:rsidP="002E5D42">
      <w:pPr>
        <w:pStyle w:val="ListParagraph"/>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 xml:space="preserve">The British counterinsurgency forces were successful in both identifying and remedying the basic grievances of the people, and the IRA, which sparked the insurgency in Northern Ireland. Once Britain suspended the Stormont Parliament, which had been in control of Northern Ireland during the insurgency years, and </w:t>
      </w:r>
      <w:r w:rsidR="00201586">
        <w:rPr>
          <w:rFonts w:ascii="Times New Roman" w:hAnsi="Times New Roman" w:cs="Times New Roman"/>
        </w:rPr>
        <w:t>took control of</w:t>
      </w:r>
      <w:r w:rsidRPr="005F691C">
        <w:rPr>
          <w:rFonts w:ascii="Times New Roman" w:hAnsi="Times New Roman" w:cs="Times New Roman"/>
        </w:rPr>
        <w:t xml:space="preserve"> Northern Ireland, it correctly identified the long-term solution to the insurgency as social reform.</w:t>
      </w:r>
      <w:r w:rsidRPr="005F691C">
        <w:rPr>
          <w:rStyle w:val="FootnoteReference"/>
          <w:rFonts w:ascii="Times New Roman" w:hAnsi="Times New Roman" w:cs="Times New Roman"/>
        </w:rPr>
        <w:footnoteReference w:id="225"/>
      </w:r>
      <w:r w:rsidRPr="005F691C">
        <w:rPr>
          <w:rFonts w:ascii="Times New Roman" w:hAnsi="Times New Roman" w:cs="Times New Roman"/>
        </w:rPr>
        <w:t xml:space="preserve"> In the long-term, the British forces aimed to remedy the political grievances of the Catholic population by reforming the election process of Northern Ireland. Once again, this indicator of success directly links to the key element identified by Thompson, as the government must give priority to defeating the political subversion, not the guerrilla.</w:t>
      </w:r>
      <w:r w:rsidRPr="005F691C">
        <w:rPr>
          <w:rStyle w:val="FootnoteReference"/>
          <w:rFonts w:ascii="Times New Roman" w:hAnsi="Times New Roman" w:cs="Times New Roman"/>
        </w:rPr>
        <w:footnoteReference w:id="226"/>
      </w:r>
      <w:r w:rsidRPr="005F691C">
        <w:rPr>
          <w:rFonts w:ascii="Times New Roman" w:hAnsi="Times New Roman" w:cs="Times New Roman"/>
        </w:rPr>
        <w:t xml:space="preserve"> </w:t>
      </w:r>
    </w:p>
    <w:p w14:paraId="1F511581" w14:textId="77777777" w:rsidR="00201586" w:rsidRDefault="00201586" w:rsidP="002E5D42">
      <w:pPr>
        <w:pStyle w:val="ListParagraph"/>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p>
    <w:p w14:paraId="599ACC49" w14:textId="77777777" w:rsidR="00201586" w:rsidRPr="005F691C" w:rsidRDefault="00201586" w:rsidP="0020158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London directed the political process and allocation of resources to the Catholic population. In the decade following direct rule, public spending drastically increased. Social security was greatly increased to cope with the rise in unemployment, violence, and underdevelopment.</w:t>
      </w:r>
      <w:r w:rsidRPr="005F691C">
        <w:rPr>
          <w:rStyle w:val="FootnoteReference"/>
          <w:rFonts w:ascii="Times New Roman" w:hAnsi="Times New Roman" w:cs="Times New Roman"/>
        </w:rPr>
        <w:footnoteReference w:id="227"/>
      </w:r>
      <w:r w:rsidRPr="005F691C">
        <w:rPr>
          <w:rFonts w:ascii="Times New Roman" w:hAnsi="Times New Roman" w:cs="Times New Roman"/>
        </w:rPr>
        <w:t xml:space="preserve"> In the long-term, the British forces aimed to remedy the political grievances of the Catholic population by reforming the election processes of Northern Ireland.</w:t>
      </w:r>
    </w:p>
    <w:p w14:paraId="04B2C777" w14:textId="2065BE85" w:rsidR="00201586" w:rsidRPr="00201586" w:rsidRDefault="00201586" w:rsidP="0020158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It took longer than anticipated to reform local government after the imposition of direct rule, but in spring 1973 the first District Council elections were held under revised procedures.</w:t>
      </w:r>
      <w:r w:rsidRPr="005F691C">
        <w:rPr>
          <w:rStyle w:val="FootnoteReference"/>
          <w:rFonts w:ascii="Times New Roman" w:hAnsi="Times New Roman" w:cs="Times New Roman"/>
        </w:rPr>
        <w:footnoteReference w:id="228"/>
      </w:r>
      <w:r w:rsidRPr="005F691C">
        <w:rPr>
          <w:rFonts w:ascii="Times New Roman" w:hAnsi="Times New Roman" w:cs="Times New Roman"/>
        </w:rPr>
        <w:t xml:space="preserve"> A return to proportional representation, which had been eliminated in order to ensure Protestant victory, enabled the Catholic minority parties to win more seats than under the previous system. This reform thus brought more Catholic representation to District Councils, which had influence over employment in government service jobs. The political </w:t>
      </w:r>
      <w:r w:rsidR="007A0AA6">
        <w:rPr>
          <w:rFonts w:ascii="Times New Roman" w:hAnsi="Times New Roman" w:cs="Times New Roman"/>
        </w:rPr>
        <w:t>organisation</w:t>
      </w:r>
      <w:r w:rsidRPr="005F691C">
        <w:rPr>
          <w:rFonts w:ascii="Times New Roman" w:hAnsi="Times New Roman" w:cs="Times New Roman"/>
        </w:rPr>
        <w:t xml:space="preserve"> underwent a substantial restructuring.</w:t>
      </w:r>
      <w:r w:rsidRPr="005F691C">
        <w:rPr>
          <w:rStyle w:val="FootnoteReference"/>
          <w:rFonts w:ascii="Times New Roman" w:hAnsi="Times New Roman" w:cs="Times New Roman"/>
        </w:rPr>
        <w:footnoteReference w:id="229"/>
      </w:r>
    </w:p>
    <w:p w14:paraId="0894D7C9" w14:textId="6D703DC1" w:rsidR="00580699" w:rsidRPr="005F691C" w:rsidRDefault="00580699"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 xml:space="preserve">This identification of grievances and the ability to successfully address them is directly linked to the state-centric insurgency through the fact that it is territory bound and follows a specific ideology. The territory of the insurgency is important as it provides the counterinsurgency forces with </w:t>
      </w:r>
      <w:r w:rsidR="002B6E07" w:rsidRPr="005F691C">
        <w:rPr>
          <w:rFonts w:ascii="Times New Roman" w:hAnsi="Times New Roman" w:cs="Times New Roman"/>
        </w:rPr>
        <w:t xml:space="preserve">a </w:t>
      </w:r>
      <w:r w:rsidRPr="005F691C">
        <w:rPr>
          <w:rFonts w:ascii="Times New Roman" w:hAnsi="Times New Roman" w:cs="Times New Roman"/>
        </w:rPr>
        <w:t xml:space="preserve">firm and governable area, which can be directly affected by any changes made, and it </w:t>
      </w:r>
      <w:r w:rsidR="00201586">
        <w:rPr>
          <w:rFonts w:ascii="Times New Roman" w:hAnsi="Times New Roman" w:cs="Times New Roman"/>
        </w:rPr>
        <w:t xml:space="preserve">is </w:t>
      </w:r>
      <w:r w:rsidRPr="005F691C">
        <w:rPr>
          <w:rFonts w:ascii="Times New Roman" w:hAnsi="Times New Roman" w:cs="Times New Roman"/>
        </w:rPr>
        <w:t xml:space="preserve">easier for the governing forces to enforce change and make sure it reaches as many concerned individuals as possible. If a specific territory does not bind the insurgency, it becomes almost impossible for the government, or ruling forces, to ensure that reforms will be implemented, and thus there is no guarantee that the will to accomplish social, political or economic change will be addressed. </w:t>
      </w:r>
    </w:p>
    <w:p w14:paraId="67960540" w14:textId="77777777" w:rsidR="008F4C36" w:rsidRPr="005F691C" w:rsidRDefault="008F4C36" w:rsidP="008F4C3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Another grievance dealt with by the British forces was the issue of unequal opportunity in employment, which led to feelings of inequality through barriers that disadvantaged the Catholic minority. These inequalities were based on religious bias in both public and private sectors.</w:t>
      </w:r>
      <w:r w:rsidRPr="005F691C">
        <w:rPr>
          <w:rStyle w:val="FootnoteReference"/>
          <w:rFonts w:ascii="Times New Roman" w:hAnsi="Times New Roman" w:cs="Times New Roman"/>
        </w:rPr>
        <w:footnoteReference w:id="230"/>
      </w:r>
      <w:r w:rsidRPr="005F691C">
        <w:rPr>
          <w:rFonts w:ascii="Times New Roman" w:hAnsi="Times New Roman" w:cs="Times New Roman"/>
        </w:rPr>
        <w:t xml:space="preserve"> To remedy employment discrimination, the British government established the Fair Employment Agency in 1976. Its investigations revealed that in civil service, banking, universities, and various other firms there was in fact a clear discrimination against the Catholic population and Protestants were in greater favour.</w:t>
      </w:r>
      <w:r w:rsidRPr="005F691C">
        <w:rPr>
          <w:rStyle w:val="FootnoteReference"/>
          <w:rFonts w:ascii="Times New Roman" w:hAnsi="Times New Roman" w:cs="Times New Roman"/>
        </w:rPr>
        <w:footnoteReference w:id="231"/>
      </w:r>
      <w:r w:rsidRPr="005F691C">
        <w:rPr>
          <w:rFonts w:ascii="Times New Roman" w:hAnsi="Times New Roman" w:cs="Times New Roman"/>
        </w:rPr>
        <w:t xml:space="preserve"> It determined that employers must provide equality of opportunity to the minority population. The Fair Employment Act imposed no formal quotas, but it strengthened the Fair Employment Commission, which oversaw hiring practices, making discrimination unacceptable among employers by requiring employers to monitor the composition of their workforce.</w:t>
      </w:r>
      <w:r w:rsidRPr="005F691C">
        <w:rPr>
          <w:rStyle w:val="FootnoteReference"/>
          <w:rFonts w:ascii="Times New Roman" w:hAnsi="Times New Roman" w:cs="Times New Roman"/>
        </w:rPr>
        <w:footnoteReference w:id="232"/>
      </w:r>
    </w:p>
    <w:p w14:paraId="0B17048A" w14:textId="20FC3B6A" w:rsidR="008F4C36" w:rsidRPr="005F691C" w:rsidRDefault="008F4C36" w:rsidP="008F4C3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Thus, it is observable that the success of revision and remedying of grievances is linked to the ability of the counterinsurgenc</w:t>
      </w:r>
      <w:r w:rsidR="002B6E07" w:rsidRPr="005F691C">
        <w:rPr>
          <w:rFonts w:ascii="Times New Roman" w:hAnsi="Times New Roman" w:cs="Times New Roman"/>
        </w:rPr>
        <w:t xml:space="preserve">y forces </w:t>
      </w:r>
      <w:r w:rsidR="007A0AA6">
        <w:rPr>
          <w:rFonts w:ascii="Times New Roman" w:hAnsi="Times New Roman" w:cs="Times New Roman"/>
        </w:rPr>
        <w:t xml:space="preserve">and the </w:t>
      </w:r>
      <w:r w:rsidRPr="005F691C">
        <w:rPr>
          <w:rFonts w:ascii="Times New Roman" w:hAnsi="Times New Roman" w:cs="Times New Roman"/>
        </w:rPr>
        <w:t xml:space="preserve">government to implement these reforms. The identification of reforms is directly linked to the specific ideology of the insurgency, which is more coherent and defined within a state-centric insurgency and is limited to </w:t>
      </w:r>
      <w:r w:rsidR="002B6E07" w:rsidRPr="005F691C">
        <w:rPr>
          <w:rFonts w:ascii="Times New Roman" w:hAnsi="Times New Roman" w:cs="Times New Roman"/>
        </w:rPr>
        <w:t xml:space="preserve">economic, social, and </w:t>
      </w:r>
      <w:r w:rsidRPr="005F691C">
        <w:rPr>
          <w:rFonts w:ascii="Times New Roman" w:hAnsi="Times New Roman" w:cs="Times New Roman"/>
        </w:rPr>
        <w:t xml:space="preserve">political reforms, which are all under government control (rather than religious reforms, which will be addressed under the case study of Iraq). Furthermore, these reforms are easier to implement within one specific territory, where the government can be focused and achieve such reform without having to consult other governments, or rule enforcers. </w:t>
      </w:r>
    </w:p>
    <w:p w14:paraId="325E84FC" w14:textId="77777777" w:rsidR="002B6E07" w:rsidRPr="005F691C" w:rsidRDefault="002B6E07"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The following causal relationship is thus determinable:</w:t>
      </w:r>
    </w:p>
    <w:p w14:paraId="06E7EC2C" w14:textId="2B6F03D4" w:rsidR="002E5D42" w:rsidRPr="005F691C" w:rsidRDefault="002B6E07" w:rsidP="00D85A8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b/>
          <w:u w:val="single"/>
        </w:rPr>
        <w:t>Causal Relationship 4:</w:t>
      </w:r>
      <w:r w:rsidRPr="005F691C">
        <w:rPr>
          <w:rFonts w:ascii="Times New Roman" w:hAnsi="Times New Roman" w:cs="Times New Roman"/>
        </w:rPr>
        <w:t xml:space="preserve"> If there exists</w:t>
      </w:r>
      <w:r w:rsidR="00580699" w:rsidRPr="005F691C">
        <w:rPr>
          <w:rFonts w:ascii="Times New Roman" w:hAnsi="Times New Roman" w:cs="Times New Roman"/>
        </w:rPr>
        <w:t xml:space="preserve"> </w:t>
      </w:r>
      <w:r w:rsidRPr="005F691C">
        <w:rPr>
          <w:rFonts w:ascii="Times New Roman" w:hAnsi="Times New Roman" w:cs="Times New Roman"/>
        </w:rPr>
        <w:t xml:space="preserve">the </w:t>
      </w:r>
      <w:r w:rsidR="00580699" w:rsidRPr="005F691C">
        <w:rPr>
          <w:rFonts w:ascii="Times New Roman" w:hAnsi="Times New Roman" w:cs="Times New Roman"/>
        </w:rPr>
        <w:t xml:space="preserve">state-centric </w:t>
      </w:r>
      <w:r w:rsidRPr="005F691C">
        <w:rPr>
          <w:rFonts w:ascii="Times New Roman" w:hAnsi="Times New Roman" w:cs="Times New Roman"/>
        </w:rPr>
        <w:t xml:space="preserve">insurgency </w:t>
      </w:r>
      <w:r w:rsidR="00580699" w:rsidRPr="005F691C">
        <w:rPr>
          <w:rFonts w:ascii="Times New Roman" w:hAnsi="Times New Roman" w:cs="Times New Roman"/>
        </w:rPr>
        <w:t xml:space="preserve">elements of a specified ideology, with a will to achieve change in the </w:t>
      </w:r>
      <w:r w:rsidRPr="005F691C">
        <w:rPr>
          <w:rFonts w:ascii="Times New Roman" w:hAnsi="Times New Roman" w:cs="Times New Roman"/>
        </w:rPr>
        <w:t xml:space="preserve">economic, </w:t>
      </w:r>
      <w:r w:rsidR="00580699" w:rsidRPr="005F691C">
        <w:rPr>
          <w:rFonts w:ascii="Times New Roman" w:hAnsi="Times New Roman" w:cs="Times New Roman"/>
        </w:rPr>
        <w:t xml:space="preserve">social, </w:t>
      </w:r>
      <w:r w:rsidRPr="005F691C">
        <w:rPr>
          <w:rFonts w:ascii="Times New Roman" w:hAnsi="Times New Roman" w:cs="Times New Roman"/>
        </w:rPr>
        <w:t xml:space="preserve">or political </w:t>
      </w:r>
      <w:r w:rsidR="007A0AA6">
        <w:rPr>
          <w:rFonts w:ascii="Times New Roman" w:hAnsi="Times New Roman" w:cs="Times New Roman"/>
        </w:rPr>
        <w:t xml:space="preserve">spheres </w:t>
      </w:r>
      <w:r w:rsidRPr="005F691C">
        <w:rPr>
          <w:rFonts w:ascii="Times New Roman" w:hAnsi="Times New Roman" w:cs="Times New Roman"/>
        </w:rPr>
        <w:t xml:space="preserve">within a specified territory, then </w:t>
      </w:r>
      <w:r w:rsidR="00AE6313">
        <w:rPr>
          <w:rFonts w:ascii="Times New Roman" w:hAnsi="Times New Roman" w:cs="Times New Roman"/>
        </w:rPr>
        <w:t>it is possible to</w:t>
      </w:r>
      <w:r w:rsidR="007A0AA6">
        <w:rPr>
          <w:rFonts w:ascii="Times New Roman" w:hAnsi="Times New Roman" w:cs="Times New Roman"/>
        </w:rPr>
        <w:t xml:space="preserve"> remedy and revise </w:t>
      </w:r>
      <w:r w:rsidRPr="005F691C">
        <w:rPr>
          <w:rFonts w:ascii="Times New Roman" w:hAnsi="Times New Roman" w:cs="Times New Roman"/>
        </w:rPr>
        <w:t xml:space="preserve">grievances. </w:t>
      </w:r>
    </w:p>
    <w:p w14:paraId="776A163F" w14:textId="6600C6B0" w:rsidR="00580699" w:rsidRPr="005F691C" w:rsidRDefault="00580699" w:rsidP="00AE6313">
      <w:pPr>
        <w:pStyle w:val="ListParagraph"/>
        <w:widowControl w:val="0"/>
        <w:numPr>
          <w:ilvl w:val="2"/>
          <w:numId w:val="42"/>
        </w:numPr>
        <w:tabs>
          <w:tab w:val="left" w:pos="-1134"/>
        </w:tabs>
        <w:autoSpaceDE w:val="0"/>
        <w:autoSpaceDN w:val="0"/>
        <w:adjustRightInd w:val="0"/>
        <w:spacing w:after="240" w:line="360" w:lineRule="auto"/>
        <w:ind w:right="-631"/>
        <w:jc w:val="both"/>
        <w:rPr>
          <w:rFonts w:ascii="Times New Roman" w:hAnsi="Times New Roman" w:cs="Times New Roman"/>
          <w:b/>
          <w:u w:val="single"/>
        </w:rPr>
      </w:pPr>
      <w:r w:rsidRPr="005F691C">
        <w:rPr>
          <w:rFonts w:ascii="Times New Roman" w:hAnsi="Times New Roman" w:cs="Times New Roman"/>
          <w:b/>
          <w:u w:val="single"/>
        </w:rPr>
        <w:t xml:space="preserve">Maintenance of Peace </w:t>
      </w:r>
    </w:p>
    <w:p w14:paraId="3BE478C1" w14:textId="66F4BE20" w:rsidR="00580699" w:rsidRPr="005F691C" w:rsidRDefault="00580699"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The key indicator of a successful counterinsurgency campaign is the ability to implement long-term peace and stability within the identified territory. By addressing the grievances of the affected population and keeping long-term stability in mind as part of this process, the counterinsurgency operation follows the key element identified by Thompson, as the government must have a clear, overall plan.</w:t>
      </w:r>
      <w:r w:rsidRPr="005F691C">
        <w:rPr>
          <w:rStyle w:val="FootnoteReference"/>
          <w:rFonts w:ascii="Times New Roman" w:hAnsi="Times New Roman" w:cs="Times New Roman"/>
        </w:rPr>
        <w:footnoteReference w:id="233"/>
      </w:r>
      <w:r w:rsidRPr="005F691C">
        <w:rPr>
          <w:rFonts w:ascii="Times New Roman" w:hAnsi="Times New Roman" w:cs="Times New Roman"/>
        </w:rPr>
        <w:t xml:space="preserve"> Having this plan in mind will allow the government to implement various reforms and address the political subversion in a more effective manner, with long-term outcomes in mind, rather than just the cessation of violence.</w:t>
      </w:r>
    </w:p>
    <w:p w14:paraId="580AB35C" w14:textId="320B3EE3" w:rsidR="008F4C36" w:rsidRPr="005F691C" w:rsidRDefault="008F4C36" w:rsidP="008F4C3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With regards to the implementation of long term peace and security there was a distinct change the attitudes of the two denominational communities toward their situation and any recommencement of violence in the region. Both Catholics and Protestants experienced a rising standard of living through the remedied grievances that had previously plagued their lives, due to the various measures employed by the British forces to address the key concerns of the population.</w:t>
      </w:r>
      <w:r w:rsidRPr="005F691C">
        <w:rPr>
          <w:rStyle w:val="FootnoteReference"/>
          <w:rFonts w:ascii="Times New Roman" w:hAnsi="Times New Roman" w:cs="Times New Roman"/>
        </w:rPr>
        <w:footnoteReference w:id="234"/>
      </w:r>
      <w:r w:rsidRPr="005F691C">
        <w:rPr>
          <w:rFonts w:ascii="Times New Roman" w:hAnsi="Times New Roman" w:cs="Times New Roman"/>
        </w:rPr>
        <w:t xml:space="preserve"> </w:t>
      </w:r>
    </w:p>
    <w:p w14:paraId="7093DAAB" w14:textId="4C352668" w:rsidR="002B6E07" w:rsidRPr="005F691C" w:rsidRDefault="002B6E07" w:rsidP="002B6E07">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Another initiative to facilitate reconciliation was the British forces’ intervention into the community relations’ arena. This activity is less quantifiable than employment figures and income levels but equally important to social rebuilding among deeply divided groups. They represent another front in the “hearts and minds” campaign. Britain aimed to improve contact and relations between Catholics and Protestants, who often lived in near-apartheid separation, to foster tolerance and cultural and social cohesion.</w:t>
      </w:r>
      <w:r w:rsidRPr="005F691C">
        <w:rPr>
          <w:rStyle w:val="FootnoteReference"/>
          <w:rFonts w:ascii="Times New Roman" w:hAnsi="Times New Roman" w:cs="Times New Roman"/>
        </w:rPr>
        <w:footnoteReference w:id="235"/>
      </w:r>
      <w:r w:rsidRPr="005F691C">
        <w:rPr>
          <w:rFonts w:ascii="Times New Roman" w:hAnsi="Times New Roman" w:cs="Times New Roman"/>
        </w:rPr>
        <w:t xml:space="preserve"> Community relations’ officers for each of the province’s 26 local districts, promoted intercommunity contact projects, created cross-culture and multi-religion youth service agencies, and installed antidiscrimination programs with the trade unions.</w:t>
      </w:r>
      <w:r w:rsidRPr="005F691C">
        <w:rPr>
          <w:rStyle w:val="FootnoteReference"/>
          <w:rFonts w:ascii="Times New Roman" w:hAnsi="Times New Roman" w:cs="Times New Roman"/>
        </w:rPr>
        <w:footnoteReference w:id="236"/>
      </w:r>
    </w:p>
    <w:p w14:paraId="6A0CE1C7" w14:textId="7154DB4E" w:rsidR="002E5D42" w:rsidRPr="005F691C" w:rsidRDefault="00580699" w:rsidP="00244AC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 xml:space="preserve">As can be seen, the ability to achieve lasting peace and security rests predominantly on the ability of the government to achieve legitimacy and to successfully address the grievances of the affected population. </w:t>
      </w:r>
    </w:p>
    <w:p w14:paraId="789E1D9E" w14:textId="77777777" w:rsidR="002E5D42" w:rsidRPr="005F691C" w:rsidRDefault="002E5D42" w:rsidP="00244AC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The following causal relationship is thus determinable:</w:t>
      </w:r>
    </w:p>
    <w:p w14:paraId="4E4DD7FB" w14:textId="16F95EF5" w:rsidR="00AE6313" w:rsidRDefault="002E5D42" w:rsidP="00AE6313">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b/>
          <w:u w:val="single"/>
        </w:rPr>
        <w:t>Causal Relationship 5</w:t>
      </w:r>
      <w:r w:rsidRPr="005F691C">
        <w:rPr>
          <w:rFonts w:ascii="Times New Roman" w:hAnsi="Times New Roman" w:cs="Times New Roman"/>
        </w:rPr>
        <w:t xml:space="preserve">: If </w:t>
      </w:r>
      <w:r w:rsidR="00AE6313">
        <w:rPr>
          <w:rFonts w:ascii="Times New Roman" w:hAnsi="Times New Roman" w:cs="Times New Roman"/>
        </w:rPr>
        <w:t xml:space="preserve">the grievances of the insurgency can be adequately and efficiently addressed, then there will exist the prospect of </w:t>
      </w:r>
      <w:r w:rsidR="00F757CD">
        <w:rPr>
          <w:rFonts w:ascii="Times New Roman" w:hAnsi="Times New Roman" w:cs="Times New Roman"/>
        </w:rPr>
        <w:t>long-term</w:t>
      </w:r>
      <w:r w:rsidR="00AE6313">
        <w:rPr>
          <w:rFonts w:ascii="Times New Roman" w:hAnsi="Times New Roman" w:cs="Times New Roman"/>
        </w:rPr>
        <w:t xml:space="preserve"> peace. </w:t>
      </w:r>
    </w:p>
    <w:p w14:paraId="6595683A" w14:textId="039FC7F4" w:rsidR="00580699" w:rsidRPr="00AE6313" w:rsidRDefault="00AE6313" w:rsidP="00AE6313">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AE6313">
        <w:rPr>
          <w:rFonts w:ascii="Times New Roman" w:hAnsi="Times New Roman" w:cs="Times New Roman"/>
          <w:b/>
        </w:rPr>
        <w:t xml:space="preserve">4.4 </w:t>
      </w:r>
      <w:r w:rsidR="00580699" w:rsidRPr="005F691C">
        <w:rPr>
          <w:rFonts w:ascii="Times New Roman" w:hAnsi="Times New Roman" w:cs="Times New Roman"/>
          <w:b/>
          <w:u w:val="single"/>
        </w:rPr>
        <w:t>Conclusions from the IRA in Northern Ireland</w:t>
      </w:r>
    </w:p>
    <w:p w14:paraId="2FCC656B" w14:textId="77777777" w:rsidR="00580699" w:rsidRPr="005F691C" w:rsidRDefault="00580699" w:rsidP="002E5D42">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 xml:space="preserve">Through the analysis of the case study of the IRA in Northern Ireland, it has been observed that there exist various relationships between the elements of a state-centric insurgency and the elements of a counterinsurgency operation, which ultimately lead to a successful outcome in the counterinsurgency campaign. </w:t>
      </w:r>
    </w:p>
    <w:p w14:paraId="61A8BB86" w14:textId="66EF263D" w:rsidR="009B1381" w:rsidRDefault="009B1381" w:rsidP="008F4C36">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rPr>
        <w:t>These elements allow the counterinsurgency forces to infiltrate and focus on one specific population, one culture and one language, being confined to one territory and not having to worry about any outside interference, violence or action. A territory bound insurgency also allows the counterinsurgency operation to focus its efforts and maintain certain codes of conduct which can be evaluated to be either useful or counterproductive in that specific economic, social, and political atmosphere.</w:t>
      </w:r>
    </w:p>
    <w:p w14:paraId="0EE88DB7" w14:textId="77777777" w:rsidR="007A0AA6" w:rsidRDefault="007A0AA6" w:rsidP="008F4C36">
      <w:pPr>
        <w:tabs>
          <w:tab w:val="left" w:pos="-1134"/>
        </w:tabs>
        <w:spacing w:line="360" w:lineRule="auto"/>
        <w:ind w:left="-567" w:right="-631"/>
        <w:jc w:val="both"/>
        <w:rPr>
          <w:rFonts w:ascii="Times New Roman" w:hAnsi="Times New Roman" w:cs="Times New Roman"/>
        </w:rPr>
      </w:pPr>
    </w:p>
    <w:p w14:paraId="7F9AD8E2" w14:textId="0A915ECE" w:rsidR="008F4C36" w:rsidRPr="005F691C" w:rsidRDefault="007A0AA6" w:rsidP="007A0AA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 xml:space="preserve">These elements demonstrate the fact that the British counterinsurgency campaign in Northern Ireland was a success due to the fact that it combined both military and non-military aspects, taking into account the extreme importance of the economic, social and political elements of an insurgency campaign. By dealing not only with the violence, but also with the grievances that sparked the rise to violence, the British forces were able to fully combat the insurgency and implement a long and lasting peace, achieving all the indicators of a successful counterinsurgency operation. These included the cession of violence, the enforcement of rule of law by a legitimately recognised government, the government was accepted by the people as the ruler and enforcer of law, the grievances of the people were dealt with and the government was able to maintain rule of law and stability for a considerable length of time thereafter. </w:t>
      </w:r>
    </w:p>
    <w:p w14:paraId="18EFB79E" w14:textId="05EEB698" w:rsidR="007A0AA6" w:rsidRDefault="00580699" w:rsidP="007A0AA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The elements of counterinsurgency, such as information gathering, hearts and minds campaigns, military intervention and government reform, can only be considered successful once the indicators of a successful campaign can be identified. These elements are easier and more effectively implemented when there exist the elements of a state-centric insurgency. However, it is important to demonstrate the outcome where these elements cease to exist, in order to determine whether in fact there truly is a link between the factors of a stat</w:t>
      </w:r>
      <w:r w:rsidR="002E5D42" w:rsidRPr="005F691C">
        <w:rPr>
          <w:rFonts w:ascii="Times New Roman" w:hAnsi="Times New Roman" w:cs="Times New Roman"/>
        </w:rPr>
        <w:t>e</w:t>
      </w:r>
      <w:r w:rsidRPr="005F691C">
        <w:rPr>
          <w:rFonts w:ascii="Times New Roman" w:hAnsi="Times New Roman" w:cs="Times New Roman"/>
        </w:rPr>
        <w:t xml:space="preserve">-centric insurgency and the successful outcome of a counterinsurgency campaign. Thus, the next chapter will evaluate the counterinsurgency campaign in Iraq, where the insurgency has been identified as a global insurgency and thus demonstrates different key elements. </w:t>
      </w:r>
    </w:p>
    <w:p w14:paraId="23C692B7" w14:textId="77777777" w:rsidR="00AE6313" w:rsidRDefault="00AE6313" w:rsidP="007A0AA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p>
    <w:p w14:paraId="13F73D5E" w14:textId="77777777" w:rsidR="00AE6313" w:rsidRDefault="00AE6313" w:rsidP="007A0AA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p>
    <w:p w14:paraId="0EF9EC2F" w14:textId="77777777" w:rsidR="00AE6313" w:rsidRDefault="00AE6313" w:rsidP="007A0AA6">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p>
    <w:p w14:paraId="5FA238E3" w14:textId="77777777" w:rsidR="000E4472" w:rsidRPr="005F691C" w:rsidRDefault="000E4472" w:rsidP="002A64CD">
      <w:pPr>
        <w:widowControl w:val="0"/>
        <w:tabs>
          <w:tab w:val="left" w:pos="-1134"/>
        </w:tabs>
        <w:autoSpaceDE w:val="0"/>
        <w:autoSpaceDN w:val="0"/>
        <w:adjustRightInd w:val="0"/>
        <w:spacing w:after="240" w:line="360" w:lineRule="auto"/>
        <w:ind w:right="-631"/>
        <w:jc w:val="both"/>
        <w:rPr>
          <w:rFonts w:ascii="Times New Roman" w:hAnsi="Times New Roman" w:cs="Times New Roman"/>
        </w:rPr>
      </w:pPr>
    </w:p>
    <w:p w14:paraId="43B0988D" w14:textId="77777777" w:rsidR="00E021C9" w:rsidRDefault="00E021C9" w:rsidP="00AE6313">
      <w:pPr>
        <w:widowControl w:val="0"/>
        <w:tabs>
          <w:tab w:val="left" w:pos="-1134"/>
        </w:tabs>
        <w:autoSpaceDE w:val="0"/>
        <w:autoSpaceDN w:val="0"/>
        <w:adjustRightInd w:val="0"/>
        <w:spacing w:after="240" w:line="360" w:lineRule="auto"/>
        <w:ind w:left="-567" w:right="-631"/>
        <w:jc w:val="both"/>
        <w:rPr>
          <w:rFonts w:ascii="Times New Roman" w:hAnsi="Times New Roman" w:cs="Times New Roman"/>
          <w:b/>
          <w:u w:val="single"/>
        </w:rPr>
      </w:pPr>
    </w:p>
    <w:p w14:paraId="68D92C64" w14:textId="77777777" w:rsidR="00E021C9" w:rsidRDefault="00E021C9" w:rsidP="00AE6313">
      <w:pPr>
        <w:widowControl w:val="0"/>
        <w:tabs>
          <w:tab w:val="left" w:pos="-1134"/>
        </w:tabs>
        <w:autoSpaceDE w:val="0"/>
        <w:autoSpaceDN w:val="0"/>
        <w:adjustRightInd w:val="0"/>
        <w:spacing w:after="240" w:line="360" w:lineRule="auto"/>
        <w:ind w:left="-567" w:right="-631"/>
        <w:jc w:val="both"/>
        <w:rPr>
          <w:rFonts w:ascii="Times New Roman" w:hAnsi="Times New Roman" w:cs="Times New Roman"/>
          <w:b/>
          <w:u w:val="single"/>
        </w:rPr>
      </w:pPr>
    </w:p>
    <w:p w14:paraId="6E88E9FE" w14:textId="77777777" w:rsidR="00E021C9" w:rsidRDefault="00E021C9" w:rsidP="00AE6313">
      <w:pPr>
        <w:widowControl w:val="0"/>
        <w:tabs>
          <w:tab w:val="left" w:pos="-1134"/>
        </w:tabs>
        <w:autoSpaceDE w:val="0"/>
        <w:autoSpaceDN w:val="0"/>
        <w:adjustRightInd w:val="0"/>
        <w:spacing w:after="240" w:line="360" w:lineRule="auto"/>
        <w:ind w:left="-567" w:right="-631"/>
        <w:jc w:val="both"/>
        <w:rPr>
          <w:rFonts w:ascii="Times New Roman" w:hAnsi="Times New Roman" w:cs="Times New Roman"/>
          <w:b/>
          <w:u w:val="single"/>
        </w:rPr>
      </w:pPr>
    </w:p>
    <w:p w14:paraId="1428DB41" w14:textId="0B5E1A4C" w:rsidR="00AE6313" w:rsidRPr="00E021C9" w:rsidRDefault="002E5D42" w:rsidP="00E021C9">
      <w:pPr>
        <w:widowControl w:val="0"/>
        <w:tabs>
          <w:tab w:val="left" w:pos="-1134"/>
        </w:tabs>
        <w:autoSpaceDE w:val="0"/>
        <w:autoSpaceDN w:val="0"/>
        <w:adjustRightInd w:val="0"/>
        <w:spacing w:after="240" w:line="360" w:lineRule="auto"/>
        <w:ind w:left="-567" w:right="-631"/>
        <w:jc w:val="center"/>
        <w:rPr>
          <w:rFonts w:ascii="Times New Roman" w:hAnsi="Times New Roman" w:cs="Times New Roman"/>
          <w:sz w:val="28"/>
          <w:szCs w:val="28"/>
        </w:rPr>
      </w:pPr>
      <w:r w:rsidRPr="00E021C9">
        <w:rPr>
          <w:rFonts w:ascii="Times New Roman" w:hAnsi="Times New Roman" w:cs="Times New Roman"/>
          <w:b/>
          <w:sz w:val="28"/>
          <w:szCs w:val="28"/>
          <w:u w:val="single"/>
        </w:rPr>
        <w:t>C</w:t>
      </w:r>
      <w:r w:rsidR="00AE6313" w:rsidRPr="00E021C9">
        <w:rPr>
          <w:rFonts w:ascii="Times New Roman" w:hAnsi="Times New Roman" w:cs="Times New Roman"/>
          <w:b/>
          <w:sz w:val="28"/>
          <w:szCs w:val="28"/>
          <w:u w:val="single"/>
        </w:rPr>
        <w:t>HAPTER</w:t>
      </w:r>
      <w:r w:rsidRPr="00E021C9">
        <w:rPr>
          <w:rFonts w:ascii="Times New Roman" w:hAnsi="Times New Roman" w:cs="Times New Roman"/>
          <w:b/>
          <w:sz w:val="28"/>
          <w:szCs w:val="28"/>
          <w:u w:val="single"/>
        </w:rPr>
        <w:t xml:space="preserve"> 5</w:t>
      </w:r>
      <w:r w:rsidR="007A0AA6" w:rsidRPr="00E021C9">
        <w:rPr>
          <w:rFonts w:ascii="Times New Roman" w:hAnsi="Times New Roman" w:cs="Times New Roman"/>
          <w:b/>
          <w:sz w:val="28"/>
          <w:szCs w:val="28"/>
          <w:u w:val="single"/>
        </w:rPr>
        <w:t xml:space="preserve">: </w:t>
      </w:r>
      <w:r w:rsidR="002A64CD" w:rsidRPr="00E021C9">
        <w:rPr>
          <w:rFonts w:ascii="Times New Roman" w:hAnsi="Times New Roman" w:cs="Times New Roman"/>
          <w:b/>
          <w:sz w:val="28"/>
          <w:szCs w:val="28"/>
          <w:u w:val="single"/>
        </w:rPr>
        <w:t xml:space="preserve">Two Sides of the COIN: </w:t>
      </w:r>
      <w:r w:rsidR="007A0AA6" w:rsidRPr="00E021C9">
        <w:rPr>
          <w:rFonts w:ascii="Times New Roman" w:hAnsi="Times New Roman" w:cs="Times New Roman"/>
          <w:b/>
          <w:sz w:val="28"/>
          <w:szCs w:val="28"/>
          <w:u w:val="single"/>
        </w:rPr>
        <w:t>COIN in Iraq</w:t>
      </w:r>
    </w:p>
    <w:p w14:paraId="6BD5391B" w14:textId="08F92477" w:rsidR="00CC1BBB" w:rsidRPr="00AE6313" w:rsidRDefault="00AE6313" w:rsidP="00AE6313">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AE6313">
        <w:rPr>
          <w:rFonts w:ascii="Times New Roman" w:hAnsi="Times New Roman" w:cs="Times New Roman"/>
          <w:b/>
        </w:rPr>
        <w:t>5.1</w:t>
      </w:r>
      <w:r>
        <w:rPr>
          <w:rFonts w:ascii="Times New Roman" w:hAnsi="Times New Roman" w:cs="Times New Roman"/>
        </w:rPr>
        <w:t xml:space="preserve"> </w:t>
      </w:r>
      <w:r w:rsidR="00244AC9" w:rsidRPr="00AE6313">
        <w:rPr>
          <w:rFonts w:ascii="Times New Roman" w:hAnsi="Times New Roman" w:cs="Times New Roman"/>
          <w:b/>
          <w:u w:val="single"/>
        </w:rPr>
        <w:t>Al Qaeda and American Counterinsurgency</w:t>
      </w:r>
    </w:p>
    <w:p w14:paraId="341990A1" w14:textId="77777777" w:rsidR="00244AC9" w:rsidRPr="005F691C" w:rsidRDefault="00244AC9" w:rsidP="00244AC9">
      <w:pPr>
        <w:spacing w:line="360" w:lineRule="auto"/>
        <w:ind w:right="-64"/>
        <w:jc w:val="both"/>
        <w:rPr>
          <w:rFonts w:ascii="Times New Roman" w:hAnsi="Times New Roman" w:cs="Times New Roman"/>
          <w:i/>
        </w:rPr>
      </w:pPr>
      <w:r w:rsidRPr="005F691C">
        <w:rPr>
          <w:rFonts w:ascii="Times New Roman" w:hAnsi="Times New Roman" w:cs="Times New Roman"/>
          <w:i/>
        </w:rPr>
        <w:t>“You want me to write a fatwa for the Americans? I’ll write one that tells them to get out of the country.”</w:t>
      </w:r>
    </w:p>
    <w:p w14:paraId="53CE3D4A" w14:textId="57092333" w:rsidR="00244AC9" w:rsidRPr="005F691C" w:rsidRDefault="00244AC9" w:rsidP="00244AC9">
      <w:pPr>
        <w:spacing w:line="360" w:lineRule="auto"/>
        <w:ind w:right="-64"/>
        <w:jc w:val="both"/>
        <w:rPr>
          <w:rFonts w:ascii="Times New Roman" w:hAnsi="Times New Roman" w:cs="Times New Roman"/>
          <w:i/>
        </w:rPr>
      </w:pP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r>
      <w:r w:rsidRPr="005F691C">
        <w:rPr>
          <w:rFonts w:ascii="Times New Roman" w:hAnsi="Times New Roman" w:cs="Times New Roman"/>
          <w:i/>
        </w:rPr>
        <w:tab/>
        <w:t>-Fadil al-Kubaisy</w:t>
      </w:r>
      <w:r w:rsidRPr="005F691C">
        <w:rPr>
          <w:rStyle w:val="FootnoteReference"/>
          <w:rFonts w:ascii="Times New Roman" w:hAnsi="Times New Roman" w:cs="Times New Roman"/>
          <w:i/>
        </w:rPr>
        <w:footnoteReference w:id="237"/>
      </w:r>
    </w:p>
    <w:p w14:paraId="2A1220B1" w14:textId="44EC68D5"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ongoing counterinsurgency campaign in Iraq, </w:t>
      </w:r>
      <w:r w:rsidR="007A0AA6">
        <w:rPr>
          <w:rFonts w:ascii="Times New Roman" w:hAnsi="Times New Roman" w:cs="Times New Roman"/>
        </w:rPr>
        <w:t>under</w:t>
      </w:r>
      <w:r w:rsidRPr="005F691C">
        <w:rPr>
          <w:rFonts w:ascii="Times New Roman" w:hAnsi="Times New Roman" w:cs="Times New Roman"/>
        </w:rPr>
        <w:t xml:space="preserve"> the American army against the actions of Al Qaeda, are often described as a failure</w:t>
      </w:r>
      <w:r w:rsidR="007A0AA6">
        <w:rPr>
          <w:rFonts w:ascii="Times New Roman" w:hAnsi="Times New Roman" w:cs="Times New Roman"/>
        </w:rPr>
        <w:t xml:space="preserve"> </w:t>
      </w:r>
      <w:r w:rsidRPr="005F691C">
        <w:rPr>
          <w:rFonts w:ascii="Times New Roman" w:hAnsi="Times New Roman" w:cs="Times New Roman"/>
        </w:rPr>
        <w:t>and as time wasted by the Army on an endeavor which they should have judged as non-responsive to counterinsurgency from the start</w:t>
      </w:r>
      <w:r w:rsidR="00DB5E3F">
        <w:rPr>
          <w:rFonts w:ascii="Times New Roman" w:hAnsi="Times New Roman" w:cs="Times New Roman"/>
        </w:rPr>
        <w:t>, focusing on the years immediately following the counterinsurgency, 2003 to 2010</w:t>
      </w:r>
      <w:r w:rsidRPr="005F691C">
        <w:rPr>
          <w:rFonts w:ascii="Times New Roman" w:hAnsi="Times New Roman" w:cs="Times New Roman"/>
        </w:rPr>
        <w:t>.</w:t>
      </w:r>
      <w:r w:rsidR="007A0AA6">
        <w:rPr>
          <w:rStyle w:val="FootnoteReference"/>
          <w:rFonts w:ascii="Times New Roman" w:hAnsi="Times New Roman" w:cs="Times New Roman"/>
        </w:rPr>
        <w:footnoteReference w:id="238"/>
      </w:r>
      <w:r w:rsidRPr="005F691C">
        <w:rPr>
          <w:rFonts w:ascii="Times New Roman" w:hAnsi="Times New Roman" w:cs="Times New Roman"/>
        </w:rPr>
        <w:t xml:space="preserve"> </w:t>
      </w:r>
      <w:r w:rsidR="00DB5E3F">
        <w:rPr>
          <w:rFonts w:ascii="Times New Roman" w:hAnsi="Times New Roman" w:cs="Times New Roman"/>
        </w:rPr>
        <w:t>These years have been chosen for analysis due to the fact that they demonstrate the strategy of the Americans as it was immediately implemented against the insurgency. Although FM 3-24 was issued during this time to attempt to correct the strategy, the bad decisions made acted like structural constraints, making policy corrections far more difficult and costly.</w:t>
      </w:r>
      <w:r w:rsidR="00DB5E3F">
        <w:rPr>
          <w:rStyle w:val="FootnoteReference"/>
          <w:rFonts w:ascii="Times New Roman" w:hAnsi="Times New Roman" w:cs="Times New Roman"/>
        </w:rPr>
        <w:footnoteReference w:id="239"/>
      </w:r>
      <w:r w:rsidR="00DB5E3F">
        <w:rPr>
          <w:rFonts w:ascii="Times New Roman" w:hAnsi="Times New Roman" w:cs="Times New Roman"/>
        </w:rPr>
        <w:t xml:space="preserve"> </w:t>
      </w:r>
      <w:r w:rsidRPr="005F691C">
        <w:rPr>
          <w:rFonts w:ascii="Times New Roman" w:hAnsi="Times New Roman" w:cs="Times New Roman"/>
        </w:rPr>
        <w:t>The war in Iraq, which was posited as a battle within the ultimate War on Terror post 11 September 2001, has been described as making minimal impact and as a digression from the campaign against global insurgency.</w:t>
      </w:r>
      <w:r w:rsidRPr="005F691C">
        <w:rPr>
          <w:rStyle w:val="FootnoteReference"/>
          <w:rFonts w:ascii="Times New Roman" w:hAnsi="Times New Roman" w:cs="Times New Roman"/>
        </w:rPr>
        <w:footnoteReference w:id="240"/>
      </w:r>
    </w:p>
    <w:p w14:paraId="147CF3DB" w14:textId="77777777" w:rsidR="00244AC9" w:rsidRPr="005F691C" w:rsidRDefault="00244AC9" w:rsidP="00244AC9">
      <w:pPr>
        <w:spacing w:line="360" w:lineRule="auto"/>
        <w:ind w:left="-567" w:right="-631"/>
        <w:jc w:val="both"/>
        <w:rPr>
          <w:rFonts w:ascii="Times New Roman" w:hAnsi="Times New Roman" w:cs="Times New Roman"/>
        </w:rPr>
      </w:pPr>
    </w:p>
    <w:p w14:paraId="18A3CBF6" w14:textId="2E437C52"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It was recognised during the course of the war in Iraq that there exists two main challen</w:t>
      </w:r>
      <w:r w:rsidR="002E5D42" w:rsidRPr="005F691C">
        <w:rPr>
          <w:rFonts w:ascii="Times New Roman" w:hAnsi="Times New Roman" w:cs="Times New Roman"/>
        </w:rPr>
        <w:t>ges in the war on global terror</w:t>
      </w:r>
      <w:r w:rsidR="00DB5E3F">
        <w:rPr>
          <w:rFonts w:ascii="Times New Roman" w:hAnsi="Times New Roman" w:cs="Times New Roman"/>
        </w:rPr>
        <w:t xml:space="preserve">, or </w:t>
      </w:r>
      <w:r w:rsidRPr="005F691C">
        <w:rPr>
          <w:rFonts w:ascii="Times New Roman" w:hAnsi="Times New Roman" w:cs="Times New Roman"/>
        </w:rPr>
        <w:t>global insurgency, these are the efforts to neutralise the activities of Al Qaeda and their various affiliates around the globe, and to prevent countries from supporting terrorism or aiding terrorist organisations through providing physical aid or refuge within their borders.</w:t>
      </w:r>
      <w:r w:rsidRPr="005F691C">
        <w:rPr>
          <w:rStyle w:val="FootnoteReference"/>
          <w:rFonts w:ascii="Times New Roman" w:hAnsi="Times New Roman" w:cs="Times New Roman"/>
        </w:rPr>
        <w:footnoteReference w:id="241"/>
      </w:r>
      <w:r w:rsidRPr="005F691C">
        <w:rPr>
          <w:rFonts w:ascii="Times New Roman" w:hAnsi="Times New Roman" w:cs="Times New Roman"/>
        </w:rPr>
        <w:t xml:space="preserve"> It was believed that these aims could be accomplished through the implementation of counterinsurgency, however the failure of the campaign in various key areas has resulted in Al Qaeda being able to strengthen their reserves and to plan for their future attacks and strategy.</w:t>
      </w:r>
      <w:r w:rsidRPr="005F691C">
        <w:rPr>
          <w:rStyle w:val="FootnoteReference"/>
          <w:rFonts w:ascii="Times New Roman" w:hAnsi="Times New Roman" w:cs="Times New Roman"/>
        </w:rPr>
        <w:footnoteReference w:id="242"/>
      </w:r>
    </w:p>
    <w:p w14:paraId="5ED46712" w14:textId="77777777" w:rsidR="00244AC9" w:rsidRPr="005F691C" w:rsidRDefault="00244AC9" w:rsidP="00244AC9">
      <w:pPr>
        <w:spacing w:line="360" w:lineRule="auto"/>
        <w:ind w:left="-709" w:right="-631" w:firstLine="709"/>
        <w:jc w:val="both"/>
        <w:rPr>
          <w:rFonts w:ascii="Times New Roman" w:hAnsi="Times New Roman" w:cs="Times New Roman"/>
        </w:rPr>
      </w:pPr>
    </w:p>
    <w:p w14:paraId="1582FB0D" w14:textId="77777777" w:rsidR="00244AC9" w:rsidRPr="005F691C" w:rsidRDefault="00244AC9" w:rsidP="00244AC9">
      <w:pPr>
        <w:spacing w:line="360" w:lineRule="auto"/>
        <w:ind w:left="-567" w:right="-666"/>
        <w:jc w:val="both"/>
        <w:rPr>
          <w:rFonts w:ascii="Times New Roman" w:hAnsi="Times New Roman" w:cs="Times New Roman"/>
        </w:rPr>
      </w:pPr>
      <w:r w:rsidRPr="005F691C">
        <w:rPr>
          <w:rFonts w:ascii="Times New Roman" w:hAnsi="Times New Roman" w:cs="Times New Roman"/>
        </w:rPr>
        <w:t>In Chapter 2 of this thesis it was determined that the insurgency in Iraq could be classified as a Global insurgency. Al Qaeda, and their insurgent behaviour in Iraq, of which terrorism is their main operational style, falls into this category of global insurgency.</w:t>
      </w:r>
      <w:r w:rsidRPr="005F691C">
        <w:rPr>
          <w:rStyle w:val="FootnoteReference"/>
          <w:rFonts w:ascii="Times New Roman" w:hAnsi="Times New Roman" w:cs="Times New Roman"/>
        </w:rPr>
        <w:footnoteReference w:id="243"/>
      </w:r>
      <w:r w:rsidRPr="005F691C">
        <w:rPr>
          <w:rFonts w:ascii="Times New Roman" w:hAnsi="Times New Roman" w:cs="Times New Roman"/>
        </w:rPr>
        <w:t xml:space="preserve">  Terrorist acts performed in the name of Islam are generally driven by operational styles, political rhetoric and ideological justifications that connect Islamist fighters to Al-Qaeda and a range of other terrorist organisations.</w:t>
      </w:r>
      <w:r w:rsidRPr="005F691C">
        <w:rPr>
          <w:rStyle w:val="FootnoteReference"/>
          <w:rFonts w:ascii="Times New Roman" w:hAnsi="Times New Roman" w:cs="Times New Roman"/>
        </w:rPr>
        <w:footnoteReference w:id="244"/>
      </w:r>
      <w:r w:rsidRPr="005F691C">
        <w:rPr>
          <w:rFonts w:ascii="Times New Roman" w:hAnsi="Times New Roman" w:cs="Times New Roman"/>
        </w:rPr>
        <w:t xml:space="preserve"> The common approach is that of selection of civilian targets, willingness to embrace suicide bombing, a desire to cleanse the world of Western influence and the desire to impose an extreme, narrow and highly politicised form of Islam across the Muslim world.</w:t>
      </w:r>
      <w:r w:rsidRPr="005F691C">
        <w:rPr>
          <w:rStyle w:val="FootnoteReference"/>
          <w:rFonts w:ascii="Times New Roman" w:hAnsi="Times New Roman" w:cs="Times New Roman"/>
        </w:rPr>
        <w:footnoteReference w:id="245"/>
      </w:r>
      <w:r w:rsidRPr="005F691C">
        <w:rPr>
          <w:rFonts w:ascii="Times New Roman" w:hAnsi="Times New Roman" w:cs="Times New Roman"/>
        </w:rPr>
        <w:t xml:space="preserve"> The belief of Islamist terrorist groups, including Al-Qaeda, is that the sanctity and culture of the Muslim land and people is being eroded by the influence of the West, and thus this influence must be eradicated immediately.</w:t>
      </w:r>
      <w:r w:rsidRPr="005F691C">
        <w:rPr>
          <w:rStyle w:val="FootnoteReference"/>
          <w:rFonts w:ascii="Times New Roman" w:hAnsi="Times New Roman" w:cs="Times New Roman"/>
        </w:rPr>
        <w:footnoteReference w:id="246"/>
      </w:r>
      <w:r w:rsidRPr="005F691C">
        <w:rPr>
          <w:rFonts w:ascii="Times New Roman" w:hAnsi="Times New Roman" w:cs="Times New Roman"/>
        </w:rPr>
        <w:t xml:space="preserve"> Al Qaeda seeks support worldwide based upon religion and ideology, and ultimately aims to implement an Islamic caliphate across the Muslim world.</w:t>
      </w:r>
      <w:r w:rsidRPr="005F691C">
        <w:rPr>
          <w:rStyle w:val="FootnoteReference"/>
          <w:rFonts w:ascii="Times New Roman" w:hAnsi="Times New Roman" w:cs="Times New Roman"/>
        </w:rPr>
        <w:footnoteReference w:id="247"/>
      </w:r>
      <w:r w:rsidRPr="005F691C">
        <w:rPr>
          <w:rFonts w:ascii="Times New Roman" w:hAnsi="Times New Roman" w:cs="Times New Roman"/>
        </w:rPr>
        <w:t xml:space="preserve"> These insurgencies are seen as having the following indicators:</w:t>
      </w:r>
    </w:p>
    <w:p w14:paraId="5CE5EF92" w14:textId="77777777" w:rsidR="00244AC9" w:rsidRPr="005F691C" w:rsidRDefault="00244AC9" w:rsidP="00244AC9">
      <w:pPr>
        <w:spacing w:line="360" w:lineRule="auto"/>
        <w:ind w:left="-567" w:right="-666" w:firstLine="567"/>
        <w:jc w:val="both"/>
        <w:rPr>
          <w:rFonts w:ascii="Times New Roman" w:hAnsi="Times New Roman" w:cs="Times New Roman"/>
        </w:rPr>
      </w:pPr>
    </w:p>
    <w:p w14:paraId="7C24A9AC" w14:textId="77777777" w:rsidR="00244AC9" w:rsidRPr="005F691C" w:rsidRDefault="00244AC9" w:rsidP="00244AC9">
      <w:pPr>
        <w:pStyle w:val="ListParagraph"/>
        <w:numPr>
          <w:ilvl w:val="0"/>
          <w:numId w:val="13"/>
        </w:numPr>
        <w:spacing w:line="360" w:lineRule="auto"/>
        <w:ind w:right="-666"/>
        <w:jc w:val="both"/>
        <w:rPr>
          <w:rFonts w:ascii="Times New Roman" w:hAnsi="Times New Roman" w:cs="Times New Roman"/>
        </w:rPr>
      </w:pPr>
      <w:r w:rsidRPr="005F691C">
        <w:rPr>
          <w:rFonts w:ascii="Times New Roman" w:hAnsi="Times New Roman" w:cs="Times New Roman"/>
        </w:rPr>
        <w:t>Military organisations that span many countries and garner support from a large mass of people who share the same ideology, religion and political means.</w:t>
      </w:r>
      <w:r w:rsidRPr="005F691C">
        <w:rPr>
          <w:rStyle w:val="FootnoteReference"/>
          <w:rFonts w:ascii="Times New Roman" w:hAnsi="Times New Roman" w:cs="Times New Roman"/>
        </w:rPr>
        <w:footnoteReference w:id="248"/>
      </w:r>
      <w:r w:rsidRPr="005F691C">
        <w:rPr>
          <w:rFonts w:ascii="Times New Roman" w:hAnsi="Times New Roman" w:cs="Times New Roman"/>
        </w:rPr>
        <w:t xml:space="preserve"> </w:t>
      </w:r>
    </w:p>
    <w:p w14:paraId="258E326F" w14:textId="77777777" w:rsidR="00244AC9" w:rsidRPr="005F691C" w:rsidRDefault="00244AC9" w:rsidP="00244AC9">
      <w:pPr>
        <w:pStyle w:val="ListParagraph"/>
        <w:numPr>
          <w:ilvl w:val="0"/>
          <w:numId w:val="13"/>
        </w:numPr>
        <w:spacing w:line="360" w:lineRule="auto"/>
        <w:ind w:right="-666"/>
        <w:jc w:val="both"/>
        <w:rPr>
          <w:rFonts w:ascii="Times New Roman" w:hAnsi="Times New Roman" w:cs="Times New Roman"/>
        </w:rPr>
      </w:pPr>
      <w:r w:rsidRPr="005F691C">
        <w:rPr>
          <w:rFonts w:ascii="Times New Roman" w:hAnsi="Times New Roman" w:cs="Times New Roman"/>
        </w:rPr>
        <w:t xml:space="preserve">The international media, who often unwittingly help to broadcast their message, as well as the impact of their insurgent behaviour, to their supporters worldwide, assists these insurgencies. </w:t>
      </w:r>
    </w:p>
    <w:p w14:paraId="5B31850B" w14:textId="77777777" w:rsidR="00244AC9" w:rsidRPr="005F691C" w:rsidRDefault="00244AC9" w:rsidP="00244AC9">
      <w:pPr>
        <w:pStyle w:val="ListParagraph"/>
        <w:numPr>
          <w:ilvl w:val="0"/>
          <w:numId w:val="13"/>
        </w:numPr>
        <w:spacing w:line="360" w:lineRule="auto"/>
        <w:ind w:right="-666"/>
        <w:jc w:val="both"/>
        <w:rPr>
          <w:rFonts w:ascii="Times New Roman" w:hAnsi="Times New Roman" w:cs="Times New Roman"/>
        </w:rPr>
      </w:pPr>
      <w:r w:rsidRPr="005F691C">
        <w:rPr>
          <w:rFonts w:ascii="Times New Roman" w:hAnsi="Times New Roman" w:cs="Times New Roman"/>
        </w:rPr>
        <w:t>There is a web of networks, made up of individuals sharing the various elements mentioned above, who communicate via various means, such as cellular phones, the internet and couriers, and share financial, training, recruitment and political support.</w:t>
      </w:r>
      <w:r w:rsidRPr="005F691C">
        <w:rPr>
          <w:rStyle w:val="FootnoteReference"/>
          <w:rFonts w:ascii="Times New Roman" w:hAnsi="Times New Roman" w:cs="Times New Roman"/>
        </w:rPr>
        <w:footnoteReference w:id="249"/>
      </w:r>
      <w:r w:rsidRPr="005F691C">
        <w:rPr>
          <w:rFonts w:ascii="Times New Roman" w:hAnsi="Times New Roman" w:cs="Times New Roman"/>
        </w:rPr>
        <w:t xml:space="preserve"> </w:t>
      </w:r>
    </w:p>
    <w:p w14:paraId="15C9E418" w14:textId="77777777" w:rsidR="00244AC9" w:rsidRPr="005F691C" w:rsidRDefault="00244AC9" w:rsidP="00244AC9">
      <w:pPr>
        <w:pStyle w:val="ListParagraph"/>
        <w:numPr>
          <w:ilvl w:val="0"/>
          <w:numId w:val="13"/>
        </w:numPr>
        <w:spacing w:line="360" w:lineRule="auto"/>
        <w:ind w:right="-631"/>
        <w:jc w:val="both"/>
        <w:rPr>
          <w:rFonts w:ascii="Times New Roman" w:hAnsi="Times New Roman" w:cs="Times New Roman"/>
        </w:rPr>
      </w:pPr>
      <w:r w:rsidRPr="005F691C">
        <w:rPr>
          <w:rFonts w:ascii="Times New Roman" w:hAnsi="Times New Roman" w:cs="Times New Roman"/>
        </w:rPr>
        <w:t xml:space="preserve">The imposition of an extreme and narrow doctrine, which is generally religion based and forms a thread between peoples of different countries. </w:t>
      </w:r>
    </w:p>
    <w:p w14:paraId="7D40322D" w14:textId="77777777" w:rsidR="00244AC9" w:rsidRPr="005F691C" w:rsidRDefault="00244AC9" w:rsidP="00244AC9">
      <w:pPr>
        <w:pStyle w:val="ListParagraph"/>
        <w:numPr>
          <w:ilvl w:val="0"/>
          <w:numId w:val="13"/>
        </w:numPr>
        <w:spacing w:line="360" w:lineRule="auto"/>
        <w:ind w:right="-631"/>
        <w:jc w:val="both"/>
        <w:rPr>
          <w:rFonts w:ascii="Times New Roman" w:hAnsi="Times New Roman" w:cs="Times New Roman"/>
        </w:rPr>
      </w:pPr>
      <w:r w:rsidRPr="005F691C">
        <w:rPr>
          <w:rFonts w:ascii="Times New Roman" w:hAnsi="Times New Roman" w:cs="Times New Roman"/>
        </w:rPr>
        <w:t>The ideology of the group ultimately rests on achieving a caliphate across the world.</w:t>
      </w:r>
    </w:p>
    <w:p w14:paraId="22D1D0CD" w14:textId="77777777" w:rsidR="00244AC9" w:rsidRPr="005F691C" w:rsidRDefault="00244AC9" w:rsidP="00244AC9">
      <w:pPr>
        <w:pStyle w:val="ListParagraph"/>
        <w:numPr>
          <w:ilvl w:val="0"/>
          <w:numId w:val="13"/>
        </w:numPr>
        <w:spacing w:line="360" w:lineRule="auto"/>
        <w:ind w:right="-666"/>
        <w:jc w:val="both"/>
        <w:rPr>
          <w:rFonts w:ascii="Times New Roman" w:hAnsi="Times New Roman" w:cs="Times New Roman"/>
        </w:rPr>
      </w:pPr>
      <w:r w:rsidRPr="005F691C">
        <w:rPr>
          <w:rFonts w:ascii="Times New Roman" w:hAnsi="Times New Roman" w:cs="Times New Roman"/>
        </w:rPr>
        <w:t>The ultimate aim of global insurgency is to achieve worldwide governmental reform in the religious sphere, imposing a narrow and extreme view of that religion, rather than any political, economic or social adjustments. These insurgencies seek worldwide governmental reform based upon religion and culture.</w:t>
      </w:r>
      <w:r w:rsidRPr="005F691C">
        <w:rPr>
          <w:rStyle w:val="FootnoteReference"/>
          <w:rFonts w:ascii="Times New Roman" w:hAnsi="Times New Roman" w:cs="Times New Roman"/>
        </w:rPr>
        <w:footnoteReference w:id="250"/>
      </w:r>
      <w:r w:rsidRPr="005F691C">
        <w:rPr>
          <w:rFonts w:ascii="Times New Roman" w:hAnsi="Times New Roman" w:cs="Times New Roman"/>
        </w:rPr>
        <w:t xml:space="preserve"> </w:t>
      </w:r>
    </w:p>
    <w:p w14:paraId="6644040A" w14:textId="77777777" w:rsidR="00244AC9" w:rsidRPr="005F691C" w:rsidRDefault="00244AC9" w:rsidP="00244AC9">
      <w:pPr>
        <w:spacing w:line="360" w:lineRule="auto"/>
        <w:ind w:right="-631"/>
        <w:jc w:val="both"/>
        <w:rPr>
          <w:rFonts w:ascii="Times New Roman" w:hAnsi="Times New Roman" w:cs="Times New Roman"/>
        </w:rPr>
      </w:pPr>
    </w:p>
    <w:p w14:paraId="5A5BDCFB" w14:textId="76A69027"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Thus distinct connections can be drawn between the terrorist organisation of Al-Qaeda and their ultimate aims of achieving a new religious world order, and the general rhetoric of insurgency movements and the attempt to achieve political change by similar violent and conflictual means, as has been seen in the case of the IRA in Northern Ireland. Whilst the behaviour within the IRA was driven by the simplistic ideology of gaining equal and fair representation for the Catholic population and thus to end ethnic polarization, the doctrine of Al Qaeda is based upon the will to defend their religion and faith against outsiders both within the borders of their home country, as well as those trying to erode the religion from outside.</w:t>
      </w:r>
      <w:r w:rsidRPr="005F691C">
        <w:rPr>
          <w:rStyle w:val="FootnoteReference"/>
          <w:rFonts w:ascii="Times New Roman" w:hAnsi="Times New Roman" w:cs="Times New Roman"/>
        </w:rPr>
        <w:t xml:space="preserve"> </w:t>
      </w:r>
      <w:r w:rsidRPr="005F691C">
        <w:rPr>
          <w:rStyle w:val="FootnoteReference"/>
          <w:rFonts w:ascii="Times New Roman" w:hAnsi="Times New Roman" w:cs="Times New Roman"/>
        </w:rPr>
        <w:footnoteReference w:id="251"/>
      </w:r>
      <w:r w:rsidRPr="005F691C">
        <w:rPr>
          <w:rFonts w:ascii="Times New Roman" w:hAnsi="Times New Roman" w:cs="Times New Roman"/>
        </w:rPr>
        <w:t xml:space="preserve"> The message given to those who are undecided or maintain a neutral stance is that it is in their best interests to remain silent on the matter, and leave the battle to the insurgents. Those who are considered outsiders, either in support of the </w:t>
      </w:r>
      <w:r w:rsidR="000454A2">
        <w:rPr>
          <w:rFonts w:ascii="Times New Roman" w:hAnsi="Times New Roman" w:cs="Times New Roman"/>
        </w:rPr>
        <w:t>USA</w:t>
      </w:r>
      <w:r w:rsidRPr="005F691C">
        <w:rPr>
          <w:rFonts w:ascii="Times New Roman" w:hAnsi="Times New Roman" w:cs="Times New Roman"/>
        </w:rPr>
        <w:t>, or anti-insurgent, are constantly reminded that if they do not withdraw and accept defeat, they will be engaged in an endless and costly war.</w:t>
      </w:r>
      <w:r w:rsidRPr="005F691C">
        <w:rPr>
          <w:rStyle w:val="FootnoteReference"/>
          <w:rFonts w:ascii="Times New Roman" w:hAnsi="Times New Roman" w:cs="Times New Roman"/>
        </w:rPr>
        <w:footnoteReference w:id="252"/>
      </w:r>
      <w:r w:rsidRPr="005F691C">
        <w:rPr>
          <w:rFonts w:ascii="Times New Roman" w:hAnsi="Times New Roman" w:cs="Times New Roman"/>
        </w:rPr>
        <w:t xml:space="preserve"> The key objective of these messages and motivations is to paralyse key international and local groups who are attempting to thwart the insurgency, and to build up as much support for the insurgency as possible, with minimal resistance, which will ultimately allow for religious reform. </w:t>
      </w:r>
    </w:p>
    <w:p w14:paraId="774473D6" w14:textId="77777777" w:rsidR="002E5D42" w:rsidRPr="005F691C" w:rsidRDefault="002E5D42" w:rsidP="00244AC9">
      <w:pPr>
        <w:spacing w:line="360" w:lineRule="auto"/>
        <w:ind w:left="-567" w:right="-631"/>
        <w:jc w:val="both"/>
        <w:rPr>
          <w:rFonts w:ascii="Times New Roman" w:hAnsi="Times New Roman" w:cs="Times New Roman"/>
        </w:rPr>
      </w:pPr>
    </w:p>
    <w:p w14:paraId="181CDBB8" w14:textId="4CC1A5C7" w:rsidR="002E5D42" w:rsidRPr="005F691C" w:rsidRDefault="00A54EA2" w:rsidP="00CC1BBB">
      <w:pPr>
        <w:spacing w:line="360" w:lineRule="auto"/>
        <w:ind w:left="-567" w:right="-631"/>
        <w:jc w:val="both"/>
        <w:rPr>
          <w:rFonts w:ascii="Times New Roman" w:hAnsi="Times New Roman" w:cs="Times New Roman"/>
        </w:rPr>
      </w:pPr>
      <w:r w:rsidRPr="005F691C">
        <w:rPr>
          <w:rFonts w:ascii="Times New Roman" w:hAnsi="Times New Roman" w:cs="Times New Roman"/>
        </w:rPr>
        <w:t>The insurgency in Iraq erupted after the completion of a major combat operation by the USA in May 2003.</w:t>
      </w:r>
      <w:r w:rsidRPr="005F691C">
        <w:rPr>
          <w:rStyle w:val="FootnoteReference"/>
          <w:rFonts w:ascii="Times New Roman" w:hAnsi="Times New Roman" w:cs="Times New Roman"/>
        </w:rPr>
        <w:footnoteReference w:id="253"/>
      </w:r>
      <w:r w:rsidRPr="005F691C">
        <w:rPr>
          <w:rFonts w:ascii="Times New Roman" w:hAnsi="Times New Roman" w:cs="Times New Roman"/>
        </w:rPr>
        <w:t xml:space="preserve"> Within the Sunni Arab population of Iraq, various groups have emerged as insurgents, united only in the goal of opposing the USA, and the West in general, and regaining minority Sunni control over the population of Iraq.</w:t>
      </w:r>
      <w:r w:rsidRPr="005F691C">
        <w:rPr>
          <w:rStyle w:val="FootnoteReference"/>
          <w:rFonts w:ascii="Times New Roman" w:hAnsi="Times New Roman" w:cs="Times New Roman"/>
        </w:rPr>
        <w:footnoteReference w:id="254"/>
      </w:r>
      <w:r w:rsidR="0092505D" w:rsidRPr="005F691C">
        <w:rPr>
          <w:rFonts w:ascii="Times New Roman" w:hAnsi="Times New Roman" w:cs="Times New Roman"/>
        </w:rPr>
        <w:t xml:space="preserve"> Within these groups, is the or</w:t>
      </w:r>
      <w:r w:rsidR="000454A2">
        <w:rPr>
          <w:rFonts w:ascii="Times New Roman" w:hAnsi="Times New Roman" w:cs="Times New Roman"/>
        </w:rPr>
        <w:t>ganisation of Al Qaeda, who has</w:t>
      </w:r>
      <w:r w:rsidR="0092505D" w:rsidRPr="005F691C">
        <w:rPr>
          <w:rFonts w:ascii="Times New Roman" w:hAnsi="Times New Roman" w:cs="Times New Roman"/>
        </w:rPr>
        <w:t xml:space="preserve"> come forward as one of the most active, violent and supported Sunni insurgency groups. It has been estimated that the insurgency in Iraq consists of around 3 500 fighters and up to 20 000 total members.</w:t>
      </w:r>
      <w:r w:rsidR="0092505D" w:rsidRPr="005F691C">
        <w:rPr>
          <w:rStyle w:val="FootnoteReference"/>
          <w:rFonts w:ascii="Times New Roman" w:hAnsi="Times New Roman" w:cs="Times New Roman"/>
        </w:rPr>
        <w:footnoteReference w:id="255"/>
      </w:r>
      <w:r w:rsidR="0092505D" w:rsidRPr="005F691C">
        <w:rPr>
          <w:rFonts w:ascii="Times New Roman" w:hAnsi="Times New Roman" w:cs="Times New Roman"/>
        </w:rPr>
        <w:t xml:space="preserve"> However, this number does not account for global resistance and fighters. Although the numbers for participation are small, a poll taken in 2005 indicates that between 45 and 85 percent of the Sunni Arab population supports the insurgency against the USA.</w:t>
      </w:r>
      <w:r w:rsidR="0092505D" w:rsidRPr="005F691C">
        <w:rPr>
          <w:rStyle w:val="FootnoteReference"/>
          <w:rFonts w:ascii="Times New Roman" w:hAnsi="Times New Roman" w:cs="Times New Roman"/>
        </w:rPr>
        <w:footnoteReference w:id="256"/>
      </w:r>
      <w:r w:rsidR="00CC1BBB" w:rsidRPr="005F691C">
        <w:rPr>
          <w:rFonts w:ascii="Times New Roman" w:hAnsi="Times New Roman" w:cs="Times New Roman"/>
        </w:rPr>
        <w:t xml:space="preserve"> These solidarities are often based on kinship ties, and thus the relationships built are complex and create a variety of networks and cells that allow the insurgency to operate in confusing and often untraceable ways.</w:t>
      </w:r>
      <w:r w:rsidR="00CC1BBB" w:rsidRPr="005F691C">
        <w:rPr>
          <w:rStyle w:val="FootnoteReference"/>
          <w:rFonts w:ascii="Times New Roman" w:hAnsi="Times New Roman" w:cs="Times New Roman"/>
        </w:rPr>
        <w:footnoteReference w:id="257"/>
      </w:r>
      <w:r w:rsidR="00CC1BBB" w:rsidRPr="005F691C">
        <w:rPr>
          <w:rFonts w:ascii="Times New Roman" w:hAnsi="Times New Roman" w:cs="Times New Roman"/>
        </w:rPr>
        <w:t xml:space="preserve"> Al Qaeda forms an integral part of this network, and attracts a lot of support and solidarity. Al Qaeda is not considered the headquarters of the global insurgency, nor do they claim control for all movements operating in the name of global jihad, rather they provide these groups, within the network, with planning and operational examples, advice, and funding and specialist expertise.</w:t>
      </w:r>
      <w:r w:rsidR="00CC1BBB" w:rsidRPr="005F691C">
        <w:rPr>
          <w:rStyle w:val="FootnoteReference"/>
          <w:rFonts w:ascii="Times New Roman" w:hAnsi="Times New Roman" w:cs="Times New Roman"/>
        </w:rPr>
        <w:footnoteReference w:id="258"/>
      </w:r>
      <w:r w:rsidR="00CC1BBB" w:rsidRPr="005F691C">
        <w:rPr>
          <w:rFonts w:ascii="Times New Roman" w:hAnsi="Times New Roman" w:cs="Times New Roman"/>
        </w:rPr>
        <w:t xml:space="preserve"> These groups in return supply each other with information and data on various regions. Thus the insurgency in Iraq, as performed by Al Qaeda, include a range of various actors and groups who all fall under the scope of Al Qaeda’s leadership and guidance. </w:t>
      </w:r>
    </w:p>
    <w:p w14:paraId="113971DD" w14:textId="77777777" w:rsidR="00244AC9" w:rsidRPr="005F691C" w:rsidRDefault="00244AC9" w:rsidP="00244AC9">
      <w:pPr>
        <w:spacing w:line="360" w:lineRule="auto"/>
        <w:ind w:left="-567" w:right="-631"/>
        <w:jc w:val="both"/>
        <w:rPr>
          <w:rFonts w:ascii="Times New Roman" w:hAnsi="Times New Roman" w:cs="Times New Roman"/>
        </w:rPr>
      </w:pPr>
    </w:p>
    <w:p w14:paraId="6641B193" w14:textId="7D96C21E" w:rsidR="00D85A86" w:rsidRPr="005F691C" w:rsidRDefault="00244AC9" w:rsidP="00D85A86">
      <w:pPr>
        <w:spacing w:line="360" w:lineRule="auto"/>
        <w:ind w:left="-567" w:right="-631"/>
        <w:jc w:val="both"/>
        <w:rPr>
          <w:rFonts w:ascii="Times New Roman" w:hAnsi="Times New Roman" w:cs="Times New Roman"/>
        </w:rPr>
      </w:pPr>
      <w:r w:rsidRPr="005F691C">
        <w:rPr>
          <w:rFonts w:ascii="Times New Roman" w:hAnsi="Times New Roman" w:cs="Times New Roman"/>
        </w:rPr>
        <w:t>The United States announced a global offensive against international terrorism, which has now been determined to include the actions of Al Qaeda in Iraq, and proceeded to divide the war into camps: those who favoured American policy against terrorism, and those who opposed it.</w:t>
      </w:r>
      <w:r w:rsidRPr="005F691C">
        <w:rPr>
          <w:rStyle w:val="FootnoteReference"/>
          <w:rFonts w:ascii="Times New Roman" w:hAnsi="Times New Roman" w:cs="Times New Roman"/>
        </w:rPr>
        <w:footnoteReference w:id="259"/>
      </w:r>
      <w:r w:rsidRPr="005F691C">
        <w:rPr>
          <w:rFonts w:ascii="Times New Roman" w:hAnsi="Times New Roman" w:cs="Times New Roman"/>
        </w:rPr>
        <w:t xml:space="preserve"> The Bush administration then defined their enemies as the axis of evil, with Iraq spearheading the list. The administration was careful in portraying the war in Iraq as part of the War on Terror and characterized Iraq and Al Qaeda as two sides of the same coin.</w:t>
      </w:r>
      <w:r w:rsidRPr="005F691C">
        <w:rPr>
          <w:rStyle w:val="FootnoteReference"/>
          <w:rFonts w:ascii="Times New Roman" w:hAnsi="Times New Roman" w:cs="Times New Roman"/>
        </w:rPr>
        <w:footnoteReference w:id="260"/>
      </w:r>
      <w:r w:rsidRPr="005F691C">
        <w:rPr>
          <w:rFonts w:ascii="Times New Roman" w:hAnsi="Times New Roman" w:cs="Times New Roman"/>
        </w:rPr>
        <w:t xml:space="preserve"> Various objectives were outlined as key to the American operation in Iraq. These included destroying the threat of Saddam Hussein’s weapons of mass destruction, </w:t>
      </w:r>
      <w:r w:rsidR="001B2278" w:rsidRPr="005F691C">
        <w:rPr>
          <w:rFonts w:ascii="Times New Roman" w:hAnsi="Times New Roman" w:cs="Times New Roman"/>
        </w:rPr>
        <w:t xml:space="preserve">ensuring that America’s enemies could not enjoy the victory of Saddam Hussein’s survival through </w:t>
      </w:r>
      <w:r w:rsidRPr="005F691C">
        <w:rPr>
          <w:rFonts w:ascii="Times New Roman" w:hAnsi="Times New Roman" w:cs="Times New Roman"/>
        </w:rPr>
        <w:t xml:space="preserve">eliminating a regime that sponsored terrorism, </w:t>
      </w:r>
      <w:r w:rsidR="001B2278" w:rsidRPr="005F691C">
        <w:rPr>
          <w:rFonts w:ascii="Times New Roman" w:hAnsi="Times New Roman" w:cs="Times New Roman"/>
        </w:rPr>
        <w:t xml:space="preserve">achieving a swift and compelling United States victory with minimal casualties to the United States forces, </w:t>
      </w:r>
      <w:r w:rsidRPr="005F691C">
        <w:rPr>
          <w:rFonts w:ascii="Times New Roman" w:hAnsi="Times New Roman" w:cs="Times New Roman"/>
        </w:rPr>
        <w:t xml:space="preserve">rebuilding the region after the war, </w:t>
      </w:r>
      <w:r w:rsidR="001B2278" w:rsidRPr="005F691C">
        <w:rPr>
          <w:rFonts w:ascii="Times New Roman" w:hAnsi="Times New Roman" w:cs="Times New Roman"/>
        </w:rPr>
        <w:t xml:space="preserve">and </w:t>
      </w:r>
      <w:r w:rsidRPr="005F691C">
        <w:rPr>
          <w:rFonts w:ascii="Times New Roman" w:hAnsi="Times New Roman" w:cs="Times New Roman"/>
        </w:rPr>
        <w:t>aiding the advancement of democracy through revealing the fragility of dictatorships, and eliminating the worlds “most tyrannical ruler”.</w:t>
      </w:r>
      <w:r w:rsidRPr="005F691C">
        <w:rPr>
          <w:rStyle w:val="FootnoteReference"/>
          <w:rFonts w:ascii="Times New Roman" w:hAnsi="Times New Roman" w:cs="Times New Roman"/>
        </w:rPr>
        <w:footnoteReference w:id="261"/>
      </w:r>
      <w:r w:rsidRPr="005F691C">
        <w:rPr>
          <w:rFonts w:ascii="Times New Roman" w:hAnsi="Times New Roman" w:cs="Times New Roman"/>
        </w:rPr>
        <w:t xml:space="preserve"> Whilst some of these objectives have been achieved, such as the United States successfully eliminating Saddam Hussein, the purely political orientation of the US COIN operation could be argued to have set itself up for failure. In fact, the death of Saddam Hussein seems to be the only objective that was truly achieved, as will be discussed throughout this chapter. It is recognised that there need</w:t>
      </w:r>
      <w:r w:rsidR="00CC1BBB" w:rsidRPr="005F691C">
        <w:rPr>
          <w:rFonts w:ascii="Times New Roman" w:hAnsi="Times New Roman" w:cs="Times New Roman"/>
        </w:rPr>
        <w:t>s</w:t>
      </w:r>
      <w:r w:rsidRPr="005F691C">
        <w:rPr>
          <w:rFonts w:ascii="Times New Roman" w:hAnsi="Times New Roman" w:cs="Times New Roman"/>
        </w:rPr>
        <w:t xml:space="preserve"> to be both a political and social side to counterinsurgency, however, the United States seemed solely focused on political objectives, through military means. </w:t>
      </w:r>
    </w:p>
    <w:p w14:paraId="5B2C23A8" w14:textId="77777777" w:rsidR="00244AC9" w:rsidRPr="005F691C" w:rsidRDefault="00244AC9" w:rsidP="00244AC9">
      <w:pPr>
        <w:spacing w:line="360" w:lineRule="auto"/>
        <w:ind w:left="-567" w:right="-631" w:firstLine="567"/>
        <w:jc w:val="both"/>
        <w:rPr>
          <w:rFonts w:ascii="Times New Roman" w:hAnsi="Times New Roman" w:cs="Times New Roman"/>
        </w:rPr>
      </w:pPr>
    </w:p>
    <w:p w14:paraId="4760C91C" w14:textId="18015C85" w:rsidR="00244AC9" w:rsidRPr="005F691C" w:rsidRDefault="00244AC9" w:rsidP="00F757CD">
      <w:pPr>
        <w:pStyle w:val="ListParagraph"/>
        <w:numPr>
          <w:ilvl w:val="1"/>
          <w:numId w:val="20"/>
        </w:numPr>
        <w:spacing w:line="360" w:lineRule="auto"/>
        <w:ind w:left="-142" w:right="-631" w:hanging="425"/>
        <w:jc w:val="both"/>
        <w:rPr>
          <w:rFonts w:ascii="Times New Roman" w:hAnsi="Times New Roman" w:cs="Times New Roman"/>
          <w:b/>
          <w:u w:val="single"/>
        </w:rPr>
      </w:pPr>
      <w:r w:rsidRPr="005F691C">
        <w:rPr>
          <w:rFonts w:ascii="Times New Roman" w:hAnsi="Times New Roman" w:cs="Times New Roman"/>
          <w:b/>
          <w:u w:val="single"/>
        </w:rPr>
        <w:t>Where was the Nation Building Phase?</w:t>
      </w:r>
    </w:p>
    <w:p w14:paraId="1F7FBE7D" w14:textId="77777777" w:rsidR="00CC1BBB" w:rsidRPr="005F691C" w:rsidRDefault="00CC1BBB" w:rsidP="00CC1BBB">
      <w:pPr>
        <w:spacing w:line="360" w:lineRule="auto"/>
        <w:ind w:right="-631"/>
        <w:jc w:val="both"/>
        <w:rPr>
          <w:rFonts w:ascii="Times New Roman" w:hAnsi="Times New Roman" w:cs="Times New Roman"/>
          <w:b/>
          <w:u w:val="single"/>
        </w:rPr>
      </w:pPr>
    </w:p>
    <w:p w14:paraId="6E9A4F90" w14:textId="57DCC79A"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Amongst the main criticisms of the American COIN operation in Iraq is that despite their success in the initial phases of the operation; having defeated the Iraqi military, the bringing down of Saddam Hussein and his Ba’athist regime; the Americans failed to plan for the nation development stage of counterinsurgency, the period of termination of conflict and the rebuilding of a legitimate government.</w:t>
      </w:r>
      <w:r w:rsidRPr="005F691C">
        <w:rPr>
          <w:rStyle w:val="FootnoteReference"/>
          <w:rFonts w:ascii="Times New Roman" w:hAnsi="Times New Roman" w:cs="Times New Roman"/>
        </w:rPr>
        <w:footnoteReference w:id="262"/>
      </w:r>
      <w:r w:rsidRPr="005F691C">
        <w:rPr>
          <w:rFonts w:ascii="Times New Roman" w:hAnsi="Times New Roman" w:cs="Times New Roman"/>
        </w:rPr>
        <w:t xml:space="preserve"> (This is identified as the second indicator of a successful counterinsurgency</w:t>
      </w:r>
      <w:r w:rsidR="00CC1BBB" w:rsidRPr="005F691C">
        <w:rPr>
          <w:rFonts w:ascii="Times New Roman" w:hAnsi="Times New Roman" w:cs="Times New Roman"/>
        </w:rPr>
        <w:t>.</w:t>
      </w:r>
      <w:r w:rsidRPr="005F691C">
        <w:rPr>
          <w:rFonts w:ascii="Times New Roman" w:hAnsi="Times New Roman" w:cs="Times New Roman"/>
        </w:rPr>
        <w:t>)</w:t>
      </w:r>
    </w:p>
    <w:p w14:paraId="30EB275F" w14:textId="77777777" w:rsidR="00244AC9" w:rsidRPr="005F691C" w:rsidRDefault="00244AC9" w:rsidP="00244AC9">
      <w:pPr>
        <w:spacing w:line="360" w:lineRule="auto"/>
        <w:ind w:left="-567" w:right="-631" w:firstLine="567"/>
        <w:jc w:val="both"/>
        <w:rPr>
          <w:rFonts w:ascii="Times New Roman" w:hAnsi="Times New Roman" w:cs="Times New Roman"/>
        </w:rPr>
      </w:pPr>
    </w:p>
    <w:p w14:paraId="48523C41" w14:textId="77777777"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This lack of planning is further exacerbated by the fact that America should have had the foresight that a sustained and organised resistance could ultimately lead to the breakout of a fully blown insurgency.</w:t>
      </w:r>
      <w:r w:rsidRPr="005F691C">
        <w:rPr>
          <w:rStyle w:val="FootnoteReference"/>
          <w:rFonts w:ascii="Times New Roman" w:hAnsi="Times New Roman" w:cs="Times New Roman"/>
        </w:rPr>
        <w:footnoteReference w:id="263"/>
      </w:r>
      <w:r w:rsidRPr="005F691C">
        <w:rPr>
          <w:rFonts w:ascii="Times New Roman" w:hAnsi="Times New Roman" w:cs="Times New Roman"/>
        </w:rPr>
        <w:t xml:space="preserve"> Late recognition of an insurgency campaign results in the counterinsurgency forces experiencing a disadvantage, where the insurgency has more time to lay the ground works of their campaign, including gathering support and establishing safe houses.</w:t>
      </w:r>
      <w:r w:rsidRPr="005F691C">
        <w:rPr>
          <w:rStyle w:val="FootnoteReference"/>
          <w:rFonts w:ascii="Times New Roman" w:hAnsi="Times New Roman" w:cs="Times New Roman"/>
        </w:rPr>
        <w:footnoteReference w:id="264"/>
      </w:r>
      <w:r w:rsidRPr="005F691C">
        <w:rPr>
          <w:rFonts w:ascii="Times New Roman" w:hAnsi="Times New Roman" w:cs="Times New Roman"/>
        </w:rPr>
        <w:t xml:space="preserve"> </w:t>
      </w:r>
    </w:p>
    <w:p w14:paraId="15DE742A" w14:textId="77777777" w:rsidR="00244AC9" w:rsidRPr="005F691C" w:rsidRDefault="00244AC9" w:rsidP="00244AC9">
      <w:pPr>
        <w:spacing w:line="360" w:lineRule="auto"/>
        <w:ind w:left="-567" w:right="-631"/>
        <w:jc w:val="both"/>
        <w:rPr>
          <w:rFonts w:ascii="Times New Roman" w:hAnsi="Times New Roman" w:cs="Times New Roman"/>
        </w:rPr>
      </w:pPr>
    </w:p>
    <w:p w14:paraId="121B2DFA" w14:textId="77777777"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The major difficulties of the first phase of the American counterinsurgency campaign rested on the fact that the Americans were unsuccessful in discovering weapons of mass destruction, they were not able to put an end to the violence in the region, and they did not effectively plan for the aftermath of the initial phase.</w:t>
      </w:r>
      <w:r w:rsidRPr="005F691C">
        <w:rPr>
          <w:rStyle w:val="FootnoteReference"/>
          <w:rFonts w:ascii="Times New Roman" w:hAnsi="Times New Roman" w:cs="Times New Roman"/>
        </w:rPr>
        <w:footnoteReference w:id="265"/>
      </w:r>
    </w:p>
    <w:p w14:paraId="37BF8492" w14:textId="77777777" w:rsidR="00244AC9" w:rsidRPr="005F691C" w:rsidRDefault="00244AC9" w:rsidP="00244AC9">
      <w:pPr>
        <w:spacing w:line="360" w:lineRule="auto"/>
        <w:ind w:left="-567" w:right="-631" w:firstLine="567"/>
        <w:jc w:val="both"/>
        <w:rPr>
          <w:rFonts w:ascii="Times New Roman" w:hAnsi="Times New Roman" w:cs="Times New Roman"/>
        </w:rPr>
      </w:pPr>
    </w:p>
    <w:p w14:paraId="494DAA15" w14:textId="30850C7E" w:rsidR="00244AC9" w:rsidRPr="005F691C" w:rsidRDefault="00244AC9" w:rsidP="00F757CD">
      <w:pPr>
        <w:pStyle w:val="ListParagraph"/>
        <w:numPr>
          <w:ilvl w:val="1"/>
          <w:numId w:val="20"/>
        </w:numPr>
        <w:spacing w:line="360" w:lineRule="auto"/>
        <w:ind w:left="-284" w:right="-631" w:hanging="283"/>
        <w:jc w:val="both"/>
        <w:rPr>
          <w:rFonts w:ascii="Times New Roman" w:hAnsi="Times New Roman" w:cs="Times New Roman"/>
          <w:b/>
          <w:u w:val="single"/>
        </w:rPr>
      </w:pPr>
      <w:r w:rsidRPr="005F691C">
        <w:rPr>
          <w:rFonts w:ascii="Times New Roman" w:hAnsi="Times New Roman" w:cs="Times New Roman"/>
          <w:b/>
          <w:u w:val="single"/>
        </w:rPr>
        <w:t>Winning Hearts and Minds?</w:t>
      </w:r>
    </w:p>
    <w:p w14:paraId="0FB23ADB" w14:textId="77777777" w:rsidR="00CC1BBB" w:rsidRPr="005F691C" w:rsidRDefault="00CC1BBB" w:rsidP="00CC1BBB">
      <w:pPr>
        <w:spacing w:line="360" w:lineRule="auto"/>
        <w:ind w:left="360" w:right="-631"/>
        <w:jc w:val="both"/>
        <w:rPr>
          <w:rFonts w:ascii="Times New Roman" w:hAnsi="Times New Roman" w:cs="Times New Roman"/>
          <w:b/>
          <w:u w:val="single"/>
        </w:rPr>
      </w:pPr>
    </w:p>
    <w:p w14:paraId="4382C7B0" w14:textId="77777777" w:rsidR="00244AC9" w:rsidRPr="005F691C" w:rsidRDefault="00244AC9" w:rsidP="00CC1BBB">
      <w:pPr>
        <w:spacing w:line="360" w:lineRule="auto"/>
        <w:ind w:right="42"/>
        <w:jc w:val="both"/>
        <w:rPr>
          <w:rFonts w:ascii="Times New Roman" w:hAnsi="Times New Roman" w:cs="Times New Roman"/>
          <w:i/>
        </w:rPr>
      </w:pPr>
      <w:r w:rsidRPr="005F691C">
        <w:rPr>
          <w:rFonts w:ascii="Times New Roman" w:hAnsi="Times New Roman" w:cs="Times New Roman"/>
          <w:i/>
        </w:rPr>
        <w:t>“[The insurgency] is getting more organised, and it is learning. It is adapting, it is adapting to our tactics, techniques and procedures, and we’ve got to adapt to their tactics, techniques and procedures.”</w:t>
      </w:r>
    </w:p>
    <w:p w14:paraId="0B337F89" w14:textId="2DA8EFCE" w:rsidR="00244AC9" w:rsidRPr="005F691C" w:rsidRDefault="00244AC9" w:rsidP="00244AC9">
      <w:pPr>
        <w:spacing w:line="360" w:lineRule="auto"/>
        <w:ind w:left="-567" w:right="-631" w:firstLine="567"/>
        <w:jc w:val="both"/>
        <w:rPr>
          <w:rFonts w:ascii="Times New Roman" w:hAnsi="Times New Roman" w:cs="Times New Roman"/>
          <w:i/>
        </w:rPr>
      </w:pPr>
      <w:r w:rsidRPr="005F691C">
        <w:rPr>
          <w:rFonts w:ascii="Times New Roman" w:hAnsi="Times New Roman" w:cs="Times New Roman"/>
          <w:i/>
        </w:rPr>
        <w:tab/>
      </w:r>
      <w:r w:rsidRPr="005F691C">
        <w:rPr>
          <w:rFonts w:ascii="Times New Roman" w:hAnsi="Times New Roman" w:cs="Times New Roman"/>
          <w:i/>
        </w:rPr>
        <w:tab/>
        <w:t>-General John Abizaid, Commanding General of US Central Command</w:t>
      </w:r>
      <w:r w:rsidRPr="005F691C">
        <w:rPr>
          <w:rStyle w:val="FootnoteReference"/>
          <w:rFonts w:ascii="Times New Roman" w:hAnsi="Times New Roman" w:cs="Times New Roman"/>
          <w:i/>
        </w:rPr>
        <w:footnoteReference w:id="266"/>
      </w:r>
    </w:p>
    <w:p w14:paraId="51B06104" w14:textId="77777777" w:rsidR="00244AC9" w:rsidRPr="005F691C" w:rsidRDefault="00244AC9" w:rsidP="00244AC9">
      <w:pPr>
        <w:spacing w:line="360" w:lineRule="auto"/>
        <w:ind w:left="-567" w:right="-631" w:firstLine="567"/>
        <w:jc w:val="both"/>
        <w:rPr>
          <w:rFonts w:ascii="Times New Roman" w:hAnsi="Times New Roman" w:cs="Times New Roman"/>
          <w:i/>
        </w:rPr>
      </w:pPr>
    </w:p>
    <w:p w14:paraId="7686C3C5" w14:textId="77777777"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Although the Americans reacted too slowly in their response to an insurgency, it has been argued that in later years the Americans began to win the hearts and minds campaign element of the counterinsurgency. This has been due to the fact that American forces began to remedy some civilian grievances such as access to vital services, such as water and electricity, reopening schools and establishing an Iraqi police force.</w:t>
      </w:r>
      <w:r w:rsidRPr="005F691C">
        <w:rPr>
          <w:rStyle w:val="FootnoteReference"/>
          <w:rFonts w:ascii="Times New Roman" w:hAnsi="Times New Roman" w:cs="Times New Roman"/>
        </w:rPr>
        <w:footnoteReference w:id="267"/>
      </w:r>
      <w:r w:rsidRPr="005F691C">
        <w:rPr>
          <w:rFonts w:ascii="Times New Roman" w:hAnsi="Times New Roman" w:cs="Times New Roman"/>
        </w:rPr>
        <w:t xml:space="preserve"> However, criticism remains that the American Army, in their counterinsurgency bid, could be doing more and the relationship fused between the counterinsurgency forces and the local population is a lot to be desired, with the locals still celebrating when the Americans experience loss or tragedy.</w:t>
      </w:r>
      <w:r w:rsidRPr="005F691C">
        <w:rPr>
          <w:rStyle w:val="FootnoteReference"/>
          <w:rFonts w:ascii="Times New Roman" w:hAnsi="Times New Roman" w:cs="Times New Roman"/>
        </w:rPr>
        <w:footnoteReference w:id="268"/>
      </w:r>
      <w:r w:rsidRPr="005F691C">
        <w:rPr>
          <w:rFonts w:ascii="Times New Roman" w:hAnsi="Times New Roman" w:cs="Times New Roman"/>
        </w:rPr>
        <w:t xml:space="preserve"> </w:t>
      </w:r>
    </w:p>
    <w:p w14:paraId="2B115D4B" w14:textId="77777777" w:rsidR="00244AC9" w:rsidRPr="005F691C" w:rsidRDefault="00244AC9" w:rsidP="00244AC9">
      <w:pPr>
        <w:spacing w:line="360" w:lineRule="auto"/>
        <w:ind w:left="-567" w:right="-631"/>
        <w:jc w:val="both"/>
        <w:rPr>
          <w:rFonts w:ascii="Times New Roman" w:hAnsi="Times New Roman" w:cs="Times New Roman"/>
        </w:rPr>
      </w:pPr>
    </w:p>
    <w:p w14:paraId="5434E27B" w14:textId="22C4F75E"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This loss of opportunity to garner a relationship with the population has meant that the insurgency is able to keep its activities and plans circulating though the population in a secret manner, without fear of people releasing that info</w:t>
      </w:r>
      <w:r w:rsidR="00CC1BBB" w:rsidRPr="005F691C">
        <w:rPr>
          <w:rFonts w:ascii="Times New Roman" w:hAnsi="Times New Roman" w:cs="Times New Roman"/>
        </w:rPr>
        <w:t>rmation to the counterinsurgency forces</w:t>
      </w:r>
      <w:r w:rsidRPr="005F691C">
        <w:rPr>
          <w:rFonts w:ascii="Times New Roman" w:hAnsi="Times New Roman" w:cs="Times New Roman"/>
        </w:rPr>
        <w:t>.</w:t>
      </w:r>
      <w:r w:rsidRPr="005F691C">
        <w:rPr>
          <w:rStyle w:val="FootnoteReference"/>
          <w:rFonts w:ascii="Times New Roman" w:hAnsi="Times New Roman" w:cs="Times New Roman"/>
        </w:rPr>
        <w:footnoteReference w:id="269"/>
      </w:r>
      <w:r w:rsidRPr="005F691C">
        <w:rPr>
          <w:rFonts w:ascii="Times New Roman" w:hAnsi="Times New Roman" w:cs="Times New Roman"/>
        </w:rPr>
        <w:t xml:space="preserve"> As was described in the analysis of the IRA, the hearts and minds campaign is a vital aspect of the COIN operation, and it provides the forces with the opportunity to bring an end to violence and to move forward with legitimacy.</w:t>
      </w:r>
    </w:p>
    <w:p w14:paraId="0BE17987" w14:textId="77777777" w:rsidR="00244AC9" w:rsidRPr="005F691C" w:rsidRDefault="00244AC9" w:rsidP="00244AC9">
      <w:pPr>
        <w:spacing w:line="360" w:lineRule="auto"/>
        <w:ind w:left="-567" w:right="-631" w:firstLine="567"/>
        <w:jc w:val="both"/>
        <w:rPr>
          <w:rFonts w:ascii="Times New Roman" w:hAnsi="Times New Roman" w:cs="Times New Roman"/>
        </w:rPr>
      </w:pPr>
    </w:p>
    <w:p w14:paraId="63FFF8A6" w14:textId="3EB7CE25"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Whilst the British forces were seen as successful in their attempts to assimilate into the Irish population, the American forces </w:t>
      </w:r>
      <w:r w:rsidR="000454A2">
        <w:rPr>
          <w:rFonts w:ascii="Times New Roman" w:hAnsi="Times New Roman" w:cs="Times New Roman"/>
        </w:rPr>
        <w:t xml:space="preserve">have </w:t>
      </w:r>
      <w:r w:rsidRPr="005F691C">
        <w:rPr>
          <w:rFonts w:ascii="Times New Roman" w:hAnsi="Times New Roman" w:cs="Times New Roman"/>
        </w:rPr>
        <w:t>experienced great difficulty in fitting in. The la</w:t>
      </w:r>
      <w:r w:rsidR="000454A2">
        <w:rPr>
          <w:rFonts w:ascii="Times New Roman" w:hAnsi="Times New Roman" w:cs="Times New Roman"/>
        </w:rPr>
        <w:t>nguage and culture barriers are</w:t>
      </w:r>
      <w:r w:rsidRPr="005F691C">
        <w:rPr>
          <w:rFonts w:ascii="Times New Roman" w:hAnsi="Times New Roman" w:cs="Times New Roman"/>
        </w:rPr>
        <w:t xml:space="preserve"> only reinforced by the American reliance on use of force to contain the population.</w:t>
      </w:r>
      <w:r w:rsidRPr="005F691C">
        <w:rPr>
          <w:rStyle w:val="FootnoteReference"/>
          <w:rFonts w:ascii="Times New Roman" w:hAnsi="Times New Roman" w:cs="Times New Roman"/>
        </w:rPr>
        <w:footnoteReference w:id="270"/>
      </w:r>
      <w:r w:rsidRPr="005F691C">
        <w:rPr>
          <w:rFonts w:ascii="Times New Roman" w:hAnsi="Times New Roman" w:cs="Times New Roman"/>
        </w:rPr>
        <w:t xml:space="preserve"> </w:t>
      </w:r>
      <w:r w:rsidR="000454A2">
        <w:rPr>
          <w:rFonts w:ascii="Times New Roman" w:hAnsi="Times New Roman" w:cs="Times New Roman"/>
        </w:rPr>
        <w:t>America failed to understand Iraqi society and how it would likely respond to an occupation.</w:t>
      </w:r>
      <w:r w:rsidR="000454A2">
        <w:rPr>
          <w:rStyle w:val="FootnoteReference"/>
          <w:rFonts w:ascii="Times New Roman" w:hAnsi="Times New Roman" w:cs="Times New Roman"/>
        </w:rPr>
        <w:footnoteReference w:id="271"/>
      </w:r>
      <w:r w:rsidR="000454A2">
        <w:rPr>
          <w:rFonts w:ascii="Times New Roman" w:hAnsi="Times New Roman" w:cs="Times New Roman"/>
        </w:rPr>
        <w:t xml:space="preserve"> </w:t>
      </w:r>
      <w:r w:rsidRPr="005F691C">
        <w:rPr>
          <w:rFonts w:ascii="Times New Roman" w:hAnsi="Times New Roman" w:cs="Times New Roman"/>
        </w:rPr>
        <w:t xml:space="preserve">This alienated the American forces from the </w:t>
      </w:r>
      <w:r w:rsidR="00CC1BBB" w:rsidRPr="005F691C">
        <w:rPr>
          <w:rFonts w:ascii="Times New Roman" w:hAnsi="Times New Roman" w:cs="Times New Roman"/>
        </w:rPr>
        <w:t>Iraqi</w:t>
      </w:r>
      <w:r w:rsidRPr="005F691C">
        <w:rPr>
          <w:rFonts w:ascii="Times New Roman" w:hAnsi="Times New Roman" w:cs="Times New Roman"/>
        </w:rPr>
        <w:t xml:space="preserve"> population, and ultimately damaged their ability to implement effective information gathering. This failure to gain sufficient intelligence can also be attributed to the fact that the American forces were not concentrating solely on the success of their counterinsurgency, but rather they were distracted by other ambitions, such as the discovery of weapons of mass destruction (WMDs). There has been much emphasis placed on the use of coercive violence, rather than winning the hearts and minds.</w:t>
      </w:r>
      <w:r w:rsidRPr="005F691C">
        <w:rPr>
          <w:rStyle w:val="FootnoteReference"/>
          <w:rFonts w:ascii="Times New Roman" w:hAnsi="Times New Roman" w:cs="Times New Roman"/>
        </w:rPr>
        <w:footnoteReference w:id="272"/>
      </w:r>
      <w:r w:rsidRPr="005F691C">
        <w:rPr>
          <w:rFonts w:ascii="Times New Roman" w:hAnsi="Times New Roman" w:cs="Times New Roman"/>
        </w:rPr>
        <w:t xml:space="preserve"> When being faced with both insurgents who were former members of the regime, as well as foreign jihadists who have joined the cause, it is vital that information gathering is as successful as possible. </w:t>
      </w:r>
    </w:p>
    <w:p w14:paraId="6DF2D284" w14:textId="77777777" w:rsidR="00244AC9" w:rsidRPr="005F691C" w:rsidRDefault="00244AC9" w:rsidP="00244AC9">
      <w:pPr>
        <w:spacing w:line="360" w:lineRule="auto"/>
        <w:ind w:left="-567" w:right="-631"/>
        <w:jc w:val="both"/>
        <w:rPr>
          <w:rFonts w:ascii="Times New Roman" w:hAnsi="Times New Roman" w:cs="Times New Roman"/>
        </w:rPr>
      </w:pPr>
    </w:p>
    <w:p w14:paraId="17830678" w14:textId="065F130E"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There is a need to know the number of insurgents with </w:t>
      </w:r>
      <w:r w:rsidR="000454A2">
        <w:rPr>
          <w:rFonts w:ascii="Times New Roman" w:hAnsi="Times New Roman" w:cs="Times New Roman"/>
        </w:rPr>
        <w:t xml:space="preserve">which the counterinsurgency is </w:t>
      </w:r>
      <w:r w:rsidRPr="005F691C">
        <w:rPr>
          <w:rFonts w:ascii="Times New Roman" w:hAnsi="Times New Roman" w:cs="Times New Roman"/>
        </w:rPr>
        <w:t>dealing, as well as the impact of the violence on the local population and their support and belief in the abilities of the counterinsurgents.</w:t>
      </w:r>
      <w:r w:rsidRPr="005F691C">
        <w:rPr>
          <w:rStyle w:val="FootnoteReference"/>
          <w:rFonts w:ascii="Times New Roman" w:hAnsi="Times New Roman" w:cs="Times New Roman"/>
        </w:rPr>
        <w:footnoteReference w:id="273"/>
      </w:r>
      <w:r w:rsidRPr="005F691C">
        <w:rPr>
          <w:rFonts w:ascii="Times New Roman" w:hAnsi="Times New Roman" w:cs="Times New Roman"/>
        </w:rPr>
        <w:t xml:space="preserve"> The various actors involved in the insurgency are all connected by their culture and thus it is this culture that shapes insurgent behaviour and imbues their behaviour with meaning.</w:t>
      </w:r>
      <w:r w:rsidRPr="005F691C">
        <w:rPr>
          <w:rStyle w:val="FootnoteReference"/>
          <w:rFonts w:ascii="Times New Roman" w:hAnsi="Times New Roman" w:cs="Times New Roman"/>
        </w:rPr>
        <w:footnoteReference w:id="274"/>
      </w:r>
      <w:r w:rsidRPr="005F691C">
        <w:rPr>
          <w:rFonts w:ascii="Times New Roman" w:hAnsi="Times New Roman" w:cs="Times New Roman"/>
        </w:rPr>
        <w:t xml:space="preserve"> This culture creates the need for the counterinsurgency forces to engage with the local population and to acquire the cultural and linguistic competence to allow them to gain the trust and communication of the local population, which ultimately could allow them access to the insurgency. However, when there are numerous states involved, how does a soldier become fluent with the language and the culture? </w:t>
      </w:r>
    </w:p>
    <w:p w14:paraId="189BEE75" w14:textId="77777777" w:rsidR="00244AC9" w:rsidRPr="005F691C" w:rsidRDefault="00244AC9" w:rsidP="00244AC9">
      <w:pPr>
        <w:spacing w:line="360" w:lineRule="auto"/>
        <w:ind w:left="-567" w:right="-631" w:firstLine="567"/>
        <w:jc w:val="both"/>
        <w:rPr>
          <w:rFonts w:ascii="Times New Roman" w:hAnsi="Times New Roman" w:cs="Times New Roman"/>
        </w:rPr>
      </w:pPr>
    </w:p>
    <w:p w14:paraId="3117AF35" w14:textId="77777777"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One of the main challenges to establishing a clear information gathering operation is the fact that the insurgency in Iraq is not considered a normal insurgency. There is no central point, which means there appears to be no central leader, no attempt to seize and hold territory and for the most part, the ideology and aims of the insurgency appear mostly undefined.</w:t>
      </w:r>
      <w:r w:rsidRPr="005F691C">
        <w:rPr>
          <w:rStyle w:val="FootnoteReference"/>
          <w:rFonts w:ascii="Times New Roman" w:hAnsi="Times New Roman" w:cs="Times New Roman"/>
        </w:rPr>
        <w:footnoteReference w:id="275"/>
      </w:r>
      <w:r w:rsidRPr="005F691C">
        <w:rPr>
          <w:rFonts w:ascii="Times New Roman" w:hAnsi="Times New Roman" w:cs="Times New Roman"/>
        </w:rPr>
        <w:t xml:space="preserve"> Thus, the four stages of an insurgency, as identified by the Central Intelligence Agency (CIA) in America, do not appear to be in existence in Iraq. These are:</w:t>
      </w:r>
    </w:p>
    <w:p w14:paraId="74A960A3" w14:textId="77777777" w:rsidR="00244AC9" w:rsidRPr="005F691C" w:rsidRDefault="00244AC9" w:rsidP="00244AC9">
      <w:pPr>
        <w:spacing w:line="360" w:lineRule="auto"/>
        <w:ind w:left="-567" w:right="-631" w:firstLine="567"/>
        <w:jc w:val="both"/>
        <w:rPr>
          <w:rFonts w:ascii="Times New Roman" w:hAnsi="Times New Roman" w:cs="Times New Roman"/>
        </w:rPr>
      </w:pPr>
    </w:p>
    <w:p w14:paraId="20ED4BFF" w14:textId="77777777" w:rsidR="00244AC9" w:rsidRPr="005F691C" w:rsidRDefault="00244AC9" w:rsidP="00CC1BBB">
      <w:pPr>
        <w:pStyle w:val="ListParagraph"/>
        <w:numPr>
          <w:ilvl w:val="0"/>
          <w:numId w:val="14"/>
        </w:numPr>
        <w:spacing w:line="360" w:lineRule="auto"/>
        <w:ind w:right="42"/>
        <w:jc w:val="both"/>
        <w:rPr>
          <w:rFonts w:ascii="Times New Roman" w:hAnsi="Times New Roman" w:cs="Times New Roman"/>
          <w:i/>
        </w:rPr>
      </w:pPr>
      <w:r w:rsidRPr="005F691C">
        <w:rPr>
          <w:rFonts w:ascii="Times New Roman" w:hAnsi="Times New Roman" w:cs="Times New Roman"/>
          <w:i/>
        </w:rPr>
        <w:t>Pre-insurgency: Leadership emerges in response to a domestic grievance or outside influence</w:t>
      </w:r>
    </w:p>
    <w:p w14:paraId="4A893600" w14:textId="77777777" w:rsidR="00244AC9" w:rsidRPr="005F691C" w:rsidRDefault="00244AC9" w:rsidP="00CC1BBB">
      <w:pPr>
        <w:pStyle w:val="ListParagraph"/>
        <w:numPr>
          <w:ilvl w:val="0"/>
          <w:numId w:val="14"/>
        </w:numPr>
        <w:spacing w:line="360" w:lineRule="auto"/>
        <w:ind w:right="42"/>
        <w:jc w:val="both"/>
        <w:rPr>
          <w:rFonts w:ascii="Times New Roman" w:hAnsi="Times New Roman" w:cs="Times New Roman"/>
          <w:i/>
        </w:rPr>
      </w:pPr>
      <w:r w:rsidRPr="005F691C">
        <w:rPr>
          <w:rFonts w:ascii="Times New Roman" w:hAnsi="Times New Roman" w:cs="Times New Roman"/>
          <w:i/>
        </w:rPr>
        <w:t>Organisation: guerillas are recruited and trained, supplies are acquired and support is sought both domestically and internationally</w:t>
      </w:r>
    </w:p>
    <w:p w14:paraId="0CE978F7" w14:textId="77777777" w:rsidR="00244AC9" w:rsidRPr="005F691C" w:rsidRDefault="00244AC9" w:rsidP="00CC1BBB">
      <w:pPr>
        <w:pStyle w:val="ListParagraph"/>
        <w:numPr>
          <w:ilvl w:val="0"/>
          <w:numId w:val="14"/>
        </w:numPr>
        <w:spacing w:line="360" w:lineRule="auto"/>
        <w:ind w:right="42"/>
        <w:jc w:val="both"/>
        <w:rPr>
          <w:rFonts w:ascii="Times New Roman" w:hAnsi="Times New Roman" w:cs="Times New Roman"/>
          <w:i/>
        </w:rPr>
      </w:pPr>
      <w:r w:rsidRPr="005F691C">
        <w:rPr>
          <w:rFonts w:ascii="Times New Roman" w:hAnsi="Times New Roman" w:cs="Times New Roman"/>
          <w:i/>
        </w:rPr>
        <w:t xml:space="preserve">Guerilla Warfare: Extensive insurgent political activity </w:t>
      </w:r>
    </w:p>
    <w:p w14:paraId="73D262D6" w14:textId="77777777" w:rsidR="00244AC9" w:rsidRPr="005F691C" w:rsidRDefault="00244AC9" w:rsidP="00CC1BBB">
      <w:pPr>
        <w:pStyle w:val="ListParagraph"/>
        <w:numPr>
          <w:ilvl w:val="0"/>
          <w:numId w:val="14"/>
        </w:numPr>
        <w:spacing w:line="360" w:lineRule="auto"/>
        <w:ind w:right="42"/>
        <w:jc w:val="both"/>
        <w:rPr>
          <w:rFonts w:ascii="Times New Roman" w:hAnsi="Times New Roman" w:cs="Times New Roman"/>
          <w:i/>
        </w:rPr>
      </w:pPr>
      <w:r w:rsidRPr="005F691C">
        <w:rPr>
          <w:rFonts w:ascii="Times New Roman" w:hAnsi="Times New Roman" w:cs="Times New Roman"/>
          <w:i/>
        </w:rPr>
        <w:t>Mobile Conventional Warfare: Larger units are used in conventional warfare mode (Many insurgencies do not reach this stage).</w:t>
      </w:r>
      <w:r w:rsidRPr="005F691C">
        <w:rPr>
          <w:rStyle w:val="FootnoteReference"/>
          <w:rFonts w:ascii="Times New Roman" w:hAnsi="Times New Roman" w:cs="Times New Roman"/>
          <w:i/>
        </w:rPr>
        <w:footnoteReference w:id="276"/>
      </w:r>
    </w:p>
    <w:p w14:paraId="6926940A" w14:textId="77777777" w:rsidR="00244AC9" w:rsidRPr="005F691C" w:rsidRDefault="00244AC9" w:rsidP="00CC1BBB">
      <w:pPr>
        <w:spacing w:line="360" w:lineRule="auto"/>
        <w:ind w:right="42"/>
        <w:jc w:val="both"/>
        <w:rPr>
          <w:rFonts w:ascii="Times New Roman" w:hAnsi="Times New Roman" w:cs="Times New Roman"/>
          <w:i/>
        </w:rPr>
      </w:pPr>
    </w:p>
    <w:p w14:paraId="080A3DD8" w14:textId="47259978" w:rsidR="00244AC9" w:rsidRPr="005F691C" w:rsidRDefault="00244AC9" w:rsidP="000454A2">
      <w:pPr>
        <w:spacing w:line="360" w:lineRule="auto"/>
        <w:ind w:left="-567" w:right="-631"/>
        <w:jc w:val="both"/>
        <w:rPr>
          <w:rFonts w:ascii="Times New Roman" w:hAnsi="Times New Roman" w:cs="Times New Roman"/>
        </w:rPr>
      </w:pPr>
      <w:r w:rsidRPr="005F691C">
        <w:rPr>
          <w:rFonts w:ascii="Times New Roman" w:hAnsi="Times New Roman" w:cs="Times New Roman"/>
        </w:rPr>
        <w:t>In Iraq, it is accepted that rather than following these traditional patterns, the insurgency is completely different. There is no recognised hierarchical structure, rather the networks are linear, and the insurgency operates in the manner of a “netwar”, which is defined as small groups which communicate, coordinate and conduct their campaigns in a manner which does not require central control.</w:t>
      </w:r>
      <w:r w:rsidRPr="005F691C">
        <w:rPr>
          <w:rStyle w:val="FootnoteReference"/>
          <w:rFonts w:ascii="Times New Roman" w:hAnsi="Times New Roman" w:cs="Times New Roman"/>
        </w:rPr>
        <w:footnoteReference w:id="277"/>
      </w:r>
      <w:r w:rsidRPr="005F691C">
        <w:rPr>
          <w:rFonts w:ascii="Times New Roman" w:hAnsi="Times New Roman" w:cs="Times New Roman"/>
        </w:rPr>
        <w:t xml:space="preserve"> Thus, Iraq has presented America with a new challenge; loose networks of combatants who come together for a singular purpose and quickly disperse after its achievement.</w:t>
      </w:r>
      <w:r w:rsidRPr="005F691C">
        <w:rPr>
          <w:rStyle w:val="FootnoteReference"/>
          <w:rFonts w:ascii="Times New Roman" w:hAnsi="Times New Roman" w:cs="Times New Roman"/>
        </w:rPr>
        <w:footnoteReference w:id="278"/>
      </w:r>
      <w:r w:rsidRPr="005F691C">
        <w:rPr>
          <w:rFonts w:ascii="Times New Roman" w:hAnsi="Times New Roman" w:cs="Times New Roman"/>
        </w:rPr>
        <w:t xml:space="preserve"> </w:t>
      </w:r>
      <w:r w:rsidR="000454A2" w:rsidRPr="005F691C">
        <w:rPr>
          <w:rFonts w:ascii="Times New Roman" w:hAnsi="Times New Roman" w:cs="Times New Roman"/>
        </w:rPr>
        <w:t>The current insurgency being waged in Iraq by Al Qaeda is being waged by amorphous, locally and internationally based groups and networks, which lack any unifying ideology, central leadership or clear hierarchy.</w:t>
      </w:r>
      <w:r w:rsidR="000454A2" w:rsidRPr="005F691C">
        <w:rPr>
          <w:rStyle w:val="FootnoteReference"/>
          <w:rFonts w:ascii="Times New Roman" w:hAnsi="Times New Roman" w:cs="Times New Roman"/>
        </w:rPr>
        <w:footnoteReference w:id="279"/>
      </w:r>
      <w:r w:rsidR="000454A2">
        <w:rPr>
          <w:rFonts w:ascii="Times New Roman" w:hAnsi="Times New Roman" w:cs="Times New Roman"/>
        </w:rPr>
        <w:t xml:space="preserve"> </w:t>
      </w:r>
      <w:r w:rsidRPr="005F691C">
        <w:rPr>
          <w:rFonts w:ascii="Times New Roman" w:hAnsi="Times New Roman" w:cs="Times New Roman"/>
        </w:rPr>
        <w:t>This new type of insurgency can be linked to the fact that the insurgency is classified as a global insurgency</w:t>
      </w:r>
      <w:r w:rsidR="004810B3" w:rsidRPr="005F691C">
        <w:rPr>
          <w:rFonts w:ascii="Times New Roman" w:hAnsi="Times New Roman" w:cs="Times New Roman"/>
        </w:rPr>
        <w:t>, employing tactics and fighters from around the world, and trying to implement global objectives.</w:t>
      </w:r>
      <w:r w:rsidRPr="005F691C">
        <w:rPr>
          <w:rFonts w:ascii="Times New Roman" w:hAnsi="Times New Roman" w:cs="Times New Roman"/>
        </w:rPr>
        <w:t xml:space="preserve"> </w:t>
      </w:r>
    </w:p>
    <w:p w14:paraId="086AA315" w14:textId="77777777" w:rsidR="000454A2" w:rsidRDefault="000454A2" w:rsidP="00244AC9">
      <w:pPr>
        <w:spacing w:line="360" w:lineRule="auto"/>
        <w:ind w:left="-567" w:right="-631"/>
        <w:jc w:val="both"/>
        <w:rPr>
          <w:rFonts w:ascii="Times New Roman" w:hAnsi="Times New Roman" w:cs="Times New Roman"/>
        </w:rPr>
      </w:pPr>
    </w:p>
    <w:p w14:paraId="357D7CE4" w14:textId="6D060C68" w:rsidR="00244AC9" w:rsidRPr="005F691C" w:rsidRDefault="00244AC9" w:rsidP="000454A2">
      <w:pPr>
        <w:spacing w:line="360" w:lineRule="auto"/>
        <w:ind w:left="-567" w:right="-631"/>
        <w:jc w:val="both"/>
        <w:rPr>
          <w:rFonts w:ascii="Times New Roman" w:hAnsi="Times New Roman" w:cs="Times New Roman"/>
        </w:rPr>
      </w:pPr>
      <w:r w:rsidRPr="005F691C">
        <w:rPr>
          <w:rFonts w:ascii="Times New Roman" w:hAnsi="Times New Roman" w:cs="Times New Roman"/>
        </w:rPr>
        <w:t>The role of foreign fighters in the Iraqi insurgency has been given much attention and has in fact been attributed with much of the blame for the failure of the American counterinsurgency campaign.</w:t>
      </w:r>
      <w:r w:rsidRPr="005F691C">
        <w:rPr>
          <w:rStyle w:val="FootnoteReference"/>
          <w:rFonts w:ascii="Times New Roman" w:hAnsi="Times New Roman" w:cs="Times New Roman"/>
        </w:rPr>
        <w:footnoteReference w:id="280"/>
      </w:r>
      <w:r w:rsidRPr="005F691C">
        <w:rPr>
          <w:rFonts w:ascii="Times New Roman" w:hAnsi="Times New Roman" w:cs="Times New Roman"/>
        </w:rPr>
        <w:t xml:space="preserve">  This element links not only to the ability of the counterinsurgency movement to effectively put an end </w:t>
      </w:r>
      <w:r w:rsidR="000454A2">
        <w:rPr>
          <w:rFonts w:ascii="Times New Roman" w:hAnsi="Times New Roman" w:cs="Times New Roman"/>
        </w:rPr>
        <w:t>to violence, but also impacts on the ability of</w:t>
      </w:r>
      <w:r w:rsidRPr="005F691C">
        <w:rPr>
          <w:rFonts w:ascii="Times New Roman" w:hAnsi="Times New Roman" w:cs="Times New Roman"/>
        </w:rPr>
        <w:t xml:space="preserve"> counterinsurgency forces to perform an effective hearts and minds campaign, due to the variety of languages, cultures and other factors which make it more difficult for forces to connect with the local population and to try win over the insurgents.</w:t>
      </w:r>
      <w:r w:rsidR="000454A2">
        <w:rPr>
          <w:rFonts w:ascii="Times New Roman" w:hAnsi="Times New Roman" w:cs="Times New Roman"/>
        </w:rPr>
        <w:t xml:space="preserve"> </w:t>
      </w:r>
      <w:r w:rsidRPr="005F691C">
        <w:rPr>
          <w:rFonts w:ascii="Times New Roman" w:hAnsi="Times New Roman" w:cs="Times New Roman"/>
        </w:rPr>
        <w:t xml:space="preserve">The importance of successful information gathering is vital to the success of any counterinsurgency campaign, particularly one being waged against a global insurgency. </w:t>
      </w:r>
    </w:p>
    <w:p w14:paraId="2A2D01AF" w14:textId="77777777" w:rsidR="00244AC9" w:rsidRPr="005F691C" w:rsidRDefault="00244AC9" w:rsidP="00244AC9">
      <w:pPr>
        <w:spacing w:line="360" w:lineRule="auto"/>
        <w:ind w:left="-567" w:right="-631"/>
        <w:jc w:val="both"/>
        <w:rPr>
          <w:rFonts w:ascii="Times New Roman" w:hAnsi="Times New Roman" w:cs="Times New Roman"/>
        </w:rPr>
      </w:pPr>
    </w:p>
    <w:p w14:paraId="1BA65BA9" w14:textId="71105B98" w:rsidR="00244AC9" w:rsidRPr="005F691C" w:rsidRDefault="00F757CD" w:rsidP="00244AC9">
      <w:pPr>
        <w:spacing w:line="360" w:lineRule="auto"/>
        <w:ind w:left="-567" w:right="-631"/>
        <w:jc w:val="both"/>
        <w:rPr>
          <w:rFonts w:ascii="Times New Roman" w:hAnsi="Times New Roman" w:cs="Times New Roman"/>
          <w:b/>
          <w:u w:val="single"/>
        </w:rPr>
      </w:pPr>
      <w:r w:rsidRPr="00F757CD">
        <w:rPr>
          <w:rFonts w:ascii="Times New Roman" w:hAnsi="Times New Roman" w:cs="Times New Roman"/>
          <w:b/>
        </w:rPr>
        <w:t xml:space="preserve">5.4 </w:t>
      </w:r>
      <w:r w:rsidR="00244AC9" w:rsidRPr="005F691C">
        <w:rPr>
          <w:rFonts w:ascii="Times New Roman" w:hAnsi="Times New Roman" w:cs="Times New Roman"/>
          <w:b/>
          <w:u w:val="single"/>
        </w:rPr>
        <w:t>Desired Outcomes</w:t>
      </w:r>
    </w:p>
    <w:p w14:paraId="58172800" w14:textId="77777777" w:rsidR="00244AC9" w:rsidRPr="005F691C" w:rsidRDefault="00244AC9" w:rsidP="002C7EEE">
      <w:pPr>
        <w:spacing w:line="360" w:lineRule="auto"/>
        <w:ind w:right="-631"/>
        <w:jc w:val="both"/>
        <w:rPr>
          <w:rFonts w:ascii="Times New Roman" w:hAnsi="Times New Roman" w:cs="Times New Roman"/>
        </w:rPr>
      </w:pPr>
    </w:p>
    <w:p w14:paraId="0B667E64" w14:textId="7482C9E5"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Unlike the IRA in Ireland who had specific </w:t>
      </w:r>
      <w:r w:rsidR="002C7EEE" w:rsidRPr="005F691C">
        <w:rPr>
          <w:rFonts w:ascii="Times New Roman" w:hAnsi="Times New Roman" w:cs="Times New Roman"/>
        </w:rPr>
        <w:t xml:space="preserve">economic, social and </w:t>
      </w:r>
      <w:r w:rsidRPr="005F691C">
        <w:rPr>
          <w:rFonts w:ascii="Times New Roman" w:hAnsi="Times New Roman" w:cs="Times New Roman"/>
        </w:rPr>
        <w:t xml:space="preserve">political grievances laid out by the leadership of the organisation, which they wished to achieve and would cease their activities upon achievement of these outcomes, the global insurgency as pursued by Al Qaeda in Iraq does not have any </w:t>
      </w:r>
      <w:r w:rsidR="002C7EEE" w:rsidRPr="005F691C">
        <w:rPr>
          <w:rFonts w:ascii="Times New Roman" w:hAnsi="Times New Roman" w:cs="Times New Roman"/>
        </w:rPr>
        <w:t xml:space="preserve">economic, social or </w:t>
      </w:r>
      <w:r w:rsidRPr="005F691C">
        <w:rPr>
          <w:rFonts w:ascii="Times New Roman" w:hAnsi="Times New Roman" w:cs="Times New Roman"/>
        </w:rPr>
        <w:t>political desired outcomes and is rather centred around the religious will to create a global Islamic caliphate.</w:t>
      </w:r>
    </w:p>
    <w:p w14:paraId="760B7580" w14:textId="77777777" w:rsidR="00244AC9" w:rsidRPr="005F691C" w:rsidRDefault="00244AC9" w:rsidP="00244AC9">
      <w:pPr>
        <w:spacing w:line="360" w:lineRule="auto"/>
        <w:ind w:left="-567" w:right="-631"/>
        <w:jc w:val="both"/>
        <w:rPr>
          <w:rFonts w:ascii="Times New Roman" w:hAnsi="Times New Roman" w:cs="Times New Roman"/>
        </w:rPr>
      </w:pPr>
    </w:p>
    <w:p w14:paraId="30A7B207" w14:textId="087D6B7C"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The means through which the insurgency is operationalised within Al Qaeda is though maintaining support for their counter-coalition (</w:t>
      </w:r>
      <w:r w:rsidR="002C7EEE" w:rsidRPr="005F691C">
        <w:rPr>
          <w:rFonts w:ascii="Times New Roman" w:hAnsi="Times New Roman" w:cs="Times New Roman"/>
        </w:rPr>
        <w:t>Western</w:t>
      </w:r>
      <w:r w:rsidRPr="005F691C">
        <w:rPr>
          <w:rFonts w:ascii="Times New Roman" w:hAnsi="Times New Roman" w:cs="Times New Roman"/>
        </w:rPr>
        <w:t xml:space="preserve"> forces in Iraq</w:t>
      </w:r>
      <w:r w:rsidR="000454A2">
        <w:rPr>
          <w:rFonts w:ascii="Times New Roman" w:hAnsi="Times New Roman" w:cs="Times New Roman"/>
        </w:rPr>
        <w:t>, including America</w:t>
      </w:r>
      <w:r w:rsidRPr="005F691C">
        <w:rPr>
          <w:rFonts w:ascii="Times New Roman" w:hAnsi="Times New Roman" w:cs="Times New Roman"/>
        </w:rPr>
        <w:t>), counter-reconstruction and counter-stability operations.</w:t>
      </w:r>
      <w:r w:rsidRPr="005F691C">
        <w:rPr>
          <w:rStyle w:val="FootnoteReference"/>
          <w:rFonts w:ascii="Times New Roman" w:hAnsi="Times New Roman" w:cs="Times New Roman"/>
        </w:rPr>
        <w:footnoteReference w:id="281"/>
      </w:r>
      <w:r w:rsidRPr="005F691C">
        <w:rPr>
          <w:rFonts w:ascii="Times New Roman" w:hAnsi="Times New Roman" w:cs="Times New Roman"/>
        </w:rPr>
        <w:t xml:space="preserve"> These operations, amongst others, are aimed at ending the occupation in Iraq and thus causing the attempted political processes to fail, or to recapture the political process.</w:t>
      </w:r>
      <w:r w:rsidRPr="005F691C">
        <w:rPr>
          <w:rStyle w:val="FootnoteReference"/>
          <w:rFonts w:ascii="Times New Roman" w:hAnsi="Times New Roman" w:cs="Times New Roman"/>
        </w:rPr>
        <w:footnoteReference w:id="282"/>
      </w:r>
      <w:r w:rsidRPr="005F691C">
        <w:rPr>
          <w:rFonts w:ascii="Times New Roman" w:hAnsi="Times New Roman" w:cs="Times New Roman"/>
        </w:rPr>
        <w:t xml:space="preserve"> By referring to Figure 1. Insurgency Strategy in Iraq, it is possible to see the operations, desired outcomes and desired end state of the Al Qaeda insurgency.</w:t>
      </w:r>
    </w:p>
    <w:p w14:paraId="2C657A34" w14:textId="77777777" w:rsidR="00244AC9" w:rsidRPr="005F691C" w:rsidRDefault="00244AC9" w:rsidP="00244AC9">
      <w:pPr>
        <w:spacing w:line="360" w:lineRule="auto"/>
        <w:ind w:left="-567" w:right="-631"/>
        <w:jc w:val="both"/>
        <w:rPr>
          <w:rFonts w:ascii="Times New Roman" w:hAnsi="Times New Roman" w:cs="Times New Roman"/>
        </w:rPr>
      </w:pPr>
    </w:p>
    <w:p w14:paraId="4C0DF78E" w14:textId="43E79BAB"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insurgency has succeeded in penetrating deep into Iraqi society and maintains a broad presence in </w:t>
      </w:r>
      <w:r w:rsidR="002C7EEE" w:rsidRPr="005F691C">
        <w:rPr>
          <w:rFonts w:ascii="Times New Roman" w:hAnsi="Times New Roman" w:cs="Times New Roman"/>
        </w:rPr>
        <w:t xml:space="preserve">economic, social, political </w:t>
      </w:r>
      <w:r w:rsidRPr="005F691C">
        <w:rPr>
          <w:rFonts w:ascii="Times New Roman" w:hAnsi="Times New Roman" w:cs="Times New Roman"/>
        </w:rPr>
        <w:t xml:space="preserve">and religious spheres of the population, where </w:t>
      </w:r>
      <w:r w:rsidR="002C7EEE" w:rsidRPr="005F691C">
        <w:rPr>
          <w:rFonts w:ascii="Times New Roman" w:hAnsi="Times New Roman" w:cs="Times New Roman"/>
        </w:rPr>
        <w:t xml:space="preserve">it </w:t>
      </w:r>
      <w:r w:rsidRPr="005F691C">
        <w:rPr>
          <w:rFonts w:ascii="Times New Roman" w:hAnsi="Times New Roman" w:cs="Times New Roman"/>
        </w:rPr>
        <w:t xml:space="preserve">has combined methods of persuasion as well as intimidation </w:t>
      </w:r>
      <w:r w:rsidR="002C7EEE" w:rsidRPr="005F691C">
        <w:rPr>
          <w:rFonts w:ascii="Times New Roman" w:hAnsi="Times New Roman" w:cs="Times New Roman"/>
        </w:rPr>
        <w:t>to convince people to join the</w:t>
      </w:r>
      <w:r w:rsidRPr="005F691C">
        <w:rPr>
          <w:rFonts w:ascii="Times New Roman" w:hAnsi="Times New Roman" w:cs="Times New Roman"/>
        </w:rPr>
        <w:t xml:space="preserve"> cause and undermine government institutions such as town councils.</w:t>
      </w:r>
      <w:r w:rsidRPr="005F691C">
        <w:rPr>
          <w:rStyle w:val="FootnoteReference"/>
          <w:rFonts w:ascii="Times New Roman" w:hAnsi="Times New Roman" w:cs="Times New Roman"/>
        </w:rPr>
        <w:footnoteReference w:id="283"/>
      </w:r>
      <w:r w:rsidRPr="005F691C">
        <w:rPr>
          <w:rFonts w:ascii="Times New Roman" w:hAnsi="Times New Roman" w:cs="Times New Roman"/>
        </w:rPr>
        <w:t xml:space="preserve"> Common objectives within the insurgency include the will to end the Western influence in the </w:t>
      </w:r>
      <w:r w:rsidR="005F420E">
        <w:rPr>
          <w:rFonts w:ascii="Times New Roman" w:hAnsi="Times New Roman" w:cs="Times New Roman"/>
        </w:rPr>
        <w:t xml:space="preserve">Islamic </w:t>
      </w:r>
      <w:r w:rsidRPr="005F691C">
        <w:rPr>
          <w:rFonts w:ascii="Times New Roman" w:hAnsi="Times New Roman" w:cs="Times New Roman"/>
        </w:rPr>
        <w:t>world, undermine any government efforts that do not support the insurgency, create a climate of fear and insecurity within the population, and to turn the political processes to support insurgent interests.</w:t>
      </w:r>
      <w:r w:rsidRPr="005F691C">
        <w:rPr>
          <w:rStyle w:val="FootnoteReference"/>
          <w:rFonts w:ascii="Times New Roman" w:hAnsi="Times New Roman" w:cs="Times New Roman"/>
        </w:rPr>
        <w:footnoteReference w:id="284"/>
      </w:r>
      <w:r w:rsidRPr="005F691C">
        <w:rPr>
          <w:rFonts w:ascii="Times New Roman" w:hAnsi="Times New Roman" w:cs="Times New Roman"/>
        </w:rPr>
        <w:t xml:space="preserve">  These various objectives all create an unsupportive climate for a counterinsurgency operation. </w:t>
      </w:r>
    </w:p>
    <w:p w14:paraId="4EDED42F" w14:textId="77777777" w:rsidR="00244AC9" w:rsidRPr="005F691C" w:rsidRDefault="00244AC9" w:rsidP="00244AC9">
      <w:pPr>
        <w:spacing w:line="360" w:lineRule="auto"/>
        <w:ind w:left="-567" w:right="-631"/>
        <w:jc w:val="both"/>
        <w:rPr>
          <w:rFonts w:ascii="Times New Roman" w:hAnsi="Times New Roman" w:cs="Times New Roman"/>
        </w:rPr>
      </w:pPr>
    </w:p>
    <w:p w14:paraId="557EE17F" w14:textId="22A868B0"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These various elements of the global insurgency campaign being waged by Al Qaeda and the responses by the American counterinsurgency operation will now be discussed in order to demonstrate how the causal relationships which were founded in the case study of the IRA in Northern Ireland are not </w:t>
      </w:r>
      <w:r w:rsidR="002C7EEE" w:rsidRPr="005F691C">
        <w:rPr>
          <w:rFonts w:ascii="Times New Roman" w:hAnsi="Times New Roman" w:cs="Times New Roman"/>
        </w:rPr>
        <w:t>identifiabl</w:t>
      </w:r>
      <w:r w:rsidRPr="005F691C">
        <w:rPr>
          <w:rFonts w:ascii="Times New Roman" w:hAnsi="Times New Roman" w:cs="Times New Roman"/>
        </w:rPr>
        <w:t>e in the situation in Iraq</w:t>
      </w:r>
      <w:r w:rsidR="005F420E">
        <w:rPr>
          <w:rFonts w:ascii="Times New Roman" w:hAnsi="Times New Roman" w:cs="Times New Roman"/>
        </w:rPr>
        <w:t>,</w:t>
      </w:r>
      <w:r w:rsidRPr="005F691C">
        <w:rPr>
          <w:rFonts w:ascii="Times New Roman" w:hAnsi="Times New Roman" w:cs="Times New Roman"/>
        </w:rPr>
        <w:t xml:space="preserve"> and thus the failed outcome of the counterinsurgency campaign could have been predetermined.</w:t>
      </w:r>
    </w:p>
    <w:p w14:paraId="7F9D977B" w14:textId="77777777" w:rsidR="00244AC9" w:rsidRPr="005F691C" w:rsidRDefault="00244AC9" w:rsidP="00244AC9">
      <w:pPr>
        <w:spacing w:line="360" w:lineRule="auto"/>
        <w:ind w:left="-567" w:right="-631" w:firstLine="567"/>
        <w:jc w:val="both"/>
        <w:rPr>
          <w:rFonts w:ascii="Times New Roman" w:hAnsi="Times New Roman" w:cs="Times New Roman"/>
        </w:rPr>
      </w:pPr>
    </w:p>
    <w:p w14:paraId="5BC93B6C" w14:textId="020C1D3F" w:rsidR="00244AC9" w:rsidRPr="005F691C" w:rsidRDefault="00F757CD" w:rsidP="00F757CD">
      <w:pPr>
        <w:spacing w:line="360" w:lineRule="auto"/>
        <w:ind w:left="-1134" w:right="-631" w:firstLine="567"/>
        <w:jc w:val="both"/>
        <w:rPr>
          <w:rFonts w:ascii="Times New Roman" w:hAnsi="Times New Roman" w:cs="Times New Roman"/>
          <w:b/>
          <w:u w:val="single"/>
        </w:rPr>
      </w:pPr>
      <w:r w:rsidRPr="00F757CD">
        <w:rPr>
          <w:rFonts w:ascii="Times New Roman" w:hAnsi="Times New Roman" w:cs="Times New Roman"/>
          <w:b/>
        </w:rPr>
        <w:t>5.5</w:t>
      </w:r>
      <w:r w:rsidR="00244AC9" w:rsidRPr="00F757CD">
        <w:rPr>
          <w:rFonts w:ascii="Times New Roman" w:hAnsi="Times New Roman" w:cs="Times New Roman"/>
          <w:b/>
        </w:rPr>
        <w:t xml:space="preserve"> </w:t>
      </w:r>
      <w:r w:rsidR="00244AC9" w:rsidRPr="005F691C">
        <w:rPr>
          <w:rFonts w:ascii="Times New Roman" w:hAnsi="Times New Roman" w:cs="Times New Roman"/>
          <w:b/>
          <w:u w:val="single"/>
        </w:rPr>
        <w:t>Causal Relationships</w:t>
      </w:r>
    </w:p>
    <w:p w14:paraId="51F9943F" w14:textId="3379EEA0" w:rsidR="00244AC9" w:rsidRPr="005F691C" w:rsidRDefault="00F757CD" w:rsidP="00F757CD">
      <w:pPr>
        <w:spacing w:line="360" w:lineRule="auto"/>
        <w:ind w:right="-631"/>
        <w:jc w:val="both"/>
        <w:rPr>
          <w:rFonts w:ascii="Times New Roman" w:hAnsi="Times New Roman" w:cs="Times New Roman"/>
          <w:b/>
          <w:u w:val="single"/>
        </w:rPr>
      </w:pPr>
      <w:r w:rsidRPr="00F757CD">
        <w:rPr>
          <w:rFonts w:ascii="Times New Roman" w:hAnsi="Times New Roman" w:cs="Times New Roman"/>
          <w:b/>
        </w:rPr>
        <w:t xml:space="preserve">5.5.1 </w:t>
      </w:r>
      <w:r w:rsidR="00244AC9" w:rsidRPr="005F691C">
        <w:rPr>
          <w:rFonts w:ascii="Times New Roman" w:hAnsi="Times New Roman" w:cs="Times New Roman"/>
          <w:b/>
          <w:u w:val="single"/>
        </w:rPr>
        <w:t>Cessation of Violence</w:t>
      </w:r>
    </w:p>
    <w:p w14:paraId="6EB911F2" w14:textId="77777777" w:rsidR="00244AC9" w:rsidRPr="005F691C" w:rsidRDefault="00244AC9" w:rsidP="00244AC9">
      <w:pPr>
        <w:spacing w:line="360" w:lineRule="auto"/>
        <w:ind w:left="-567" w:right="-631"/>
        <w:jc w:val="both"/>
        <w:rPr>
          <w:rFonts w:ascii="Times New Roman" w:hAnsi="Times New Roman" w:cs="Times New Roman"/>
        </w:rPr>
      </w:pPr>
    </w:p>
    <w:p w14:paraId="4CF261AE" w14:textId="7E396B1E"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Part of the aims of the global insurgency is to convince the enemy, in this case the United States, that the strategic goals they seek are too costly and time consuming, and are in fact unachievable.</w:t>
      </w:r>
      <w:r w:rsidRPr="005F691C">
        <w:rPr>
          <w:rStyle w:val="FootnoteReference"/>
          <w:rFonts w:ascii="Times New Roman" w:hAnsi="Times New Roman" w:cs="Times New Roman"/>
        </w:rPr>
        <w:footnoteReference w:id="285"/>
      </w:r>
      <w:r w:rsidRPr="005F691C">
        <w:rPr>
          <w:rFonts w:ascii="Times New Roman" w:hAnsi="Times New Roman" w:cs="Times New Roman"/>
        </w:rPr>
        <w:t xml:space="preserve"> This is achieved through unremitting pressure placed on the counterinsurgency forces, through the continued war of minds and violence.</w:t>
      </w:r>
      <w:r w:rsidRPr="005F691C">
        <w:rPr>
          <w:rStyle w:val="FootnoteReference"/>
          <w:rFonts w:ascii="Times New Roman" w:hAnsi="Times New Roman" w:cs="Times New Roman"/>
        </w:rPr>
        <w:footnoteReference w:id="286"/>
      </w:r>
      <w:r w:rsidRPr="005F691C">
        <w:rPr>
          <w:rFonts w:ascii="Times New Roman" w:hAnsi="Times New Roman" w:cs="Times New Roman"/>
        </w:rPr>
        <w:t xml:space="preserve"> The global insurgency focuses its efforts on the politically strategic targets in the war, and aims to achieve international effects.</w:t>
      </w:r>
      <w:r w:rsidRPr="005F691C">
        <w:rPr>
          <w:rStyle w:val="FootnoteReference"/>
          <w:rFonts w:ascii="Times New Roman" w:hAnsi="Times New Roman" w:cs="Times New Roman"/>
        </w:rPr>
        <w:footnoteReference w:id="287"/>
      </w:r>
      <w:r w:rsidR="009569EC">
        <w:rPr>
          <w:rFonts w:ascii="Times New Roman" w:hAnsi="Times New Roman" w:cs="Times New Roman"/>
        </w:rPr>
        <w:t xml:space="preserve"> </w:t>
      </w:r>
      <w:r w:rsidRPr="005F691C">
        <w:rPr>
          <w:rFonts w:ascii="Times New Roman" w:hAnsi="Times New Roman" w:cs="Times New Roman"/>
        </w:rPr>
        <w:t>The continued vulnerability of innocent civilians including women and children, at the hands of the insurgents, is on display for the entire population, and the security forces in control seem incapable of putting an end to the violence.</w:t>
      </w:r>
      <w:r w:rsidRPr="005F691C">
        <w:rPr>
          <w:rStyle w:val="FootnoteReference"/>
          <w:rFonts w:ascii="Times New Roman" w:hAnsi="Times New Roman" w:cs="Times New Roman"/>
        </w:rPr>
        <w:footnoteReference w:id="288"/>
      </w:r>
    </w:p>
    <w:p w14:paraId="099A384A" w14:textId="77777777" w:rsidR="00244AC9" w:rsidRPr="005F691C" w:rsidRDefault="00244AC9" w:rsidP="00244AC9">
      <w:pPr>
        <w:spacing w:line="360" w:lineRule="auto"/>
        <w:ind w:left="-567" w:right="-631"/>
        <w:jc w:val="both"/>
        <w:rPr>
          <w:rFonts w:ascii="Times New Roman" w:hAnsi="Times New Roman" w:cs="Times New Roman"/>
        </w:rPr>
      </w:pPr>
    </w:p>
    <w:p w14:paraId="7C6E2DD2" w14:textId="5EC2F314"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 most successful way in which to remedy this is for the counterinsurgency forces to implement a successful hearts and minds campaign, whereby they are able to win the trust and support of the local civilian population. However, as mentioned above, </w:t>
      </w:r>
      <w:r w:rsidR="009569EC">
        <w:rPr>
          <w:rFonts w:ascii="Times New Roman" w:hAnsi="Times New Roman" w:cs="Times New Roman"/>
        </w:rPr>
        <w:t>t</w:t>
      </w:r>
      <w:r w:rsidRPr="005F691C">
        <w:rPr>
          <w:rFonts w:ascii="Times New Roman" w:hAnsi="Times New Roman" w:cs="Times New Roman"/>
        </w:rPr>
        <w:t>he language and culture barriers were only reinforced by the American reliance on use of force to contain the population.</w:t>
      </w:r>
      <w:r w:rsidRPr="005F691C">
        <w:rPr>
          <w:rStyle w:val="FootnoteReference"/>
          <w:rFonts w:ascii="Times New Roman" w:hAnsi="Times New Roman" w:cs="Times New Roman"/>
        </w:rPr>
        <w:footnoteReference w:id="289"/>
      </w:r>
      <w:r w:rsidRPr="005F691C">
        <w:rPr>
          <w:rFonts w:ascii="Times New Roman" w:hAnsi="Times New Roman" w:cs="Times New Roman"/>
        </w:rPr>
        <w:t xml:space="preserve"> This alienated the American forces from the Arab population, and ultimately damaged their ability to implement effective information gathering. The emphasis has been on the use of coercive violence, rather than winning the hearts and minds.</w:t>
      </w:r>
      <w:r w:rsidRPr="005F691C">
        <w:rPr>
          <w:rStyle w:val="FootnoteReference"/>
          <w:rFonts w:ascii="Times New Roman" w:hAnsi="Times New Roman" w:cs="Times New Roman"/>
        </w:rPr>
        <w:footnoteReference w:id="290"/>
      </w:r>
      <w:r w:rsidR="00D72C8F">
        <w:rPr>
          <w:rFonts w:ascii="Times New Roman" w:hAnsi="Times New Roman" w:cs="Times New Roman"/>
        </w:rPr>
        <w:t xml:space="preserve"> </w:t>
      </w:r>
    </w:p>
    <w:p w14:paraId="35BA6A6B" w14:textId="77777777" w:rsidR="00484F19" w:rsidRPr="005F691C" w:rsidRDefault="00484F19" w:rsidP="00244AC9">
      <w:pPr>
        <w:spacing w:line="360" w:lineRule="auto"/>
        <w:ind w:left="-567" w:right="-631"/>
        <w:jc w:val="both"/>
        <w:rPr>
          <w:rFonts w:ascii="Times New Roman" w:hAnsi="Times New Roman" w:cs="Times New Roman"/>
        </w:rPr>
      </w:pPr>
    </w:p>
    <w:p w14:paraId="0AF20B81" w14:textId="02B004F2" w:rsidR="00484F19" w:rsidRPr="005F691C" w:rsidRDefault="00484F1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As identified in the analysis of the IRA, the first causal relationship is as follows;</w:t>
      </w:r>
    </w:p>
    <w:p w14:paraId="5EC12CF3" w14:textId="77777777" w:rsidR="009569EC" w:rsidRDefault="009569EC" w:rsidP="00484F19">
      <w:pPr>
        <w:tabs>
          <w:tab w:val="left" w:pos="-1134"/>
        </w:tabs>
        <w:spacing w:line="360" w:lineRule="auto"/>
        <w:ind w:left="-567" w:right="-631"/>
        <w:jc w:val="both"/>
        <w:rPr>
          <w:rFonts w:ascii="Times New Roman" w:hAnsi="Times New Roman" w:cs="Times New Roman"/>
          <w:b/>
          <w:u w:val="single"/>
        </w:rPr>
      </w:pPr>
    </w:p>
    <w:p w14:paraId="76B6345F" w14:textId="77777777" w:rsidR="009569EC" w:rsidRDefault="00484F19" w:rsidP="009569EC">
      <w:pPr>
        <w:tabs>
          <w:tab w:val="left" w:pos="-1134"/>
        </w:tabs>
        <w:spacing w:line="360" w:lineRule="auto"/>
        <w:ind w:left="-567" w:right="-631"/>
        <w:jc w:val="both"/>
        <w:rPr>
          <w:rFonts w:ascii="Times New Roman" w:hAnsi="Times New Roman" w:cs="Times New Roman"/>
        </w:rPr>
      </w:pPr>
      <w:r w:rsidRPr="005F691C">
        <w:rPr>
          <w:rFonts w:ascii="Times New Roman" w:hAnsi="Times New Roman" w:cs="Times New Roman"/>
          <w:b/>
          <w:u w:val="single"/>
        </w:rPr>
        <w:t>Causal Relationship 1</w:t>
      </w:r>
      <w:r w:rsidRPr="005F691C">
        <w:rPr>
          <w:rFonts w:ascii="Times New Roman" w:hAnsi="Times New Roman" w:cs="Times New Roman"/>
        </w:rPr>
        <w:t xml:space="preserve">: </w:t>
      </w:r>
      <w:r w:rsidR="009569EC" w:rsidRPr="005F691C">
        <w:rPr>
          <w:rFonts w:ascii="Times New Roman" w:hAnsi="Times New Roman" w:cs="Times New Roman"/>
        </w:rPr>
        <w:t>If there exists a state centric insurgency with a close relationship with a large portion of the population, then this will lead to a more effective cessation of violence when the counterinsurgency forces implement a successful and disciplined i</w:t>
      </w:r>
      <w:r w:rsidR="009569EC">
        <w:rPr>
          <w:rFonts w:ascii="Times New Roman" w:hAnsi="Times New Roman" w:cs="Times New Roman"/>
        </w:rPr>
        <w:t>nformation gathering campaign.</w:t>
      </w:r>
    </w:p>
    <w:p w14:paraId="765DE39E" w14:textId="35C2369F" w:rsidR="00484F19" w:rsidRPr="005F691C" w:rsidRDefault="00484F19" w:rsidP="00484F19">
      <w:pPr>
        <w:tabs>
          <w:tab w:val="left" w:pos="-1134"/>
        </w:tabs>
        <w:spacing w:line="360" w:lineRule="auto"/>
        <w:ind w:left="-567" w:right="-631"/>
        <w:jc w:val="both"/>
        <w:rPr>
          <w:rFonts w:ascii="Times New Roman" w:hAnsi="Times New Roman" w:cs="Times New Roman"/>
        </w:rPr>
      </w:pPr>
    </w:p>
    <w:p w14:paraId="6FFB69E0" w14:textId="25FEB498" w:rsidR="00D72C8F" w:rsidRPr="005F691C" w:rsidRDefault="00484F19" w:rsidP="00D72C8F">
      <w:pPr>
        <w:spacing w:line="360" w:lineRule="auto"/>
        <w:ind w:left="-567" w:right="-631"/>
        <w:jc w:val="both"/>
        <w:rPr>
          <w:rFonts w:ascii="Times New Roman" w:hAnsi="Times New Roman" w:cs="Times New Roman"/>
        </w:rPr>
      </w:pPr>
      <w:r w:rsidRPr="005F691C">
        <w:rPr>
          <w:rFonts w:ascii="Times New Roman" w:hAnsi="Times New Roman" w:cs="Times New Roman"/>
        </w:rPr>
        <w:t xml:space="preserve">There </w:t>
      </w:r>
      <w:r w:rsidR="00244AC9" w:rsidRPr="005F691C">
        <w:rPr>
          <w:rFonts w:ascii="Times New Roman" w:hAnsi="Times New Roman" w:cs="Times New Roman"/>
        </w:rPr>
        <w:t xml:space="preserve">was </w:t>
      </w:r>
      <w:r w:rsidRPr="005F691C">
        <w:rPr>
          <w:rFonts w:ascii="Times New Roman" w:hAnsi="Times New Roman" w:cs="Times New Roman"/>
        </w:rPr>
        <w:t xml:space="preserve">much </w:t>
      </w:r>
      <w:r w:rsidR="00244AC9" w:rsidRPr="005F691C">
        <w:rPr>
          <w:rFonts w:ascii="Times New Roman" w:hAnsi="Times New Roman" w:cs="Times New Roman"/>
        </w:rPr>
        <w:t>complicat</w:t>
      </w:r>
      <w:r w:rsidRPr="005F691C">
        <w:rPr>
          <w:rFonts w:ascii="Times New Roman" w:hAnsi="Times New Roman" w:cs="Times New Roman"/>
        </w:rPr>
        <w:t>ion in this area</w:t>
      </w:r>
      <w:r w:rsidR="009569EC">
        <w:rPr>
          <w:rFonts w:ascii="Times New Roman" w:hAnsi="Times New Roman" w:cs="Times New Roman"/>
        </w:rPr>
        <w:t xml:space="preserve"> in Iraq,</w:t>
      </w:r>
      <w:r w:rsidRPr="005F691C">
        <w:rPr>
          <w:rFonts w:ascii="Times New Roman" w:hAnsi="Times New Roman" w:cs="Times New Roman"/>
        </w:rPr>
        <w:t xml:space="preserve"> due to</w:t>
      </w:r>
      <w:r w:rsidR="00244AC9" w:rsidRPr="005F691C">
        <w:rPr>
          <w:rFonts w:ascii="Times New Roman" w:hAnsi="Times New Roman" w:cs="Times New Roman"/>
        </w:rPr>
        <w:t xml:space="preserve"> the fact that the insurgency is not like that of a state centric insurgency with a close relationship with a large portion of the population, but rather the relationship and information channels of a global insurgency stretch beyond the local population. Gaining sufficient information to effectively put an end to the violence of the global insurgency, even in a local area, could become almost impossible, as reaching enough individuals with the necessary information is unfeasible.</w:t>
      </w:r>
      <w:r w:rsidR="009569EC">
        <w:rPr>
          <w:rFonts w:ascii="Times New Roman" w:hAnsi="Times New Roman" w:cs="Times New Roman"/>
        </w:rPr>
        <w:t xml:space="preserve"> Also, the Americans did not acquire sufficient understanding of the population to conduct a successful hearts and minds campaign</w:t>
      </w:r>
      <w:r w:rsidR="004E6BEC">
        <w:rPr>
          <w:rFonts w:ascii="Times New Roman" w:hAnsi="Times New Roman" w:cs="Times New Roman"/>
        </w:rPr>
        <w:t>, and with the USA, it was also not correctly undertaken</w:t>
      </w:r>
      <w:r w:rsidR="009569EC">
        <w:rPr>
          <w:rFonts w:ascii="Times New Roman" w:hAnsi="Times New Roman" w:cs="Times New Roman"/>
        </w:rPr>
        <w:t>.</w:t>
      </w:r>
      <w:r w:rsidR="009569EC">
        <w:rPr>
          <w:rStyle w:val="FootnoteReference"/>
          <w:rFonts w:ascii="Times New Roman" w:hAnsi="Times New Roman" w:cs="Times New Roman"/>
        </w:rPr>
        <w:footnoteReference w:id="291"/>
      </w:r>
      <w:r w:rsidR="00D72C8F">
        <w:rPr>
          <w:rFonts w:ascii="Times New Roman" w:hAnsi="Times New Roman" w:cs="Times New Roman"/>
        </w:rPr>
        <w:t xml:space="preserve"> </w:t>
      </w:r>
      <w:r w:rsidR="00D72C8F" w:rsidRPr="005F691C">
        <w:rPr>
          <w:rFonts w:ascii="Times New Roman" w:hAnsi="Times New Roman" w:cs="Times New Roman"/>
        </w:rPr>
        <w:t>Although not an overwhelming number in comparison to the population of Iraq, just 0.1% of the total population, there is an indication of popular support for the insurgency, based on the effectiveness of their recruitment and mobilization efforts.</w:t>
      </w:r>
      <w:r w:rsidR="00D72C8F" w:rsidRPr="005F691C">
        <w:rPr>
          <w:rStyle w:val="FootnoteReference"/>
          <w:rFonts w:ascii="Times New Roman" w:hAnsi="Times New Roman" w:cs="Times New Roman"/>
        </w:rPr>
        <w:footnoteReference w:id="292"/>
      </w:r>
      <w:r w:rsidR="00D72C8F" w:rsidRPr="005F691C">
        <w:rPr>
          <w:rFonts w:ascii="Times New Roman" w:hAnsi="Times New Roman" w:cs="Times New Roman"/>
        </w:rPr>
        <w:t xml:space="preserve"> Furthermore, this number does not take into account the external support and groups acting on behalf of, and in coalition with Al Qaeda, growing their support base and influence. Aside from these numbers, the insurgents pull on a vast number of sympathisers, as well as associates, friends, family members and fellow clan members. These supporters are most active in the fight against the occupation in Iraq, which makes the legitimisation of the forces in control almost impossible to achieve</w:t>
      </w:r>
      <w:r w:rsidR="00F757CD">
        <w:rPr>
          <w:rFonts w:ascii="Times New Roman" w:hAnsi="Times New Roman" w:cs="Times New Roman"/>
        </w:rPr>
        <w:t>, as well as the gathering of all necessary information difficult</w:t>
      </w:r>
      <w:r w:rsidR="00D72C8F" w:rsidRPr="005F691C">
        <w:rPr>
          <w:rFonts w:ascii="Times New Roman" w:hAnsi="Times New Roman" w:cs="Times New Roman"/>
        </w:rPr>
        <w:t>.</w:t>
      </w:r>
      <w:r w:rsidR="00D72C8F" w:rsidRPr="005F691C">
        <w:rPr>
          <w:rStyle w:val="FootnoteReference"/>
          <w:rFonts w:ascii="Times New Roman" w:hAnsi="Times New Roman" w:cs="Times New Roman"/>
        </w:rPr>
        <w:footnoteReference w:id="293"/>
      </w:r>
      <w:r w:rsidR="00F757CD">
        <w:rPr>
          <w:rFonts w:ascii="Times New Roman" w:hAnsi="Times New Roman" w:cs="Times New Roman"/>
        </w:rPr>
        <w:t xml:space="preserve"> Although it is possible that the information gathering phase may take place successfully, it would be greatly difficulty for the counterinsurgency forces to be present in all areas where it would be necessary, and thus it may take place, but not be fully complete.</w:t>
      </w:r>
    </w:p>
    <w:p w14:paraId="6F7FA110" w14:textId="77777777" w:rsidR="00244AC9" w:rsidRPr="005F691C" w:rsidRDefault="00244AC9" w:rsidP="00D85A86">
      <w:pPr>
        <w:spacing w:line="360" w:lineRule="auto"/>
        <w:ind w:right="-631"/>
        <w:jc w:val="both"/>
        <w:rPr>
          <w:rFonts w:ascii="Times New Roman" w:hAnsi="Times New Roman" w:cs="Times New Roman"/>
        </w:rPr>
      </w:pPr>
    </w:p>
    <w:p w14:paraId="0E52D23C" w14:textId="17029BBD" w:rsidR="00244AC9" w:rsidRPr="005F691C" w:rsidRDefault="00D85A86" w:rsidP="00244AC9">
      <w:pPr>
        <w:spacing w:line="360" w:lineRule="auto"/>
        <w:ind w:left="-567" w:right="-631" w:firstLine="567"/>
        <w:jc w:val="both"/>
        <w:rPr>
          <w:rFonts w:ascii="Times New Roman" w:hAnsi="Times New Roman" w:cs="Times New Roman"/>
          <w:b/>
          <w:u w:val="single"/>
        </w:rPr>
      </w:pPr>
      <w:r w:rsidRPr="00F757CD">
        <w:rPr>
          <w:rFonts w:ascii="Times New Roman" w:hAnsi="Times New Roman" w:cs="Times New Roman"/>
          <w:b/>
        </w:rPr>
        <w:t>5</w:t>
      </w:r>
      <w:r w:rsidR="00244AC9" w:rsidRPr="00F757CD">
        <w:rPr>
          <w:rFonts w:ascii="Times New Roman" w:hAnsi="Times New Roman" w:cs="Times New Roman"/>
          <w:b/>
        </w:rPr>
        <w:t>.</w:t>
      </w:r>
      <w:r w:rsidR="00F757CD" w:rsidRPr="00F757CD">
        <w:rPr>
          <w:rFonts w:ascii="Times New Roman" w:hAnsi="Times New Roman" w:cs="Times New Roman"/>
          <w:b/>
        </w:rPr>
        <w:t>5.</w:t>
      </w:r>
      <w:r w:rsidR="00244AC9" w:rsidRPr="00F757CD">
        <w:rPr>
          <w:rFonts w:ascii="Times New Roman" w:hAnsi="Times New Roman" w:cs="Times New Roman"/>
          <w:b/>
        </w:rPr>
        <w:t xml:space="preserve">2 </w:t>
      </w:r>
      <w:r w:rsidR="00244AC9" w:rsidRPr="005F691C">
        <w:rPr>
          <w:rFonts w:ascii="Times New Roman" w:hAnsi="Times New Roman" w:cs="Times New Roman"/>
          <w:b/>
          <w:u w:val="single"/>
        </w:rPr>
        <w:t>Rule of Law</w:t>
      </w:r>
    </w:p>
    <w:p w14:paraId="1A57FF2C" w14:textId="77777777" w:rsidR="00244AC9" w:rsidRPr="005F691C" w:rsidRDefault="00244AC9" w:rsidP="00244AC9">
      <w:pPr>
        <w:spacing w:line="360" w:lineRule="auto"/>
        <w:ind w:left="-567" w:right="-631" w:firstLine="567"/>
        <w:jc w:val="both"/>
        <w:rPr>
          <w:rFonts w:ascii="Times New Roman" w:hAnsi="Times New Roman" w:cs="Times New Roman"/>
          <w:b/>
          <w:u w:val="single"/>
        </w:rPr>
      </w:pPr>
    </w:p>
    <w:p w14:paraId="3CE4F761" w14:textId="32B683BC" w:rsidR="00244AC9"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In order to implement the rule of law and have it be accepted by the population, the counterinsurgency forces need to be able to address the concerns of the people and implement various reforms and actions which will allow the population to feel secure and protected by the counterinsurgency forces. The presence of American forces in the Gulf region has not legitimised the rule of law, nor has it illegitimated the previous rule of law within the region. Rather, the American counterinsurgency operation has provided Al Qaeda and its global allies with further propaganda for their cause.</w:t>
      </w:r>
      <w:r w:rsidR="004E6BEC">
        <w:rPr>
          <w:rStyle w:val="FootnoteReference"/>
          <w:rFonts w:ascii="Times New Roman" w:hAnsi="Times New Roman" w:cs="Times New Roman"/>
        </w:rPr>
        <w:footnoteReference w:id="294"/>
      </w:r>
      <w:r w:rsidRPr="005F691C">
        <w:rPr>
          <w:rFonts w:ascii="Times New Roman" w:hAnsi="Times New Roman" w:cs="Times New Roman"/>
        </w:rPr>
        <w:t xml:space="preserve"> The presence of Americans in Iraq is considered a desecration of the Muslim holy land and thus the struggle </w:t>
      </w:r>
      <w:r w:rsidR="004E6BEC">
        <w:rPr>
          <w:rFonts w:ascii="Times New Roman" w:hAnsi="Times New Roman" w:cs="Times New Roman"/>
        </w:rPr>
        <w:t>was</w:t>
      </w:r>
      <w:r w:rsidRPr="005F691C">
        <w:rPr>
          <w:rFonts w:ascii="Times New Roman" w:hAnsi="Times New Roman" w:cs="Times New Roman"/>
        </w:rPr>
        <w:t xml:space="preserve"> escalated in order to achieve the victory of expelling the Americans and thus claiming a victory for the military forces of revolutionary Islam.</w:t>
      </w:r>
      <w:r w:rsidRPr="005F691C">
        <w:rPr>
          <w:rStyle w:val="FootnoteReference"/>
          <w:rFonts w:ascii="Times New Roman" w:hAnsi="Times New Roman" w:cs="Times New Roman"/>
        </w:rPr>
        <w:footnoteReference w:id="295"/>
      </w:r>
      <w:r w:rsidRPr="005F691C">
        <w:rPr>
          <w:rFonts w:ascii="Times New Roman" w:hAnsi="Times New Roman" w:cs="Times New Roman"/>
        </w:rPr>
        <w:t xml:space="preserve"> </w:t>
      </w:r>
    </w:p>
    <w:p w14:paraId="30D5F95C" w14:textId="77777777" w:rsidR="005C6626" w:rsidRDefault="005C6626" w:rsidP="00244AC9">
      <w:pPr>
        <w:spacing w:line="360" w:lineRule="auto"/>
        <w:ind w:left="-567" w:right="-631"/>
        <w:jc w:val="both"/>
        <w:rPr>
          <w:rFonts w:ascii="Times New Roman" w:hAnsi="Times New Roman" w:cs="Times New Roman"/>
        </w:rPr>
      </w:pPr>
    </w:p>
    <w:p w14:paraId="05713EFF" w14:textId="7E16A7AA" w:rsidR="005C6626" w:rsidRPr="005F691C" w:rsidRDefault="005C6626" w:rsidP="00244AC9">
      <w:pPr>
        <w:spacing w:line="360" w:lineRule="auto"/>
        <w:ind w:left="-567" w:right="-631"/>
        <w:jc w:val="both"/>
        <w:rPr>
          <w:rFonts w:ascii="Times New Roman" w:hAnsi="Times New Roman" w:cs="Times New Roman"/>
        </w:rPr>
      </w:pPr>
      <w:r>
        <w:rPr>
          <w:rFonts w:ascii="Times New Roman" w:hAnsi="Times New Roman" w:cs="Times New Roman"/>
        </w:rPr>
        <w:t xml:space="preserve">The fact that Al Qaeda is a global insurgency results in the fact that it is difficult to ascertain tangible desired outcomes, and thus the COIN forces cannot adequately address the grievances of the insurgency. This means that the support base cannot be depleted and there is constantly a basis on which to recruit support and actors. </w:t>
      </w:r>
    </w:p>
    <w:p w14:paraId="7CAD5C08" w14:textId="77777777" w:rsidR="00244AC9" w:rsidRPr="005F691C" w:rsidRDefault="00244AC9" w:rsidP="004E6BEC">
      <w:pPr>
        <w:spacing w:line="360" w:lineRule="auto"/>
        <w:ind w:right="-631"/>
        <w:jc w:val="both"/>
        <w:rPr>
          <w:rFonts w:ascii="Times New Roman" w:hAnsi="Times New Roman" w:cs="Times New Roman"/>
        </w:rPr>
      </w:pPr>
    </w:p>
    <w:p w14:paraId="21B093F2" w14:textId="726F7B54"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The rule of law was further compromised by the fact that many militias had in fact been able to retain significant roles in the official security institutions of the new</w:t>
      </w:r>
      <w:r w:rsidR="005C6626">
        <w:rPr>
          <w:rFonts w:ascii="Times New Roman" w:hAnsi="Times New Roman" w:cs="Times New Roman"/>
        </w:rPr>
        <w:t>ly occupied</w:t>
      </w:r>
      <w:r w:rsidRPr="005F691C">
        <w:rPr>
          <w:rFonts w:ascii="Times New Roman" w:hAnsi="Times New Roman" w:cs="Times New Roman"/>
        </w:rPr>
        <w:t xml:space="preserve"> state.</w:t>
      </w:r>
      <w:r w:rsidRPr="005F691C">
        <w:rPr>
          <w:rStyle w:val="FootnoteReference"/>
          <w:rFonts w:ascii="Times New Roman" w:hAnsi="Times New Roman" w:cs="Times New Roman"/>
        </w:rPr>
        <w:footnoteReference w:id="296"/>
      </w:r>
      <w:r w:rsidRPr="005F691C">
        <w:rPr>
          <w:rFonts w:ascii="Times New Roman" w:hAnsi="Times New Roman" w:cs="Times New Roman"/>
        </w:rPr>
        <w:t xml:space="preserve"> This meant that the boundary between the arms of the state and the activities of the political administration were often blurred and not enforced.</w:t>
      </w:r>
      <w:r w:rsidRPr="005F691C">
        <w:rPr>
          <w:rStyle w:val="FootnoteReference"/>
          <w:rFonts w:ascii="Times New Roman" w:hAnsi="Times New Roman" w:cs="Times New Roman"/>
        </w:rPr>
        <w:footnoteReference w:id="297"/>
      </w:r>
      <w:r w:rsidRPr="005F691C">
        <w:rPr>
          <w:rFonts w:ascii="Times New Roman" w:hAnsi="Times New Roman" w:cs="Times New Roman"/>
        </w:rPr>
        <w:t xml:space="preserve"> Whilst it is imperative that the United States counterinsurgency forces are</w:t>
      </w:r>
      <w:r w:rsidR="005C6626">
        <w:rPr>
          <w:rFonts w:ascii="Times New Roman" w:hAnsi="Times New Roman" w:cs="Times New Roman"/>
        </w:rPr>
        <w:t xml:space="preserve"> successful in accomplishing a</w:t>
      </w:r>
      <w:r w:rsidRPr="005F691C">
        <w:rPr>
          <w:rFonts w:ascii="Times New Roman" w:hAnsi="Times New Roman" w:cs="Times New Roman"/>
        </w:rPr>
        <w:t xml:space="preserve"> recognised rule of law, there are numerous restrictions on their abilities to do so, including the purposeful destabilizing of the population. The ability of the insurgents to deprive the local population of their sense of security is a key factor in the fight</w:t>
      </w:r>
      <w:r w:rsidR="005C6626">
        <w:rPr>
          <w:rFonts w:ascii="Times New Roman" w:hAnsi="Times New Roman" w:cs="Times New Roman"/>
        </w:rPr>
        <w:t xml:space="preserve"> to implement a successful rule of law</w:t>
      </w:r>
      <w:r w:rsidRPr="005F691C">
        <w:rPr>
          <w:rFonts w:ascii="Times New Roman" w:hAnsi="Times New Roman" w:cs="Times New Roman"/>
        </w:rPr>
        <w:t>. The ability of the insurgents in Iraq to make the population feel vulnerable undermines any efforts made by the American forces in their counterinsurgency campaign and ultimately this means that they are unable to establish a legitimate and successful government, or rule of law.</w:t>
      </w:r>
    </w:p>
    <w:p w14:paraId="0E287A44" w14:textId="77777777" w:rsidR="00244AC9" w:rsidRPr="005F691C" w:rsidRDefault="00244AC9" w:rsidP="00244AC9">
      <w:pPr>
        <w:spacing w:line="360" w:lineRule="auto"/>
        <w:ind w:left="-567" w:right="-631"/>
        <w:jc w:val="both"/>
        <w:rPr>
          <w:rFonts w:ascii="Times New Roman" w:hAnsi="Times New Roman" w:cs="Times New Roman"/>
        </w:rPr>
      </w:pPr>
    </w:p>
    <w:p w14:paraId="37D721B8" w14:textId="77777777" w:rsidR="00484F19" w:rsidRPr="005F691C" w:rsidRDefault="00244AC9" w:rsidP="00244AC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 xml:space="preserve">As determined in the analysis of the IRA in Ireland, </w:t>
      </w:r>
    </w:p>
    <w:p w14:paraId="42FED1ED" w14:textId="77777777" w:rsidR="00484F19" w:rsidRPr="005F691C" w:rsidRDefault="00484F19" w:rsidP="00484F1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b/>
          <w:u w:val="single"/>
        </w:rPr>
        <w:t>Causal Relationship 2</w:t>
      </w:r>
      <w:r w:rsidRPr="005F691C">
        <w:rPr>
          <w:rFonts w:ascii="Times New Roman" w:hAnsi="Times New Roman" w:cs="Times New Roman"/>
        </w:rPr>
        <w:t xml:space="preserve">: If there exists a specified ideology within a state-centric insurgency, then this will allow for the counterinsurgency forces to implement a legitimate rule of law due to the fact that they will be able to address the concerns of the insurgency, as well as achieve their desired outcomes on their behalf (a change in the economic, political, or social order of the specific territory). </w:t>
      </w:r>
    </w:p>
    <w:p w14:paraId="362BEA3C" w14:textId="46EACF41" w:rsidR="00484F19" w:rsidRPr="005F691C" w:rsidRDefault="00244AC9" w:rsidP="004E6BEC">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 xml:space="preserve">As can be seen in the case of Al Qaeda in Iraq, the ability of the counterinsurgency forces to correctly identify and thus remedy the grievances and objectives of the insurgency forces is almost impossible, based on the unclear and decentralised ideology of the various cells operating under Al Qaeda and the fact that the aims of the insurgency do not have </w:t>
      </w:r>
      <w:r w:rsidR="005C6626">
        <w:rPr>
          <w:rFonts w:ascii="Times New Roman" w:hAnsi="Times New Roman" w:cs="Times New Roman"/>
        </w:rPr>
        <w:t xml:space="preserve">economic, social or political </w:t>
      </w:r>
      <w:r w:rsidRPr="005F691C">
        <w:rPr>
          <w:rFonts w:ascii="Times New Roman" w:hAnsi="Times New Roman" w:cs="Times New Roman"/>
        </w:rPr>
        <w:t>bases</w:t>
      </w:r>
      <w:r w:rsidR="005C6626">
        <w:rPr>
          <w:rFonts w:ascii="Times New Roman" w:hAnsi="Times New Roman" w:cs="Times New Roman"/>
        </w:rPr>
        <w:t>, within a specified territory</w:t>
      </w:r>
      <w:r w:rsidRPr="005F691C">
        <w:rPr>
          <w:rFonts w:ascii="Times New Roman" w:hAnsi="Times New Roman" w:cs="Times New Roman"/>
        </w:rPr>
        <w:t xml:space="preserve">. </w:t>
      </w:r>
    </w:p>
    <w:p w14:paraId="60245CB7" w14:textId="5A1D6638" w:rsidR="00244AC9" w:rsidRPr="005F691C" w:rsidRDefault="00D85A86" w:rsidP="00244AC9">
      <w:pPr>
        <w:spacing w:line="360" w:lineRule="auto"/>
        <w:ind w:left="-567" w:right="-631" w:firstLine="567"/>
        <w:jc w:val="both"/>
        <w:rPr>
          <w:rFonts w:ascii="Times New Roman" w:hAnsi="Times New Roman" w:cs="Times New Roman"/>
          <w:b/>
          <w:u w:val="single"/>
        </w:rPr>
      </w:pPr>
      <w:r w:rsidRPr="00F757CD">
        <w:rPr>
          <w:rFonts w:ascii="Times New Roman" w:hAnsi="Times New Roman" w:cs="Times New Roman"/>
          <w:b/>
        </w:rPr>
        <w:t>5</w:t>
      </w:r>
      <w:r w:rsidR="00244AC9" w:rsidRPr="00F757CD">
        <w:rPr>
          <w:rFonts w:ascii="Times New Roman" w:hAnsi="Times New Roman" w:cs="Times New Roman"/>
          <w:b/>
        </w:rPr>
        <w:t>.</w:t>
      </w:r>
      <w:r w:rsidR="00F757CD" w:rsidRPr="00F757CD">
        <w:rPr>
          <w:rFonts w:ascii="Times New Roman" w:hAnsi="Times New Roman" w:cs="Times New Roman"/>
          <w:b/>
        </w:rPr>
        <w:t>5.</w:t>
      </w:r>
      <w:r w:rsidR="00244AC9" w:rsidRPr="00F757CD">
        <w:rPr>
          <w:rFonts w:ascii="Times New Roman" w:hAnsi="Times New Roman" w:cs="Times New Roman"/>
          <w:b/>
        </w:rPr>
        <w:t xml:space="preserve">3 </w:t>
      </w:r>
      <w:r w:rsidR="00244AC9" w:rsidRPr="005F691C">
        <w:rPr>
          <w:rFonts w:ascii="Times New Roman" w:hAnsi="Times New Roman" w:cs="Times New Roman"/>
          <w:b/>
          <w:u w:val="single"/>
        </w:rPr>
        <w:t>Legitimisation of Government in Control</w:t>
      </w:r>
    </w:p>
    <w:p w14:paraId="6E05BEFB" w14:textId="77777777" w:rsidR="00244AC9" w:rsidRPr="005F691C" w:rsidRDefault="00244AC9" w:rsidP="00244AC9">
      <w:pPr>
        <w:spacing w:line="360" w:lineRule="auto"/>
        <w:ind w:left="-567" w:right="-631" w:firstLine="567"/>
        <w:jc w:val="both"/>
        <w:rPr>
          <w:rFonts w:ascii="Times New Roman" w:hAnsi="Times New Roman" w:cs="Times New Roman"/>
        </w:rPr>
      </w:pPr>
    </w:p>
    <w:p w14:paraId="6D7C8F9A" w14:textId="72D8BA53"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The implementation and transition to democracy within Iraq has been difficult and there exist many limitations in the political spheres, the most important of which is the fact that Iraq has a very weak set of state institutions.</w:t>
      </w:r>
      <w:r w:rsidRPr="005F691C">
        <w:rPr>
          <w:rStyle w:val="FootnoteReference"/>
          <w:rFonts w:ascii="Times New Roman" w:hAnsi="Times New Roman" w:cs="Times New Roman"/>
        </w:rPr>
        <w:footnoteReference w:id="298"/>
      </w:r>
      <w:r w:rsidRPr="005F691C">
        <w:rPr>
          <w:rFonts w:ascii="Times New Roman" w:hAnsi="Times New Roman" w:cs="Times New Roman"/>
        </w:rPr>
        <w:t xml:space="preserve"> Whilst Iraq itself is a society based on many minorities and segmentation, the ability of the administration to bring the society under a single, legitimate and successful rule relies on the administration having unchallenged dominance, whereby they are able to act without restriction and to restructure the fundamental institutions of society.</w:t>
      </w:r>
      <w:r w:rsidRPr="005F691C">
        <w:rPr>
          <w:rStyle w:val="FootnoteReference"/>
          <w:rFonts w:ascii="Times New Roman" w:hAnsi="Times New Roman" w:cs="Times New Roman"/>
        </w:rPr>
        <w:footnoteReference w:id="299"/>
      </w:r>
      <w:r w:rsidR="005C6626">
        <w:rPr>
          <w:rFonts w:ascii="Times New Roman" w:hAnsi="Times New Roman" w:cs="Times New Roman"/>
        </w:rPr>
        <w:t xml:space="preserve"> A key problem to the strategy of</w:t>
      </w:r>
      <w:r w:rsidRPr="005F691C">
        <w:rPr>
          <w:rFonts w:ascii="Times New Roman" w:hAnsi="Times New Roman" w:cs="Times New Roman"/>
        </w:rPr>
        <w:t xml:space="preserve"> restructuring Iraqi leadership was the fact that it was perceived as a top-down operation, where changing the leadership could change Iraqi society. However, as has been demonstrated, a key element in a counterinsurgency campaign is that of hearts and minds, whereby the people are actively involved in the campaign and politics cannot be separated from the individuals.</w:t>
      </w:r>
    </w:p>
    <w:p w14:paraId="5E9E00DA" w14:textId="77777777" w:rsidR="00244AC9" w:rsidRPr="005F691C" w:rsidRDefault="00244AC9" w:rsidP="00244AC9">
      <w:pPr>
        <w:spacing w:line="360" w:lineRule="auto"/>
        <w:ind w:left="-567" w:right="-631"/>
        <w:jc w:val="both"/>
        <w:rPr>
          <w:rFonts w:ascii="Times New Roman" w:hAnsi="Times New Roman" w:cs="Times New Roman"/>
        </w:rPr>
      </w:pPr>
    </w:p>
    <w:p w14:paraId="5283D3AB" w14:textId="139E6073" w:rsidR="00244AC9" w:rsidRDefault="00244AC9" w:rsidP="00D72C8F">
      <w:pPr>
        <w:spacing w:line="360" w:lineRule="auto"/>
        <w:ind w:left="-567" w:right="-631"/>
        <w:jc w:val="both"/>
        <w:rPr>
          <w:rFonts w:ascii="Times New Roman" w:hAnsi="Times New Roman" w:cs="Times New Roman"/>
        </w:rPr>
      </w:pPr>
      <w:r w:rsidRPr="005F691C">
        <w:rPr>
          <w:rFonts w:ascii="Times New Roman" w:hAnsi="Times New Roman" w:cs="Times New Roman"/>
        </w:rPr>
        <w:t>There was no attempt made to address the concerns of the people over the marginality of Iraqi political institutions, which lacked both autonomy and, as a result, legitimacy.</w:t>
      </w:r>
      <w:r w:rsidRPr="005F691C">
        <w:rPr>
          <w:rStyle w:val="FootnoteReference"/>
          <w:rFonts w:ascii="Times New Roman" w:hAnsi="Times New Roman" w:cs="Times New Roman"/>
        </w:rPr>
        <w:footnoteReference w:id="300"/>
      </w:r>
      <w:r w:rsidRPr="005F691C">
        <w:rPr>
          <w:rFonts w:ascii="Times New Roman" w:hAnsi="Times New Roman" w:cs="Times New Roman"/>
        </w:rPr>
        <w:t xml:space="preserve"> The intentions for the people to become more involved in the political system in Iraq were overridden when the parties elected to guide the new democratic transition began acting as channels for the own members advancement, rather than providing the people with political franchise and opportunity.</w:t>
      </w:r>
      <w:r w:rsidRPr="005F691C">
        <w:rPr>
          <w:rStyle w:val="FootnoteReference"/>
          <w:rFonts w:ascii="Times New Roman" w:hAnsi="Times New Roman" w:cs="Times New Roman"/>
        </w:rPr>
        <w:footnoteReference w:id="301"/>
      </w:r>
      <w:r w:rsidRPr="005F691C">
        <w:rPr>
          <w:rFonts w:ascii="Times New Roman" w:hAnsi="Times New Roman" w:cs="Times New Roman"/>
        </w:rPr>
        <w:t xml:space="preserve"> </w:t>
      </w:r>
      <w:r w:rsidR="005C6626">
        <w:rPr>
          <w:rFonts w:ascii="Times New Roman" w:hAnsi="Times New Roman" w:cs="Times New Roman"/>
        </w:rPr>
        <w:t>The role of protecting the l</w:t>
      </w:r>
      <w:r w:rsidRPr="005F691C">
        <w:rPr>
          <w:rFonts w:ascii="Times New Roman" w:hAnsi="Times New Roman" w:cs="Times New Roman"/>
        </w:rPr>
        <w:t>egitimacy of the existing government was assumed by the counterinsurgency forces, and rather than attempt to reform the government, and in turn have the government enforce certain reforms to appease the people, the USA saw their role as one of defending a threatened government which had a presumptive claim to legitimacy.</w:t>
      </w:r>
      <w:r w:rsidRPr="005F691C">
        <w:rPr>
          <w:rStyle w:val="FootnoteReference"/>
          <w:rFonts w:ascii="Times New Roman" w:hAnsi="Times New Roman" w:cs="Times New Roman"/>
        </w:rPr>
        <w:footnoteReference w:id="302"/>
      </w:r>
      <w:r w:rsidR="005C6626">
        <w:rPr>
          <w:rFonts w:ascii="Times New Roman" w:hAnsi="Times New Roman" w:cs="Times New Roman"/>
        </w:rPr>
        <w:t xml:space="preserve"> Rather than trying to achieve legitimacy through reformation and remedying of grievances, the USA attempted to force legitimacy. </w:t>
      </w:r>
    </w:p>
    <w:p w14:paraId="3DE6EA9A" w14:textId="77777777" w:rsidR="00D72C8F" w:rsidRPr="005F691C" w:rsidRDefault="00D72C8F" w:rsidP="00D72C8F">
      <w:pPr>
        <w:spacing w:line="360" w:lineRule="auto"/>
        <w:ind w:left="-567" w:right="-631"/>
        <w:jc w:val="both"/>
        <w:rPr>
          <w:rFonts w:ascii="Times New Roman" w:hAnsi="Times New Roman" w:cs="Times New Roman"/>
        </w:rPr>
      </w:pPr>
    </w:p>
    <w:p w14:paraId="4DC5C854" w14:textId="77777777" w:rsidR="00484F19" w:rsidRPr="005F691C" w:rsidRDefault="00244AC9" w:rsidP="00244AC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In the discussion of the IRA it was founded that</w:t>
      </w:r>
      <w:r w:rsidR="00484F19" w:rsidRPr="005F691C">
        <w:rPr>
          <w:rFonts w:ascii="Times New Roman" w:hAnsi="Times New Roman" w:cs="Times New Roman"/>
        </w:rPr>
        <w:t>;</w:t>
      </w:r>
    </w:p>
    <w:p w14:paraId="05ED381D" w14:textId="77777777" w:rsidR="00484F19" w:rsidRPr="005F691C" w:rsidRDefault="00484F19" w:rsidP="00484F1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b/>
          <w:u w:val="single"/>
        </w:rPr>
        <w:t>Causal Relationship 3</w:t>
      </w:r>
      <w:r w:rsidRPr="005F691C">
        <w:rPr>
          <w:rFonts w:ascii="Times New Roman" w:hAnsi="Times New Roman" w:cs="Times New Roman"/>
        </w:rPr>
        <w:t xml:space="preserve">:  If the state-centric insurgency has the will to overthrow the government in control for specific economic, social or political restructuring, then this can be remedied by addressing the specific concerns of the affected population and allowing them to view the government in a more positive and legitimate light, where there is no longer room for the specific ideology based on the will to achieve social, political and economic reform. </w:t>
      </w:r>
    </w:p>
    <w:p w14:paraId="39FE714B" w14:textId="632F632D" w:rsidR="00244AC9" w:rsidRPr="005F691C" w:rsidRDefault="00244AC9" w:rsidP="00D72C8F">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Howev</w:t>
      </w:r>
      <w:r w:rsidR="00D72C8F">
        <w:rPr>
          <w:rFonts w:ascii="Times New Roman" w:hAnsi="Times New Roman" w:cs="Times New Roman"/>
        </w:rPr>
        <w:t>er, the problem with</w:t>
      </w:r>
      <w:r w:rsidRPr="005F691C">
        <w:rPr>
          <w:rFonts w:ascii="Times New Roman" w:hAnsi="Times New Roman" w:cs="Times New Roman"/>
        </w:rPr>
        <w:t xml:space="preserve"> a global insurgency rest on the fact that the desired outcome does not only call for reform in certain areas, but rather it calls for the abolition of government, and its replacement by a narrow and extreme government, founded on religion. Furthermore, this government must be implemented throughout the Islamic world. Whilst it is possible to address certain grievances the population might have, such as running water, electricity and schools, the ultimate objective of the insurgency cannot be addressed and thus there will always be an element with which the insurgency can maintain support.</w:t>
      </w:r>
      <w:r w:rsidR="00D72C8F">
        <w:rPr>
          <w:rStyle w:val="FootnoteReference"/>
          <w:rFonts w:ascii="Times New Roman" w:hAnsi="Times New Roman" w:cs="Times New Roman"/>
        </w:rPr>
        <w:footnoteReference w:id="303"/>
      </w:r>
      <w:r w:rsidRPr="005F691C">
        <w:rPr>
          <w:rFonts w:ascii="Times New Roman" w:hAnsi="Times New Roman" w:cs="Times New Roman"/>
        </w:rPr>
        <w:t xml:space="preserve"> If the insurgency was confined to the borders of one state, the complete rebuilding of an acceptable government might be possible, though unlikely. However, because the global insurgency seeks worldwide reform, and it draws on the support of individuals from around the globe, there is no feasible way in which to successfully achieve legitimisation of the government, without reforming governance of the entire Islamic world.</w:t>
      </w:r>
    </w:p>
    <w:p w14:paraId="714D2EDF" w14:textId="34E753E7" w:rsidR="00244AC9" w:rsidRPr="005F691C" w:rsidRDefault="00D85A86" w:rsidP="00244AC9">
      <w:pPr>
        <w:spacing w:line="360" w:lineRule="auto"/>
        <w:ind w:left="-567" w:right="-631" w:firstLine="567"/>
        <w:jc w:val="both"/>
        <w:rPr>
          <w:rFonts w:ascii="Times New Roman" w:hAnsi="Times New Roman" w:cs="Times New Roman"/>
          <w:b/>
          <w:u w:val="single"/>
        </w:rPr>
      </w:pPr>
      <w:r w:rsidRPr="00F757CD">
        <w:rPr>
          <w:rFonts w:ascii="Times New Roman" w:hAnsi="Times New Roman" w:cs="Times New Roman"/>
          <w:b/>
        </w:rPr>
        <w:t>5</w:t>
      </w:r>
      <w:r w:rsidR="00244AC9" w:rsidRPr="00F757CD">
        <w:rPr>
          <w:rFonts w:ascii="Times New Roman" w:hAnsi="Times New Roman" w:cs="Times New Roman"/>
          <w:b/>
        </w:rPr>
        <w:t>.</w:t>
      </w:r>
      <w:r w:rsidR="00F757CD" w:rsidRPr="00F757CD">
        <w:rPr>
          <w:rFonts w:ascii="Times New Roman" w:hAnsi="Times New Roman" w:cs="Times New Roman"/>
          <w:b/>
        </w:rPr>
        <w:t>5.</w:t>
      </w:r>
      <w:r w:rsidR="00244AC9" w:rsidRPr="00F757CD">
        <w:rPr>
          <w:rFonts w:ascii="Times New Roman" w:hAnsi="Times New Roman" w:cs="Times New Roman"/>
          <w:b/>
        </w:rPr>
        <w:t xml:space="preserve">4 </w:t>
      </w:r>
      <w:r w:rsidR="00244AC9" w:rsidRPr="005F691C">
        <w:rPr>
          <w:rFonts w:ascii="Times New Roman" w:hAnsi="Times New Roman" w:cs="Times New Roman"/>
          <w:b/>
          <w:u w:val="single"/>
        </w:rPr>
        <w:t>Revisions and Remedies of Grievances</w:t>
      </w:r>
    </w:p>
    <w:p w14:paraId="390C1F0B" w14:textId="77777777" w:rsidR="00244AC9" w:rsidRPr="005F691C" w:rsidRDefault="00244AC9" w:rsidP="00244AC9">
      <w:pPr>
        <w:spacing w:line="360" w:lineRule="auto"/>
        <w:ind w:left="-567" w:right="-631" w:firstLine="567"/>
        <w:jc w:val="both"/>
        <w:rPr>
          <w:rFonts w:ascii="Times New Roman" w:hAnsi="Times New Roman" w:cs="Times New Roman"/>
          <w:b/>
          <w:u w:val="single"/>
        </w:rPr>
      </w:pPr>
    </w:p>
    <w:p w14:paraId="210FB08E" w14:textId="4FD07599"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Many Iraqis consider</w:t>
      </w:r>
      <w:r w:rsidR="00D72C8F">
        <w:rPr>
          <w:rFonts w:ascii="Times New Roman" w:hAnsi="Times New Roman" w:cs="Times New Roman"/>
        </w:rPr>
        <w:t>ed</w:t>
      </w:r>
      <w:r w:rsidRPr="005F691C">
        <w:rPr>
          <w:rFonts w:ascii="Times New Roman" w:hAnsi="Times New Roman" w:cs="Times New Roman"/>
        </w:rPr>
        <w:t xml:space="preserve"> security and the economy to be the most pressing i</w:t>
      </w:r>
      <w:r w:rsidR="00D72C8F">
        <w:rPr>
          <w:rFonts w:ascii="Times New Roman" w:hAnsi="Times New Roman" w:cs="Times New Roman"/>
        </w:rPr>
        <w:t>ssues within the country at the</w:t>
      </w:r>
      <w:r w:rsidRPr="005F691C">
        <w:rPr>
          <w:rFonts w:ascii="Times New Roman" w:hAnsi="Times New Roman" w:cs="Times New Roman"/>
        </w:rPr>
        <w:t xml:space="preserve"> time</w:t>
      </w:r>
      <w:r w:rsidR="00D72C8F">
        <w:rPr>
          <w:rFonts w:ascii="Times New Roman" w:hAnsi="Times New Roman" w:cs="Times New Roman"/>
        </w:rPr>
        <w:t xml:space="preserve"> of the implementation of the COIN campaign</w:t>
      </w:r>
      <w:r w:rsidRPr="005F691C">
        <w:rPr>
          <w:rFonts w:ascii="Times New Roman" w:hAnsi="Times New Roman" w:cs="Times New Roman"/>
        </w:rPr>
        <w:t>. Although these sectors are seriously affected by the actions of the global insurgency in Iraq, and thus cannot be remedied, the inability of the counterinsurgency forces to instill change and find remedies makes the counterinsurgency operation seem ineffective and illegitimate.</w:t>
      </w:r>
      <w:r w:rsidRPr="005F691C">
        <w:rPr>
          <w:rStyle w:val="FootnoteReference"/>
          <w:rFonts w:ascii="Times New Roman" w:hAnsi="Times New Roman" w:cs="Times New Roman"/>
        </w:rPr>
        <w:footnoteReference w:id="304"/>
      </w:r>
      <w:r w:rsidRPr="005F691C">
        <w:rPr>
          <w:rFonts w:ascii="Times New Roman" w:hAnsi="Times New Roman" w:cs="Times New Roman"/>
        </w:rPr>
        <w:t xml:space="preserve"> </w:t>
      </w:r>
    </w:p>
    <w:p w14:paraId="71F4FCF8" w14:textId="77777777" w:rsidR="00244AC9" w:rsidRPr="005F691C" w:rsidRDefault="00244AC9" w:rsidP="00244AC9">
      <w:pPr>
        <w:spacing w:line="360" w:lineRule="auto"/>
        <w:ind w:left="-567" w:right="-631"/>
        <w:jc w:val="both"/>
        <w:rPr>
          <w:rFonts w:ascii="Times New Roman" w:hAnsi="Times New Roman" w:cs="Times New Roman"/>
        </w:rPr>
      </w:pPr>
    </w:p>
    <w:p w14:paraId="5E999793" w14:textId="2376A01D"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One of the strategies for overcoming the problem of illegitimacy was to allow the process of democratization to develop its own momentum, which would occur after basic freedoms had been established. However, as in the case of most insurgencies, there was already a lack of legitimacy with regards to the leadership in the existing government, and as such, when the USA chose to defend rather than reform th</w:t>
      </w:r>
      <w:r w:rsidR="00D72C8F">
        <w:rPr>
          <w:rFonts w:ascii="Times New Roman" w:hAnsi="Times New Roman" w:cs="Times New Roman"/>
        </w:rPr>
        <w:t>e government, the government had</w:t>
      </w:r>
      <w:r w:rsidRPr="005F691C">
        <w:rPr>
          <w:rFonts w:ascii="Times New Roman" w:hAnsi="Times New Roman" w:cs="Times New Roman"/>
        </w:rPr>
        <w:t xml:space="preserve"> no reason to start implementing reforms.</w:t>
      </w:r>
      <w:r w:rsidRPr="005F691C">
        <w:rPr>
          <w:rStyle w:val="FootnoteReference"/>
          <w:rFonts w:ascii="Times New Roman" w:hAnsi="Times New Roman" w:cs="Times New Roman"/>
        </w:rPr>
        <w:footnoteReference w:id="305"/>
      </w:r>
    </w:p>
    <w:p w14:paraId="4558C861" w14:textId="77777777" w:rsidR="00244AC9" w:rsidRPr="005F691C" w:rsidRDefault="00244AC9" w:rsidP="00244AC9">
      <w:pPr>
        <w:spacing w:line="360" w:lineRule="auto"/>
        <w:ind w:left="-567" w:right="-631"/>
        <w:jc w:val="both"/>
        <w:rPr>
          <w:rFonts w:ascii="Times New Roman" w:hAnsi="Times New Roman" w:cs="Times New Roman"/>
        </w:rPr>
      </w:pPr>
    </w:p>
    <w:p w14:paraId="7A0C133E" w14:textId="77777777" w:rsidR="00244AC9"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Although the American forces did oversee the implementation of certain reforms such as improving access to vital services like electricity and water, reopening schools and establishing an Iraqi police force, these improvements have been viewed by the Iraqi population as too little and as inconsistent in their implementation.</w:t>
      </w:r>
      <w:r w:rsidRPr="005F691C">
        <w:rPr>
          <w:rStyle w:val="FootnoteReference"/>
          <w:rFonts w:ascii="Times New Roman" w:hAnsi="Times New Roman" w:cs="Times New Roman"/>
        </w:rPr>
        <w:footnoteReference w:id="306"/>
      </w:r>
      <w:r w:rsidRPr="005F691C">
        <w:rPr>
          <w:rFonts w:ascii="Times New Roman" w:hAnsi="Times New Roman" w:cs="Times New Roman"/>
        </w:rPr>
        <w:t xml:space="preserve"> It would thus appear that the failure of the USA troops to successfully implement a hearts and minds campaign has resulted in a lack of understanding with regards to the will of the people.</w:t>
      </w:r>
    </w:p>
    <w:p w14:paraId="69EC16A0" w14:textId="77777777" w:rsidR="00D72C8F" w:rsidRDefault="00D72C8F" w:rsidP="00244AC9">
      <w:pPr>
        <w:spacing w:line="360" w:lineRule="auto"/>
        <w:ind w:left="-567" w:right="-631"/>
        <w:jc w:val="both"/>
        <w:rPr>
          <w:rFonts w:ascii="Times New Roman" w:hAnsi="Times New Roman" w:cs="Times New Roman"/>
        </w:rPr>
      </w:pPr>
    </w:p>
    <w:p w14:paraId="52656109" w14:textId="77777777" w:rsidR="00D72C8F" w:rsidRPr="005F691C" w:rsidRDefault="00D72C8F" w:rsidP="00D72C8F">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As found in the analysis of the IRA;</w:t>
      </w:r>
    </w:p>
    <w:p w14:paraId="3C4B21D7" w14:textId="16A4BCC4" w:rsidR="00244AC9" w:rsidRPr="005F691C" w:rsidRDefault="00D72C8F" w:rsidP="00F7307C">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b/>
          <w:u w:val="single"/>
        </w:rPr>
        <w:t>Causal Relationship 4:</w:t>
      </w:r>
      <w:r w:rsidRPr="005F691C">
        <w:rPr>
          <w:rFonts w:ascii="Times New Roman" w:hAnsi="Times New Roman" w:cs="Times New Roman"/>
        </w:rPr>
        <w:t xml:space="preserve"> If there exists the state-centric insurgency elements of a specified ideology, with a will to achieve change in the economic, social, or political spheres, within a specified territory, then </w:t>
      </w:r>
      <w:r>
        <w:rPr>
          <w:rFonts w:ascii="Times New Roman" w:hAnsi="Times New Roman" w:cs="Times New Roman"/>
        </w:rPr>
        <w:t>it will be possible to remedy and revise grievances</w:t>
      </w:r>
      <w:r w:rsidRPr="005F691C">
        <w:rPr>
          <w:rFonts w:ascii="Times New Roman" w:hAnsi="Times New Roman" w:cs="Times New Roman"/>
        </w:rPr>
        <w:t xml:space="preserve">. </w:t>
      </w:r>
    </w:p>
    <w:p w14:paraId="29E08324" w14:textId="480BC116" w:rsidR="00244AC9" w:rsidRPr="00D72C8F" w:rsidRDefault="00244AC9" w:rsidP="00D72C8F">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The identification of desired reforms is directly linked to the specific ideology of the insurgency, which is less coherent and defined within a global insurgency and is based on extreme religious reforms, thus making it difficult both to ascertain and to remedy. Furthermore, these reforms are easier to identify when there is a clear and coherent hierarchy within the organisation that controls and directs the movement’s behaviour. Within Al Qaeda, as a global insurgency, there is a loose element of hierarchy but mostly the organisation is based on a cell structure with informal leadership elements and is involved in a range of activities including both terrorist behaviour and guerilla attacks.</w:t>
      </w:r>
      <w:r w:rsidRPr="005F691C">
        <w:rPr>
          <w:rStyle w:val="FootnoteReference"/>
          <w:rFonts w:ascii="Times New Roman" w:hAnsi="Times New Roman" w:cs="Times New Roman"/>
        </w:rPr>
        <w:footnoteReference w:id="307"/>
      </w:r>
    </w:p>
    <w:p w14:paraId="2513B387" w14:textId="298A8B6D" w:rsidR="00244AC9" w:rsidRPr="005F691C" w:rsidRDefault="00D85A86" w:rsidP="00244AC9">
      <w:pPr>
        <w:spacing w:line="360" w:lineRule="auto"/>
        <w:ind w:left="-567" w:right="-631" w:firstLine="567"/>
        <w:jc w:val="both"/>
        <w:rPr>
          <w:rFonts w:ascii="Times New Roman" w:hAnsi="Times New Roman" w:cs="Times New Roman"/>
          <w:b/>
          <w:u w:val="single"/>
        </w:rPr>
      </w:pPr>
      <w:r w:rsidRPr="00F757CD">
        <w:rPr>
          <w:rFonts w:ascii="Times New Roman" w:hAnsi="Times New Roman" w:cs="Times New Roman"/>
          <w:b/>
        </w:rPr>
        <w:t>5</w:t>
      </w:r>
      <w:r w:rsidR="00244AC9" w:rsidRPr="00F757CD">
        <w:rPr>
          <w:rFonts w:ascii="Times New Roman" w:hAnsi="Times New Roman" w:cs="Times New Roman"/>
          <w:b/>
        </w:rPr>
        <w:t>.5</w:t>
      </w:r>
      <w:r w:rsidR="00F757CD" w:rsidRPr="00F757CD">
        <w:rPr>
          <w:rFonts w:ascii="Times New Roman" w:hAnsi="Times New Roman" w:cs="Times New Roman"/>
          <w:b/>
        </w:rPr>
        <w:t>.5</w:t>
      </w:r>
      <w:r w:rsidR="00244AC9" w:rsidRPr="00F757CD">
        <w:rPr>
          <w:rFonts w:ascii="Times New Roman" w:hAnsi="Times New Roman" w:cs="Times New Roman"/>
          <w:b/>
        </w:rPr>
        <w:t xml:space="preserve"> </w:t>
      </w:r>
      <w:r w:rsidR="00244AC9" w:rsidRPr="005F691C">
        <w:rPr>
          <w:rFonts w:ascii="Times New Roman" w:hAnsi="Times New Roman" w:cs="Times New Roman"/>
          <w:b/>
          <w:u w:val="single"/>
        </w:rPr>
        <w:t>Maintenance of Peace</w:t>
      </w:r>
    </w:p>
    <w:p w14:paraId="7FDB0566" w14:textId="77777777" w:rsidR="00244AC9" w:rsidRPr="005F691C" w:rsidRDefault="00244AC9" w:rsidP="00244AC9">
      <w:pPr>
        <w:spacing w:line="360" w:lineRule="auto"/>
        <w:ind w:left="-567" w:right="-631" w:firstLine="567"/>
        <w:jc w:val="both"/>
        <w:rPr>
          <w:rFonts w:ascii="Times New Roman" w:hAnsi="Times New Roman" w:cs="Times New Roman"/>
          <w:b/>
          <w:u w:val="single"/>
        </w:rPr>
      </w:pPr>
    </w:p>
    <w:p w14:paraId="106B2593" w14:textId="77777777"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One of the main problems attributed to the failure of the USA COIN operation in Iraq is the fact there was a failure to plan for post-invasion stability operations. As stated by Cordesman, the USA failed to create a serious and effective plan for the creation of an effective nation building office.</w:t>
      </w:r>
      <w:r w:rsidRPr="005F691C">
        <w:rPr>
          <w:rStyle w:val="FootnoteReference"/>
          <w:rFonts w:ascii="Times New Roman" w:hAnsi="Times New Roman" w:cs="Times New Roman"/>
        </w:rPr>
        <w:footnoteReference w:id="308"/>
      </w:r>
      <w:r w:rsidRPr="005F691C">
        <w:rPr>
          <w:rFonts w:ascii="Times New Roman" w:hAnsi="Times New Roman" w:cs="Times New Roman"/>
        </w:rPr>
        <w:t xml:space="preserve"> Although certain reforms have been put in place by the American forces, the provision of water and electricity do not satisfy the ultimate end goal of the insurgency to create an Islamic caliphate. </w:t>
      </w:r>
    </w:p>
    <w:p w14:paraId="798D3444" w14:textId="77777777" w:rsidR="00244AC9" w:rsidRPr="005F691C" w:rsidRDefault="00244AC9" w:rsidP="00244AC9">
      <w:pPr>
        <w:spacing w:line="360" w:lineRule="auto"/>
        <w:ind w:left="-567" w:right="-631"/>
        <w:jc w:val="both"/>
        <w:rPr>
          <w:rFonts w:ascii="Times New Roman" w:hAnsi="Times New Roman" w:cs="Times New Roman"/>
        </w:rPr>
      </w:pPr>
    </w:p>
    <w:p w14:paraId="5B60FE11" w14:textId="77777777" w:rsidR="005F691C" w:rsidRPr="005F691C" w:rsidRDefault="00244AC9" w:rsidP="00244AC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rPr>
        <w:t xml:space="preserve">As was seen in the case study </w:t>
      </w:r>
      <w:r w:rsidR="005F691C" w:rsidRPr="005F691C">
        <w:rPr>
          <w:rFonts w:ascii="Times New Roman" w:hAnsi="Times New Roman" w:cs="Times New Roman"/>
        </w:rPr>
        <w:t>of the IRA in Northern Ireland;</w:t>
      </w:r>
    </w:p>
    <w:p w14:paraId="391B19ED" w14:textId="05FB4FB9" w:rsidR="00244AC9" w:rsidRPr="005F691C" w:rsidRDefault="005F691C" w:rsidP="005F691C">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sidRPr="005F691C">
        <w:rPr>
          <w:rFonts w:ascii="Times New Roman" w:hAnsi="Times New Roman" w:cs="Times New Roman"/>
          <w:b/>
          <w:u w:val="single"/>
        </w:rPr>
        <w:t>Causal Relationship 5</w:t>
      </w:r>
      <w:r w:rsidRPr="005F691C">
        <w:rPr>
          <w:rFonts w:ascii="Times New Roman" w:hAnsi="Times New Roman" w:cs="Times New Roman"/>
        </w:rPr>
        <w:t>: If there exists a specific ideology that identifies the changes that are desired within the economic, social, and political sphere of a specific territory, then the long-term accomplishment of peace can be determined as achievable</w:t>
      </w:r>
      <w:r w:rsidR="00D72C8F">
        <w:rPr>
          <w:rFonts w:ascii="Times New Roman" w:hAnsi="Times New Roman" w:cs="Times New Roman"/>
        </w:rPr>
        <w:t>, through the remedying of these grievances</w:t>
      </w:r>
      <w:r w:rsidR="00244AC9" w:rsidRPr="005F691C">
        <w:rPr>
          <w:rFonts w:ascii="Times New Roman" w:hAnsi="Times New Roman" w:cs="Times New Roman"/>
        </w:rPr>
        <w:t xml:space="preserve">. </w:t>
      </w:r>
    </w:p>
    <w:p w14:paraId="5FBE7170" w14:textId="1919B042"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The obvious conclusion in Iraq is that the ideology of the global insurgency, in the form of Al Qaeda, does not desire reform in the economic, social or political spheres, but rather these grievances are subsidiary to the ultimate goal of achieving an Islamic caliphate. Long-term peace is not achievable when the reforms are not confined to a specific territory and when th</w:t>
      </w:r>
      <w:r w:rsidR="00D72C8F">
        <w:rPr>
          <w:rFonts w:ascii="Times New Roman" w:hAnsi="Times New Roman" w:cs="Times New Roman"/>
        </w:rPr>
        <w:t>ere exists no tangible desired</w:t>
      </w:r>
      <w:r w:rsidRPr="005F691C">
        <w:rPr>
          <w:rFonts w:ascii="Times New Roman" w:hAnsi="Times New Roman" w:cs="Times New Roman"/>
        </w:rPr>
        <w:t xml:space="preserve"> outcomes</w:t>
      </w:r>
      <w:r w:rsidR="00D72C8F">
        <w:rPr>
          <w:rFonts w:ascii="Times New Roman" w:hAnsi="Times New Roman" w:cs="Times New Roman"/>
        </w:rPr>
        <w:t>, which can be implemented by the counterinsurgency forces</w:t>
      </w:r>
      <w:r w:rsidRPr="005F691C">
        <w:rPr>
          <w:rFonts w:ascii="Times New Roman" w:hAnsi="Times New Roman" w:cs="Times New Roman"/>
        </w:rPr>
        <w:t>.</w:t>
      </w:r>
      <w:r w:rsidR="00D72C8F">
        <w:rPr>
          <w:rFonts w:ascii="Times New Roman" w:hAnsi="Times New Roman" w:cs="Times New Roman"/>
        </w:rPr>
        <w:t xml:space="preserve"> Also, a lack of understanding and sufficient planning by the USA had resulted in the failure of the forces to achieve any lasting peace, as demonstrated under Cessation of Violence.</w:t>
      </w:r>
    </w:p>
    <w:p w14:paraId="2812B573" w14:textId="77777777" w:rsidR="00244AC9" w:rsidRPr="005F691C" w:rsidRDefault="00244AC9" w:rsidP="00244AC9">
      <w:pPr>
        <w:spacing w:line="360" w:lineRule="auto"/>
        <w:ind w:left="-567" w:right="-631"/>
        <w:jc w:val="both"/>
        <w:rPr>
          <w:rFonts w:ascii="Times New Roman" w:hAnsi="Times New Roman" w:cs="Times New Roman"/>
        </w:rPr>
      </w:pPr>
    </w:p>
    <w:p w14:paraId="70C7B57F" w14:textId="10E71114" w:rsidR="00244AC9" w:rsidRPr="005F691C" w:rsidRDefault="00F757CD" w:rsidP="00244AC9">
      <w:pPr>
        <w:spacing w:line="360" w:lineRule="auto"/>
        <w:ind w:left="-567" w:right="-631"/>
        <w:jc w:val="both"/>
        <w:rPr>
          <w:rFonts w:ascii="Times New Roman" w:hAnsi="Times New Roman" w:cs="Times New Roman"/>
          <w:b/>
          <w:u w:val="single"/>
        </w:rPr>
      </w:pPr>
      <w:r w:rsidRPr="00F757CD">
        <w:rPr>
          <w:rFonts w:ascii="Times New Roman" w:hAnsi="Times New Roman" w:cs="Times New Roman"/>
          <w:b/>
        </w:rPr>
        <w:t>5.6</w:t>
      </w:r>
      <w:r w:rsidR="00244AC9" w:rsidRPr="00F757CD">
        <w:rPr>
          <w:rFonts w:ascii="Times New Roman" w:hAnsi="Times New Roman" w:cs="Times New Roman"/>
          <w:b/>
        </w:rPr>
        <w:t xml:space="preserve"> </w:t>
      </w:r>
      <w:r w:rsidR="00244AC9" w:rsidRPr="005F691C">
        <w:rPr>
          <w:rFonts w:ascii="Times New Roman" w:hAnsi="Times New Roman" w:cs="Times New Roman"/>
          <w:b/>
          <w:u w:val="single"/>
        </w:rPr>
        <w:t>Conclusions from Al Qaeda in Iraq</w:t>
      </w:r>
    </w:p>
    <w:p w14:paraId="388AB63C" w14:textId="77777777" w:rsidR="00244AC9" w:rsidRPr="005F691C" w:rsidRDefault="00244AC9" w:rsidP="00244AC9">
      <w:pPr>
        <w:spacing w:line="360" w:lineRule="auto"/>
        <w:ind w:left="-567" w:right="-631"/>
        <w:jc w:val="both"/>
        <w:rPr>
          <w:rFonts w:ascii="Times New Roman" w:hAnsi="Times New Roman" w:cs="Times New Roman"/>
          <w:b/>
          <w:u w:val="single"/>
        </w:rPr>
      </w:pPr>
    </w:p>
    <w:p w14:paraId="3C7DE142" w14:textId="77777777"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The analysis of the counterinsurgency campaign against Al Qaeda in Iraq has demonstrated the difficulties that counterinsurgency operations encounter when faced with the challenges of a global insurgency. The lack of clear ideologies, tangible outcomes and defined borders leaves the counterinsurgency forces with no true method of combatting the insurgency.</w:t>
      </w:r>
    </w:p>
    <w:p w14:paraId="44376310" w14:textId="77777777" w:rsidR="00244AC9" w:rsidRPr="005F691C" w:rsidRDefault="00244AC9" w:rsidP="00244AC9">
      <w:pPr>
        <w:spacing w:line="360" w:lineRule="auto"/>
        <w:ind w:left="-567" w:right="-631"/>
        <w:jc w:val="both"/>
        <w:rPr>
          <w:rFonts w:ascii="Times New Roman" w:hAnsi="Times New Roman" w:cs="Times New Roman"/>
        </w:rPr>
      </w:pPr>
    </w:p>
    <w:p w14:paraId="1BE03E99" w14:textId="77777777" w:rsidR="00244AC9" w:rsidRPr="005F691C" w:rsidRDefault="00244AC9" w:rsidP="00244AC9">
      <w:pPr>
        <w:spacing w:line="360" w:lineRule="auto"/>
        <w:ind w:left="-567" w:right="-631"/>
        <w:jc w:val="both"/>
        <w:rPr>
          <w:rFonts w:ascii="Times New Roman" w:hAnsi="Times New Roman" w:cs="Times New Roman"/>
        </w:rPr>
      </w:pPr>
      <w:r w:rsidRPr="005F691C">
        <w:rPr>
          <w:rFonts w:ascii="Times New Roman" w:hAnsi="Times New Roman" w:cs="Times New Roman"/>
        </w:rPr>
        <w:t>In the case of state-centric insurgency, causal relationships could be drawn between elements of the insurgency and elements of the counterinsurgency operation that in turn would indicate a positive outcome. However, when those elements are replaced by the less regimented elements of global insurgency, the outcome is less likely to be positive as the counterinsurgency cannot be implemented successfully in those conditions.</w:t>
      </w:r>
    </w:p>
    <w:p w14:paraId="04CE28A3" w14:textId="77777777" w:rsidR="00244AC9" w:rsidRPr="005F691C" w:rsidRDefault="00244AC9" w:rsidP="00244AC9">
      <w:pPr>
        <w:spacing w:line="360" w:lineRule="auto"/>
        <w:ind w:left="-567" w:right="-631"/>
        <w:jc w:val="both"/>
        <w:rPr>
          <w:rFonts w:ascii="Times New Roman" w:hAnsi="Times New Roman" w:cs="Times New Roman"/>
          <w:b/>
          <w:u w:val="single"/>
        </w:rPr>
      </w:pPr>
      <w:r w:rsidRPr="005F691C">
        <w:rPr>
          <w:rFonts w:ascii="Times New Roman" w:hAnsi="Times New Roman" w:cs="Times New Roman"/>
          <w:b/>
          <w:u w:val="single"/>
        </w:rPr>
        <w:br w:type="page"/>
      </w:r>
    </w:p>
    <w:p w14:paraId="27D1A90B" w14:textId="314EC49E" w:rsidR="00520DD5" w:rsidRDefault="00520DD5" w:rsidP="00244AC9">
      <w:pPr>
        <w:spacing w:line="360" w:lineRule="auto"/>
        <w:ind w:left="-567" w:right="-631" w:firstLine="567"/>
        <w:jc w:val="both"/>
        <w:rPr>
          <w:rFonts w:ascii="Times New Roman" w:hAnsi="Times New Roman" w:cs="Times New Roman"/>
          <w:b/>
          <w:u w:val="single"/>
        </w:rPr>
      </w:pPr>
      <w:r>
        <w:rPr>
          <w:rFonts w:ascii="Times New Roman" w:hAnsi="Times New Roman" w:cs="Times New Roman"/>
          <w:b/>
          <w:u w:val="single"/>
        </w:rPr>
        <w:t>Appendix C</w:t>
      </w:r>
    </w:p>
    <w:p w14:paraId="73F99967" w14:textId="77777777" w:rsidR="00244AC9" w:rsidRDefault="00244AC9" w:rsidP="00244AC9">
      <w:pPr>
        <w:spacing w:line="360" w:lineRule="auto"/>
        <w:ind w:left="-567" w:right="-631" w:firstLine="567"/>
        <w:jc w:val="both"/>
        <w:rPr>
          <w:rFonts w:ascii="Times New Roman" w:hAnsi="Times New Roman" w:cs="Times New Roman"/>
          <w:b/>
          <w:u w:val="single"/>
        </w:rPr>
      </w:pPr>
      <w:r w:rsidRPr="005F691C">
        <w:rPr>
          <w:rFonts w:ascii="Times New Roman" w:hAnsi="Times New Roman" w:cs="Times New Roman"/>
          <w:b/>
          <w:u w:val="single"/>
        </w:rPr>
        <w:t>Figure 1. Insurgency Strategy in Iraq</w:t>
      </w:r>
      <w:r w:rsidRPr="005F691C">
        <w:rPr>
          <w:rStyle w:val="FootnoteReference"/>
          <w:rFonts w:ascii="Times New Roman" w:hAnsi="Times New Roman" w:cs="Times New Roman"/>
          <w:b/>
          <w:u w:val="single"/>
        </w:rPr>
        <w:footnoteReference w:id="309"/>
      </w:r>
    </w:p>
    <w:p w14:paraId="39089CDF" w14:textId="77777777" w:rsidR="00C52467" w:rsidRPr="005F691C" w:rsidRDefault="00C52467" w:rsidP="00244AC9">
      <w:pPr>
        <w:spacing w:line="360" w:lineRule="auto"/>
        <w:ind w:left="-567" w:right="-631" w:firstLine="567"/>
        <w:jc w:val="both"/>
        <w:rPr>
          <w:rFonts w:ascii="Times New Roman" w:hAnsi="Times New Roman" w:cs="Times New Roman"/>
          <w:b/>
          <w:u w:val="single"/>
        </w:rPr>
      </w:pPr>
    </w:p>
    <w:p w14:paraId="497EFA5B" w14:textId="77777777" w:rsidR="00244AC9" w:rsidRPr="005F691C" w:rsidRDefault="00244AC9" w:rsidP="00244AC9">
      <w:pPr>
        <w:spacing w:line="360" w:lineRule="auto"/>
        <w:ind w:left="-567" w:right="-631" w:firstLine="567"/>
        <w:jc w:val="both"/>
        <w:rPr>
          <w:rFonts w:ascii="Times New Roman" w:hAnsi="Times New Roman" w:cs="Times New Roman"/>
          <w:b/>
          <w:u w:val="single"/>
        </w:rPr>
      </w:pPr>
      <w:r w:rsidRPr="005F691C">
        <w:rPr>
          <w:rFonts w:ascii="Times New Roman" w:hAnsi="Times New Roman" w:cs="Times New Roman"/>
          <w:b/>
          <w:noProof/>
          <w:u w:val="single"/>
          <w:lang w:val="en-GB" w:eastAsia="en-GB"/>
        </w:rPr>
        <w:drawing>
          <wp:inline distT="0" distB="0" distL="0" distR="0" wp14:anchorId="27574B4E" wp14:editId="5AF0A56F">
            <wp:extent cx="5887720" cy="4297680"/>
            <wp:effectExtent l="0" t="5715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399418F" w14:textId="77777777" w:rsidR="00244AC9" w:rsidRPr="005F691C" w:rsidRDefault="00244AC9" w:rsidP="00580699">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p>
    <w:p w14:paraId="365622FC" w14:textId="2CBC3B18" w:rsidR="005F691C" w:rsidRPr="005F691C" w:rsidRDefault="005F691C">
      <w:pPr>
        <w:rPr>
          <w:rFonts w:ascii="Times New Roman" w:hAnsi="Times New Roman" w:cs="Times New Roman"/>
        </w:rPr>
      </w:pPr>
      <w:r w:rsidRPr="005F691C">
        <w:rPr>
          <w:rFonts w:ascii="Times New Roman" w:hAnsi="Times New Roman" w:cs="Times New Roman"/>
        </w:rPr>
        <w:br w:type="page"/>
      </w:r>
    </w:p>
    <w:p w14:paraId="4C33CA68" w14:textId="1A4E3D1B" w:rsidR="009B321C" w:rsidRPr="00E021C9" w:rsidRDefault="002A64CD" w:rsidP="00E021C9">
      <w:pPr>
        <w:jc w:val="center"/>
        <w:rPr>
          <w:rFonts w:ascii="Times New Roman" w:hAnsi="Times New Roman" w:cs="Times New Roman"/>
          <w:b/>
          <w:sz w:val="28"/>
          <w:szCs w:val="28"/>
          <w:u w:val="single"/>
        </w:rPr>
      </w:pPr>
      <w:r w:rsidRPr="00E021C9">
        <w:rPr>
          <w:rFonts w:ascii="Times New Roman" w:hAnsi="Times New Roman" w:cs="Times New Roman"/>
          <w:b/>
          <w:sz w:val="28"/>
          <w:szCs w:val="28"/>
          <w:u w:val="single"/>
        </w:rPr>
        <w:t>CHAPTER</w:t>
      </w:r>
      <w:r w:rsidR="005F691C" w:rsidRPr="00E021C9">
        <w:rPr>
          <w:rFonts w:ascii="Times New Roman" w:hAnsi="Times New Roman" w:cs="Times New Roman"/>
          <w:b/>
          <w:sz w:val="28"/>
          <w:szCs w:val="28"/>
          <w:u w:val="single"/>
        </w:rPr>
        <w:t xml:space="preserve"> 6</w:t>
      </w:r>
      <w:r w:rsidRPr="00E021C9">
        <w:rPr>
          <w:rFonts w:ascii="Times New Roman" w:hAnsi="Times New Roman" w:cs="Times New Roman"/>
          <w:b/>
          <w:sz w:val="28"/>
          <w:szCs w:val="28"/>
          <w:u w:val="single"/>
        </w:rPr>
        <w:t>: The Pathway to Counterinsurgent Success</w:t>
      </w:r>
    </w:p>
    <w:p w14:paraId="71CA68EF" w14:textId="77777777" w:rsidR="005F691C" w:rsidRDefault="005F691C">
      <w:pPr>
        <w:rPr>
          <w:rFonts w:ascii="Times New Roman" w:hAnsi="Times New Roman" w:cs="Times New Roman"/>
          <w:b/>
          <w:u w:val="single"/>
        </w:rPr>
      </w:pPr>
    </w:p>
    <w:p w14:paraId="40A4898E" w14:textId="630E20AF" w:rsidR="005F691C" w:rsidRPr="005F691C" w:rsidRDefault="005F691C" w:rsidP="006D6317">
      <w:pPr>
        <w:pStyle w:val="ListParagraph"/>
        <w:numPr>
          <w:ilvl w:val="0"/>
          <w:numId w:val="23"/>
        </w:numPr>
        <w:spacing w:line="360" w:lineRule="auto"/>
        <w:ind w:left="-284" w:hanging="283"/>
        <w:jc w:val="both"/>
        <w:rPr>
          <w:rFonts w:ascii="Times New Roman" w:hAnsi="Times New Roman" w:cs="Times New Roman"/>
          <w:b/>
          <w:u w:val="single"/>
        </w:rPr>
      </w:pPr>
      <w:r w:rsidRPr="005F691C">
        <w:rPr>
          <w:rFonts w:ascii="Times New Roman" w:hAnsi="Times New Roman" w:cs="Times New Roman"/>
          <w:b/>
          <w:u w:val="single"/>
        </w:rPr>
        <w:t>The Need for Counterinsurgency</w:t>
      </w:r>
      <w:r w:rsidR="00C82293">
        <w:rPr>
          <w:rFonts w:ascii="Times New Roman" w:hAnsi="Times New Roman" w:cs="Times New Roman"/>
          <w:b/>
          <w:u w:val="single"/>
        </w:rPr>
        <w:t>?</w:t>
      </w:r>
    </w:p>
    <w:p w14:paraId="033DDC50" w14:textId="77777777" w:rsidR="005F691C" w:rsidRDefault="005F691C" w:rsidP="005F691C">
      <w:pPr>
        <w:spacing w:line="360" w:lineRule="auto"/>
        <w:ind w:left="-567"/>
        <w:jc w:val="both"/>
        <w:rPr>
          <w:rFonts w:ascii="Times New Roman" w:hAnsi="Times New Roman" w:cs="Times New Roman"/>
          <w:b/>
          <w:u w:val="single"/>
        </w:rPr>
      </w:pPr>
    </w:p>
    <w:p w14:paraId="42AFD29D" w14:textId="3498D21C" w:rsidR="00032ED6" w:rsidRDefault="00032ED6" w:rsidP="00032ED6">
      <w:pPr>
        <w:spacing w:line="360" w:lineRule="auto"/>
        <w:ind w:right="-568"/>
        <w:jc w:val="both"/>
        <w:rPr>
          <w:rFonts w:ascii="Times New Roman" w:hAnsi="Times New Roman" w:cs="Times New Roman"/>
          <w:i/>
          <w:color w:val="131313"/>
        </w:rPr>
      </w:pPr>
      <w:r w:rsidRPr="00032ED6">
        <w:rPr>
          <w:rFonts w:ascii="Times New Roman" w:hAnsi="Times New Roman" w:cs="Times New Roman"/>
          <w:i/>
          <w:color w:val="131313"/>
        </w:rPr>
        <w:t>“Relying on luck, however, does not constitute a policy.”</w:t>
      </w:r>
    </w:p>
    <w:p w14:paraId="65C14FDD" w14:textId="582D9108" w:rsidR="00032ED6" w:rsidRPr="00032ED6" w:rsidRDefault="00032ED6" w:rsidP="00032ED6">
      <w:pPr>
        <w:spacing w:line="360" w:lineRule="auto"/>
        <w:ind w:right="-568"/>
        <w:jc w:val="both"/>
        <w:rPr>
          <w:rFonts w:ascii="Times New Roman" w:hAnsi="Times New Roman" w:cs="Times New Roman"/>
          <w:i/>
        </w:rPr>
      </w:pP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r>
      <w:r>
        <w:rPr>
          <w:rFonts w:ascii="Times New Roman" w:hAnsi="Times New Roman" w:cs="Times New Roman"/>
          <w:i/>
          <w:color w:val="131313"/>
        </w:rPr>
        <w:tab/>
        <w:t>-David Galula</w:t>
      </w:r>
      <w:r>
        <w:rPr>
          <w:rStyle w:val="FootnoteReference"/>
          <w:rFonts w:ascii="Times New Roman" w:hAnsi="Times New Roman" w:cs="Times New Roman"/>
          <w:i/>
          <w:color w:val="131313"/>
        </w:rPr>
        <w:footnoteReference w:id="310"/>
      </w:r>
    </w:p>
    <w:p w14:paraId="6E2FA34E" w14:textId="77777777" w:rsidR="00032ED6" w:rsidRDefault="00032ED6" w:rsidP="005F691C">
      <w:pPr>
        <w:spacing w:line="360" w:lineRule="auto"/>
        <w:ind w:left="-567" w:right="-568"/>
        <w:jc w:val="both"/>
        <w:rPr>
          <w:rFonts w:ascii="Times New Roman" w:hAnsi="Times New Roman" w:cs="Times New Roman"/>
        </w:rPr>
      </w:pPr>
    </w:p>
    <w:p w14:paraId="7739A6BA" w14:textId="77777777" w:rsidR="005F691C" w:rsidRDefault="005F691C" w:rsidP="005F691C">
      <w:pPr>
        <w:spacing w:line="360" w:lineRule="auto"/>
        <w:ind w:left="-567" w:right="-568"/>
        <w:jc w:val="both"/>
        <w:rPr>
          <w:rFonts w:ascii="Times New Roman" w:hAnsi="Times New Roman" w:cs="Times New Roman"/>
        </w:rPr>
      </w:pPr>
      <w:r w:rsidRPr="00C7443B">
        <w:rPr>
          <w:rFonts w:ascii="Times New Roman" w:hAnsi="Times New Roman" w:cs="Times New Roman"/>
        </w:rPr>
        <w:t xml:space="preserve">The development of insurgencies since the events of 11 September 2001 have </w:t>
      </w:r>
      <w:r>
        <w:rPr>
          <w:rFonts w:ascii="Times New Roman" w:hAnsi="Times New Roman" w:cs="Times New Roman"/>
        </w:rPr>
        <w:t>caused the idea of insurgency to evolve and develop to include various elements, such as terrorism, which leave governments, security agencies and various other actors perplexed with regards to how to combat these insurgencies. One of the most common approaches taken to combatting insurgency is the military strategy of counterinsurgency. This thesis was developed around the idea that whilst counterinsurgency has been the most commonly employed solution to insurgency, it should not be a foregone conclusion that because certain acts are being classified as an insurgency, that counterinsurgency will be the most appropriate and effective solution.</w:t>
      </w:r>
    </w:p>
    <w:p w14:paraId="79BE1A37" w14:textId="77777777" w:rsidR="005F691C" w:rsidRDefault="005F691C" w:rsidP="005F691C">
      <w:pPr>
        <w:spacing w:line="360" w:lineRule="auto"/>
        <w:ind w:right="-568"/>
        <w:jc w:val="both"/>
        <w:rPr>
          <w:rFonts w:ascii="Times New Roman" w:hAnsi="Times New Roman" w:cs="Times New Roman"/>
        </w:rPr>
      </w:pPr>
    </w:p>
    <w:p w14:paraId="0D00AF70" w14:textId="182D9583" w:rsidR="005F691C" w:rsidRDefault="006D6317" w:rsidP="005F691C">
      <w:pPr>
        <w:spacing w:line="360" w:lineRule="auto"/>
        <w:ind w:left="-567" w:right="-568"/>
        <w:jc w:val="both"/>
        <w:rPr>
          <w:rFonts w:ascii="Times New Roman" w:hAnsi="Times New Roman" w:cs="Times New Roman"/>
        </w:rPr>
      </w:pPr>
      <w:r>
        <w:rPr>
          <w:rFonts w:ascii="Times New Roman" w:hAnsi="Times New Roman" w:cs="Times New Roman"/>
        </w:rPr>
        <w:t>C</w:t>
      </w:r>
      <w:r w:rsidR="005F691C">
        <w:rPr>
          <w:rFonts w:ascii="Times New Roman" w:hAnsi="Times New Roman" w:cs="Times New Roman"/>
        </w:rPr>
        <w:t>ounterinsurgency has not always proven to be successful, and in fact, the recent implementation of COIN in Iraq has been termed a failure, one which has cost the United States of America billion</w:t>
      </w:r>
      <w:r>
        <w:rPr>
          <w:rFonts w:ascii="Times New Roman" w:hAnsi="Times New Roman" w:cs="Times New Roman"/>
        </w:rPr>
        <w:t>s of</w:t>
      </w:r>
      <w:r w:rsidR="005F691C">
        <w:rPr>
          <w:rFonts w:ascii="Times New Roman" w:hAnsi="Times New Roman" w:cs="Times New Roman"/>
        </w:rPr>
        <w:t xml:space="preserve"> dollars and continues to plague them with regards to how to achieve success in the war against global insurgency, centred in Iraq.</w:t>
      </w:r>
      <w:r w:rsidR="005F691C">
        <w:rPr>
          <w:rStyle w:val="FootnoteReference"/>
          <w:rFonts w:ascii="Times New Roman" w:hAnsi="Times New Roman" w:cs="Times New Roman"/>
        </w:rPr>
        <w:footnoteReference w:id="311"/>
      </w:r>
      <w:r w:rsidR="005F691C">
        <w:rPr>
          <w:rFonts w:ascii="Times New Roman" w:hAnsi="Times New Roman" w:cs="Times New Roman"/>
        </w:rPr>
        <w:t xml:space="preserve"> Whilst there is support for the counterinsurgency strategy, based on previous success such as the successful containment of the insurgency that was initiated by the IRA, there is also the recognition that counterinsurgency is a strategy which is time consuming and extremely costly, and thus there does need to be a greater understanding of whether it will be successful in a given situation from the onset</w:t>
      </w:r>
      <w:r>
        <w:rPr>
          <w:rFonts w:ascii="Times New Roman" w:hAnsi="Times New Roman" w:cs="Times New Roman"/>
        </w:rPr>
        <w:t>.</w:t>
      </w:r>
      <w:r w:rsidR="005A4C60">
        <w:rPr>
          <w:rFonts w:ascii="Times New Roman" w:hAnsi="Times New Roman" w:cs="Times New Roman"/>
        </w:rPr>
        <w:t xml:space="preserve"> Whilst this raises the question of “where to from here?”, the understanding that certain situations can preemptively exclude counterinsurgency as option does create the opportunity to employ more effective and timely responses. </w:t>
      </w:r>
    </w:p>
    <w:p w14:paraId="3E888642" w14:textId="77777777" w:rsidR="000C4C4F" w:rsidRPr="005F691C" w:rsidRDefault="000C4C4F" w:rsidP="000C4C4F">
      <w:pPr>
        <w:spacing w:line="360" w:lineRule="auto"/>
        <w:ind w:right="-631"/>
        <w:jc w:val="both"/>
        <w:rPr>
          <w:rFonts w:ascii="Times New Roman" w:hAnsi="Times New Roman" w:cs="Times New Roman"/>
        </w:rPr>
      </w:pPr>
    </w:p>
    <w:p w14:paraId="16936380" w14:textId="3E23AC21" w:rsidR="000C4C4F" w:rsidRDefault="006D6317" w:rsidP="000C4C4F">
      <w:pPr>
        <w:spacing w:line="360" w:lineRule="auto"/>
        <w:ind w:left="-567" w:right="-631"/>
        <w:jc w:val="both"/>
        <w:rPr>
          <w:rFonts w:ascii="Times New Roman" w:hAnsi="Times New Roman" w:cs="Times New Roman"/>
        </w:rPr>
      </w:pPr>
      <w:r>
        <w:rPr>
          <w:rFonts w:ascii="Times New Roman" w:hAnsi="Times New Roman" w:cs="Times New Roman"/>
        </w:rPr>
        <w:t xml:space="preserve">The issue of engaging in a counterinsurgency campaign, without the assurance of success, seems like a very costly gamble to make on the part of the state instituting the operation. As seen in Iraq, when not adequately prepared, and when incompletely implemented, counterinsurgency does not reap the rewards that were observed by the success of the British in Northern Ireland. The ability to predict whether a situation is going to be receptive to the COIN strategy will allow for </w:t>
      </w:r>
      <w:r w:rsidR="00C82293">
        <w:rPr>
          <w:rFonts w:ascii="Times New Roman" w:hAnsi="Times New Roman" w:cs="Times New Roman"/>
        </w:rPr>
        <w:t xml:space="preserve">greater understanding of the insurgency being dealt with (which will be analysed in order to ascertain the probability of success), and will also allow for states to make better judgment decisions before entering wars which ultimately, can not be won through certain means. </w:t>
      </w:r>
    </w:p>
    <w:p w14:paraId="3DFE357A" w14:textId="77777777" w:rsidR="00C82293" w:rsidRDefault="00C82293" w:rsidP="000C4C4F">
      <w:pPr>
        <w:spacing w:line="360" w:lineRule="auto"/>
        <w:ind w:left="-567" w:right="-631"/>
        <w:jc w:val="both"/>
        <w:rPr>
          <w:rFonts w:ascii="Times New Roman" w:hAnsi="Times New Roman" w:cs="Times New Roman"/>
        </w:rPr>
      </w:pPr>
    </w:p>
    <w:p w14:paraId="5C565D8A" w14:textId="74C6BCC2" w:rsidR="00C82293" w:rsidRDefault="00C82293" w:rsidP="000C4C4F">
      <w:pPr>
        <w:spacing w:line="360" w:lineRule="auto"/>
        <w:ind w:left="-567" w:right="-631"/>
        <w:jc w:val="both"/>
        <w:rPr>
          <w:rFonts w:ascii="Times New Roman" w:hAnsi="Times New Roman" w:cs="Times New Roman"/>
        </w:rPr>
      </w:pPr>
      <w:r>
        <w:rPr>
          <w:rFonts w:ascii="Times New Roman" w:hAnsi="Times New Roman" w:cs="Times New Roman"/>
        </w:rPr>
        <w:t>There now exists the possibility for the reformation of counterinsurgency practice so as to compensate for the various downfalls which global insurgency now reveals within the theory of counterinsurgency. The fact that global insurgency has brought forth these gaps in the strategy allows for the development of new theories for countering the threat of global insurgency and also, for the further development of counterinsurgency, whereby the theory can be made stronger and more effective through compensating for the various weaknesses it experiences against global insurgency.</w:t>
      </w:r>
    </w:p>
    <w:p w14:paraId="6C397EEA" w14:textId="77777777" w:rsidR="00C82293" w:rsidRDefault="00C82293" w:rsidP="000C4C4F">
      <w:pPr>
        <w:spacing w:line="360" w:lineRule="auto"/>
        <w:ind w:left="-567" w:right="-631"/>
        <w:jc w:val="both"/>
        <w:rPr>
          <w:rFonts w:ascii="Times New Roman" w:hAnsi="Times New Roman" w:cs="Times New Roman"/>
        </w:rPr>
      </w:pPr>
    </w:p>
    <w:p w14:paraId="07445218" w14:textId="20346164" w:rsidR="00C82293" w:rsidRDefault="00C82293" w:rsidP="000C4C4F">
      <w:pPr>
        <w:spacing w:line="360" w:lineRule="auto"/>
        <w:ind w:left="-567" w:right="-631"/>
        <w:jc w:val="both"/>
        <w:rPr>
          <w:rFonts w:ascii="Times New Roman" w:hAnsi="Times New Roman" w:cs="Times New Roman"/>
        </w:rPr>
      </w:pPr>
      <w:r>
        <w:rPr>
          <w:rFonts w:ascii="Times New Roman" w:hAnsi="Times New Roman" w:cs="Times New Roman"/>
        </w:rPr>
        <w:t xml:space="preserve">Due to the fact that there are now </w:t>
      </w:r>
      <w:r w:rsidR="00F7499B">
        <w:rPr>
          <w:rFonts w:ascii="Times New Roman" w:hAnsi="Times New Roman" w:cs="Times New Roman"/>
        </w:rPr>
        <w:t>gaps that</w:t>
      </w:r>
      <w:r>
        <w:rPr>
          <w:rFonts w:ascii="Times New Roman" w:hAnsi="Times New Roman" w:cs="Times New Roman"/>
        </w:rPr>
        <w:t xml:space="preserve"> exist in counterinsurgency theory in dealing with global insurgency, it may be argued that </w:t>
      </w:r>
      <w:r w:rsidR="00F7499B">
        <w:rPr>
          <w:rFonts w:ascii="Times New Roman" w:hAnsi="Times New Roman" w:cs="Times New Roman"/>
        </w:rPr>
        <w:t xml:space="preserve">counterinsurgency theory is in fact no longer a suitable strategy for dealing with the new generation of insurgency that exists. However, despite the issues that are found in the inability of counterinsurgency to fulfill the causal relationships with global insurgency, there is the prospect of reformation of the strategy, rather than eradication. These reformations have not been dealt with within this thesis, however they do pose the question of future policy development. </w:t>
      </w:r>
      <w:r w:rsidR="00E1366F">
        <w:rPr>
          <w:rFonts w:ascii="Times New Roman" w:hAnsi="Times New Roman" w:cs="Times New Roman"/>
        </w:rPr>
        <w:t xml:space="preserve">There is also the question of how counterinsurgency may interact with other categories of insurgencies that exist. Although this thesis has only focused on two categories of insurgency, state-centric insurgency and </w:t>
      </w:r>
      <w:r w:rsidR="00610DD2">
        <w:rPr>
          <w:rFonts w:ascii="Times New Roman" w:hAnsi="Times New Roman" w:cs="Times New Roman"/>
        </w:rPr>
        <w:t xml:space="preserve">global insurgency, it was mentioned that various other forms of insurgency do exist. These forms of insurgency are worthy of analysis so as to determine whether counterinsurgency is likely to succeed in those cases. The determination of the likelihood of success of counterinsurgency against the other forms of insurgency that exist may in fact show that counterinsurgency is becoming redundant in the fight against insurgency. </w:t>
      </w:r>
      <w:r w:rsidR="00E1366F">
        <w:rPr>
          <w:rFonts w:ascii="Times New Roman" w:hAnsi="Times New Roman" w:cs="Times New Roman"/>
        </w:rPr>
        <w:t xml:space="preserve">This thesis has evoked various questions as to the applicability of counterinsurgency in certain situations and the impact of a new age insurgency on traditional strategies of containment. </w:t>
      </w:r>
    </w:p>
    <w:p w14:paraId="08046A09" w14:textId="77777777" w:rsidR="000C4C4F" w:rsidRDefault="000C4C4F" w:rsidP="00EE610B">
      <w:pPr>
        <w:spacing w:line="360" w:lineRule="auto"/>
        <w:ind w:right="-631"/>
        <w:jc w:val="both"/>
        <w:rPr>
          <w:rFonts w:ascii="Times New Roman" w:hAnsi="Times New Roman" w:cs="Times New Roman"/>
        </w:rPr>
      </w:pPr>
    </w:p>
    <w:p w14:paraId="49F5CED2" w14:textId="41D603FD" w:rsidR="005F691C" w:rsidRDefault="00032ED6" w:rsidP="00F95831">
      <w:pPr>
        <w:spacing w:line="360" w:lineRule="auto"/>
        <w:ind w:left="-567"/>
        <w:jc w:val="both"/>
        <w:rPr>
          <w:rFonts w:ascii="Times New Roman" w:hAnsi="Times New Roman" w:cs="Times New Roman"/>
          <w:b/>
          <w:u w:val="single"/>
        </w:rPr>
      </w:pPr>
      <w:r w:rsidRPr="00F95831">
        <w:rPr>
          <w:rFonts w:ascii="Times New Roman" w:hAnsi="Times New Roman" w:cs="Times New Roman"/>
          <w:b/>
        </w:rPr>
        <w:t xml:space="preserve">2. </w:t>
      </w:r>
      <w:r w:rsidR="005F691C" w:rsidRPr="00F95831">
        <w:rPr>
          <w:rFonts w:ascii="Times New Roman" w:hAnsi="Times New Roman" w:cs="Times New Roman"/>
          <w:b/>
        </w:rPr>
        <w:t xml:space="preserve"> </w:t>
      </w:r>
      <w:r w:rsidR="005F691C" w:rsidRPr="00C7443B">
        <w:rPr>
          <w:rFonts w:ascii="Times New Roman" w:hAnsi="Times New Roman" w:cs="Times New Roman"/>
          <w:b/>
          <w:u w:val="single"/>
        </w:rPr>
        <w:t>Conclusion</w:t>
      </w:r>
    </w:p>
    <w:p w14:paraId="4A63D73A" w14:textId="77777777" w:rsidR="00032ED6" w:rsidRDefault="00032ED6" w:rsidP="00032ED6">
      <w:pPr>
        <w:tabs>
          <w:tab w:val="left" w:pos="142"/>
        </w:tabs>
        <w:spacing w:line="360" w:lineRule="auto"/>
        <w:ind w:right="-568"/>
        <w:jc w:val="both"/>
        <w:rPr>
          <w:rFonts w:ascii="Times New Roman" w:hAnsi="Times New Roman" w:cs="Times New Roman"/>
          <w:b/>
          <w:u w:val="single"/>
        </w:rPr>
      </w:pPr>
    </w:p>
    <w:p w14:paraId="7843E4CB" w14:textId="3F9D1A1F" w:rsidR="00E1366F" w:rsidRDefault="00E1366F" w:rsidP="00E1366F">
      <w:pPr>
        <w:spacing w:line="360" w:lineRule="auto"/>
        <w:ind w:left="-567" w:right="-631"/>
        <w:jc w:val="both"/>
        <w:rPr>
          <w:rFonts w:ascii="Times New Roman" w:hAnsi="Times New Roman" w:cs="Times New Roman"/>
        </w:rPr>
      </w:pPr>
      <w:r>
        <w:rPr>
          <w:rFonts w:ascii="Times New Roman" w:hAnsi="Times New Roman" w:cs="Times New Roman"/>
        </w:rPr>
        <w:t>This thesis has determined that there exist various causal relationships between the strategy of counterinsurgency and the threat of insurgency, based upon the categorisation of the insurgency as either state-centric i</w:t>
      </w:r>
      <w:r w:rsidR="00EE610B">
        <w:rPr>
          <w:rFonts w:ascii="Times New Roman" w:hAnsi="Times New Roman" w:cs="Times New Roman"/>
        </w:rPr>
        <w:t>nsurgency, or global insurgency</w:t>
      </w:r>
      <w:r>
        <w:rPr>
          <w:rFonts w:ascii="Times New Roman" w:hAnsi="Times New Roman" w:cs="Times New Roman"/>
        </w:rPr>
        <w:t>. These factors were determined through various stages of analysis.</w:t>
      </w:r>
    </w:p>
    <w:p w14:paraId="5FAD2AE4" w14:textId="77777777" w:rsidR="00E1366F" w:rsidRDefault="00E1366F" w:rsidP="00E1366F">
      <w:pPr>
        <w:spacing w:line="360" w:lineRule="auto"/>
        <w:ind w:left="-567" w:right="-631"/>
        <w:jc w:val="both"/>
        <w:rPr>
          <w:rFonts w:ascii="Times New Roman" w:hAnsi="Times New Roman" w:cs="Times New Roman"/>
        </w:rPr>
      </w:pPr>
    </w:p>
    <w:p w14:paraId="27B8F76A" w14:textId="56512A01" w:rsidR="00EE610B" w:rsidRDefault="00EE610B" w:rsidP="00032ED6">
      <w:pPr>
        <w:tabs>
          <w:tab w:val="left" w:pos="142"/>
        </w:tabs>
        <w:spacing w:line="360" w:lineRule="auto"/>
        <w:ind w:left="-567" w:right="-568"/>
        <w:jc w:val="both"/>
        <w:rPr>
          <w:rFonts w:ascii="Times New Roman" w:hAnsi="Times New Roman" w:cs="Times New Roman"/>
        </w:rPr>
      </w:pPr>
      <w:r>
        <w:rPr>
          <w:rFonts w:ascii="Times New Roman" w:hAnsi="Times New Roman" w:cs="Times New Roman"/>
        </w:rPr>
        <w:t xml:space="preserve">In Chapter 1 of this thesis the importance of this research was outlined, as well as the conceptualisation of key elements of the discussion, such as insurgency and counterinsurgency. The chapter also undertook a literature review, so as to engage with key authors on the subjects and determine where gaps in the literature existed, prompting analysis. It was founded that although counterinsurgency literature does engage with the topic of insurgency, the strategy does not allow for adjustment according to the types of insurgencies that exist, and the literature does actually not recognise varying categories of insurgency. The literature on insurgency does provide for different categorisation of insurgencies, however, </w:t>
      </w:r>
      <w:r w:rsidR="00C22EC2">
        <w:rPr>
          <w:rFonts w:ascii="Times New Roman" w:hAnsi="Times New Roman" w:cs="Times New Roman"/>
        </w:rPr>
        <w:t>it does not suggest any methods for varying the strategies that should be used to combat the different threats. These gaps allowed for the question of whether the categorisation of insurgency can show causal relationships with the determinants of a successful counterinsurgency, which would in turn demonstrate that counterinsurgency, as it stands today, cannot be implemented against certain forms of insurgency with a successful outcome.</w:t>
      </w:r>
    </w:p>
    <w:p w14:paraId="02C55743" w14:textId="77777777" w:rsidR="00C22EC2" w:rsidRDefault="00C22EC2" w:rsidP="00032ED6">
      <w:pPr>
        <w:tabs>
          <w:tab w:val="left" w:pos="142"/>
        </w:tabs>
        <w:spacing w:line="360" w:lineRule="auto"/>
        <w:ind w:left="-567" w:right="-568"/>
        <w:jc w:val="both"/>
        <w:rPr>
          <w:rFonts w:ascii="Times New Roman" w:hAnsi="Times New Roman" w:cs="Times New Roman"/>
        </w:rPr>
      </w:pPr>
    </w:p>
    <w:p w14:paraId="67B15238" w14:textId="46996A1C" w:rsidR="00C22EC2" w:rsidRDefault="00C22EC2" w:rsidP="00915779">
      <w:pPr>
        <w:spacing w:line="360" w:lineRule="auto"/>
        <w:ind w:left="-567" w:right="-631"/>
        <w:jc w:val="both"/>
        <w:rPr>
          <w:rFonts w:ascii="Times New Roman" w:hAnsi="Times New Roman" w:cs="Times New Roman"/>
        </w:rPr>
      </w:pPr>
      <w:r>
        <w:rPr>
          <w:rFonts w:ascii="Times New Roman" w:hAnsi="Times New Roman" w:cs="Times New Roman"/>
        </w:rPr>
        <w:t>Chapter 2 undertook an examination of insurgency. Insurgency has been considered notoriously difficult to define based on the fact that the insurgency can vary so drastically between cases. However, this chapter undertook an analysis of the various literatures available and provided a basic understanding of the concept, as well as an understanding of the two preselected categories for examination, state-centric insurgency and global insurgency. It was demonstrated that terro</w:t>
      </w:r>
      <w:r w:rsidR="00BF3A60">
        <w:rPr>
          <w:rFonts w:ascii="Times New Roman" w:hAnsi="Times New Roman" w:cs="Times New Roman"/>
        </w:rPr>
        <w:t>rism could be contextualised as a form of insurgency, although not the sole form which insurgency can take.</w:t>
      </w:r>
      <w:r w:rsidRPr="005F691C">
        <w:rPr>
          <w:rFonts w:ascii="Times New Roman" w:hAnsi="Times New Roman" w:cs="Times New Roman"/>
        </w:rPr>
        <w:t xml:space="preserve"> </w:t>
      </w:r>
      <w:r w:rsidR="00BF3A60">
        <w:rPr>
          <w:rFonts w:ascii="Times New Roman" w:hAnsi="Times New Roman" w:cs="Times New Roman"/>
        </w:rPr>
        <w:t>Ultimately, the chapter then categorised the insurgencies</w:t>
      </w:r>
      <w:r w:rsidR="00915779">
        <w:rPr>
          <w:rFonts w:ascii="Times New Roman" w:hAnsi="Times New Roman" w:cs="Times New Roman"/>
        </w:rPr>
        <w:t xml:space="preserve"> </w:t>
      </w:r>
      <w:r w:rsidR="00BF3A60">
        <w:rPr>
          <w:rFonts w:ascii="Times New Roman" w:hAnsi="Times New Roman" w:cs="Times New Roman"/>
        </w:rPr>
        <w:t xml:space="preserve">in Northern Ireland and in Iraq, classifying the IRA as a state-centric insurgency and the insurgency being performed by Al Qaeda in Iraq as a global insurgency. </w:t>
      </w:r>
      <w:r w:rsidR="00915779">
        <w:rPr>
          <w:rFonts w:ascii="Times New Roman" w:hAnsi="Times New Roman" w:cs="Times New Roman"/>
        </w:rPr>
        <w:t xml:space="preserve">It was also identified that although there exist man forms of violence and insurgency within Iraq, Al Qaeda would be the case for examination in this thesis as it displays the characteristics of a global insurgency. </w:t>
      </w:r>
    </w:p>
    <w:p w14:paraId="06888C11" w14:textId="77777777" w:rsidR="00915779" w:rsidRDefault="00915779" w:rsidP="00915779">
      <w:pPr>
        <w:spacing w:line="360" w:lineRule="auto"/>
        <w:ind w:left="-567" w:right="-631"/>
        <w:jc w:val="both"/>
        <w:rPr>
          <w:rFonts w:ascii="Times New Roman" w:hAnsi="Times New Roman" w:cs="Times New Roman"/>
        </w:rPr>
      </w:pPr>
    </w:p>
    <w:p w14:paraId="3F721E20" w14:textId="29D91DBA" w:rsidR="00915779" w:rsidRDefault="00915779" w:rsidP="00915779">
      <w:pPr>
        <w:spacing w:line="360" w:lineRule="auto"/>
        <w:ind w:left="-567" w:right="-631"/>
        <w:jc w:val="both"/>
        <w:rPr>
          <w:rFonts w:ascii="Times New Roman" w:hAnsi="Times New Roman" w:cs="Times New Roman"/>
        </w:rPr>
      </w:pPr>
      <w:r>
        <w:rPr>
          <w:rFonts w:ascii="Times New Roman" w:hAnsi="Times New Roman" w:cs="Times New Roman"/>
        </w:rPr>
        <w:t xml:space="preserve">Chapter 3 explored the strategy of counterinsurgency and how the strategy has evolved and changed under different leaders. The strategy was examined in its original state, which is the form it took when applied to the insurgency of the IRA in Northern Ireland. Thompson was discussed as the main strategist of counterinsurgency at that time, and his five principles for counterinsurgency were demonstrated to be the </w:t>
      </w:r>
      <w:r w:rsidR="00FE6EAB">
        <w:rPr>
          <w:rFonts w:ascii="Times New Roman" w:hAnsi="Times New Roman" w:cs="Times New Roman"/>
        </w:rPr>
        <w:t>principles that the British Army implemented and adhered to during their COIN campaign in Northern Ireland. The discussion then focused on the COIN strategy applied by the United States in Iraq, and how the principles followed by General Petraeus and dictated to all American soldiers deployed to Iraq through FM 3-24, differed from those of Thompson, and found a more population-centric view of COIN. The chapter also provided an analysis of the various factors that could be used to judge a successful counterinsurgency campaign. These indicators of success were taken from the common objectives of both Thompson’s development of insurgency, as well as Petraeus’s, and would be used in the following chapters to determine the causal relationships between the type of insurgency and a successful counterinsurgency operation.</w:t>
      </w:r>
    </w:p>
    <w:p w14:paraId="3F1E8D7B" w14:textId="77777777" w:rsidR="00EE610B" w:rsidRDefault="00EE610B" w:rsidP="00032ED6">
      <w:pPr>
        <w:tabs>
          <w:tab w:val="left" w:pos="142"/>
        </w:tabs>
        <w:spacing w:line="360" w:lineRule="auto"/>
        <w:ind w:left="-567" w:right="-568"/>
        <w:jc w:val="both"/>
        <w:rPr>
          <w:rFonts w:ascii="Times New Roman" w:hAnsi="Times New Roman" w:cs="Times New Roman"/>
        </w:rPr>
      </w:pPr>
    </w:p>
    <w:p w14:paraId="6FE3983A" w14:textId="0B39E604" w:rsidR="00307767" w:rsidRDefault="00FE6EAB" w:rsidP="00307767">
      <w:pPr>
        <w:spacing w:line="360" w:lineRule="auto"/>
        <w:ind w:left="-567" w:right="-631"/>
        <w:jc w:val="both"/>
        <w:rPr>
          <w:rFonts w:ascii="Times New Roman" w:hAnsi="Times New Roman" w:cs="Times New Roman"/>
        </w:rPr>
      </w:pPr>
      <w:r>
        <w:rPr>
          <w:rFonts w:ascii="Times New Roman" w:hAnsi="Times New Roman" w:cs="Times New Roman"/>
        </w:rPr>
        <w:t xml:space="preserve">In Chapter 4, the comparative analysis of the IRA in Northern Ireland and the counterinsurgency operation undertaken against them was undertaken. This analysis </w:t>
      </w:r>
      <w:r w:rsidR="00307767">
        <w:rPr>
          <w:rFonts w:ascii="Times New Roman" w:hAnsi="Times New Roman" w:cs="Times New Roman"/>
        </w:rPr>
        <w:t>began by looking at how the British implemented their counterinsurgency campaign within Northern Ireland and the methods that were undertaken by the COIN force in the early stages of setting up the operation. There was also a discussion of the key elements of the counterinsurgency operation. The analysis then went on to use the indicators of a successful counterinsurgency that had been founded in the previous chapter, to determine causal relationships that exist between the state-centric insurgency of the IRA and the successful outcome of counterinsurgency that was achieved in Northern Ireland. The following causal relationships were identified and demonstrate where one can expect to find a successful outcome in a counterinsurgency campaign:</w:t>
      </w:r>
    </w:p>
    <w:p w14:paraId="6083D692" w14:textId="77777777" w:rsidR="00B36538" w:rsidRDefault="00B36538" w:rsidP="00307767">
      <w:pPr>
        <w:spacing w:line="360" w:lineRule="auto"/>
        <w:ind w:left="-567" w:right="-631"/>
        <w:jc w:val="both"/>
        <w:rPr>
          <w:rFonts w:ascii="Times New Roman" w:hAnsi="Times New Roman" w:cs="Times New Roman"/>
        </w:rPr>
      </w:pPr>
    </w:p>
    <w:p w14:paraId="3CCB8697" w14:textId="1D87ED30" w:rsidR="00B36538" w:rsidRPr="00B36538" w:rsidRDefault="00B36538" w:rsidP="00B36538">
      <w:pPr>
        <w:pStyle w:val="ListParagraph"/>
        <w:numPr>
          <w:ilvl w:val="0"/>
          <w:numId w:val="45"/>
        </w:numPr>
        <w:tabs>
          <w:tab w:val="left" w:pos="-1134"/>
        </w:tabs>
        <w:spacing w:line="360" w:lineRule="auto"/>
        <w:ind w:right="-631"/>
        <w:jc w:val="both"/>
        <w:rPr>
          <w:rFonts w:ascii="Times New Roman" w:hAnsi="Times New Roman" w:cs="Times New Roman"/>
        </w:rPr>
      </w:pPr>
      <w:r w:rsidRPr="00B36538">
        <w:rPr>
          <w:rFonts w:ascii="Times New Roman" w:hAnsi="Times New Roman" w:cs="Times New Roman"/>
        </w:rPr>
        <w:t>If there exists a state centric insurgency with a close relationship with a large portion of the population, then this will lead to a more effective cessation of violence when the counterinsurgency forces implement a successful and disciplined information gathering campaign.</w:t>
      </w:r>
    </w:p>
    <w:p w14:paraId="0953D4AC" w14:textId="77777777" w:rsidR="00307767" w:rsidRDefault="00307767" w:rsidP="00B36538">
      <w:pPr>
        <w:spacing w:line="360" w:lineRule="auto"/>
        <w:ind w:right="-631"/>
        <w:jc w:val="both"/>
        <w:rPr>
          <w:rFonts w:ascii="Times New Roman" w:hAnsi="Times New Roman" w:cs="Times New Roman"/>
        </w:rPr>
      </w:pPr>
    </w:p>
    <w:p w14:paraId="31359F39" w14:textId="42B964FD" w:rsidR="00B36538" w:rsidRPr="00B36538" w:rsidRDefault="00B36538" w:rsidP="00B36538">
      <w:pPr>
        <w:pStyle w:val="ListParagraph"/>
        <w:widowControl w:val="0"/>
        <w:numPr>
          <w:ilvl w:val="0"/>
          <w:numId w:val="45"/>
        </w:numPr>
        <w:tabs>
          <w:tab w:val="left" w:pos="-1134"/>
        </w:tabs>
        <w:autoSpaceDE w:val="0"/>
        <w:autoSpaceDN w:val="0"/>
        <w:adjustRightInd w:val="0"/>
        <w:spacing w:after="240" w:line="360" w:lineRule="auto"/>
        <w:ind w:right="-631"/>
        <w:jc w:val="both"/>
        <w:rPr>
          <w:rFonts w:ascii="Times New Roman" w:hAnsi="Times New Roman" w:cs="Times New Roman"/>
        </w:rPr>
      </w:pPr>
      <w:r w:rsidRPr="00B36538">
        <w:rPr>
          <w:rFonts w:ascii="Times New Roman" w:hAnsi="Times New Roman" w:cs="Times New Roman"/>
        </w:rPr>
        <w:t xml:space="preserve">If there exists a specified ideology within a state-centric insurgency, then this will allow for the counterinsurgency forces to implement a legitimate rule of law due to the fact that they will be able to address the concerns of the insurgency, as well as achieve their desired outcomes on their behalf (a change in the economic, political, or social order of the specific territory). </w:t>
      </w:r>
    </w:p>
    <w:p w14:paraId="78C7E1E6" w14:textId="77777777" w:rsidR="00B36538" w:rsidRPr="00B36538" w:rsidRDefault="00B36538" w:rsidP="00B36538">
      <w:pPr>
        <w:pStyle w:val="ListParagraph"/>
        <w:widowControl w:val="0"/>
        <w:tabs>
          <w:tab w:val="left" w:pos="-1134"/>
        </w:tabs>
        <w:autoSpaceDE w:val="0"/>
        <w:autoSpaceDN w:val="0"/>
        <w:adjustRightInd w:val="0"/>
        <w:spacing w:after="240" w:line="360" w:lineRule="auto"/>
        <w:ind w:left="-207" w:right="-631"/>
        <w:jc w:val="both"/>
        <w:rPr>
          <w:rFonts w:ascii="Times New Roman" w:hAnsi="Times New Roman" w:cs="Times New Roman"/>
        </w:rPr>
      </w:pPr>
    </w:p>
    <w:p w14:paraId="55AB68DF" w14:textId="6E877F5C" w:rsidR="00B36538" w:rsidRPr="00B36538" w:rsidRDefault="00307767" w:rsidP="00B36538">
      <w:pPr>
        <w:pStyle w:val="ListParagraph"/>
        <w:widowControl w:val="0"/>
        <w:numPr>
          <w:ilvl w:val="0"/>
          <w:numId w:val="45"/>
        </w:numPr>
        <w:tabs>
          <w:tab w:val="left" w:pos="-1134"/>
        </w:tabs>
        <w:autoSpaceDE w:val="0"/>
        <w:autoSpaceDN w:val="0"/>
        <w:adjustRightInd w:val="0"/>
        <w:spacing w:after="240" w:line="360" w:lineRule="auto"/>
        <w:ind w:right="-631"/>
        <w:jc w:val="both"/>
        <w:rPr>
          <w:rFonts w:ascii="Times New Roman" w:hAnsi="Times New Roman" w:cs="Times New Roman"/>
        </w:rPr>
      </w:pPr>
      <w:r w:rsidRPr="00307767">
        <w:rPr>
          <w:rFonts w:ascii="Times New Roman" w:hAnsi="Times New Roman" w:cs="Times New Roman"/>
        </w:rPr>
        <w:t xml:space="preserve">If the state-centric insurgency has the will to overthrow the government in control for specific economic, social or political restructuring, then this can be remedied by addressing the specific concerns of the affected population and allowing them to view the government in a more positive and legitimate light, where there is no longer room for the specific ideology based on the will to achieve social, political and economic reform. </w:t>
      </w:r>
    </w:p>
    <w:p w14:paraId="5F2DF0F8" w14:textId="77777777" w:rsidR="00B36538" w:rsidRDefault="00B36538" w:rsidP="00B36538">
      <w:pPr>
        <w:pStyle w:val="ListParagraph"/>
        <w:widowControl w:val="0"/>
        <w:tabs>
          <w:tab w:val="left" w:pos="-1134"/>
        </w:tabs>
        <w:autoSpaceDE w:val="0"/>
        <w:autoSpaceDN w:val="0"/>
        <w:adjustRightInd w:val="0"/>
        <w:spacing w:after="240" w:line="360" w:lineRule="auto"/>
        <w:ind w:left="-207" w:right="-631"/>
        <w:jc w:val="both"/>
        <w:rPr>
          <w:rFonts w:ascii="Times New Roman" w:hAnsi="Times New Roman" w:cs="Times New Roman"/>
        </w:rPr>
      </w:pPr>
    </w:p>
    <w:p w14:paraId="1D83257B" w14:textId="77777777" w:rsidR="00307767" w:rsidRDefault="00307767" w:rsidP="00B36538">
      <w:pPr>
        <w:pStyle w:val="ListParagraph"/>
        <w:widowControl w:val="0"/>
        <w:numPr>
          <w:ilvl w:val="0"/>
          <w:numId w:val="45"/>
        </w:numPr>
        <w:tabs>
          <w:tab w:val="left" w:pos="-1134"/>
        </w:tabs>
        <w:autoSpaceDE w:val="0"/>
        <w:autoSpaceDN w:val="0"/>
        <w:adjustRightInd w:val="0"/>
        <w:spacing w:after="240" w:line="360" w:lineRule="auto"/>
        <w:ind w:right="-631"/>
        <w:jc w:val="both"/>
        <w:rPr>
          <w:rFonts w:ascii="Times New Roman" w:hAnsi="Times New Roman" w:cs="Times New Roman"/>
        </w:rPr>
      </w:pPr>
      <w:r w:rsidRPr="00307767">
        <w:rPr>
          <w:rFonts w:ascii="Times New Roman" w:hAnsi="Times New Roman" w:cs="Times New Roman"/>
        </w:rPr>
        <w:t xml:space="preserve">If there exists the state-centric insurgency elements of a specified ideology, with a will to achieve change in the economic, social, or political spheres, within a specified territory, then it will be possible to remedy and revise grievances. </w:t>
      </w:r>
    </w:p>
    <w:p w14:paraId="0F11A0B3" w14:textId="77777777" w:rsidR="00B36538" w:rsidRPr="00307767" w:rsidRDefault="00B36538" w:rsidP="00B36538">
      <w:pPr>
        <w:pStyle w:val="ListParagraph"/>
        <w:widowControl w:val="0"/>
        <w:tabs>
          <w:tab w:val="left" w:pos="-1134"/>
        </w:tabs>
        <w:autoSpaceDE w:val="0"/>
        <w:autoSpaceDN w:val="0"/>
        <w:adjustRightInd w:val="0"/>
        <w:spacing w:after="240" w:line="360" w:lineRule="auto"/>
        <w:ind w:left="-207" w:right="-631"/>
        <w:jc w:val="both"/>
        <w:rPr>
          <w:rFonts w:ascii="Times New Roman" w:hAnsi="Times New Roman" w:cs="Times New Roman"/>
        </w:rPr>
      </w:pPr>
    </w:p>
    <w:p w14:paraId="085E222C" w14:textId="77777777" w:rsidR="00307767" w:rsidRPr="00307767" w:rsidRDefault="00307767" w:rsidP="00B36538">
      <w:pPr>
        <w:pStyle w:val="ListParagraph"/>
        <w:widowControl w:val="0"/>
        <w:numPr>
          <w:ilvl w:val="0"/>
          <w:numId w:val="45"/>
        </w:numPr>
        <w:tabs>
          <w:tab w:val="left" w:pos="-1134"/>
        </w:tabs>
        <w:autoSpaceDE w:val="0"/>
        <w:autoSpaceDN w:val="0"/>
        <w:adjustRightInd w:val="0"/>
        <w:spacing w:after="240" w:line="360" w:lineRule="auto"/>
        <w:ind w:right="-631"/>
        <w:jc w:val="both"/>
        <w:rPr>
          <w:rFonts w:ascii="Times New Roman" w:hAnsi="Times New Roman" w:cs="Times New Roman"/>
        </w:rPr>
      </w:pPr>
      <w:r w:rsidRPr="00307767">
        <w:rPr>
          <w:rFonts w:ascii="Times New Roman" w:hAnsi="Times New Roman" w:cs="Times New Roman"/>
        </w:rPr>
        <w:t xml:space="preserve">If there exists a specific ideology that identifies the changes that are desired within the economic, social, and political sphere of a specific territory, then the long-term accomplishment of peace can be determined as achievable, through the remedying of these grievances. </w:t>
      </w:r>
    </w:p>
    <w:p w14:paraId="4D1C095E" w14:textId="2ABDFFB1" w:rsidR="00FE6EAB" w:rsidRDefault="0001775C" w:rsidP="00B36538">
      <w:pPr>
        <w:tabs>
          <w:tab w:val="left" w:pos="142"/>
        </w:tabs>
        <w:spacing w:line="360" w:lineRule="auto"/>
        <w:ind w:left="-567" w:right="-568"/>
        <w:jc w:val="both"/>
        <w:rPr>
          <w:rFonts w:ascii="Times New Roman" w:hAnsi="Times New Roman" w:cs="Times New Roman"/>
        </w:rPr>
      </w:pPr>
      <w:r>
        <w:rPr>
          <w:rFonts w:ascii="Times New Roman" w:hAnsi="Times New Roman" w:cs="Times New Roman"/>
        </w:rPr>
        <w:t xml:space="preserve">These findings proved that the state-centric insurgency elements of a clearly defined ideology based on the desired outcomes of either economic, social or political reordering within a defined territory allowed for the successful implementation of a counterinsurgency campaign. </w:t>
      </w:r>
      <w:r w:rsidR="00B36538">
        <w:rPr>
          <w:rFonts w:ascii="Times New Roman" w:hAnsi="Times New Roman" w:cs="Times New Roman"/>
        </w:rPr>
        <w:t xml:space="preserve">The founding of these factors then required the analysis of the counterinsurgency operation that the American Army undertook in Iraq, against Al Qaeda, in order to determine whether there would be the same outcome when these causal relationships were applied to a different form of insurgency, in this case, global insurgency. Thus, Chapter 5 undertook an analysis of the COIN operation in Iraq. This chapter also began with a brief overview of how the COIN strategy was implemented in Iraq and It was founded that when the causal relationships were applied to a global insurgency, the outcome was negative and in fact demonstrated that a global insurgency would not have a successful outcome when faced with traditional counterinsurgency methods. </w:t>
      </w:r>
      <w:r>
        <w:rPr>
          <w:rFonts w:ascii="Times New Roman" w:hAnsi="Times New Roman" w:cs="Times New Roman"/>
        </w:rPr>
        <w:t>It was found that key to the lack of causal relationships between global insurgency and a positive counterinsurgency campaign are the fact that global insurgencies do not have clear ideologies, tangible desired outcomes and defined borders within which they operate.</w:t>
      </w:r>
    </w:p>
    <w:p w14:paraId="1F2F4F3F" w14:textId="77777777" w:rsidR="00032ED6" w:rsidRDefault="00032ED6" w:rsidP="0001775C">
      <w:pPr>
        <w:tabs>
          <w:tab w:val="left" w:pos="142"/>
        </w:tabs>
        <w:spacing w:line="360" w:lineRule="auto"/>
        <w:ind w:right="-568"/>
        <w:jc w:val="both"/>
        <w:rPr>
          <w:rFonts w:ascii="Times New Roman" w:hAnsi="Times New Roman" w:cs="Times New Roman"/>
        </w:rPr>
      </w:pPr>
    </w:p>
    <w:p w14:paraId="029C0B09" w14:textId="4739D708" w:rsidR="00C82293" w:rsidRDefault="00032ED6" w:rsidP="00C82293">
      <w:pPr>
        <w:spacing w:line="360" w:lineRule="auto"/>
        <w:ind w:left="-567" w:right="-631"/>
        <w:jc w:val="both"/>
        <w:rPr>
          <w:rFonts w:ascii="Times New Roman" w:hAnsi="Times New Roman" w:cs="Times New Roman"/>
        </w:rPr>
      </w:pPr>
      <w:r>
        <w:rPr>
          <w:rFonts w:ascii="Times New Roman" w:hAnsi="Times New Roman" w:cs="Times New Roman"/>
        </w:rPr>
        <w:t>It was thus demonstrated that there does in fact exist various causal relationships between the various classifications of insurgency and whether they will exhibit a positive or negative relationship with count</w:t>
      </w:r>
      <w:r w:rsidR="00B22C79">
        <w:rPr>
          <w:rFonts w:ascii="Times New Roman" w:hAnsi="Times New Roman" w:cs="Times New Roman"/>
        </w:rPr>
        <w:t>erinsurgency.</w:t>
      </w:r>
      <w:r w:rsidR="00C82293">
        <w:rPr>
          <w:rFonts w:ascii="Times New Roman" w:hAnsi="Times New Roman" w:cs="Times New Roman"/>
        </w:rPr>
        <w:t xml:space="preserve"> But how does an understanding of insurgency and counterinsurgency allow for determining a most likely successful outcome? </w:t>
      </w:r>
    </w:p>
    <w:p w14:paraId="375FF857" w14:textId="77777777" w:rsidR="00C82293" w:rsidRDefault="00C82293" w:rsidP="00C82293">
      <w:pPr>
        <w:spacing w:line="360" w:lineRule="auto"/>
        <w:ind w:left="-567" w:right="-631"/>
        <w:jc w:val="both"/>
        <w:rPr>
          <w:rFonts w:ascii="Times New Roman" w:hAnsi="Times New Roman" w:cs="Times New Roman"/>
        </w:rPr>
      </w:pPr>
    </w:p>
    <w:p w14:paraId="553B7EE2" w14:textId="3E0E843C" w:rsidR="00B22C79" w:rsidRDefault="00C82293" w:rsidP="00C82293">
      <w:pPr>
        <w:widowControl w:val="0"/>
        <w:tabs>
          <w:tab w:val="left" w:pos="-1134"/>
        </w:tabs>
        <w:autoSpaceDE w:val="0"/>
        <w:autoSpaceDN w:val="0"/>
        <w:adjustRightInd w:val="0"/>
        <w:spacing w:after="240" w:line="360" w:lineRule="auto"/>
        <w:ind w:left="-567" w:right="-631"/>
        <w:jc w:val="both"/>
        <w:rPr>
          <w:rFonts w:ascii="Times New Roman" w:hAnsi="Times New Roman" w:cs="Times New Roman"/>
        </w:rPr>
      </w:pPr>
      <w:r>
        <w:rPr>
          <w:rFonts w:ascii="Times New Roman" w:hAnsi="Times New Roman" w:cs="Times New Roman"/>
        </w:rPr>
        <w:t>Through applying each of these identified causal relationships to the question of whether to commence with a counterinsurgency campaign against a specific insurgency, it will be possible to use the information from the current insurgency to determine whether each of these indicators will have a positive outcome. The information on the insurgency to be used in this determination can be gathered from local security forces, or from sending in one’s own forces to ascertain the necessary information. However, this information is generally easily determinable outside analysis of the situation at hand, and the circumstances that led up to the emergence of the insurgency</w:t>
      </w:r>
    </w:p>
    <w:p w14:paraId="44123818" w14:textId="56708BE3" w:rsidR="00B22C79" w:rsidRDefault="00B22C79" w:rsidP="00B22C79">
      <w:pPr>
        <w:tabs>
          <w:tab w:val="left" w:pos="142"/>
        </w:tabs>
        <w:spacing w:line="360" w:lineRule="auto"/>
        <w:ind w:left="-567" w:right="-568"/>
        <w:jc w:val="both"/>
        <w:rPr>
          <w:rFonts w:ascii="Times New Roman" w:hAnsi="Times New Roman" w:cs="Times New Roman"/>
        </w:rPr>
      </w:pPr>
      <w:r>
        <w:rPr>
          <w:rFonts w:ascii="Times New Roman" w:hAnsi="Times New Roman" w:cs="Times New Roman"/>
        </w:rPr>
        <w:t>The wisdom of being able to identify a threat accurately, and thus apply the appropriate measures to accomplish the desired outcome requires insight, foresight and awareness. Not all insurgencies are the same, not every insurgency can be fought through the same means, and not every counterinsurgency operation will produce positive outcomes. Although insurgency and counterinsurgency were indeed his specialty, Sun Tzu laid out his advice for preparing an offensive strategy;</w:t>
      </w:r>
    </w:p>
    <w:p w14:paraId="2B18187F" w14:textId="77777777" w:rsidR="00B22C79" w:rsidRDefault="00B22C79" w:rsidP="00B22C79">
      <w:pPr>
        <w:tabs>
          <w:tab w:val="left" w:pos="142"/>
        </w:tabs>
        <w:spacing w:line="360" w:lineRule="auto"/>
        <w:ind w:left="-567" w:right="-568"/>
        <w:jc w:val="both"/>
        <w:rPr>
          <w:rFonts w:ascii="Times New Roman" w:hAnsi="Times New Roman" w:cs="Times New Roman"/>
        </w:rPr>
      </w:pPr>
    </w:p>
    <w:p w14:paraId="6563D582" w14:textId="77777777" w:rsidR="0001775C" w:rsidRDefault="00B22C79" w:rsidP="0001775C">
      <w:pPr>
        <w:widowControl w:val="0"/>
        <w:autoSpaceDE w:val="0"/>
        <w:autoSpaceDN w:val="0"/>
        <w:adjustRightInd w:val="0"/>
        <w:spacing w:after="240" w:line="360" w:lineRule="auto"/>
        <w:jc w:val="both"/>
        <w:rPr>
          <w:rFonts w:ascii="Times New Roman" w:hAnsi="Times New Roman" w:cs="Times New Roman"/>
          <w:i/>
          <w:iCs/>
        </w:rPr>
      </w:pPr>
      <w:r w:rsidRPr="00B22C79">
        <w:rPr>
          <w:rFonts w:ascii="Times New Roman" w:hAnsi="Times New Roman" w:cs="Times New Roman"/>
        </w:rPr>
        <w:t>“</w:t>
      </w:r>
      <w:r w:rsidRPr="00B22C79">
        <w:rPr>
          <w:rFonts w:ascii="Times New Roman" w:hAnsi="Times New Roman" w:cs="Times New Roman"/>
          <w:i/>
          <w:iCs/>
        </w:rPr>
        <w:t>If you wish to conduct offensive war you must know the men employed by the enemy. Are they wise or stupid, clever or clumsy? Having assessed their qualities, you prepare appropriate measures.</w:t>
      </w:r>
      <w:r>
        <w:rPr>
          <w:rFonts w:ascii="Times New Roman" w:hAnsi="Times New Roman" w:cs="Times New Roman"/>
          <w:i/>
          <w:iCs/>
        </w:rPr>
        <w:t>”</w:t>
      </w:r>
      <w:r>
        <w:rPr>
          <w:rStyle w:val="FootnoteReference"/>
          <w:rFonts w:ascii="Times New Roman" w:hAnsi="Times New Roman" w:cs="Times New Roman"/>
          <w:i/>
          <w:iCs/>
        </w:rPr>
        <w:footnoteReference w:id="312"/>
      </w:r>
    </w:p>
    <w:p w14:paraId="4E517FF4" w14:textId="12834AF2" w:rsidR="0030728C" w:rsidRDefault="0001775C" w:rsidP="0001775C">
      <w:pPr>
        <w:widowControl w:val="0"/>
        <w:autoSpaceDE w:val="0"/>
        <w:autoSpaceDN w:val="0"/>
        <w:adjustRightInd w:val="0"/>
        <w:spacing w:after="240" w:line="360" w:lineRule="auto"/>
        <w:ind w:left="-567" w:right="-567"/>
        <w:jc w:val="both"/>
        <w:rPr>
          <w:rFonts w:ascii="Times New Roman" w:hAnsi="Times New Roman" w:cs="Times New Roman"/>
          <w:i/>
          <w:iCs/>
        </w:rPr>
      </w:pPr>
      <w:r>
        <w:rPr>
          <w:rFonts w:ascii="Times New Roman" w:hAnsi="Times New Roman" w:cs="Times New Roman"/>
          <w:iCs/>
        </w:rPr>
        <w:t xml:space="preserve">This thesis has provided a way in which to best prepare for a war against insurgency. If the causal relationships provide a positive outcome with the insurgency being examined, then counterinsurgency can be judged to be a worthwhile endeavour. However, as in the case of global insurgency, if the causal relationships provide a negative outcome, the validity of a counterinsurgency operation is questionable and perhaps should be reassessed. There are two sides to the implementation of COIN, and the path to a successful counterinsurgency operation lies in knowing when not to engage. </w:t>
      </w:r>
      <w:r w:rsidR="0030728C">
        <w:rPr>
          <w:rFonts w:ascii="Times New Roman" w:hAnsi="Times New Roman" w:cs="Times New Roman"/>
          <w:i/>
          <w:iCs/>
        </w:rPr>
        <w:br w:type="page"/>
      </w:r>
    </w:p>
    <w:p w14:paraId="3ADE9A8F" w14:textId="77777777" w:rsidR="0030728C" w:rsidRDefault="0030728C" w:rsidP="0030728C">
      <w:pPr>
        <w:spacing w:line="360" w:lineRule="auto"/>
        <w:jc w:val="both"/>
        <w:rPr>
          <w:rFonts w:ascii="Times New Roman" w:hAnsi="Times New Roman" w:cs="Times New Roman"/>
          <w:b/>
          <w:u w:val="single"/>
        </w:rPr>
      </w:pPr>
      <w:r w:rsidRPr="00557A67">
        <w:rPr>
          <w:rFonts w:ascii="Times New Roman" w:hAnsi="Times New Roman" w:cs="Times New Roman"/>
          <w:b/>
          <w:u w:val="single"/>
        </w:rPr>
        <w:t>Bibliography:</w:t>
      </w:r>
    </w:p>
    <w:p w14:paraId="64819F60" w14:textId="77777777" w:rsidR="00E6330E" w:rsidRDefault="00E6330E" w:rsidP="0030728C">
      <w:pPr>
        <w:spacing w:line="360" w:lineRule="auto"/>
        <w:jc w:val="both"/>
        <w:rPr>
          <w:rFonts w:ascii="Times New Roman" w:hAnsi="Times New Roman" w:cs="Times New Roman"/>
          <w:b/>
          <w:u w:val="single"/>
        </w:rPr>
      </w:pPr>
    </w:p>
    <w:p w14:paraId="5BCBFF7D" w14:textId="168030E3" w:rsidR="00E6330E" w:rsidRDefault="00E6330E" w:rsidP="0030728C">
      <w:pPr>
        <w:spacing w:line="360" w:lineRule="auto"/>
        <w:jc w:val="both"/>
        <w:rPr>
          <w:rFonts w:ascii="Times New Roman" w:hAnsi="Times New Roman" w:cs="Times New Roman"/>
          <w:b/>
          <w:u w:val="single"/>
        </w:rPr>
      </w:pPr>
      <w:r>
        <w:rPr>
          <w:rFonts w:ascii="Times New Roman" w:hAnsi="Times New Roman" w:cs="Times New Roman"/>
          <w:b/>
          <w:u w:val="single"/>
        </w:rPr>
        <w:t>Primary Sources:</w:t>
      </w:r>
    </w:p>
    <w:p w14:paraId="4E0860E8" w14:textId="77777777" w:rsidR="00E6330E" w:rsidRDefault="00E6330E" w:rsidP="00E6330E">
      <w:pPr>
        <w:spacing w:line="360" w:lineRule="auto"/>
        <w:jc w:val="both"/>
        <w:rPr>
          <w:rFonts w:ascii="Times New Roman" w:hAnsi="Times New Roman" w:cs="Times New Roman"/>
        </w:rPr>
      </w:pPr>
    </w:p>
    <w:p w14:paraId="4A558627" w14:textId="77777777" w:rsidR="00E6330E" w:rsidRDefault="00E6330E" w:rsidP="00E6330E">
      <w:pPr>
        <w:spacing w:line="360" w:lineRule="auto"/>
        <w:jc w:val="both"/>
        <w:rPr>
          <w:rFonts w:ascii="Times New Roman" w:hAnsi="Times New Roman" w:cs="Times New Roman"/>
        </w:rPr>
      </w:pPr>
      <w:r w:rsidRPr="00557A67">
        <w:rPr>
          <w:rFonts w:ascii="Times New Roman" w:hAnsi="Times New Roman" w:cs="Times New Roman"/>
        </w:rPr>
        <w:t>Abizaid, J., Testimony at the Hearing of the US Senate Armed Services Committee on “Military Strategy and Operational Requirements for Combatant Commanders”, March 2005</w:t>
      </w:r>
    </w:p>
    <w:p w14:paraId="46FE62EB" w14:textId="77777777" w:rsidR="00E6330E" w:rsidRDefault="00E6330E" w:rsidP="00E6330E">
      <w:pPr>
        <w:spacing w:line="360" w:lineRule="auto"/>
        <w:jc w:val="both"/>
      </w:pPr>
    </w:p>
    <w:p w14:paraId="7E4F65B9" w14:textId="77777777" w:rsidR="00E6330E" w:rsidRDefault="00E6330E" w:rsidP="00E6330E">
      <w:pPr>
        <w:spacing w:line="360" w:lineRule="auto"/>
        <w:jc w:val="both"/>
        <w:rPr>
          <w:rFonts w:ascii="Times New Roman" w:hAnsi="Times New Roman" w:cs="Times New Roman"/>
        </w:rPr>
      </w:pPr>
      <w:r>
        <w:t>Bin Laden, O., “Declaration of War Against the Americans Occupying the Land of the Two Holy Places”, Republic of Iraq, 23 August 1996</w:t>
      </w:r>
    </w:p>
    <w:p w14:paraId="652426C9" w14:textId="77777777" w:rsidR="00E6330E" w:rsidRDefault="00E6330E" w:rsidP="00E6330E">
      <w:pPr>
        <w:pStyle w:val="FootnoteText"/>
        <w:spacing w:line="360" w:lineRule="auto"/>
        <w:rPr>
          <w:rFonts w:ascii="Times New Roman" w:hAnsi="Times New Roman" w:cs="Times New Roman"/>
          <w:sz w:val="24"/>
          <w:szCs w:val="24"/>
        </w:rPr>
      </w:pPr>
    </w:p>
    <w:p w14:paraId="75E82018" w14:textId="77777777" w:rsidR="00E6330E" w:rsidRDefault="00E6330E" w:rsidP="00E6330E">
      <w:pPr>
        <w:pStyle w:val="FootnoteText"/>
        <w:spacing w:line="360" w:lineRule="auto"/>
        <w:rPr>
          <w:rFonts w:ascii="Times New Roman" w:hAnsi="Times New Roman" w:cs="Times New Roman"/>
          <w:sz w:val="24"/>
          <w:szCs w:val="24"/>
          <w:lang w:val="en-US"/>
        </w:rPr>
      </w:pPr>
      <w:r w:rsidRPr="00557A67">
        <w:rPr>
          <w:rFonts w:ascii="Times New Roman" w:hAnsi="Times New Roman" w:cs="Times New Roman"/>
          <w:sz w:val="24"/>
          <w:szCs w:val="24"/>
        </w:rPr>
        <w:t xml:space="preserve">Chief of the General Staff,  </w:t>
      </w:r>
      <w:r w:rsidRPr="00557A67">
        <w:rPr>
          <w:rFonts w:ascii="Times New Roman" w:hAnsi="Times New Roman" w:cs="Times New Roman"/>
          <w:sz w:val="24"/>
          <w:szCs w:val="24"/>
          <w:u w:val="single"/>
          <w:lang w:val="en-US"/>
        </w:rPr>
        <w:t>Army Field Manual</w:t>
      </w:r>
      <w:r w:rsidRPr="00557A67">
        <w:rPr>
          <w:rFonts w:ascii="Times New Roman" w:hAnsi="Times New Roman" w:cs="Times New Roman"/>
          <w:sz w:val="24"/>
          <w:szCs w:val="24"/>
          <w:lang w:val="en-US"/>
        </w:rPr>
        <w:t>, Vol.V, Operation</w:t>
      </w:r>
      <w:r>
        <w:rPr>
          <w:rFonts w:ascii="Times New Roman" w:hAnsi="Times New Roman" w:cs="Times New Roman"/>
          <w:sz w:val="24"/>
          <w:szCs w:val="24"/>
          <w:lang w:val="en-US"/>
        </w:rPr>
        <w:t>s Other than War, London, 1995</w:t>
      </w:r>
    </w:p>
    <w:p w14:paraId="0439CBB1" w14:textId="77777777" w:rsidR="00E6330E" w:rsidRDefault="00E6330E" w:rsidP="00E6330E">
      <w:pPr>
        <w:spacing w:line="360" w:lineRule="auto"/>
        <w:jc w:val="both"/>
        <w:rPr>
          <w:rFonts w:ascii="Times New Roman" w:hAnsi="Times New Roman" w:cs="Times New Roman"/>
        </w:rPr>
      </w:pPr>
    </w:p>
    <w:p w14:paraId="7453DAA8" w14:textId="77777777" w:rsidR="00E6330E" w:rsidRPr="00E6330E" w:rsidRDefault="00E6330E" w:rsidP="00E6330E">
      <w:pPr>
        <w:spacing w:line="360" w:lineRule="auto"/>
        <w:jc w:val="both"/>
        <w:rPr>
          <w:rFonts w:ascii="Times New Roman" w:hAnsi="Times New Roman" w:cs="Times New Roman"/>
        </w:rPr>
      </w:pPr>
      <w:r w:rsidRPr="00E6330E">
        <w:rPr>
          <w:rFonts w:ascii="Times New Roman" w:hAnsi="Times New Roman" w:cs="Times New Roman"/>
        </w:rPr>
        <w:t xml:space="preserve">Clutterbuck, R. </w:t>
      </w:r>
      <w:r w:rsidRPr="00E6330E">
        <w:rPr>
          <w:rFonts w:ascii="Times New Roman" w:hAnsi="Times New Roman" w:cs="Times New Roman"/>
          <w:u w:val="single"/>
        </w:rPr>
        <w:t>Protest and the Urban Guerilla</w:t>
      </w:r>
      <w:r w:rsidRPr="00E6330E">
        <w:rPr>
          <w:rFonts w:ascii="Times New Roman" w:hAnsi="Times New Roman" w:cs="Times New Roman"/>
        </w:rPr>
        <w:t>, Abelard Publishers, London, 1974</w:t>
      </w:r>
    </w:p>
    <w:p w14:paraId="4FF8509F" w14:textId="079FBF91" w:rsidR="00E6330E" w:rsidRPr="00E6330E" w:rsidRDefault="00E6330E" w:rsidP="00E6330E">
      <w:pPr>
        <w:spacing w:line="360" w:lineRule="auto"/>
        <w:jc w:val="both"/>
        <w:rPr>
          <w:rFonts w:ascii="Times New Roman" w:hAnsi="Times New Roman" w:cs="Times New Roman"/>
        </w:rPr>
      </w:pPr>
      <w:r w:rsidRPr="00E6330E">
        <w:rPr>
          <w:rFonts w:ascii="Times New Roman" w:hAnsi="Times New Roman" w:cs="Times New Roman"/>
        </w:rPr>
        <w:t xml:space="preserve">CNN, USA Today, Gallup Poll, March 2004, </w:t>
      </w:r>
      <w:hyperlink r:id="rId16" w:history="1">
        <w:r w:rsidRPr="00D21BC5">
          <w:rPr>
            <w:rStyle w:val="Hyperlink"/>
            <w:rFonts w:ascii="Times New Roman" w:hAnsi="Times New Roman" w:cs="Times New Roman"/>
          </w:rPr>
          <w:t>www.washingtoninstitute.org/documents/41fa731fb9f4c.pdf</w:t>
        </w:r>
      </w:hyperlink>
      <w:r w:rsidRPr="00E6330E">
        <w:rPr>
          <w:rFonts w:ascii="Times New Roman" w:hAnsi="Times New Roman" w:cs="Times New Roman"/>
        </w:rPr>
        <w:t>, Last Accessed 3 February 2013</w:t>
      </w:r>
    </w:p>
    <w:p w14:paraId="47FD1758" w14:textId="77777777" w:rsidR="00E6330E" w:rsidRDefault="00E6330E" w:rsidP="00E6330E">
      <w:pPr>
        <w:spacing w:line="360" w:lineRule="auto"/>
        <w:jc w:val="both"/>
        <w:rPr>
          <w:rFonts w:ascii="Times New Roman" w:hAnsi="Times New Roman" w:cs="Times New Roman"/>
          <w:u w:val="single"/>
        </w:rPr>
      </w:pPr>
    </w:p>
    <w:p w14:paraId="5CCB23DA" w14:textId="77777777" w:rsidR="00E6330E" w:rsidRDefault="00E6330E" w:rsidP="00E6330E">
      <w:pPr>
        <w:spacing w:line="360" w:lineRule="auto"/>
        <w:jc w:val="both"/>
        <w:rPr>
          <w:rFonts w:ascii="Times New Roman" w:hAnsi="Times New Roman" w:cs="Times New Roman"/>
        </w:rPr>
      </w:pPr>
      <w:r w:rsidRPr="00557A67">
        <w:rPr>
          <w:rFonts w:ascii="Times New Roman" w:hAnsi="Times New Roman" w:cs="Times New Roman"/>
          <w:u w:val="single"/>
        </w:rPr>
        <w:t>Counterinsurgency Guide</w:t>
      </w:r>
      <w:r w:rsidRPr="00557A67">
        <w:rPr>
          <w:rFonts w:ascii="Times New Roman" w:hAnsi="Times New Roman" w:cs="Times New Roman"/>
        </w:rPr>
        <w:t>, US Department of State,</w:t>
      </w:r>
      <w:r>
        <w:rPr>
          <w:rFonts w:ascii="Times New Roman" w:hAnsi="Times New Roman" w:cs="Times New Roman"/>
        </w:rPr>
        <w:t xml:space="preserve"> United States of America,</w:t>
      </w:r>
      <w:r w:rsidRPr="00557A67">
        <w:rPr>
          <w:rFonts w:ascii="Times New Roman" w:hAnsi="Times New Roman" w:cs="Times New Roman"/>
        </w:rPr>
        <w:t xml:space="preserve"> 2009</w:t>
      </w:r>
    </w:p>
    <w:p w14:paraId="782B3BCE" w14:textId="77777777" w:rsidR="00E6330E" w:rsidRPr="00557A67" w:rsidRDefault="00E6330E" w:rsidP="00E6330E">
      <w:pPr>
        <w:spacing w:line="360" w:lineRule="auto"/>
        <w:jc w:val="both"/>
        <w:rPr>
          <w:rFonts w:ascii="Times New Roman" w:hAnsi="Times New Roman" w:cs="Times New Roman"/>
        </w:rPr>
      </w:pPr>
    </w:p>
    <w:p w14:paraId="2CDAD384" w14:textId="77777777" w:rsidR="002C72FA" w:rsidRDefault="00E6330E" w:rsidP="00E6330E">
      <w:pPr>
        <w:spacing w:line="360" w:lineRule="auto"/>
        <w:jc w:val="both"/>
      </w:pPr>
      <w:r w:rsidRPr="0030728C">
        <w:rPr>
          <w:rFonts w:ascii="Times New Roman" w:hAnsi="Times New Roman" w:cs="Times New Roman"/>
        </w:rPr>
        <w:t xml:space="preserve">Filkins, D., “Sunni Clerics Call for an End to Killing of Iraqis”, in </w:t>
      </w:r>
      <w:r w:rsidRPr="0030728C">
        <w:rPr>
          <w:rFonts w:ascii="Times New Roman" w:hAnsi="Times New Roman" w:cs="Times New Roman"/>
          <w:u w:val="single"/>
        </w:rPr>
        <w:t>New York Times</w:t>
      </w:r>
      <w:r w:rsidRPr="0030728C">
        <w:rPr>
          <w:rFonts w:ascii="Times New Roman" w:hAnsi="Times New Roman" w:cs="Times New Roman"/>
        </w:rPr>
        <w:t>, 1 March 2004</w:t>
      </w:r>
      <w:r w:rsidR="002C72FA" w:rsidRPr="002C72FA">
        <w:t xml:space="preserve"> </w:t>
      </w:r>
    </w:p>
    <w:p w14:paraId="7C8BB311" w14:textId="77777777" w:rsidR="002C72FA" w:rsidRDefault="002C72FA" w:rsidP="00E6330E">
      <w:pPr>
        <w:spacing w:line="360" w:lineRule="auto"/>
        <w:jc w:val="both"/>
      </w:pPr>
    </w:p>
    <w:p w14:paraId="51409C76" w14:textId="16618FDC" w:rsidR="002C72FA" w:rsidRDefault="002C72FA" w:rsidP="00E6330E">
      <w:pPr>
        <w:spacing w:line="360" w:lineRule="auto"/>
        <w:jc w:val="both"/>
        <w:rPr>
          <w:rFonts w:ascii="Times New Roman" w:hAnsi="Times New Roman" w:cs="Times New Roman"/>
        </w:rPr>
      </w:pPr>
      <w:r>
        <w:t>Goulding, C., “The New Strategy of the IRA”, The New Left Review, Issue 64, Ireland, June 1970</w:t>
      </w:r>
    </w:p>
    <w:p w14:paraId="69D2F381" w14:textId="77777777" w:rsidR="00E6330E" w:rsidRDefault="00E6330E" w:rsidP="00E6330E">
      <w:pPr>
        <w:spacing w:line="360" w:lineRule="auto"/>
        <w:jc w:val="both"/>
        <w:rPr>
          <w:rFonts w:ascii="Times New Roman" w:hAnsi="Times New Roman" w:cs="Times New Roman"/>
        </w:rPr>
      </w:pPr>
    </w:p>
    <w:p w14:paraId="53291336" w14:textId="77777777" w:rsidR="00E6330E" w:rsidRDefault="00E6330E" w:rsidP="00E6330E">
      <w:pPr>
        <w:pStyle w:val="FootnoteText"/>
        <w:spacing w:line="360" w:lineRule="auto"/>
        <w:rPr>
          <w:rFonts w:ascii="Times New Roman" w:hAnsi="Times New Roman" w:cs="Times New Roman"/>
          <w:sz w:val="24"/>
          <w:szCs w:val="24"/>
          <w:lang w:val="en-US"/>
        </w:rPr>
      </w:pPr>
      <w:r w:rsidRPr="00557A67">
        <w:rPr>
          <w:rFonts w:ascii="Times New Roman" w:hAnsi="Times New Roman" w:cs="Times New Roman"/>
          <w:sz w:val="24"/>
          <w:szCs w:val="24"/>
          <w:lang w:val="en-US"/>
        </w:rPr>
        <w:t xml:space="preserve">Knowlton, B., “Top US General in Iraq Sees “Classical Guerilla-Type” War”, in </w:t>
      </w:r>
      <w:r w:rsidRPr="00557A67">
        <w:rPr>
          <w:rFonts w:ascii="Times New Roman" w:hAnsi="Times New Roman" w:cs="Times New Roman"/>
          <w:sz w:val="24"/>
          <w:szCs w:val="24"/>
          <w:u w:val="single"/>
          <w:lang w:val="en-US"/>
        </w:rPr>
        <w:t>International Herald Tribune</w:t>
      </w:r>
      <w:r w:rsidRPr="00557A67">
        <w:rPr>
          <w:rFonts w:ascii="Times New Roman" w:hAnsi="Times New Roman" w:cs="Times New Roman"/>
          <w:sz w:val="24"/>
          <w:szCs w:val="24"/>
          <w:lang w:val="en-US"/>
        </w:rPr>
        <w:t>, July 2003</w:t>
      </w:r>
    </w:p>
    <w:p w14:paraId="509E25A1" w14:textId="77777777" w:rsidR="00E6330E" w:rsidRDefault="00E6330E" w:rsidP="00E6330E">
      <w:pPr>
        <w:pStyle w:val="FootnoteText"/>
        <w:spacing w:line="360" w:lineRule="auto"/>
        <w:rPr>
          <w:rFonts w:ascii="Times New Roman" w:hAnsi="Times New Roman" w:cs="Times New Roman"/>
          <w:sz w:val="24"/>
          <w:szCs w:val="24"/>
          <w:lang w:val="en-US"/>
        </w:rPr>
      </w:pPr>
    </w:p>
    <w:p w14:paraId="173B14EA" w14:textId="77777777" w:rsidR="00E6330E" w:rsidRDefault="00E6330E" w:rsidP="00E6330E">
      <w:pPr>
        <w:spacing w:line="360" w:lineRule="auto"/>
        <w:jc w:val="both"/>
      </w:pPr>
      <w:r>
        <w:t xml:space="preserve">Lindsey, L.B., “What the Iraq War Will Cost the US”, adapted from Lindsey, L.B., </w:t>
      </w:r>
      <w:r w:rsidRPr="00E67A86">
        <w:rPr>
          <w:u w:val="single"/>
        </w:rPr>
        <w:t>What A President Should Know But Most Learn too Late</w:t>
      </w:r>
      <w:r>
        <w:t xml:space="preserve">, CNN Money, 11 January 2008, </w:t>
      </w:r>
      <w:hyperlink r:id="rId17" w:history="1">
        <w:r w:rsidRPr="00E67A86">
          <w:rPr>
            <w:rStyle w:val="Hyperlink"/>
            <w:color w:val="auto"/>
            <w:u w:val="none"/>
          </w:rPr>
          <w:t>http://money.cnn.com/2008/01/10/news/economy/costofwar.fortune/index.htm</w:t>
        </w:r>
      </w:hyperlink>
      <w:r w:rsidRPr="00E67A86">
        <w:t xml:space="preserve">, Last </w:t>
      </w:r>
      <w:r>
        <w:t>Accessed 10 February 2013</w:t>
      </w:r>
    </w:p>
    <w:p w14:paraId="6B54318F" w14:textId="77777777" w:rsidR="00E6330E" w:rsidRDefault="00E6330E" w:rsidP="00E6330E">
      <w:pPr>
        <w:spacing w:line="360" w:lineRule="auto"/>
        <w:jc w:val="both"/>
        <w:rPr>
          <w:rFonts w:ascii="Times New Roman" w:hAnsi="Times New Roman" w:cs="Times New Roman"/>
        </w:rPr>
      </w:pPr>
    </w:p>
    <w:p w14:paraId="2E28B929" w14:textId="77777777" w:rsidR="00E6330E" w:rsidRDefault="00E6330E" w:rsidP="00E6330E">
      <w:pPr>
        <w:spacing w:line="360" w:lineRule="auto"/>
        <w:jc w:val="both"/>
        <w:rPr>
          <w:rFonts w:ascii="Times New Roman" w:hAnsi="Times New Roman" w:cs="Times New Roman"/>
        </w:rPr>
      </w:pPr>
      <w:r w:rsidRPr="00557A67">
        <w:rPr>
          <w:rFonts w:ascii="Times New Roman" w:hAnsi="Times New Roman" w:cs="Times New Roman"/>
        </w:rPr>
        <w:t xml:space="preserve">Mao Tse-Tung, </w:t>
      </w:r>
      <w:r w:rsidRPr="00557A67">
        <w:rPr>
          <w:rFonts w:ascii="Times New Roman" w:hAnsi="Times New Roman" w:cs="Times New Roman"/>
          <w:u w:val="single"/>
        </w:rPr>
        <w:t>On Guerrilla Warfare,</w:t>
      </w:r>
      <w:r w:rsidRPr="00557A67">
        <w:rPr>
          <w:rFonts w:ascii="Times New Roman" w:hAnsi="Times New Roman" w:cs="Times New Roman"/>
        </w:rPr>
        <w:t xml:space="preserve"> University of Illinois Press, Chicago, 2000</w:t>
      </w:r>
    </w:p>
    <w:p w14:paraId="75FB6978" w14:textId="77777777" w:rsidR="008E4470" w:rsidRDefault="008E4470" w:rsidP="00E6330E">
      <w:pPr>
        <w:spacing w:line="360" w:lineRule="auto"/>
        <w:jc w:val="both"/>
        <w:rPr>
          <w:rFonts w:ascii="Times New Roman" w:hAnsi="Times New Roman" w:cs="Times New Roman"/>
        </w:rPr>
      </w:pPr>
    </w:p>
    <w:p w14:paraId="7545131E" w14:textId="77777777" w:rsidR="008E4470" w:rsidRDefault="008E4470" w:rsidP="008E4470">
      <w:pPr>
        <w:spacing w:line="360" w:lineRule="auto"/>
        <w:jc w:val="both"/>
        <w:rPr>
          <w:rFonts w:ascii="Times New Roman" w:hAnsi="Times New Roman" w:cs="Times New Roman"/>
        </w:rPr>
      </w:pPr>
      <w:r w:rsidRPr="00557A67">
        <w:rPr>
          <w:rFonts w:ascii="Times New Roman" w:hAnsi="Times New Roman" w:cs="Times New Roman"/>
        </w:rPr>
        <w:t xml:space="preserve">Petraeus, D.H., Amos, J.F., </w:t>
      </w:r>
      <w:r w:rsidRPr="00557A67">
        <w:rPr>
          <w:rFonts w:ascii="Times New Roman" w:hAnsi="Times New Roman" w:cs="Times New Roman"/>
          <w:u w:val="single"/>
        </w:rPr>
        <w:t>Counterinsurgency (FM 3-24)</w:t>
      </w:r>
      <w:r w:rsidRPr="00557A67">
        <w:rPr>
          <w:rFonts w:ascii="Times New Roman" w:hAnsi="Times New Roman" w:cs="Times New Roman"/>
        </w:rPr>
        <w:t>, Headquarters Department of the Army, 2006</w:t>
      </w:r>
    </w:p>
    <w:p w14:paraId="58753EB3" w14:textId="77777777" w:rsidR="005E34CF" w:rsidRDefault="005E34CF" w:rsidP="008E4470">
      <w:pPr>
        <w:spacing w:line="360" w:lineRule="auto"/>
        <w:jc w:val="both"/>
        <w:rPr>
          <w:rFonts w:ascii="Times New Roman" w:hAnsi="Times New Roman" w:cs="Times New Roman"/>
        </w:rPr>
      </w:pPr>
    </w:p>
    <w:p w14:paraId="24F33677" w14:textId="5C2B3DEE" w:rsidR="005E34CF" w:rsidRPr="005E34CF" w:rsidRDefault="005E34CF" w:rsidP="005E34CF">
      <w:pPr>
        <w:pStyle w:val="FootnoteText"/>
        <w:spacing w:line="360" w:lineRule="auto"/>
        <w:jc w:val="both"/>
        <w:rPr>
          <w:rFonts w:ascii="Times New Roman" w:hAnsi="Times New Roman" w:cs="Times New Roman"/>
          <w:sz w:val="24"/>
          <w:szCs w:val="24"/>
          <w:lang w:val="en-US"/>
        </w:rPr>
      </w:pPr>
      <w:r w:rsidRPr="005E34CF">
        <w:rPr>
          <w:rFonts w:ascii="Times New Roman" w:hAnsi="Times New Roman" w:cs="Times New Roman"/>
          <w:sz w:val="24"/>
          <w:szCs w:val="24"/>
          <w:lang w:val="en-US"/>
        </w:rPr>
        <w:t>Petraeus, D., “We Must be Coldly Realistic Over the Use of Force”, Royal United Services Institute, London, 2010</w:t>
      </w:r>
    </w:p>
    <w:p w14:paraId="6002CF26" w14:textId="77777777" w:rsidR="008E4470" w:rsidRDefault="008E4470" w:rsidP="008E4470">
      <w:pPr>
        <w:spacing w:line="360" w:lineRule="auto"/>
        <w:jc w:val="both"/>
        <w:rPr>
          <w:rFonts w:ascii="Times New Roman" w:hAnsi="Times New Roman" w:cs="Times New Roman"/>
        </w:rPr>
      </w:pPr>
    </w:p>
    <w:p w14:paraId="1954A9CD" w14:textId="77777777" w:rsidR="008E4470" w:rsidRPr="00DE6D82" w:rsidRDefault="008E4470" w:rsidP="008E4470">
      <w:pPr>
        <w:spacing w:line="360" w:lineRule="auto"/>
        <w:jc w:val="both"/>
        <w:rPr>
          <w:rFonts w:ascii="Times New Roman" w:hAnsi="Times New Roman" w:cs="Times New Roman"/>
        </w:rPr>
      </w:pPr>
      <w:r w:rsidRPr="00DE6D82">
        <w:rPr>
          <w:rFonts w:ascii="Times New Roman" w:hAnsi="Times New Roman" w:cs="Times New Roman"/>
        </w:rPr>
        <w:t xml:space="preserve">Sun Tzu, </w:t>
      </w:r>
      <w:r w:rsidRPr="00DE6D82">
        <w:rPr>
          <w:rFonts w:ascii="Times New Roman" w:hAnsi="Times New Roman" w:cs="Times New Roman"/>
          <w:u w:val="single"/>
        </w:rPr>
        <w:t>The Art of War</w:t>
      </w:r>
      <w:r w:rsidRPr="00DE6D82">
        <w:rPr>
          <w:rFonts w:ascii="Times New Roman" w:hAnsi="Times New Roman" w:cs="Times New Roman"/>
        </w:rPr>
        <w:t>, Oxford University Press, United States of America, 1963</w:t>
      </w:r>
    </w:p>
    <w:p w14:paraId="029C2F4F" w14:textId="77777777" w:rsidR="008E4470" w:rsidRDefault="008E4470" w:rsidP="008E4470">
      <w:pPr>
        <w:spacing w:line="360" w:lineRule="auto"/>
        <w:jc w:val="both"/>
        <w:rPr>
          <w:rFonts w:ascii="Times New Roman" w:hAnsi="Times New Roman" w:cs="Times New Roman"/>
        </w:rPr>
      </w:pPr>
    </w:p>
    <w:p w14:paraId="2AA477FF" w14:textId="77777777" w:rsidR="008E4470" w:rsidRDefault="008E4470" w:rsidP="008E4470">
      <w:pPr>
        <w:spacing w:line="360" w:lineRule="auto"/>
        <w:jc w:val="both"/>
        <w:rPr>
          <w:rFonts w:ascii="Times New Roman" w:hAnsi="Times New Roman" w:cs="Times New Roman"/>
        </w:rPr>
      </w:pPr>
      <w:r w:rsidRPr="00557A67">
        <w:rPr>
          <w:rFonts w:ascii="Times New Roman" w:hAnsi="Times New Roman" w:cs="Times New Roman"/>
        </w:rPr>
        <w:t xml:space="preserve">United States of America, </w:t>
      </w:r>
      <w:r w:rsidRPr="00557A67">
        <w:rPr>
          <w:rFonts w:ascii="Times New Roman" w:hAnsi="Times New Roman" w:cs="Times New Roman"/>
          <w:u w:val="single"/>
        </w:rPr>
        <w:t>Counterinsurgency Operations</w:t>
      </w:r>
      <w:r w:rsidRPr="00557A67">
        <w:rPr>
          <w:rFonts w:ascii="Times New Roman" w:hAnsi="Times New Roman" w:cs="Times New Roman"/>
        </w:rPr>
        <w:t>, Department of the Army, FMI 3-07.22, October 2004</w:t>
      </w:r>
    </w:p>
    <w:p w14:paraId="3C15418A" w14:textId="77777777" w:rsidR="00E6330E" w:rsidRDefault="00E6330E" w:rsidP="0030728C">
      <w:pPr>
        <w:spacing w:line="360" w:lineRule="auto"/>
        <w:jc w:val="both"/>
        <w:rPr>
          <w:rFonts w:ascii="Times New Roman" w:hAnsi="Times New Roman" w:cs="Times New Roman"/>
          <w:b/>
          <w:u w:val="single"/>
        </w:rPr>
      </w:pPr>
    </w:p>
    <w:p w14:paraId="4EE04191" w14:textId="0FA14D20" w:rsidR="00E6330E" w:rsidRPr="00557A67" w:rsidRDefault="00E6330E" w:rsidP="0030728C">
      <w:pPr>
        <w:spacing w:line="360" w:lineRule="auto"/>
        <w:jc w:val="both"/>
        <w:rPr>
          <w:rFonts w:ascii="Times New Roman" w:hAnsi="Times New Roman" w:cs="Times New Roman"/>
          <w:b/>
          <w:u w:val="single"/>
        </w:rPr>
      </w:pPr>
      <w:r>
        <w:rPr>
          <w:rFonts w:ascii="Times New Roman" w:hAnsi="Times New Roman" w:cs="Times New Roman"/>
          <w:b/>
          <w:u w:val="single"/>
        </w:rPr>
        <w:t>Other Sources:</w:t>
      </w:r>
    </w:p>
    <w:p w14:paraId="7E96FC07" w14:textId="77777777" w:rsidR="00725735" w:rsidRDefault="00725735" w:rsidP="0030728C">
      <w:pPr>
        <w:spacing w:line="360" w:lineRule="auto"/>
        <w:jc w:val="both"/>
        <w:rPr>
          <w:rFonts w:ascii="Times New Roman" w:hAnsi="Times New Roman" w:cs="Times New Roman"/>
        </w:rPr>
      </w:pPr>
    </w:p>
    <w:p w14:paraId="62568F27"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Arquilla, J. and Ronfeldt, D. and Zanini, M., “Networks, Netwar and Information-Age Terrorism”, in Lesser, I. (Et.Al.), </w:t>
      </w:r>
      <w:r w:rsidRPr="00557A67">
        <w:rPr>
          <w:rFonts w:ascii="Times New Roman" w:hAnsi="Times New Roman" w:cs="Times New Roman"/>
          <w:u w:val="single"/>
        </w:rPr>
        <w:t>Countering the New Terrorism</w:t>
      </w:r>
      <w:r w:rsidRPr="00557A67">
        <w:rPr>
          <w:rFonts w:ascii="Times New Roman" w:hAnsi="Times New Roman" w:cs="Times New Roman"/>
        </w:rPr>
        <w:t>, Rand Corporations, Santa Monica, 1999</w:t>
      </w:r>
    </w:p>
    <w:p w14:paraId="1AD7CFB9" w14:textId="77777777" w:rsidR="00725735" w:rsidRDefault="00725735" w:rsidP="0030728C">
      <w:pPr>
        <w:spacing w:line="360" w:lineRule="auto"/>
        <w:jc w:val="both"/>
        <w:rPr>
          <w:rFonts w:ascii="Times New Roman" w:hAnsi="Times New Roman" w:cs="Times New Roman"/>
        </w:rPr>
      </w:pPr>
    </w:p>
    <w:p w14:paraId="2DBEC1DB"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Barno, D.W., “Challenges in Fighting a Global Insurgency”, in Evans, S.S, </w:t>
      </w:r>
      <w:r w:rsidRPr="00557A67">
        <w:rPr>
          <w:rFonts w:ascii="Times New Roman" w:hAnsi="Times New Roman" w:cs="Times New Roman"/>
          <w:u w:val="single"/>
        </w:rPr>
        <w:t>U.S. Marines and Irregular Warfare, 1898-2007: Anthology and Selected Bibliography</w:t>
      </w:r>
      <w:r w:rsidRPr="00557A67">
        <w:rPr>
          <w:rFonts w:ascii="Times New Roman" w:hAnsi="Times New Roman" w:cs="Times New Roman"/>
        </w:rPr>
        <w:t>, Marine Corps University Press, United States, 2008</w:t>
      </w:r>
    </w:p>
    <w:p w14:paraId="6448BA35" w14:textId="77777777" w:rsidR="00725735" w:rsidRDefault="00725735" w:rsidP="0030728C">
      <w:pPr>
        <w:spacing w:line="360" w:lineRule="auto"/>
        <w:jc w:val="both"/>
        <w:rPr>
          <w:rFonts w:ascii="Times New Roman" w:hAnsi="Times New Roman" w:cs="Times New Roman"/>
        </w:rPr>
      </w:pPr>
    </w:p>
    <w:p w14:paraId="0A1FC913"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Basilici, S.P., </w:t>
      </w:r>
      <w:r w:rsidRPr="00557A67">
        <w:rPr>
          <w:rFonts w:ascii="Times New Roman" w:hAnsi="Times New Roman" w:cs="Times New Roman"/>
          <w:u w:val="single"/>
        </w:rPr>
        <w:t>Ethics, Counterinsurgency and Perceptions in the Information Era</w:t>
      </w:r>
      <w:r w:rsidRPr="00557A67">
        <w:rPr>
          <w:rFonts w:ascii="Times New Roman" w:hAnsi="Times New Roman" w:cs="Times New Roman"/>
        </w:rPr>
        <w:t>, United States Army Command and General Staff College, 2006</w:t>
      </w:r>
    </w:p>
    <w:p w14:paraId="551C6077" w14:textId="77777777" w:rsidR="00725735" w:rsidRDefault="00725735" w:rsidP="0030728C">
      <w:pPr>
        <w:spacing w:line="360" w:lineRule="auto"/>
        <w:jc w:val="both"/>
        <w:rPr>
          <w:rFonts w:ascii="Times New Roman" w:hAnsi="Times New Roman" w:cs="Times New Roman"/>
        </w:rPr>
      </w:pPr>
    </w:p>
    <w:p w14:paraId="0071A191"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Beckett, I.F., </w:t>
      </w:r>
      <w:r w:rsidRPr="00557A67">
        <w:rPr>
          <w:rFonts w:ascii="Times New Roman" w:hAnsi="Times New Roman" w:cs="Times New Roman"/>
          <w:u w:val="single"/>
        </w:rPr>
        <w:t>Insurgency in Iraq: An Historical Perspective</w:t>
      </w:r>
      <w:r w:rsidRPr="00557A67">
        <w:rPr>
          <w:rFonts w:ascii="Times New Roman" w:hAnsi="Times New Roman" w:cs="Times New Roman"/>
        </w:rPr>
        <w:t>, Strategic Studies Institute, 2005</w:t>
      </w:r>
    </w:p>
    <w:p w14:paraId="3CAD8D92" w14:textId="77777777" w:rsidR="00725735" w:rsidRDefault="00725735" w:rsidP="0030728C">
      <w:pPr>
        <w:spacing w:line="360" w:lineRule="auto"/>
        <w:jc w:val="both"/>
        <w:rPr>
          <w:rFonts w:ascii="Times New Roman" w:hAnsi="Times New Roman" w:cs="Times New Roman"/>
        </w:rPr>
      </w:pPr>
    </w:p>
    <w:p w14:paraId="224FEBFA" w14:textId="45FE211F"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Beckett, I.F.W., </w:t>
      </w:r>
      <w:r w:rsidRPr="00E6330E">
        <w:rPr>
          <w:rFonts w:ascii="Times New Roman" w:hAnsi="Times New Roman" w:cs="Times New Roman"/>
          <w:u w:val="single"/>
        </w:rPr>
        <w:t>Modern Insurgencies and Counter Insurgencies: Guerillas and their Opponents Since 1750</w:t>
      </w:r>
      <w:r w:rsidRPr="00557A67">
        <w:rPr>
          <w:rFonts w:ascii="Times New Roman" w:hAnsi="Times New Roman" w:cs="Times New Roman"/>
        </w:rPr>
        <w:t>, Routledge, 2001</w:t>
      </w:r>
    </w:p>
    <w:p w14:paraId="691CF9CC" w14:textId="77777777" w:rsidR="00725735" w:rsidRDefault="00725735" w:rsidP="0030728C">
      <w:pPr>
        <w:spacing w:line="360" w:lineRule="auto"/>
        <w:jc w:val="both"/>
        <w:rPr>
          <w:rFonts w:ascii="Times New Roman" w:hAnsi="Times New Roman" w:cs="Times New Roman"/>
        </w:rPr>
      </w:pPr>
    </w:p>
    <w:p w14:paraId="3ED11935" w14:textId="77777777" w:rsidR="007B4123" w:rsidRDefault="00725735" w:rsidP="0030728C">
      <w:pPr>
        <w:spacing w:line="360" w:lineRule="auto"/>
        <w:jc w:val="both"/>
      </w:pPr>
      <w:r w:rsidRPr="00557A67">
        <w:rPr>
          <w:rFonts w:ascii="Times New Roman" w:hAnsi="Times New Roman" w:cs="Times New Roman"/>
        </w:rPr>
        <w:t xml:space="preserve">Biddle, S., Review Symposium, </w:t>
      </w:r>
      <w:r w:rsidRPr="00557A67">
        <w:rPr>
          <w:rFonts w:ascii="Times New Roman" w:hAnsi="Times New Roman" w:cs="Times New Roman"/>
          <w:u w:val="single"/>
        </w:rPr>
        <w:t>The New US Army/Marine Corps Counterinsurgency Field Manual as Political Science and Political Praxis</w:t>
      </w:r>
      <w:r w:rsidRPr="00557A67">
        <w:rPr>
          <w:rFonts w:ascii="Times New Roman" w:hAnsi="Times New Roman" w:cs="Times New Roman"/>
        </w:rPr>
        <w:t>, Vol. 6, No. 2, 2008</w:t>
      </w:r>
      <w:r w:rsidR="007B4123" w:rsidRPr="007B4123">
        <w:t xml:space="preserve"> </w:t>
      </w:r>
    </w:p>
    <w:p w14:paraId="6244B4A9" w14:textId="77777777" w:rsidR="007B4123" w:rsidRDefault="007B4123" w:rsidP="0030728C">
      <w:pPr>
        <w:spacing w:line="360" w:lineRule="auto"/>
        <w:jc w:val="both"/>
      </w:pPr>
    </w:p>
    <w:p w14:paraId="17A7E632" w14:textId="77777777" w:rsidR="00725735" w:rsidRDefault="00725735" w:rsidP="0030728C">
      <w:pPr>
        <w:spacing w:line="360" w:lineRule="auto"/>
        <w:jc w:val="both"/>
        <w:rPr>
          <w:rFonts w:ascii="Times New Roman" w:hAnsi="Times New Roman" w:cs="Times New Roman"/>
        </w:rPr>
      </w:pPr>
    </w:p>
    <w:p w14:paraId="394F91CB"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Boyle, K. and Hadden, T., </w:t>
      </w:r>
      <w:r w:rsidRPr="00557A67">
        <w:rPr>
          <w:rFonts w:ascii="Times New Roman" w:hAnsi="Times New Roman" w:cs="Times New Roman"/>
          <w:u w:val="single"/>
        </w:rPr>
        <w:t>The Northern Ireland Peace Proess 1993-1996: A Chronology</w:t>
      </w:r>
      <w:r w:rsidRPr="00557A67">
        <w:rPr>
          <w:rFonts w:ascii="Times New Roman" w:hAnsi="Times New Roman" w:cs="Times New Roman"/>
        </w:rPr>
        <w:t>, Serif Publishers, London, 1996</w:t>
      </w:r>
    </w:p>
    <w:p w14:paraId="1F36D2E6" w14:textId="77777777" w:rsidR="00725735" w:rsidRDefault="00725735" w:rsidP="0030728C">
      <w:pPr>
        <w:spacing w:line="360" w:lineRule="auto"/>
        <w:jc w:val="both"/>
        <w:rPr>
          <w:rFonts w:ascii="Times New Roman" w:hAnsi="Times New Roman" w:cs="Times New Roman"/>
        </w:rPr>
      </w:pPr>
    </w:p>
    <w:p w14:paraId="3C98F9C7"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Bulloch,G. “The Application of Military Doctrine to Counterinsurgency (COIN) Operations: A British Perspective”, in </w:t>
      </w:r>
      <w:r w:rsidRPr="00557A67">
        <w:rPr>
          <w:rFonts w:ascii="Times New Roman" w:hAnsi="Times New Roman" w:cs="Times New Roman"/>
          <w:u w:val="single"/>
        </w:rPr>
        <w:t>Studies in Conflict &amp; Terrorism</w:t>
      </w:r>
      <w:r w:rsidRPr="00557A67">
        <w:rPr>
          <w:rFonts w:ascii="Times New Roman" w:hAnsi="Times New Roman" w:cs="Times New Roman"/>
        </w:rPr>
        <w:t>, Taylor and Francis, 1996</w:t>
      </w:r>
    </w:p>
    <w:p w14:paraId="41496D44" w14:textId="77777777" w:rsidR="00E6330E" w:rsidRDefault="00E6330E" w:rsidP="0030728C">
      <w:pPr>
        <w:spacing w:line="360" w:lineRule="auto"/>
        <w:jc w:val="both"/>
        <w:rPr>
          <w:rFonts w:ascii="Times New Roman" w:hAnsi="Times New Roman" w:cs="Times New Roman"/>
        </w:rPr>
      </w:pPr>
    </w:p>
    <w:p w14:paraId="53B329BF"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Byman, D., “An Autopsy of the Iraq Debacle: Policy Failure or Bridge too Far?”, in </w:t>
      </w:r>
      <w:r w:rsidRPr="00557A67">
        <w:rPr>
          <w:rFonts w:ascii="Times New Roman" w:hAnsi="Times New Roman" w:cs="Times New Roman"/>
          <w:u w:val="single"/>
        </w:rPr>
        <w:t>Security Studies</w:t>
      </w:r>
      <w:r w:rsidRPr="00557A67">
        <w:rPr>
          <w:rFonts w:ascii="Times New Roman" w:hAnsi="Times New Roman" w:cs="Times New Roman"/>
        </w:rPr>
        <w:t>, Vol.17, 2008</w:t>
      </w:r>
    </w:p>
    <w:p w14:paraId="15458704" w14:textId="77777777" w:rsidR="00725735" w:rsidRDefault="00725735" w:rsidP="0030728C">
      <w:pPr>
        <w:spacing w:line="360" w:lineRule="auto"/>
        <w:jc w:val="both"/>
        <w:rPr>
          <w:rFonts w:ascii="Times New Roman" w:hAnsi="Times New Roman" w:cs="Times New Roman"/>
        </w:rPr>
      </w:pPr>
    </w:p>
    <w:p w14:paraId="1B557827"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Cassidy, R.M. “The British Army and Counterinsurgency: The Salience of Military Culture”, in Military Review, May-June 2005</w:t>
      </w:r>
    </w:p>
    <w:p w14:paraId="2759668B" w14:textId="77777777" w:rsidR="00725735" w:rsidRDefault="00725735" w:rsidP="0030728C">
      <w:pPr>
        <w:spacing w:line="360" w:lineRule="auto"/>
        <w:jc w:val="both"/>
        <w:rPr>
          <w:rFonts w:ascii="Times New Roman" w:hAnsi="Times New Roman" w:cs="Times New Roman"/>
        </w:rPr>
      </w:pPr>
    </w:p>
    <w:p w14:paraId="38EF3BFF"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Central Intelligence Agency, </w:t>
      </w:r>
      <w:r w:rsidRPr="00557A67">
        <w:rPr>
          <w:rFonts w:ascii="Times New Roman" w:hAnsi="Times New Roman" w:cs="Times New Roman"/>
          <w:u w:val="single"/>
        </w:rPr>
        <w:t>Guide to the Analysis of Insurgency</w:t>
      </w:r>
      <w:r w:rsidRPr="00557A67">
        <w:rPr>
          <w:rFonts w:ascii="Times New Roman" w:hAnsi="Times New Roman" w:cs="Times New Roman"/>
        </w:rPr>
        <w:t>, Government Printing Office, Washington, no date</w:t>
      </w:r>
    </w:p>
    <w:p w14:paraId="7119F56B" w14:textId="77777777" w:rsidR="00725735" w:rsidRDefault="00725735" w:rsidP="0030728C">
      <w:pPr>
        <w:pStyle w:val="FootnoteText"/>
        <w:spacing w:line="360" w:lineRule="auto"/>
        <w:rPr>
          <w:rFonts w:ascii="Times New Roman" w:hAnsi="Times New Roman" w:cs="Times New Roman"/>
          <w:sz w:val="24"/>
          <w:szCs w:val="24"/>
          <w:lang w:val="en-US"/>
        </w:rPr>
      </w:pPr>
    </w:p>
    <w:p w14:paraId="0BE8FACB" w14:textId="77777777" w:rsidR="00725735" w:rsidRDefault="00725735" w:rsidP="0030728C">
      <w:pPr>
        <w:spacing w:line="360" w:lineRule="auto"/>
        <w:jc w:val="both"/>
        <w:rPr>
          <w:rFonts w:ascii="Times New Roman" w:hAnsi="Times New Roman" w:cs="Times New Roman"/>
        </w:rPr>
      </w:pPr>
    </w:p>
    <w:p w14:paraId="7C393653"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Cordesman, A.H., </w:t>
      </w:r>
      <w:r w:rsidRPr="00557A67">
        <w:rPr>
          <w:rFonts w:ascii="Times New Roman" w:hAnsi="Times New Roman" w:cs="Times New Roman"/>
          <w:u w:val="single"/>
        </w:rPr>
        <w:t>Iraq: Too Uncertain to Call</w:t>
      </w:r>
      <w:r w:rsidRPr="00557A67">
        <w:rPr>
          <w:rFonts w:ascii="Times New Roman" w:hAnsi="Times New Roman" w:cs="Times New Roman"/>
        </w:rPr>
        <w:t>,  Centre for Strategic and International Studies, Washington, 2006</w:t>
      </w:r>
    </w:p>
    <w:p w14:paraId="4D6BD37A" w14:textId="77777777" w:rsidR="00DE6D82" w:rsidRDefault="00DE6D82" w:rsidP="0030728C">
      <w:pPr>
        <w:spacing w:line="360" w:lineRule="auto"/>
        <w:jc w:val="both"/>
        <w:rPr>
          <w:rFonts w:ascii="Times New Roman" w:hAnsi="Times New Roman" w:cs="Times New Roman"/>
        </w:rPr>
      </w:pPr>
    </w:p>
    <w:p w14:paraId="3C9CC7A9" w14:textId="65A47E27" w:rsidR="00DE6D82" w:rsidRPr="00DE6D82" w:rsidRDefault="00DE6D82" w:rsidP="00DE6D82">
      <w:pPr>
        <w:spacing w:line="360" w:lineRule="auto"/>
        <w:jc w:val="both"/>
        <w:rPr>
          <w:rFonts w:ascii="Times New Roman" w:hAnsi="Times New Roman" w:cs="Times New Roman"/>
        </w:rPr>
      </w:pPr>
      <w:r w:rsidRPr="00DE6D82">
        <w:rPr>
          <w:rFonts w:ascii="Times New Roman" w:hAnsi="Times New Roman" w:cs="Times New Roman"/>
        </w:rPr>
        <w:t>Congressional Research Service, http//:www.zfacts.com, Last Accessed: 9 February 2013</w:t>
      </w:r>
    </w:p>
    <w:p w14:paraId="03E9E709" w14:textId="77777777" w:rsidR="00725735" w:rsidRDefault="00725735" w:rsidP="0030728C">
      <w:pPr>
        <w:spacing w:line="360" w:lineRule="auto"/>
        <w:jc w:val="both"/>
        <w:rPr>
          <w:rFonts w:ascii="Times New Roman" w:hAnsi="Times New Roman" w:cs="Times New Roman"/>
        </w:rPr>
      </w:pPr>
    </w:p>
    <w:p w14:paraId="7939ED58" w14:textId="76410557" w:rsidR="00DE6D82"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Davidson, J., “Principles of Modern American Counterinsurgency: Evolution and Debate, in </w:t>
      </w:r>
      <w:r w:rsidRPr="00557A67">
        <w:rPr>
          <w:rFonts w:ascii="Times New Roman" w:hAnsi="Times New Roman" w:cs="Times New Roman"/>
          <w:u w:val="single"/>
        </w:rPr>
        <w:t>Counterinsurgency and Pakistan Paper Series</w:t>
      </w:r>
      <w:r w:rsidRPr="00557A67">
        <w:rPr>
          <w:rFonts w:ascii="Times New Roman" w:hAnsi="Times New Roman" w:cs="Times New Roman"/>
        </w:rPr>
        <w:t xml:space="preserve">, The Brookings Institution, </w:t>
      </w:r>
      <w:hyperlink r:id="rId18" w:history="1">
        <w:r w:rsidRPr="00DE6D82">
          <w:rPr>
            <w:rStyle w:val="Hyperlink"/>
            <w:rFonts w:ascii="Times New Roman" w:hAnsi="Times New Roman" w:cs="Times New Roman"/>
            <w:color w:val="000000" w:themeColor="text1"/>
            <w:u w:val="none"/>
          </w:rPr>
          <w:t>http://www.brookings.edu/~/media/Files/rc/papers/2009/0608_counterinsurgency_davidson/0608_counterinsurgency_davidson.pdf</w:t>
        </w:r>
      </w:hyperlink>
      <w:r w:rsidRPr="00557A67">
        <w:rPr>
          <w:rFonts w:ascii="Times New Roman" w:hAnsi="Times New Roman" w:cs="Times New Roman"/>
        </w:rPr>
        <w:t>,</w:t>
      </w:r>
      <w:r w:rsidR="00E6330E">
        <w:rPr>
          <w:rFonts w:ascii="Times New Roman" w:hAnsi="Times New Roman" w:cs="Times New Roman"/>
        </w:rPr>
        <w:t xml:space="preserve"> Last Accessed: 10 February 201</w:t>
      </w:r>
    </w:p>
    <w:p w14:paraId="3E5334CA" w14:textId="77777777" w:rsidR="00DE6D82" w:rsidRDefault="00DE6D82" w:rsidP="0030728C">
      <w:pPr>
        <w:spacing w:line="360" w:lineRule="auto"/>
        <w:jc w:val="both"/>
        <w:rPr>
          <w:rFonts w:ascii="Times New Roman" w:hAnsi="Times New Roman" w:cs="Times New Roman"/>
        </w:rPr>
      </w:pPr>
    </w:p>
    <w:p w14:paraId="5BF76CD2"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Davidson, J., </w:t>
      </w:r>
      <w:r w:rsidRPr="00557A67">
        <w:rPr>
          <w:rFonts w:ascii="Times New Roman" w:hAnsi="Times New Roman" w:cs="Times New Roman"/>
          <w:u w:val="single"/>
        </w:rPr>
        <w:t>Principles of Modern American Counterinsurgency: Evolution and Debate,</w:t>
      </w:r>
      <w:r w:rsidRPr="00557A67">
        <w:rPr>
          <w:rFonts w:ascii="Times New Roman" w:hAnsi="Times New Roman" w:cs="Times New Roman"/>
        </w:rPr>
        <w:t xml:space="preserve"> Brookings, </w:t>
      </w:r>
      <w:hyperlink r:id="rId19" w:history="1">
        <w:r w:rsidRPr="00DE6D82">
          <w:rPr>
            <w:rStyle w:val="Hyperlink"/>
            <w:rFonts w:ascii="Times New Roman" w:hAnsi="Times New Roman" w:cs="Times New Roman"/>
            <w:color w:val="000000" w:themeColor="text1"/>
            <w:u w:val="none"/>
          </w:rPr>
          <w:t>http://www.brookings.edu/~/media/Files/rc/papers/2009/0608_counterinsurgency_davidson/0608_counterinsurgency_davidson.pdf</w:t>
        </w:r>
      </w:hyperlink>
      <w:r w:rsidRPr="00DE6D82">
        <w:rPr>
          <w:rFonts w:ascii="Times New Roman" w:hAnsi="Times New Roman" w:cs="Times New Roman"/>
          <w:color w:val="000000" w:themeColor="text1"/>
        </w:rPr>
        <w:t>,</w:t>
      </w:r>
      <w:r w:rsidRPr="00DE6D82">
        <w:rPr>
          <w:rFonts w:ascii="Times New Roman" w:hAnsi="Times New Roman" w:cs="Times New Roman"/>
        </w:rPr>
        <w:t xml:space="preserve"> </w:t>
      </w:r>
      <w:r w:rsidRPr="00557A67">
        <w:rPr>
          <w:rFonts w:ascii="Times New Roman" w:hAnsi="Times New Roman" w:cs="Times New Roman"/>
        </w:rPr>
        <w:t>date accessed:10 May 2012</w:t>
      </w:r>
    </w:p>
    <w:p w14:paraId="6BA3DE23" w14:textId="77777777" w:rsidR="00725735" w:rsidRDefault="00725735" w:rsidP="0030728C">
      <w:pPr>
        <w:spacing w:line="360" w:lineRule="auto"/>
        <w:jc w:val="both"/>
        <w:rPr>
          <w:rFonts w:ascii="Times New Roman" w:hAnsi="Times New Roman" w:cs="Times New Roman"/>
        </w:rPr>
      </w:pPr>
    </w:p>
    <w:p w14:paraId="3E168D61"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Eisenstadt, M., White, J., “Assessing Iraq’s Sunni Arab Insurgency”, in Evans, S.S, </w:t>
      </w:r>
      <w:r w:rsidRPr="00557A67">
        <w:rPr>
          <w:rFonts w:ascii="Times New Roman" w:hAnsi="Times New Roman" w:cs="Times New Roman"/>
          <w:u w:val="single"/>
        </w:rPr>
        <w:t>U.S. Marines and Irregular Warfare, 1898-2007: Anthology and Selected Bibliography</w:t>
      </w:r>
      <w:r w:rsidRPr="00557A67">
        <w:rPr>
          <w:rFonts w:ascii="Times New Roman" w:hAnsi="Times New Roman" w:cs="Times New Roman"/>
        </w:rPr>
        <w:t>, Marine Corps University Press: US. 2008</w:t>
      </w:r>
    </w:p>
    <w:p w14:paraId="41809793" w14:textId="77777777" w:rsidR="00725735" w:rsidRDefault="00725735" w:rsidP="0030728C">
      <w:pPr>
        <w:spacing w:line="360" w:lineRule="auto"/>
        <w:jc w:val="both"/>
        <w:rPr>
          <w:rFonts w:ascii="Times New Roman" w:hAnsi="Times New Roman" w:cs="Times New Roman"/>
        </w:rPr>
      </w:pPr>
    </w:p>
    <w:p w14:paraId="14E3361E" w14:textId="77777777" w:rsidR="008E4470" w:rsidRDefault="008E4470" w:rsidP="008E4470">
      <w:pPr>
        <w:spacing w:line="360" w:lineRule="auto"/>
        <w:jc w:val="both"/>
        <w:rPr>
          <w:rFonts w:ascii="Times New Roman" w:hAnsi="Times New Roman" w:cs="Times New Roman"/>
        </w:rPr>
      </w:pPr>
      <w:r>
        <w:rPr>
          <w:rFonts w:ascii="Times New Roman" w:hAnsi="Times New Roman" w:cs="Times New Roman"/>
        </w:rPr>
        <w:t xml:space="preserve">Evans, S., </w:t>
      </w:r>
      <w:r w:rsidRPr="00557A67">
        <w:rPr>
          <w:rFonts w:ascii="Times New Roman" w:hAnsi="Times New Roman" w:cs="Times New Roman"/>
        </w:rPr>
        <w:t>“A Concept for Countering Irregular Thr</w:t>
      </w:r>
      <w:r>
        <w:rPr>
          <w:rFonts w:ascii="Times New Roman" w:hAnsi="Times New Roman" w:cs="Times New Roman"/>
        </w:rPr>
        <w:t xml:space="preserve">eats: A Comprehensive Approach”, </w:t>
      </w:r>
      <w:r w:rsidRPr="00557A67">
        <w:rPr>
          <w:rFonts w:ascii="Times New Roman" w:hAnsi="Times New Roman" w:cs="Times New Roman"/>
        </w:rPr>
        <w:t>Marine Co</w:t>
      </w:r>
      <w:r>
        <w:rPr>
          <w:rFonts w:ascii="Times New Roman" w:hAnsi="Times New Roman" w:cs="Times New Roman"/>
        </w:rPr>
        <w:t>rps Combat Development Command, United States Marine Corps, United States of America,</w:t>
      </w:r>
      <w:r w:rsidRPr="00557A67">
        <w:rPr>
          <w:rFonts w:ascii="Times New Roman" w:hAnsi="Times New Roman" w:cs="Times New Roman"/>
        </w:rPr>
        <w:t xml:space="preserve"> 2006</w:t>
      </w:r>
    </w:p>
    <w:p w14:paraId="7D43B1AC" w14:textId="77777777" w:rsidR="00725735" w:rsidRDefault="00725735" w:rsidP="0030728C">
      <w:pPr>
        <w:spacing w:line="360" w:lineRule="auto"/>
        <w:jc w:val="both"/>
        <w:rPr>
          <w:rFonts w:ascii="Times New Roman" w:hAnsi="Times New Roman" w:cs="Times New Roman"/>
        </w:rPr>
      </w:pPr>
    </w:p>
    <w:p w14:paraId="3BDFA838" w14:textId="77777777" w:rsidR="00725735" w:rsidRDefault="00725735" w:rsidP="00725735">
      <w:pPr>
        <w:pStyle w:val="FootnoteText"/>
        <w:spacing w:line="360" w:lineRule="auto"/>
        <w:jc w:val="both"/>
        <w:rPr>
          <w:sz w:val="24"/>
          <w:szCs w:val="24"/>
          <w:lang w:val="en-US"/>
        </w:rPr>
      </w:pPr>
      <w:r w:rsidRPr="00725735">
        <w:rPr>
          <w:sz w:val="24"/>
          <w:szCs w:val="24"/>
          <w:lang w:val="en-US"/>
        </w:rPr>
        <w:t xml:space="preserve">Gairdner, D., “Risk and Violence in Iraq’s New Sectarian Violence”, in </w:t>
      </w:r>
      <w:r w:rsidRPr="00725735">
        <w:rPr>
          <w:sz w:val="24"/>
          <w:szCs w:val="24"/>
          <w:u w:val="single"/>
          <w:lang w:val="en-US"/>
        </w:rPr>
        <w:t>NOREF Report</w:t>
      </w:r>
      <w:r w:rsidRPr="00725735">
        <w:rPr>
          <w:sz w:val="24"/>
          <w:szCs w:val="24"/>
          <w:lang w:val="en-US"/>
        </w:rPr>
        <w:t xml:space="preserve">, September 2012, </w:t>
      </w:r>
      <w:hyperlink r:id="rId20" w:history="1">
        <w:r w:rsidRPr="00725735">
          <w:rPr>
            <w:rStyle w:val="Hyperlink"/>
            <w:color w:val="auto"/>
            <w:sz w:val="24"/>
            <w:szCs w:val="24"/>
            <w:u w:val="none"/>
            <w:lang w:val="en-US"/>
          </w:rPr>
          <w:t>http://www.clingendael.nl/cru/publications/2012/20121214_Gairdner_NOREF-Clingendael_Risk_and_violence_in_Iraq's_new_sectarian_bal.pdf</w:t>
        </w:r>
      </w:hyperlink>
      <w:r w:rsidRPr="00725735">
        <w:rPr>
          <w:sz w:val="24"/>
          <w:szCs w:val="24"/>
          <w:lang w:val="en-US"/>
        </w:rPr>
        <w:t>, Last Accessed: 11 February 2013</w:t>
      </w:r>
    </w:p>
    <w:p w14:paraId="29041A6F" w14:textId="77777777" w:rsidR="00725735" w:rsidRPr="00725735" w:rsidRDefault="00725735" w:rsidP="00725735">
      <w:pPr>
        <w:pStyle w:val="FootnoteText"/>
        <w:spacing w:line="360" w:lineRule="auto"/>
        <w:jc w:val="both"/>
        <w:rPr>
          <w:sz w:val="24"/>
          <w:szCs w:val="24"/>
          <w:lang w:val="en-US"/>
        </w:rPr>
      </w:pPr>
    </w:p>
    <w:p w14:paraId="0E454BF5"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Galula, D., </w:t>
      </w:r>
      <w:r w:rsidRPr="00557A67">
        <w:rPr>
          <w:rFonts w:ascii="Times New Roman" w:hAnsi="Times New Roman" w:cs="Times New Roman"/>
          <w:u w:val="single"/>
        </w:rPr>
        <w:t>Counterinsurgency Warfare: Theory and Practice</w:t>
      </w:r>
      <w:r w:rsidRPr="00557A67">
        <w:rPr>
          <w:rFonts w:ascii="Times New Roman" w:hAnsi="Times New Roman" w:cs="Times New Roman"/>
        </w:rPr>
        <w:t>, Library of Congress Cataloging-in-Publication Data, 1964</w:t>
      </w:r>
    </w:p>
    <w:p w14:paraId="1D76CD0C" w14:textId="77777777" w:rsidR="00725735" w:rsidRDefault="00725735" w:rsidP="0030728C">
      <w:pPr>
        <w:spacing w:line="360" w:lineRule="auto"/>
        <w:jc w:val="both"/>
        <w:rPr>
          <w:rFonts w:ascii="Times New Roman" w:hAnsi="Times New Roman" w:cs="Times New Roman"/>
        </w:rPr>
      </w:pPr>
    </w:p>
    <w:p w14:paraId="137FA0CA"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Gentile, G.P. “A Strategy of Tactics: Population-centric COIN and the Army”, in </w:t>
      </w:r>
      <w:r w:rsidRPr="00557A67">
        <w:rPr>
          <w:rFonts w:ascii="Times New Roman" w:hAnsi="Times New Roman" w:cs="Times New Roman"/>
          <w:u w:val="single"/>
        </w:rPr>
        <w:t>World Affairs</w:t>
      </w:r>
      <w:r w:rsidRPr="00557A67">
        <w:rPr>
          <w:rFonts w:ascii="Times New Roman" w:hAnsi="Times New Roman" w:cs="Times New Roman"/>
        </w:rPr>
        <w:t>, US Army War College Report, Autumn 2009</w:t>
      </w:r>
    </w:p>
    <w:p w14:paraId="71A50C17" w14:textId="77777777" w:rsidR="00725735" w:rsidRDefault="00725735" w:rsidP="0030728C">
      <w:pPr>
        <w:spacing w:line="360" w:lineRule="auto"/>
        <w:jc w:val="both"/>
        <w:rPr>
          <w:rFonts w:ascii="Times New Roman" w:hAnsi="Times New Roman" w:cs="Times New Roman"/>
        </w:rPr>
      </w:pPr>
    </w:p>
    <w:p w14:paraId="2248345C"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George, A.L. and Bennet, A., </w:t>
      </w:r>
      <w:r w:rsidRPr="00557A67">
        <w:rPr>
          <w:rFonts w:ascii="Times New Roman" w:hAnsi="Times New Roman" w:cs="Times New Roman"/>
          <w:u w:val="single"/>
        </w:rPr>
        <w:t>Case Studies and Theory Development in the Social Sciences</w:t>
      </w:r>
      <w:r w:rsidRPr="00557A67">
        <w:rPr>
          <w:rFonts w:ascii="Times New Roman" w:hAnsi="Times New Roman" w:cs="Times New Roman"/>
        </w:rPr>
        <w:t>, MIT Press, Massachusetts, 2005</w:t>
      </w:r>
    </w:p>
    <w:p w14:paraId="63CDBA2D" w14:textId="77777777" w:rsidR="00725735" w:rsidRDefault="00725735" w:rsidP="0030728C">
      <w:pPr>
        <w:spacing w:line="360" w:lineRule="auto"/>
        <w:jc w:val="both"/>
        <w:rPr>
          <w:rFonts w:ascii="Times New Roman" w:hAnsi="Times New Roman" w:cs="Times New Roman"/>
        </w:rPr>
      </w:pPr>
    </w:p>
    <w:p w14:paraId="470D7222"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Gove, M., </w:t>
      </w:r>
      <w:r w:rsidRPr="00557A67">
        <w:rPr>
          <w:rFonts w:ascii="Times New Roman" w:hAnsi="Times New Roman" w:cs="Times New Roman"/>
          <w:u w:val="single"/>
        </w:rPr>
        <w:t>Celsius 7/7</w:t>
      </w:r>
      <w:r w:rsidRPr="00557A67">
        <w:rPr>
          <w:rFonts w:ascii="Times New Roman" w:hAnsi="Times New Roman" w:cs="Times New Roman"/>
        </w:rPr>
        <w:t>, Weidenfeld and Nicolson, Great Britain, 2006</w:t>
      </w:r>
    </w:p>
    <w:p w14:paraId="666C38DF" w14:textId="77777777" w:rsidR="00725735" w:rsidRDefault="00725735" w:rsidP="0030728C">
      <w:pPr>
        <w:spacing w:line="360" w:lineRule="auto"/>
        <w:jc w:val="both"/>
        <w:rPr>
          <w:rFonts w:ascii="Times New Roman" w:hAnsi="Times New Roman" w:cs="Times New Roman"/>
        </w:rPr>
      </w:pPr>
    </w:p>
    <w:p w14:paraId="69E04B7B"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Graff, J.K., </w:t>
      </w:r>
      <w:r w:rsidRPr="00557A67">
        <w:rPr>
          <w:rFonts w:ascii="Times New Roman" w:hAnsi="Times New Roman" w:cs="Times New Roman"/>
          <w:u w:val="single"/>
        </w:rPr>
        <w:t xml:space="preserve">United States Counterinsurgency Doctrine and Implementation in Iraq, </w:t>
      </w:r>
      <w:r w:rsidRPr="00557A67">
        <w:rPr>
          <w:rFonts w:ascii="Times New Roman" w:hAnsi="Times New Roman" w:cs="Times New Roman"/>
        </w:rPr>
        <w:t>United States Military Academy, Kansas, 2004</w:t>
      </w:r>
    </w:p>
    <w:p w14:paraId="60CEABC3" w14:textId="77777777" w:rsidR="00725735" w:rsidRDefault="00725735" w:rsidP="0030728C">
      <w:pPr>
        <w:spacing w:line="360" w:lineRule="auto"/>
        <w:jc w:val="both"/>
        <w:rPr>
          <w:rFonts w:ascii="Times New Roman" w:hAnsi="Times New Roman" w:cs="Times New Roman"/>
        </w:rPr>
      </w:pPr>
    </w:p>
    <w:p w14:paraId="5CBC9250"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Hammes, T.X., “Insurgency: Modern Warfare Evolves into a Fourth Generation”, in </w:t>
      </w:r>
      <w:r w:rsidRPr="00557A67">
        <w:rPr>
          <w:rFonts w:ascii="Times New Roman" w:hAnsi="Times New Roman" w:cs="Times New Roman"/>
          <w:u w:val="single"/>
        </w:rPr>
        <w:t>Strategic Forum</w:t>
      </w:r>
      <w:r w:rsidRPr="00557A67">
        <w:rPr>
          <w:rFonts w:ascii="Times New Roman" w:hAnsi="Times New Roman" w:cs="Times New Roman"/>
        </w:rPr>
        <w:t>, 2005</w:t>
      </w:r>
    </w:p>
    <w:p w14:paraId="73A02F21" w14:textId="77777777" w:rsidR="00725735" w:rsidRDefault="00725735" w:rsidP="0030728C">
      <w:pPr>
        <w:spacing w:line="360" w:lineRule="auto"/>
        <w:jc w:val="both"/>
        <w:rPr>
          <w:rFonts w:ascii="Times New Roman" w:hAnsi="Times New Roman" w:cs="Times New Roman"/>
        </w:rPr>
      </w:pPr>
    </w:p>
    <w:p w14:paraId="4945DEBA"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Henriksen, T.H., “What Really Happened in Northern Ireland’s Counterinsurgency: Revision and Revelation”, in </w:t>
      </w:r>
      <w:r w:rsidRPr="00557A67">
        <w:rPr>
          <w:rFonts w:ascii="Times New Roman" w:hAnsi="Times New Roman" w:cs="Times New Roman"/>
          <w:u w:val="single"/>
        </w:rPr>
        <w:t>JSOU Report</w:t>
      </w:r>
      <w:r w:rsidRPr="00557A67">
        <w:rPr>
          <w:rFonts w:ascii="Times New Roman" w:hAnsi="Times New Roman" w:cs="Times New Roman"/>
        </w:rPr>
        <w:t>, October 2008</w:t>
      </w:r>
    </w:p>
    <w:p w14:paraId="633CF647" w14:textId="77777777" w:rsidR="00725735" w:rsidRDefault="00725735" w:rsidP="0030728C">
      <w:pPr>
        <w:spacing w:line="360" w:lineRule="auto"/>
        <w:jc w:val="both"/>
        <w:rPr>
          <w:rFonts w:ascii="Times New Roman" w:hAnsi="Times New Roman" w:cs="Times New Roman"/>
        </w:rPr>
      </w:pPr>
    </w:p>
    <w:p w14:paraId="187E7358"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Hoffman, B., “Insurgency and Counterinsurgency in Iraq”, in RAND Occasional Paper, June 2004</w:t>
      </w:r>
    </w:p>
    <w:p w14:paraId="34C0F436" w14:textId="77777777" w:rsidR="00725735" w:rsidRDefault="00725735" w:rsidP="0030728C">
      <w:pPr>
        <w:spacing w:line="360" w:lineRule="auto"/>
        <w:jc w:val="both"/>
        <w:rPr>
          <w:rFonts w:ascii="Times New Roman" w:hAnsi="Times New Roman" w:cs="Times New Roman"/>
        </w:rPr>
      </w:pPr>
    </w:p>
    <w:p w14:paraId="461BAE6A" w14:textId="4F562736" w:rsidR="00725735" w:rsidRDefault="00725735" w:rsidP="0030728C">
      <w:pPr>
        <w:pStyle w:val="FootnoteText"/>
        <w:spacing w:line="360" w:lineRule="auto"/>
        <w:rPr>
          <w:rFonts w:ascii="Times New Roman" w:hAnsi="Times New Roman" w:cs="Times New Roman"/>
          <w:sz w:val="24"/>
          <w:szCs w:val="24"/>
        </w:rPr>
      </w:pPr>
      <w:r w:rsidRPr="00557A67">
        <w:rPr>
          <w:rFonts w:ascii="Times New Roman" w:hAnsi="Times New Roman" w:cs="Times New Roman"/>
          <w:sz w:val="24"/>
          <w:szCs w:val="24"/>
        </w:rPr>
        <w:t xml:space="preserve">Jackson, A.B., </w:t>
      </w:r>
      <w:r w:rsidRPr="00557A67">
        <w:rPr>
          <w:rFonts w:ascii="Times New Roman" w:hAnsi="Times New Roman" w:cs="Times New Roman"/>
          <w:sz w:val="24"/>
          <w:szCs w:val="24"/>
          <w:u w:val="single"/>
        </w:rPr>
        <w:t>Counterinsurgency Intelligence in a “Long War”</w:t>
      </w:r>
      <w:r w:rsidRPr="00557A67">
        <w:rPr>
          <w:rFonts w:ascii="Times New Roman" w:hAnsi="Times New Roman" w:cs="Times New Roman"/>
          <w:sz w:val="24"/>
          <w:szCs w:val="24"/>
        </w:rPr>
        <w:t>, The British Experience in Northern Ireland, Military Review, Rand Corporation</w:t>
      </w:r>
      <w:r>
        <w:rPr>
          <w:rFonts w:ascii="Times New Roman" w:hAnsi="Times New Roman" w:cs="Times New Roman"/>
          <w:sz w:val="24"/>
          <w:szCs w:val="24"/>
        </w:rPr>
        <w:t>,</w:t>
      </w:r>
      <w:r w:rsidRPr="00557A67">
        <w:rPr>
          <w:rFonts w:ascii="Times New Roman" w:hAnsi="Times New Roman" w:cs="Times New Roman"/>
          <w:sz w:val="24"/>
          <w:szCs w:val="24"/>
        </w:rPr>
        <w:t xml:space="preserve"> </w:t>
      </w:r>
      <w:r>
        <w:rPr>
          <w:rFonts w:ascii="Times New Roman" w:hAnsi="Times New Roman" w:cs="Times New Roman"/>
          <w:sz w:val="24"/>
          <w:szCs w:val="24"/>
        </w:rPr>
        <w:t>January-February 2007</w:t>
      </w:r>
    </w:p>
    <w:p w14:paraId="69657D1A" w14:textId="77777777" w:rsidR="00725735" w:rsidRPr="00557A67" w:rsidRDefault="00725735" w:rsidP="0030728C">
      <w:pPr>
        <w:pStyle w:val="FootnoteText"/>
        <w:spacing w:line="360" w:lineRule="auto"/>
        <w:rPr>
          <w:rFonts w:ascii="Times New Roman" w:hAnsi="Times New Roman" w:cs="Times New Roman"/>
          <w:sz w:val="24"/>
          <w:szCs w:val="24"/>
        </w:rPr>
      </w:pPr>
    </w:p>
    <w:p w14:paraId="2EFF023C"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Jackson, A.B., </w:t>
      </w:r>
      <w:r w:rsidRPr="00557A67">
        <w:rPr>
          <w:rFonts w:ascii="Times New Roman" w:hAnsi="Times New Roman" w:cs="Times New Roman"/>
          <w:u w:val="single"/>
        </w:rPr>
        <w:t>Counterinsurgency Intelligence in a “Long War”</w:t>
      </w:r>
      <w:r w:rsidRPr="00557A67">
        <w:rPr>
          <w:rFonts w:ascii="Times New Roman" w:hAnsi="Times New Roman" w:cs="Times New Roman"/>
        </w:rPr>
        <w:t>, The British Experience in Northern Ireland, Military Review, Rand Corporation, January-February 2007</w:t>
      </w:r>
    </w:p>
    <w:p w14:paraId="372B223A" w14:textId="77777777" w:rsidR="00725735" w:rsidRDefault="00725735" w:rsidP="0030728C">
      <w:pPr>
        <w:spacing w:line="360" w:lineRule="auto"/>
        <w:jc w:val="both"/>
        <w:rPr>
          <w:rFonts w:ascii="Times New Roman" w:hAnsi="Times New Roman" w:cs="Times New Roman"/>
        </w:rPr>
      </w:pPr>
    </w:p>
    <w:p w14:paraId="08057697"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Kahl, C.H., “COIN of the Realm: Is there a Future for Counterinsurgency?”, in </w:t>
      </w:r>
      <w:r w:rsidRPr="00557A67">
        <w:rPr>
          <w:rFonts w:ascii="Times New Roman" w:hAnsi="Times New Roman" w:cs="Times New Roman"/>
          <w:u w:val="single"/>
        </w:rPr>
        <w:t xml:space="preserve">Foreign Affairs, </w:t>
      </w:r>
      <w:r w:rsidRPr="00557A67">
        <w:rPr>
          <w:rFonts w:ascii="Times New Roman" w:hAnsi="Times New Roman" w:cs="Times New Roman"/>
        </w:rPr>
        <w:t>Vol. 86, Number 6, 2007</w:t>
      </w:r>
    </w:p>
    <w:p w14:paraId="0CCCDC39" w14:textId="77777777" w:rsidR="00725735" w:rsidRDefault="00725735" w:rsidP="0030728C">
      <w:pPr>
        <w:spacing w:line="360" w:lineRule="auto"/>
        <w:jc w:val="both"/>
        <w:rPr>
          <w:rFonts w:ascii="Times New Roman" w:hAnsi="Times New Roman" w:cs="Times New Roman"/>
        </w:rPr>
      </w:pPr>
    </w:p>
    <w:p w14:paraId="54A33A93"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Kalyvas, S.N., Review Symposium, </w:t>
      </w:r>
      <w:r w:rsidRPr="00557A67">
        <w:rPr>
          <w:rFonts w:ascii="Times New Roman" w:hAnsi="Times New Roman" w:cs="Times New Roman"/>
          <w:u w:val="single"/>
        </w:rPr>
        <w:t>The New US Army/Marine Corps Counterinsurgency Field Manual as Political Science and Political Praxis</w:t>
      </w:r>
      <w:r w:rsidRPr="00557A67">
        <w:rPr>
          <w:rFonts w:ascii="Times New Roman" w:hAnsi="Times New Roman" w:cs="Times New Roman"/>
        </w:rPr>
        <w:t>, Vol. 6, No. 2, 2008</w:t>
      </w:r>
    </w:p>
    <w:p w14:paraId="2A291F52" w14:textId="77777777" w:rsidR="00725735" w:rsidRDefault="00725735" w:rsidP="0030728C">
      <w:pPr>
        <w:spacing w:line="360" w:lineRule="auto"/>
        <w:jc w:val="both"/>
        <w:rPr>
          <w:rFonts w:ascii="Times New Roman" w:hAnsi="Times New Roman" w:cs="Times New Roman"/>
        </w:rPr>
      </w:pPr>
    </w:p>
    <w:p w14:paraId="150AEA54"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Kilcullen, D.J., “ Countering Global Insurgency”, in </w:t>
      </w:r>
      <w:r w:rsidRPr="00557A67">
        <w:rPr>
          <w:rFonts w:ascii="Times New Roman" w:hAnsi="Times New Roman" w:cs="Times New Roman"/>
          <w:u w:val="single"/>
        </w:rPr>
        <w:t>Journal of Strategic Studies</w:t>
      </w:r>
      <w:r w:rsidRPr="00557A67">
        <w:rPr>
          <w:rFonts w:ascii="Times New Roman" w:hAnsi="Times New Roman" w:cs="Times New Roman"/>
        </w:rPr>
        <w:t>, 2005, Vol.28, No. 4</w:t>
      </w:r>
    </w:p>
    <w:p w14:paraId="06A35181" w14:textId="77777777" w:rsidR="00725735" w:rsidRDefault="00725735" w:rsidP="0030728C">
      <w:pPr>
        <w:spacing w:line="360" w:lineRule="auto"/>
        <w:jc w:val="both"/>
        <w:rPr>
          <w:rFonts w:ascii="Times New Roman" w:hAnsi="Times New Roman" w:cs="Times New Roman"/>
        </w:rPr>
      </w:pPr>
    </w:p>
    <w:p w14:paraId="5ECC5295"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Kiras, J.D., </w:t>
      </w:r>
      <w:r w:rsidRPr="00557A67">
        <w:rPr>
          <w:rFonts w:ascii="Times New Roman" w:hAnsi="Times New Roman" w:cs="Times New Roman"/>
          <w:u w:val="single"/>
        </w:rPr>
        <w:t>Irregular Warfare: Terrorism and Insurgency</w:t>
      </w:r>
      <w:r w:rsidRPr="00557A67">
        <w:rPr>
          <w:rFonts w:ascii="Times New Roman" w:hAnsi="Times New Roman" w:cs="Times New Roman"/>
        </w:rPr>
        <w:t>, in Baylis, J., Gray, C.S., (et.al.), “Strategy in the Contemporary World, an Introduction to Strategic Studies”</w:t>
      </w:r>
      <w:r w:rsidRPr="00557A67">
        <w:rPr>
          <w:rFonts w:ascii="Times New Roman" w:hAnsi="Times New Roman" w:cs="Times New Roman"/>
          <w:i/>
        </w:rPr>
        <w:t>,</w:t>
      </w:r>
      <w:r w:rsidRPr="00557A67">
        <w:rPr>
          <w:rFonts w:ascii="Times New Roman" w:hAnsi="Times New Roman" w:cs="Times New Roman"/>
        </w:rPr>
        <w:t xml:space="preserve"> Oxford University Press, United Kingdom, 2010</w:t>
      </w:r>
    </w:p>
    <w:p w14:paraId="427A64A1" w14:textId="77777777" w:rsidR="00725735" w:rsidRDefault="00725735" w:rsidP="0030728C">
      <w:pPr>
        <w:spacing w:line="360" w:lineRule="auto"/>
        <w:jc w:val="both"/>
        <w:rPr>
          <w:rFonts w:ascii="Times New Roman" w:hAnsi="Times New Roman" w:cs="Times New Roman"/>
        </w:rPr>
      </w:pPr>
    </w:p>
    <w:p w14:paraId="5F891590"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Kitson, F. </w:t>
      </w:r>
      <w:r w:rsidRPr="00557A67">
        <w:rPr>
          <w:rFonts w:ascii="Times New Roman" w:hAnsi="Times New Roman" w:cs="Times New Roman"/>
          <w:u w:val="single"/>
        </w:rPr>
        <w:t>Low Intensity Operations: Subversion, Insurgency and Peacekeeping</w:t>
      </w:r>
      <w:r w:rsidRPr="00557A67">
        <w:rPr>
          <w:rFonts w:ascii="Times New Roman" w:hAnsi="Times New Roman" w:cs="Times New Roman"/>
        </w:rPr>
        <w:t>, Faber and Faber, London, 1971</w:t>
      </w:r>
    </w:p>
    <w:p w14:paraId="6C73591D" w14:textId="77777777" w:rsidR="00725735" w:rsidRDefault="00725735" w:rsidP="0030728C">
      <w:pPr>
        <w:spacing w:line="360" w:lineRule="auto"/>
        <w:jc w:val="both"/>
        <w:rPr>
          <w:rFonts w:ascii="Times New Roman" w:hAnsi="Times New Roman" w:cs="Times New Roman"/>
        </w:rPr>
      </w:pPr>
    </w:p>
    <w:p w14:paraId="290D23AF"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Kitson, F., </w:t>
      </w:r>
      <w:r w:rsidRPr="00557A67">
        <w:rPr>
          <w:rFonts w:ascii="Times New Roman" w:hAnsi="Times New Roman" w:cs="Times New Roman"/>
          <w:u w:val="single"/>
        </w:rPr>
        <w:t>Bunch of Five</w:t>
      </w:r>
      <w:r w:rsidRPr="00557A67">
        <w:rPr>
          <w:rFonts w:ascii="Times New Roman" w:hAnsi="Times New Roman" w:cs="Times New Roman"/>
        </w:rPr>
        <w:t xml:space="preserve">, Faber and Faber, </w:t>
      </w:r>
      <w:r>
        <w:rPr>
          <w:rFonts w:ascii="Times New Roman" w:hAnsi="Times New Roman" w:cs="Times New Roman"/>
        </w:rPr>
        <w:t xml:space="preserve">London, </w:t>
      </w:r>
      <w:r w:rsidRPr="00557A67">
        <w:rPr>
          <w:rFonts w:ascii="Times New Roman" w:hAnsi="Times New Roman" w:cs="Times New Roman"/>
        </w:rPr>
        <w:t>1977</w:t>
      </w:r>
    </w:p>
    <w:p w14:paraId="3978A13C" w14:textId="77777777" w:rsidR="00725735" w:rsidRDefault="00725735" w:rsidP="0030728C">
      <w:pPr>
        <w:pStyle w:val="FootnoteText"/>
        <w:spacing w:line="360" w:lineRule="auto"/>
        <w:rPr>
          <w:rFonts w:ascii="Times New Roman" w:hAnsi="Times New Roman" w:cs="Times New Roman"/>
          <w:sz w:val="24"/>
          <w:szCs w:val="24"/>
          <w:lang w:val="en-US"/>
        </w:rPr>
      </w:pPr>
    </w:p>
    <w:p w14:paraId="4DBB9389" w14:textId="77777777" w:rsidR="00725735" w:rsidRDefault="00725735" w:rsidP="0030728C">
      <w:pPr>
        <w:pStyle w:val="FootnoteText"/>
        <w:spacing w:line="360" w:lineRule="auto"/>
        <w:rPr>
          <w:rFonts w:ascii="Times New Roman" w:hAnsi="Times New Roman" w:cs="Times New Roman"/>
          <w:sz w:val="24"/>
          <w:szCs w:val="24"/>
        </w:rPr>
      </w:pPr>
      <w:r w:rsidRPr="00557A67">
        <w:rPr>
          <w:rFonts w:ascii="Times New Roman" w:hAnsi="Times New Roman" w:cs="Times New Roman"/>
          <w:sz w:val="24"/>
          <w:szCs w:val="24"/>
        </w:rPr>
        <w:t xml:space="preserve">Krisel, R.S., </w:t>
      </w:r>
      <w:r w:rsidRPr="00557A67">
        <w:rPr>
          <w:rFonts w:ascii="Times New Roman" w:hAnsi="Times New Roman" w:cs="Times New Roman"/>
          <w:sz w:val="24"/>
          <w:szCs w:val="24"/>
          <w:u w:val="single"/>
        </w:rPr>
        <w:t>The Hidden Costs of US Counterinsurgency Strategy</w:t>
      </w:r>
      <w:r w:rsidRPr="00557A67">
        <w:rPr>
          <w:rFonts w:ascii="Times New Roman" w:hAnsi="Times New Roman" w:cs="Times New Roman"/>
          <w:sz w:val="24"/>
          <w:szCs w:val="24"/>
        </w:rPr>
        <w:t>, Wesleyan University, 2010</w:t>
      </w:r>
    </w:p>
    <w:p w14:paraId="63CE402E" w14:textId="77777777" w:rsidR="00725735" w:rsidRDefault="00725735" w:rsidP="0030728C">
      <w:pPr>
        <w:pStyle w:val="FootnoteText"/>
        <w:spacing w:line="360" w:lineRule="auto"/>
        <w:rPr>
          <w:rFonts w:ascii="Times New Roman" w:hAnsi="Times New Roman" w:cs="Times New Roman"/>
          <w:sz w:val="24"/>
          <w:szCs w:val="24"/>
        </w:rPr>
      </w:pPr>
    </w:p>
    <w:p w14:paraId="3017D6FF"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Krueger, A., </w:t>
      </w:r>
      <w:r w:rsidRPr="00557A67">
        <w:rPr>
          <w:rFonts w:ascii="Times New Roman" w:hAnsi="Times New Roman" w:cs="Times New Roman"/>
          <w:u w:val="single"/>
        </w:rPr>
        <w:t>The National Origins of Fighters in Iraq</w:t>
      </w:r>
      <w:r w:rsidRPr="00557A67">
        <w:rPr>
          <w:rFonts w:ascii="Times New Roman" w:hAnsi="Times New Roman" w:cs="Times New Roman"/>
        </w:rPr>
        <w:t>, presented at the NBER National Security Summer Institute, 2006</w:t>
      </w:r>
    </w:p>
    <w:p w14:paraId="7A810630" w14:textId="77777777" w:rsidR="00725735" w:rsidRDefault="00725735" w:rsidP="0030728C">
      <w:pPr>
        <w:spacing w:line="360" w:lineRule="auto"/>
        <w:jc w:val="both"/>
        <w:rPr>
          <w:rFonts w:ascii="Times New Roman" w:hAnsi="Times New Roman" w:cs="Times New Roman"/>
        </w:rPr>
      </w:pPr>
    </w:p>
    <w:p w14:paraId="1D9FC184"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Kruys,G., “Post-Cold War/11 September 2001 Insurgency and Counterinsurgency with Specific Reference to Iraq and Afghanistan”, in  Hough, M., Kruys, G.P.H,  and Du Plessis, A., </w:t>
      </w:r>
      <w:r w:rsidRPr="00557A67">
        <w:rPr>
          <w:rFonts w:ascii="Times New Roman" w:hAnsi="Times New Roman" w:cs="Times New Roman"/>
          <w:u w:val="single"/>
        </w:rPr>
        <w:t xml:space="preserve">Contemporary Terrorism and Insurgency: Selected Case Studies and Responses, </w:t>
      </w:r>
      <w:r w:rsidRPr="00557A67">
        <w:rPr>
          <w:rFonts w:ascii="Times New Roman" w:hAnsi="Times New Roman" w:cs="Times New Roman"/>
        </w:rPr>
        <w:t>Ad Hoc Publication No. 42. November 2005. Institute for Strategic Studies, University of Pretoria</w:t>
      </w:r>
    </w:p>
    <w:p w14:paraId="42D76BB4" w14:textId="77777777" w:rsidR="00725735" w:rsidRDefault="00725735" w:rsidP="0030728C">
      <w:pPr>
        <w:spacing w:line="360" w:lineRule="auto"/>
        <w:jc w:val="both"/>
        <w:rPr>
          <w:rFonts w:ascii="Times New Roman" w:hAnsi="Times New Roman" w:cs="Times New Roman"/>
        </w:rPr>
      </w:pPr>
    </w:p>
    <w:p w14:paraId="14CFA65E"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Mansfield, D. “The Irish Republican Army and Northern Ireland”, in O’Neill, B. and Heaton, W.R. (Eds.), </w:t>
      </w:r>
      <w:r w:rsidRPr="00557A67">
        <w:rPr>
          <w:rFonts w:ascii="Times New Roman" w:hAnsi="Times New Roman" w:cs="Times New Roman"/>
          <w:u w:val="single"/>
        </w:rPr>
        <w:t>Insurgency in the Modern World</w:t>
      </w:r>
      <w:r w:rsidRPr="00557A67">
        <w:rPr>
          <w:rFonts w:ascii="Times New Roman" w:hAnsi="Times New Roman" w:cs="Times New Roman"/>
        </w:rPr>
        <w:t>, Westview Press, Colorado, 1980</w:t>
      </w:r>
    </w:p>
    <w:p w14:paraId="3C2F5109" w14:textId="77777777" w:rsidR="00725735" w:rsidRDefault="00725735" w:rsidP="0030728C">
      <w:pPr>
        <w:spacing w:line="360" w:lineRule="auto"/>
        <w:jc w:val="both"/>
        <w:rPr>
          <w:rFonts w:ascii="Times New Roman" w:hAnsi="Times New Roman" w:cs="Times New Roman"/>
        </w:rPr>
      </w:pPr>
    </w:p>
    <w:p w14:paraId="1D6D6B8A"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Marques, P.D., </w:t>
      </w:r>
      <w:r w:rsidRPr="00557A67">
        <w:rPr>
          <w:rFonts w:ascii="Times New Roman" w:hAnsi="Times New Roman" w:cs="Times New Roman"/>
          <w:u w:val="single"/>
        </w:rPr>
        <w:t>Guerilla Warfare Tactics in Urban Environments</w:t>
      </w:r>
      <w:r w:rsidRPr="00557A67">
        <w:rPr>
          <w:rFonts w:ascii="Times New Roman" w:hAnsi="Times New Roman" w:cs="Times New Roman"/>
        </w:rPr>
        <w:t>, Indiana University, Indiana, 1990</w:t>
      </w:r>
    </w:p>
    <w:p w14:paraId="7E44AA72" w14:textId="77777777" w:rsidR="00725735" w:rsidRDefault="00725735" w:rsidP="0030728C">
      <w:pPr>
        <w:spacing w:line="360" w:lineRule="auto"/>
        <w:jc w:val="both"/>
        <w:rPr>
          <w:rFonts w:ascii="Times New Roman" w:hAnsi="Times New Roman" w:cs="Times New Roman"/>
        </w:rPr>
      </w:pPr>
    </w:p>
    <w:p w14:paraId="78D17820" w14:textId="27CD7219"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McInnes, C., </w:t>
      </w:r>
      <w:r w:rsidRPr="00557A67">
        <w:rPr>
          <w:rFonts w:ascii="Times New Roman" w:hAnsi="Times New Roman" w:cs="Times New Roman"/>
          <w:u w:val="single"/>
        </w:rPr>
        <w:t>Hot War, Cold War: The British Army’s Way in Warfare, 1945-1995</w:t>
      </w:r>
      <w:r w:rsidRPr="00557A67">
        <w:rPr>
          <w:rFonts w:ascii="Times New Roman" w:hAnsi="Times New Roman" w:cs="Times New Roman"/>
        </w:rPr>
        <w:t>, Brasseys, London, 1996</w:t>
      </w:r>
    </w:p>
    <w:p w14:paraId="26D6C134"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Millen, R. and Metz, S., </w:t>
      </w:r>
      <w:r w:rsidRPr="00557A67">
        <w:rPr>
          <w:rFonts w:ascii="Times New Roman" w:hAnsi="Times New Roman" w:cs="Times New Roman"/>
          <w:u w:val="single"/>
        </w:rPr>
        <w:t>Insurgency and Counterinsurgency in the 21</w:t>
      </w:r>
      <w:r w:rsidRPr="00557A67">
        <w:rPr>
          <w:rFonts w:ascii="Times New Roman" w:hAnsi="Times New Roman" w:cs="Times New Roman"/>
          <w:u w:val="single"/>
          <w:vertAlign w:val="superscript"/>
        </w:rPr>
        <w:t>st</w:t>
      </w:r>
      <w:r w:rsidRPr="00557A67">
        <w:rPr>
          <w:rFonts w:ascii="Times New Roman" w:hAnsi="Times New Roman" w:cs="Times New Roman"/>
          <w:u w:val="single"/>
        </w:rPr>
        <w:t xml:space="preserve"> Century: Reconceptualising Threat and Response</w:t>
      </w:r>
      <w:r w:rsidRPr="00557A67">
        <w:rPr>
          <w:rFonts w:ascii="Times New Roman" w:hAnsi="Times New Roman" w:cs="Times New Roman"/>
        </w:rPr>
        <w:t xml:space="preserve">, Strategic Studies Institute, </w:t>
      </w:r>
      <w:hyperlink r:id="rId21" w:history="1">
        <w:r w:rsidRPr="00725735">
          <w:rPr>
            <w:rStyle w:val="Hyperlink"/>
            <w:rFonts w:ascii="Times New Roman" w:hAnsi="Times New Roman" w:cs="Times New Roman"/>
            <w:color w:val="auto"/>
            <w:u w:val="none"/>
          </w:rPr>
          <w:t>http://www.strategicstudiesinstitute.army.mil/pdffiles/pub586.pdf</w:t>
        </w:r>
      </w:hyperlink>
      <w:r w:rsidRPr="00725735">
        <w:rPr>
          <w:rFonts w:ascii="Times New Roman" w:hAnsi="Times New Roman" w:cs="Times New Roman"/>
        </w:rPr>
        <w:t>, Last Accessed: 6</w:t>
      </w:r>
      <w:r w:rsidRPr="00557A67">
        <w:rPr>
          <w:rFonts w:ascii="Times New Roman" w:hAnsi="Times New Roman" w:cs="Times New Roman"/>
        </w:rPr>
        <w:t xml:space="preserve"> February 2013</w:t>
      </w:r>
    </w:p>
    <w:p w14:paraId="16FA627B" w14:textId="77777777" w:rsidR="00725735" w:rsidRDefault="00725735" w:rsidP="0030728C">
      <w:pPr>
        <w:spacing w:line="360" w:lineRule="auto"/>
        <w:jc w:val="both"/>
        <w:rPr>
          <w:rFonts w:ascii="Times New Roman" w:hAnsi="Times New Roman" w:cs="Times New Roman"/>
        </w:rPr>
      </w:pPr>
    </w:p>
    <w:p w14:paraId="17BEA1D0"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Mirzoeff, N., </w:t>
      </w:r>
      <w:r w:rsidRPr="00557A67">
        <w:rPr>
          <w:rFonts w:ascii="Times New Roman" w:hAnsi="Times New Roman" w:cs="Times New Roman"/>
          <w:u w:val="single"/>
        </w:rPr>
        <w:t>War is Culture: Global Counterinsurgency, Visuality, and the Petraeus Doctrine</w:t>
      </w:r>
      <w:r w:rsidRPr="00557A67">
        <w:rPr>
          <w:rFonts w:ascii="Times New Roman" w:hAnsi="Times New Roman" w:cs="Times New Roman"/>
        </w:rPr>
        <w:t>, The Modern Language Association of America, 2009</w:t>
      </w:r>
    </w:p>
    <w:p w14:paraId="1EA0D018" w14:textId="77777777" w:rsidR="00725735" w:rsidRDefault="00725735" w:rsidP="0030728C">
      <w:pPr>
        <w:spacing w:line="360" w:lineRule="auto"/>
        <w:jc w:val="both"/>
        <w:rPr>
          <w:rFonts w:ascii="Times New Roman" w:hAnsi="Times New Roman" w:cs="Times New Roman"/>
        </w:rPr>
      </w:pPr>
    </w:p>
    <w:p w14:paraId="07526BB4"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Moore, R.S., </w:t>
      </w:r>
      <w:r w:rsidRPr="00557A67">
        <w:rPr>
          <w:rFonts w:ascii="Times New Roman" w:hAnsi="Times New Roman" w:cs="Times New Roman"/>
          <w:u w:val="single"/>
        </w:rPr>
        <w:t>The Basics of Counter Insurgency</w:t>
      </w:r>
      <w:r w:rsidRPr="00557A67">
        <w:rPr>
          <w:rFonts w:ascii="Times New Roman" w:hAnsi="Times New Roman" w:cs="Times New Roman"/>
        </w:rPr>
        <w:t>, Joint Urban Operations Office, US Joint Forces Command, 2007</w:t>
      </w:r>
    </w:p>
    <w:p w14:paraId="1A5BE02B" w14:textId="77777777" w:rsidR="00725735" w:rsidRDefault="00725735" w:rsidP="0030728C">
      <w:pPr>
        <w:spacing w:line="360" w:lineRule="auto"/>
        <w:jc w:val="both"/>
        <w:rPr>
          <w:rFonts w:ascii="Times New Roman" w:hAnsi="Times New Roman" w:cs="Times New Roman"/>
        </w:rPr>
      </w:pPr>
    </w:p>
    <w:p w14:paraId="7FFA8246"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Morales, O.P., “The Evolution of Counterinsurgency Warfare: A Historical Overview”, in </w:t>
      </w:r>
      <w:r w:rsidRPr="00557A67">
        <w:rPr>
          <w:rFonts w:ascii="Times New Roman" w:hAnsi="Times New Roman" w:cs="Times New Roman"/>
          <w:u w:val="single"/>
        </w:rPr>
        <w:t>Revista</w:t>
      </w:r>
      <w:r w:rsidRPr="00557A67">
        <w:rPr>
          <w:rFonts w:ascii="Times New Roman" w:hAnsi="Times New Roman" w:cs="Times New Roman"/>
        </w:rPr>
        <w:t>, Bogata, Columbia, Vol.6, No.2, July-December 2011</w:t>
      </w:r>
    </w:p>
    <w:p w14:paraId="51B394FB" w14:textId="77777777" w:rsidR="00725735" w:rsidRPr="00557A67" w:rsidRDefault="00725735" w:rsidP="0030728C">
      <w:pPr>
        <w:spacing w:line="360" w:lineRule="auto"/>
        <w:jc w:val="both"/>
        <w:rPr>
          <w:rFonts w:ascii="Times New Roman" w:hAnsi="Times New Roman" w:cs="Times New Roman"/>
        </w:rPr>
      </w:pPr>
    </w:p>
    <w:p w14:paraId="4864A5E0"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Morris, M.F., </w:t>
      </w:r>
      <w:r w:rsidRPr="00557A67">
        <w:rPr>
          <w:rFonts w:ascii="Times New Roman" w:hAnsi="Times New Roman" w:cs="Times New Roman"/>
          <w:u w:val="single"/>
        </w:rPr>
        <w:t>Al-Qaeda as Insurgency</w:t>
      </w:r>
      <w:r w:rsidRPr="00557A67">
        <w:rPr>
          <w:rFonts w:ascii="Times New Roman" w:hAnsi="Times New Roman" w:cs="Times New Roman"/>
        </w:rPr>
        <w:t>, US Army War College, 2005</w:t>
      </w:r>
    </w:p>
    <w:p w14:paraId="71674656" w14:textId="77777777" w:rsidR="00725735" w:rsidRDefault="00725735" w:rsidP="0030728C">
      <w:pPr>
        <w:spacing w:line="360" w:lineRule="auto"/>
        <w:jc w:val="both"/>
        <w:rPr>
          <w:rFonts w:ascii="Times New Roman" w:hAnsi="Times New Roman" w:cs="Times New Roman"/>
        </w:rPr>
      </w:pPr>
    </w:p>
    <w:p w14:paraId="583C5253"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Nagl, J.A., </w:t>
      </w:r>
      <w:r w:rsidRPr="00557A67">
        <w:rPr>
          <w:rFonts w:ascii="Times New Roman" w:hAnsi="Times New Roman" w:cs="Times New Roman"/>
          <w:u w:val="single"/>
        </w:rPr>
        <w:t>Counterinsurgency Lessons from Malaya and Vietnam,</w:t>
      </w:r>
      <w:r w:rsidRPr="00557A67">
        <w:rPr>
          <w:rFonts w:ascii="Times New Roman" w:hAnsi="Times New Roman" w:cs="Times New Roman"/>
        </w:rPr>
        <w:t xml:space="preserve"> Praeger Publishers, United States, 2002</w:t>
      </w:r>
    </w:p>
    <w:p w14:paraId="22023353" w14:textId="77777777" w:rsidR="00725735" w:rsidRDefault="00725735" w:rsidP="0030728C">
      <w:pPr>
        <w:spacing w:line="360" w:lineRule="auto"/>
        <w:jc w:val="both"/>
        <w:rPr>
          <w:rFonts w:ascii="Times New Roman" w:hAnsi="Times New Roman" w:cs="Times New Roman"/>
        </w:rPr>
      </w:pPr>
    </w:p>
    <w:p w14:paraId="1D2F0CBA" w14:textId="77777777" w:rsidR="00725735" w:rsidRDefault="00725735" w:rsidP="0030728C">
      <w:pPr>
        <w:pStyle w:val="FootnoteText"/>
        <w:spacing w:line="360" w:lineRule="auto"/>
        <w:rPr>
          <w:rFonts w:ascii="Times New Roman" w:hAnsi="Times New Roman" w:cs="Times New Roman"/>
          <w:sz w:val="24"/>
          <w:szCs w:val="24"/>
        </w:rPr>
      </w:pPr>
      <w:r w:rsidRPr="00557A67">
        <w:rPr>
          <w:rFonts w:ascii="Times New Roman" w:hAnsi="Times New Roman" w:cs="Times New Roman"/>
          <w:sz w:val="24"/>
          <w:szCs w:val="24"/>
        </w:rPr>
        <w:t xml:space="preserve">O’Neill, B.E., Heaton, W.R. (et.al.), </w:t>
      </w:r>
      <w:r w:rsidRPr="00557A67">
        <w:rPr>
          <w:rFonts w:ascii="Times New Roman" w:hAnsi="Times New Roman" w:cs="Times New Roman"/>
          <w:sz w:val="24"/>
          <w:szCs w:val="24"/>
          <w:u w:val="single"/>
        </w:rPr>
        <w:t>Insurgency in the Modern World</w:t>
      </w:r>
      <w:r w:rsidRPr="00557A67">
        <w:rPr>
          <w:rFonts w:ascii="Times New Roman" w:hAnsi="Times New Roman" w:cs="Times New Roman"/>
          <w:sz w:val="24"/>
          <w:szCs w:val="24"/>
        </w:rPr>
        <w:t>, Westview Press, United States of America, 1980</w:t>
      </w:r>
    </w:p>
    <w:p w14:paraId="4977C826" w14:textId="77777777" w:rsidR="00725735" w:rsidRDefault="00725735" w:rsidP="0030728C">
      <w:pPr>
        <w:pStyle w:val="FootnoteText"/>
        <w:spacing w:line="360" w:lineRule="auto"/>
        <w:rPr>
          <w:rFonts w:ascii="Times New Roman" w:hAnsi="Times New Roman" w:cs="Times New Roman"/>
          <w:sz w:val="24"/>
          <w:szCs w:val="24"/>
        </w:rPr>
      </w:pPr>
    </w:p>
    <w:p w14:paraId="3107F57E" w14:textId="77777777" w:rsidR="00725735" w:rsidRDefault="00725735" w:rsidP="00725735">
      <w:pPr>
        <w:pStyle w:val="FootnoteText"/>
        <w:spacing w:line="360" w:lineRule="auto"/>
        <w:jc w:val="both"/>
        <w:rPr>
          <w:sz w:val="24"/>
          <w:szCs w:val="24"/>
        </w:rPr>
      </w:pPr>
      <w:r w:rsidRPr="00725735">
        <w:rPr>
          <w:sz w:val="24"/>
          <w:szCs w:val="24"/>
        </w:rPr>
        <w:t xml:space="preserve">Ollivant, D.A., </w:t>
      </w:r>
      <w:r w:rsidRPr="00725735">
        <w:rPr>
          <w:sz w:val="24"/>
          <w:szCs w:val="24"/>
          <w:u w:val="single"/>
        </w:rPr>
        <w:t>Renewed Violence in Iraq, Contingency Planning Memorandum No.5</w:t>
      </w:r>
      <w:r w:rsidRPr="00725735">
        <w:rPr>
          <w:sz w:val="24"/>
          <w:szCs w:val="24"/>
        </w:rPr>
        <w:t xml:space="preserve">,  Council on Foreign Relations, </w:t>
      </w:r>
      <w:hyperlink r:id="rId22" w:history="1">
        <w:r w:rsidRPr="00725735">
          <w:rPr>
            <w:rStyle w:val="Hyperlink"/>
            <w:color w:val="auto"/>
            <w:sz w:val="24"/>
            <w:szCs w:val="24"/>
            <w:u w:val="none"/>
          </w:rPr>
          <w:t>http://www.cfr.org/iraq/renewed-violence-iraq/p28808</w:t>
        </w:r>
      </w:hyperlink>
      <w:r w:rsidRPr="00725735">
        <w:rPr>
          <w:sz w:val="24"/>
          <w:szCs w:val="24"/>
        </w:rPr>
        <w:t>, Last Accessed: 12 February 2013</w:t>
      </w:r>
    </w:p>
    <w:p w14:paraId="6B9FD3AB" w14:textId="77777777" w:rsidR="008E4470" w:rsidRDefault="008E4470" w:rsidP="0030728C">
      <w:pPr>
        <w:spacing w:line="360" w:lineRule="auto"/>
        <w:jc w:val="both"/>
        <w:rPr>
          <w:rFonts w:ascii="Times New Roman" w:hAnsi="Times New Roman" w:cs="Times New Roman"/>
        </w:rPr>
      </w:pPr>
    </w:p>
    <w:p w14:paraId="5226ABE4" w14:textId="77777777" w:rsidR="00725735" w:rsidRDefault="00725735" w:rsidP="0030728C">
      <w:pPr>
        <w:spacing w:line="360" w:lineRule="auto"/>
        <w:jc w:val="both"/>
        <w:rPr>
          <w:rFonts w:ascii="Times New Roman" w:hAnsi="Times New Roman" w:cs="Times New Roman"/>
          <w:u w:val="single"/>
        </w:rPr>
      </w:pPr>
      <w:r w:rsidRPr="00557A67">
        <w:rPr>
          <w:rFonts w:ascii="Times New Roman" w:hAnsi="Times New Roman" w:cs="Times New Roman"/>
        </w:rPr>
        <w:t xml:space="preserve">Plesch, D. “The Neo-Cons, Neo-conservative Thinking Since the Onset of the Iraq War”, in </w:t>
      </w:r>
      <w:r w:rsidRPr="00557A67">
        <w:rPr>
          <w:rFonts w:ascii="Times New Roman" w:hAnsi="Times New Roman" w:cs="Times New Roman"/>
          <w:u w:val="single"/>
        </w:rPr>
        <w:t>The Iraq War and Democratic Politics</w:t>
      </w:r>
    </w:p>
    <w:p w14:paraId="04F7C8A3" w14:textId="77777777" w:rsidR="00725735" w:rsidRDefault="00725735" w:rsidP="0030728C">
      <w:pPr>
        <w:spacing w:line="360" w:lineRule="auto"/>
        <w:jc w:val="both"/>
        <w:rPr>
          <w:rFonts w:ascii="Times New Roman" w:hAnsi="Times New Roman" w:cs="Times New Roman"/>
          <w:u w:val="single"/>
        </w:rPr>
      </w:pPr>
    </w:p>
    <w:p w14:paraId="309D3846"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Rangwala, G.,“The Democratic Transition in Iraq and the Discovery of its Limitations”, in Danchev, A. and MacMillen, J. (Eds.), </w:t>
      </w:r>
      <w:r w:rsidRPr="00557A67">
        <w:rPr>
          <w:rFonts w:ascii="Times New Roman" w:hAnsi="Times New Roman" w:cs="Times New Roman"/>
          <w:u w:val="single"/>
        </w:rPr>
        <w:t>The Iraq War and Democratic Politics</w:t>
      </w:r>
      <w:r w:rsidRPr="00557A67">
        <w:rPr>
          <w:rFonts w:ascii="Times New Roman" w:hAnsi="Times New Roman" w:cs="Times New Roman"/>
        </w:rPr>
        <w:t>, Routledge, London, 2005</w:t>
      </w:r>
    </w:p>
    <w:p w14:paraId="30D8DA86" w14:textId="77777777" w:rsidR="00725735" w:rsidRDefault="00725735" w:rsidP="0030728C">
      <w:pPr>
        <w:spacing w:line="360" w:lineRule="auto"/>
        <w:jc w:val="both"/>
        <w:rPr>
          <w:rFonts w:ascii="Times New Roman" w:hAnsi="Times New Roman" w:cs="Times New Roman"/>
        </w:rPr>
      </w:pPr>
    </w:p>
    <w:p w14:paraId="1A84A53B"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Rigden, O.B.E., </w:t>
      </w:r>
      <w:r w:rsidRPr="00557A67">
        <w:rPr>
          <w:rFonts w:ascii="Times New Roman" w:hAnsi="Times New Roman" w:cs="Times New Roman"/>
          <w:u w:val="single"/>
        </w:rPr>
        <w:t>The British Approach to Counterinsurgency: Myths, Realities and Strategic Challenges,</w:t>
      </w:r>
      <w:r w:rsidRPr="00557A67">
        <w:rPr>
          <w:rFonts w:ascii="Times New Roman" w:hAnsi="Times New Roman" w:cs="Times New Roman"/>
        </w:rPr>
        <w:t xml:space="preserve"> U.S Army War College, United States, 2008</w:t>
      </w:r>
    </w:p>
    <w:p w14:paraId="0A442132" w14:textId="77777777" w:rsidR="00725735" w:rsidRDefault="00725735" w:rsidP="0030728C">
      <w:pPr>
        <w:spacing w:line="360" w:lineRule="auto"/>
        <w:jc w:val="both"/>
        <w:rPr>
          <w:rFonts w:ascii="Times New Roman" w:hAnsi="Times New Roman" w:cs="Times New Roman"/>
        </w:rPr>
      </w:pPr>
    </w:p>
    <w:p w14:paraId="6DC38D11"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Santos, D.N., </w:t>
      </w:r>
      <w:r w:rsidRPr="00557A67">
        <w:rPr>
          <w:rFonts w:ascii="Times New Roman" w:hAnsi="Times New Roman" w:cs="Times New Roman"/>
          <w:u w:val="single"/>
        </w:rPr>
        <w:t>Counterterrorism vs. Counterinsurgency: Lessons from Algeria and Afghanistan</w:t>
      </w:r>
      <w:r w:rsidRPr="00557A67">
        <w:rPr>
          <w:rFonts w:ascii="Times New Roman" w:hAnsi="Times New Roman" w:cs="Times New Roman"/>
        </w:rPr>
        <w:t>, in “Small Wars Journal”</w:t>
      </w:r>
      <w:r w:rsidRPr="00557A67">
        <w:rPr>
          <w:rFonts w:ascii="Times New Roman" w:hAnsi="Times New Roman" w:cs="Times New Roman"/>
          <w:i/>
        </w:rPr>
        <w:t>,</w:t>
      </w:r>
      <w:r w:rsidRPr="00557A67">
        <w:rPr>
          <w:rFonts w:ascii="Times New Roman" w:hAnsi="Times New Roman" w:cs="Times New Roman"/>
        </w:rPr>
        <w:t xml:space="preserve"> Small Wars Foundation, United States, 2001</w:t>
      </w:r>
    </w:p>
    <w:p w14:paraId="72BA3ED2" w14:textId="77777777" w:rsidR="00725735" w:rsidRDefault="00725735" w:rsidP="0030728C">
      <w:pPr>
        <w:spacing w:line="360" w:lineRule="auto"/>
        <w:jc w:val="both"/>
        <w:rPr>
          <w:rFonts w:ascii="Times New Roman" w:hAnsi="Times New Roman" w:cs="Times New Roman"/>
        </w:rPr>
      </w:pPr>
    </w:p>
    <w:p w14:paraId="0207ADB4"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Schweitzer, Y. “The War in Iraq and International Terrorism”, in Feldman, S., </w:t>
      </w:r>
      <w:r w:rsidRPr="00557A67">
        <w:rPr>
          <w:rFonts w:ascii="Times New Roman" w:hAnsi="Times New Roman" w:cs="Times New Roman"/>
          <w:u w:val="single"/>
        </w:rPr>
        <w:t>After the War in Iraq: Defining the New Strategic Balance</w:t>
      </w:r>
      <w:r w:rsidRPr="00557A67">
        <w:rPr>
          <w:rFonts w:ascii="Times New Roman" w:hAnsi="Times New Roman" w:cs="Times New Roman"/>
        </w:rPr>
        <w:t>, Sussex Academic Press, England, 2003</w:t>
      </w:r>
    </w:p>
    <w:p w14:paraId="6E08FF50" w14:textId="77777777" w:rsidR="00725735" w:rsidRDefault="00725735" w:rsidP="0030728C">
      <w:pPr>
        <w:spacing w:line="360" w:lineRule="auto"/>
        <w:jc w:val="both"/>
        <w:rPr>
          <w:rFonts w:ascii="Times New Roman" w:hAnsi="Times New Roman" w:cs="Times New Roman"/>
        </w:rPr>
      </w:pPr>
    </w:p>
    <w:p w14:paraId="6D44157F" w14:textId="66D1CF0D" w:rsidR="00DE6D82" w:rsidRPr="00DE6D82"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Spjut, R.J. “A Review of Counter-Insurgency Theorists”, in </w:t>
      </w:r>
      <w:r w:rsidRPr="00557A67">
        <w:rPr>
          <w:rFonts w:ascii="Times New Roman" w:hAnsi="Times New Roman" w:cs="Times New Roman"/>
          <w:u w:val="single"/>
        </w:rPr>
        <w:t>Political Quarterly</w:t>
      </w:r>
      <w:r w:rsidRPr="00557A67">
        <w:rPr>
          <w:rFonts w:ascii="Times New Roman" w:hAnsi="Times New Roman" w:cs="Times New Roman"/>
        </w:rPr>
        <w:t xml:space="preserve">, </w:t>
      </w:r>
      <w:r>
        <w:rPr>
          <w:rFonts w:ascii="Times New Roman" w:hAnsi="Times New Roman" w:cs="Times New Roman"/>
        </w:rPr>
        <w:t xml:space="preserve">Vol.49, No.1, January 1978 </w:t>
      </w:r>
    </w:p>
    <w:p w14:paraId="6A37982C" w14:textId="77777777" w:rsidR="00725735" w:rsidRDefault="00725735" w:rsidP="0030728C">
      <w:pPr>
        <w:spacing w:line="360" w:lineRule="auto"/>
        <w:jc w:val="both"/>
        <w:rPr>
          <w:rFonts w:ascii="Times New Roman" w:hAnsi="Times New Roman" w:cs="Times New Roman"/>
        </w:rPr>
      </w:pPr>
    </w:p>
    <w:p w14:paraId="341E4D75"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Tappeiner, I., </w:t>
      </w:r>
      <w:r w:rsidRPr="00557A67">
        <w:rPr>
          <w:rFonts w:ascii="Times New Roman" w:hAnsi="Times New Roman" w:cs="Times New Roman"/>
          <w:u w:val="single"/>
        </w:rPr>
        <w:t>The Fight Against Terrorism, The Lists and Gaps,</w:t>
      </w:r>
      <w:r w:rsidRPr="00557A67">
        <w:rPr>
          <w:rFonts w:ascii="Times New Roman" w:hAnsi="Times New Roman" w:cs="Times New Roman"/>
        </w:rPr>
        <w:t xml:space="preserve"> Ultrecht Law Review, University of Ultrecht, Vol.1, No.1, September 2005</w:t>
      </w:r>
    </w:p>
    <w:p w14:paraId="2FEDD3A7" w14:textId="77777777" w:rsidR="002001FB" w:rsidRDefault="002001FB" w:rsidP="0030728C">
      <w:pPr>
        <w:spacing w:line="360" w:lineRule="auto"/>
        <w:jc w:val="both"/>
      </w:pPr>
    </w:p>
    <w:p w14:paraId="71D5B06A" w14:textId="7A768589" w:rsidR="00725735" w:rsidRDefault="002001FB" w:rsidP="0030728C">
      <w:pPr>
        <w:spacing w:line="360" w:lineRule="auto"/>
        <w:jc w:val="both"/>
        <w:rPr>
          <w:rFonts w:ascii="Times New Roman" w:hAnsi="Times New Roman" w:cs="Times New Roman"/>
        </w:rPr>
      </w:pPr>
      <w:r>
        <w:t xml:space="preserve">Thackston, R.C., </w:t>
      </w:r>
      <w:r w:rsidRPr="002001FB">
        <w:rPr>
          <w:u w:val="single"/>
        </w:rPr>
        <w:t>Urban Counterinsurgency in a Democracy: Great Britain Versus the Irish Republican Army</w:t>
      </w:r>
      <w:r>
        <w:t>, The Naval War College, Newport, 1993</w:t>
      </w:r>
    </w:p>
    <w:p w14:paraId="09B9AB27" w14:textId="77777777" w:rsidR="002001FB" w:rsidRDefault="002001FB" w:rsidP="0030728C">
      <w:pPr>
        <w:spacing w:line="360" w:lineRule="auto"/>
        <w:jc w:val="both"/>
        <w:rPr>
          <w:rFonts w:ascii="Times New Roman" w:hAnsi="Times New Roman" w:cs="Times New Roman"/>
        </w:rPr>
      </w:pPr>
    </w:p>
    <w:p w14:paraId="098E5F65"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Thompson, R., </w:t>
      </w:r>
      <w:r w:rsidRPr="00557A67">
        <w:rPr>
          <w:rFonts w:ascii="Times New Roman" w:hAnsi="Times New Roman" w:cs="Times New Roman"/>
          <w:u w:val="single"/>
        </w:rPr>
        <w:t>Defeating Communist Insurgency</w:t>
      </w:r>
      <w:r w:rsidRPr="00557A67">
        <w:rPr>
          <w:rFonts w:ascii="Times New Roman" w:hAnsi="Times New Roman" w:cs="Times New Roman"/>
        </w:rPr>
        <w:t>, Chatto and Windus, London, 1967</w:t>
      </w:r>
    </w:p>
    <w:p w14:paraId="30991112" w14:textId="77777777" w:rsidR="00725735" w:rsidRDefault="00725735" w:rsidP="0030728C">
      <w:pPr>
        <w:spacing w:line="360" w:lineRule="auto"/>
        <w:jc w:val="both"/>
        <w:rPr>
          <w:rFonts w:ascii="Times New Roman" w:hAnsi="Times New Roman" w:cs="Times New Roman"/>
        </w:rPr>
      </w:pPr>
    </w:p>
    <w:p w14:paraId="35EE49A8"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Tomlinson, M. “Relegating Local Government”, in O’Dowd, L., Rolston, B. and Tomlinson, M., </w:t>
      </w:r>
      <w:r w:rsidRPr="00557A67">
        <w:rPr>
          <w:rFonts w:ascii="Times New Roman" w:hAnsi="Times New Roman" w:cs="Times New Roman"/>
          <w:u w:val="single"/>
        </w:rPr>
        <w:t>Northern Ireland: Between Civil Rights and Civil War</w:t>
      </w:r>
      <w:r w:rsidRPr="00557A67">
        <w:rPr>
          <w:rFonts w:ascii="Times New Roman" w:hAnsi="Times New Roman" w:cs="Times New Roman"/>
        </w:rPr>
        <w:t>, CSE Books, London, 1980</w:t>
      </w:r>
    </w:p>
    <w:p w14:paraId="16CEB537" w14:textId="77777777" w:rsidR="00725735" w:rsidRDefault="00725735" w:rsidP="0030728C">
      <w:pPr>
        <w:spacing w:line="360" w:lineRule="auto"/>
        <w:jc w:val="both"/>
        <w:rPr>
          <w:rFonts w:ascii="Times New Roman" w:hAnsi="Times New Roman" w:cs="Times New Roman"/>
        </w:rPr>
      </w:pPr>
    </w:p>
    <w:p w14:paraId="713AB777"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Viljoen, C.L., </w:t>
      </w:r>
      <w:r w:rsidRPr="00557A67">
        <w:rPr>
          <w:rFonts w:ascii="Times New Roman" w:hAnsi="Times New Roman" w:cs="Times New Roman"/>
          <w:u w:val="single"/>
        </w:rPr>
        <w:t>Revolutionary Warfare and Counter Insurgency</w:t>
      </w:r>
      <w:r w:rsidRPr="00557A67">
        <w:rPr>
          <w:rFonts w:ascii="Times New Roman" w:hAnsi="Times New Roman" w:cs="Times New Roman"/>
        </w:rPr>
        <w:t>, in Hough, M., “Revolutionary Warfare and Counter Insurgency”, Institute for Strategic Studies University of Pretoria, South Africa, 1984</w:t>
      </w:r>
    </w:p>
    <w:p w14:paraId="130AC198" w14:textId="77777777" w:rsidR="00725735" w:rsidRDefault="00725735" w:rsidP="0030728C">
      <w:pPr>
        <w:spacing w:line="360" w:lineRule="auto"/>
        <w:jc w:val="both"/>
        <w:rPr>
          <w:rFonts w:ascii="Times New Roman" w:hAnsi="Times New Roman" w:cs="Times New Roman"/>
        </w:rPr>
      </w:pPr>
    </w:p>
    <w:p w14:paraId="749D426B"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Wilson, D. and Tyrrell, J. “Institutions for Conciliation and Mediation”, in Dunn, S., </w:t>
      </w:r>
      <w:r w:rsidRPr="00557A67">
        <w:rPr>
          <w:rFonts w:ascii="Times New Roman" w:hAnsi="Times New Roman" w:cs="Times New Roman"/>
          <w:u w:val="single"/>
        </w:rPr>
        <w:t>Facets of the Northern Ireland Conflict</w:t>
      </w:r>
      <w:r w:rsidRPr="00557A67">
        <w:rPr>
          <w:rFonts w:ascii="Times New Roman" w:hAnsi="Times New Roman" w:cs="Times New Roman"/>
        </w:rPr>
        <w:t>, St.Martins Press, New York, 1995</w:t>
      </w:r>
    </w:p>
    <w:p w14:paraId="1EB1AA0E" w14:textId="77777777" w:rsidR="00725735" w:rsidRDefault="00725735" w:rsidP="0030728C">
      <w:pPr>
        <w:spacing w:line="360" w:lineRule="auto"/>
        <w:jc w:val="both"/>
        <w:rPr>
          <w:rFonts w:ascii="Times New Roman" w:hAnsi="Times New Roman" w:cs="Times New Roman"/>
        </w:rPr>
      </w:pPr>
    </w:p>
    <w:p w14:paraId="5009FC2E" w14:textId="77777777" w:rsidR="00725735" w:rsidRDefault="00725735" w:rsidP="0030728C">
      <w:pPr>
        <w:spacing w:line="360" w:lineRule="auto"/>
        <w:jc w:val="both"/>
        <w:rPr>
          <w:rFonts w:ascii="Times New Roman" w:hAnsi="Times New Roman" w:cs="Times New Roman"/>
        </w:rPr>
      </w:pPr>
      <w:r w:rsidRPr="00557A67">
        <w:rPr>
          <w:rFonts w:ascii="Times New Roman" w:hAnsi="Times New Roman" w:cs="Times New Roman"/>
        </w:rPr>
        <w:t xml:space="preserve">Woodwell, D.,“The ‘Troubles’ of Northern Ireland: Civil Conflict in an Economically Well-Developed State”, in Collier, P. and Sambanis, N. (Eds.), </w:t>
      </w:r>
      <w:r w:rsidRPr="00557A67">
        <w:rPr>
          <w:rFonts w:ascii="Times New Roman" w:hAnsi="Times New Roman" w:cs="Times New Roman"/>
          <w:u w:val="single"/>
        </w:rPr>
        <w:t>Understanding Civil War</w:t>
      </w:r>
      <w:r w:rsidRPr="00557A67">
        <w:rPr>
          <w:rFonts w:ascii="Times New Roman" w:hAnsi="Times New Roman" w:cs="Times New Roman"/>
        </w:rPr>
        <w:t>, World Bank Publications, Washington, 2005</w:t>
      </w:r>
    </w:p>
    <w:p w14:paraId="3E9AA623" w14:textId="77777777" w:rsidR="00725735" w:rsidRDefault="00725735" w:rsidP="00725735">
      <w:pPr>
        <w:spacing w:line="360" w:lineRule="auto"/>
        <w:jc w:val="both"/>
        <w:rPr>
          <w:rFonts w:ascii="Times New Roman" w:hAnsi="Times New Roman" w:cs="Times New Roman"/>
        </w:rPr>
      </w:pPr>
    </w:p>
    <w:p w14:paraId="1D8CB2F4" w14:textId="77777777" w:rsidR="00DE6D82" w:rsidRPr="00725735" w:rsidRDefault="00DE6D82" w:rsidP="00725735">
      <w:pPr>
        <w:spacing w:line="360" w:lineRule="auto"/>
        <w:jc w:val="both"/>
        <w:rPr>
          <w:rFonts w:ascii="Times New Roman" w:hAnsi="Times New Roman" w:cs="Times New Roman"/>
        </w:rPr>
      </w:pPr>
    </w:p>
    <w:p w14:paraId="36B375CE" w14:textId="4E57706D" w:rsidR="00B22C79" w:rsidRDefault="00B22C79" w:rsidP="00B22C79">
      <w:pPr>
        <w:tabs>
          <w:tab w:val="left" w:pos="142"/>
        </w:tabs>
        <w:spacing w:line="360" w:lineRule="auto"/>
        <w:ind w:left="-567" w:right="-568"/>
        <w:jc w:val="both"/>
        <w:rPr>
          <w:rFonts w:ascii="Times New Roman" w:hAnsi="Times New Roman" w:cs="Times New Roman"/>
        </w:rPr>
      </w:pPr>
    </w:p>
    <w:p w14:paraId="4C4E74F9" w14:textId="77777777" w:rsidR="00032ED6" w:rsidRDefault="00032ED6" w:rsidP="00032ED6">
      <w:pPr>
        <w:tabs>
          <w:tab w:val="left" w:pos="142"/>
        </w:tabs>
        <w:spacing w:line="360" w:lineRule="auto"/>
        <w:ind w:left="-567" w:right="-568"/>
        <w:jc w:val="both"/>
        <w:rPr>
          <w:rFonts w:ascii="Times New Roman" w:hAnsi="Times New Roman" w:cs="Times New Roman"/>
        </w:rPr>
      </w:pPr>
    </w:p>
    <w:p w14:paraId="78EA4959" w14:textId="77777777" w:rsidR="00032ED6" w:rsidRDefault="00032ED6" w:rsidP="00032ED6">
      <w:pPr>
        <w:tabs>
          <w:tab w:val="left" w:pos="142"/>
        </w:tabs>
        <w:spacing w:line="360" w:lineRule="auto"/>
        <w:ind w:left="-567" w:right="-568"/>
        <w:jc w:val="both"/>
        <w:rPr>
          <w:rFonts w:ascii="Times New Roman" w:hAnsi="Times New Roman" w:cs="Times New Roman"/>
        </w:rPr>
      </w:pPr>
    </w:p>
    <w:p w14:paraId="69746A08" w14:textId="77777777" w:rsidR="005F691C" w:rsidRDefault="005F691C" w:rsidP="005F691C">
      <w:pPr>
        <w:spacing w:line="360" w:lineRule="auto"/>
        <w:ind w:right="-568"/>
        <w:jc w:val="both"/>
        <w:rPr>
          <w:rFonts w:ascii="Times New Roman" w:hAnsi="Times New Roman" w:cs="Times New Roman"/>
        </w:rPr>
      </w:pPr>
    </w:p>
    <w:p w14:paraId="3214A2FA" w14:textId="77777777" w:rsidR="005F691C" w:rsidRDefault="005F691C" w:rsidP="005F691C">
      <w:pPr>
        <w:spacing w:line="360" w:lineRule="auto"/>
        <w:ind w:right="-568"/>
        <w:jc w:val="both"/>
        <w:rPr>
          <w:rFonts w:ascii="Times New Roman" w:hAnsi="Times New Roman" w:cs="Times New Roman"/>
        </w:rPr>
      </w:pPr>
    </w:p>
    <w:p w14:paraId="5CBD2424" w14:textId="77777777" w:rsidR="005F691C" w:rsidRDefault="005F691C" w:rsidP="005F691C">
      <w:pPr>
        <w:spacing w:line="360" w:lineRule="auto"/>
        <w:ind w:right="-568"/>
        <w:jc w:val="both"/>
        <w:rPr>
          <w:rFonts w:ascii="Times New Roman" w:hAnsi="Times New Roman" w:cs="Times New Roman"/>
        </w:rPr>
      </w:pPr>
    </w:p>
    <w:p w14:paraId="5F205251" w14:textId="77777777" w:rsidR="005F691C" w:rsidRDefault="005F691C" w:rsidP="005F691C">
      <w:pPr>
        <w:spacing w:line="360" w:lineRule="auto"/>
        <w:ind w:right="-568"/>
        <w:jc w:val="both"/>
        <w:rPr>
          <w:rFonts w:ascii="Times New Roman" w:hAnsi="Times New Roman" w:cs="Times New Roman"/>
        </w:rPr>
      </w:pPr>
    </w:p>
    <w:p w14:paraId="7602D413" w14:textId="77777777" w:rsidR="005F691C" w:rsidRDefault="005F691C" w:rsidP="005F691C">
      <w:pPr>
        <w:spacing w:line="360" w:lineRule="auto"/>
        <w:ind w:right="-568"/>
        <w:jc w:val="both"/>
        <w:rPr>
          <w:rFonts w:ascii="Times New Roman" w:hAnsi="Times New Roman" w:cs="Times New Roman"/>
        </w:rPr>
      </w:pPr>
    </w:p>
    <w:p w14:paraId="658ED742" w14:textId="77777777" w:rsidR="005F691C" w:rsidRDefault="005F691C" w:rsidP="005F691C">
      <w:pPr>
        <w:spacing w:line="360" w:lineRule="auto"/>
        <w:jc w:val="both"/>
        <w:rPr>
          <w:rFonts w:ascii="Times New Roman" w:hAnsi="Times New Roman" w:cs="Times New Roman"/>
        </w:rPr>
      </w:pPr>
    </w:p>
    <w:p w14:paraId="33E4F0A5" w14:textId="77777777" w:rsidR="005F691C" w:rsidRDefault="005F691C" w:rsidP="005F691C">
      <w:pPr>
        <w:spacing w:line="360" w:lineRule="auto"/>
        <w:ind w:right="-568"/>
        <w:jc w:val="both"/>
        <w:rPr>
          <w:rFonts w:ascii="Times New Roman" w:hAnsi="Times New Roman" w:cs="Times New Roman"/>
        </w:rPr>
      </w:pPr>
    </w:p>
    <w:p w14:paraId="70F0B278" w14:textId="77777777" w:rsidR="005F691C" w:rsidRPr="00C7443B" w:rsidRDefault="005F691C" w:rsidP="005F691C">
      <w:pPr>
        <w:spacing w:line="360" w:lineRule="auto"/>
        <w:jc w:val="both"/>
        <w:rPr>
          <w:rFonts w:ascii="Times New Roman" w:hAnsi="Times New Roman" w:cs="Times New Roman"/>
        </w:rPr>
      </w:pPr>
    </w:p>
    <w:p w14:paraId="5CFB9F33" w14:textId="77777777" w:rsidR="005F691C" w:rsidRDefault="005F691C" w:rsidP="005F691C">
      <w:pPr>
        <w:spacing w:line="360" w:lineRule="auto"/>
        <w:jc w:val="both"/>
      </w:pPr>
    </w:p>
    <w:p w14:paraId="3C17603D" w14:textId="77777777" w:rsidR="005F691C" w:rsidRDefault="005F691C" w:rsidP="005F691C">
      <w:pPr>
        <w:spacing w:line="360" w:lineRule="auto"/>
        <w:ind w:left="-567"/>
        <w:jc w:val="both"/>
      </w:pPr>
    </w:p>
    <w:p w14:paraId="1F70ACDE" w14:textId="77777777" w:rsidR="005F691C" w:rsidRPr="005F691C" w:rsidRDefault="005F691C">
      <w:pPr>
        <w:rPr>
          <w:rFonts w:ascii="Times New Roman" w:hAnsi="Times New Roman" w:cs="Times New Roman"/>
          <w:b/>
          <w:u w:val="single"/>
        </w:rPr>
      </w:pPr>
    </w:p>
    <w:sectPr w:rsidR="005F691C" w:rsidRPr="005F691C" w:rsidSect="006E0D85">
      <w:headerReference w:type="even" r:id="rId23"/>
      <w:headerReference w:type="default" r:id="rId24"/>
      <w:footerReference w:type="even" r:id="rId25"/>
      <w:footerReference w:type="default" r:id="rId26"/>
      <w:pgSz w:w="11900" w:h="16840"/>
      <w:pgMar w:top="1440" w:right="1694" w:bottom="14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E29FB7" w14:textId="77777777" w:rsidR="002001FB" w:rsidRDefault="002001FB" w:rsidP="00580699">
      <w:r>
        <w:separator/>
      </w:r>
    </w:p>
  </w:endnote>
  <w:endnote w:type="continuationSeparator" w:id="0">
    <w:p w14:paraId="0BEE2CBC" w14:textId="77777777" w:rsidR="002001FB" w:rsidRDefault="002001FB" w:rsidP="00580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Optima">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6CB50" w14:textId="77777777" w:rsidR="002001FB" w:rsidRDefault="002001FB" w:rsidP="005E73A8">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end"/>
    </w:r>
  </w:p>
  <w:p w14:paraId="09A26C3F" w14:textId="77777777" w:rsidR="002001FB" w:rsidRDefault="002001FB" w:rsidP="005E257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2CF09" w14:textId="77777777" w:rsidR="002001FB" w:rsidRDefault="002001FB" w:rsidP="005E73A8">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C70C58">
      <w:rPr>
        <w:rStyle w:val="PageNumber"/>
        <w:noProof/>
      </w:rPr>
      <w:t>95</w:t>
    </w:r>
    <w:r>
      <w:rPr>
        <w:rStyle w:val="PageNumber"/>
      </w:rPr>
      <w:fldChar w:fldCharType="end"/>
    </w:r>
  </w:p>
  <w:p w14:paraId="431D7060" w14:textId="77777777" w:rsidR="002001FB" w:rsidRDefault="002001FB" w:rsidP="005E2576">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41009" w14:textId="77777777" w:rsidR="002001FB" w:rsidRDefault="002001FB" w:rsidP="00580699">
      <w:r>
        <w:separator/>
      </w:r>
    </w:p>
  </w:footnote>
  <w:footnote w:type="continuationSeparator" w:id="0">
    <w:p w14:paraId="0FAECAF5" w14:textId="77777777" w:rsidR="002001FB" w:rsidRDefault="002001FB" w:rsidP="00580699">
      <w:r>
        <w:continuationSeparator/>
      </w:r>
    </w:p>
  </w:footnote>
  <w:footnote w:id="1">
    <w:p w14:paraId="5A7105ED" w14:textId="77777777" w:rsidR="002001FB" w:rsidRDefault="002001FB" w:rsidP="00580699">
      <w:pPr>
        <w:pStyle w:val="FootnoteText"/>
      </w:pPr>
      <w:r>
        <w:rPr>
          <w:rStyle w:val="FootnoteReference"/>
        </w:rPr>
        <w:footnoteRef/>
      </w:r>
      <w:r>
        <w:t xml:space="preserve"> O’Neill, B.E., Heaton, W.R. (et.al.), </w:t>
      </w:r>
      <w:r w:rsidRPr="009D4EA9">
        <w:rPr>
          <w:u w:val="single"/>
        </w:rPr>
        <w:t>Insurgency in the Modern World</w:t>
      </w:r>
      <w:r>
        <w:t>, Westview Press, United States of America, 1980, p. ix</w:t>
      </w:r>
    </w:p>
  </w:footnote>
  <w:footnote w:id="2">
    <w:p w14:paraId="3CFD312F" w14:textId="77777777" w:rsidR="002001FB" w:rsidRDefault="002001FB" w:rsidP="00580699">
      <w:pPr>
        <w:pStyle w:val="FootnoteText"/>
      </w:pPr>
      <w:r>
        <w:rPr>
          <w:rStyle w:val="FootnoteReference"/>
        </w:rPr>
        <w:footnoteRef/>
      </w:r>
      <w:r>
        <w:t xml:space="preserve"> Jackson, A.B., </w:t>
      </w:r>
      <w:r w:rsidRPr="005B29BD">
        <w:rPr>
          <w:u w:val="single"/>
        </w:rPr>
        <w:t>Counterinsurgency Intelligence in a “Long War”</w:t>
      </w:r>
      <w:r>
        <w:t>, The British Experience in Northern Ireland, Military Review, January-February 2007, Rand Corporation, P.76</w:t>
      </w:r>
    </w:p>
  </w:footnote>
  <w:footnote w:id="3">
    <w:p w14:paraId="5854BAFA" w14:textId="77777777" w:rsidR="002001FB" w:rsidRDefault="002001FB" w:rsidP="00580699">
      <w:pPr>
        <w:pStyle w:val="FootnoteText"/>
      </w:pPr>
      <w:r>
        <w:rPr>
          <w:rStyle w:val="FootnoteReference"/>
        </w:rPr>
        <w:footnoteRef/>
      </w:r>
      <w:r>
        <w:t xml:space="preserve"> Mirzoeff, N., </w:t>
      </w:r>
      <w:r w:rsidRPr="005B29BD">
        <w:rPr>
          <w:u w:val="single"/>
        </w:rPr>
        <w:t>War is Culture: Global Counterinsurgency, Visuality, and the Petraeus Doctrine</w:t>
      </w:r>
      <w:r>
        <w:t>, The Modern Language Association of America, 2009, p. 1</w:t>
      </w:r>
    </w:p>
  </w:footnote>
  <w:footnote w:id="4">
    <w:p w14:paraId="45960008" w14:textId="77777777" w:rsidR="002001FB" w:rsidRDefault="002001FB" w:rsidP="00580699">
      <w:pPr>
        <w:pStyle w:val="FootnoteText"/>
      </w:pPr>
      <w:r>
        <w:rPr>
          <w:rStyle w:val="FootnoteReference"/>
        </w:rPr>
        <w:footnoteRef/>
      </w:r>
      <w:r>
        <w:t xml:space="preserve"> Krisel, R.S., </w:t>
      </w:r>
      <w:r w:rsidRPr="005B29BD">
        <w:rPr>
          <w:u w:val="single"/>
        </w:rPr>
        <w:t>The Hidden Costs of US Counterinsurgency Strategy</w:t>
      </w:r>
      <w:r>
        <w:t xml:space="preserve">, Wesleyan University, 2010, P.4 </w:t>
      </w:r>
    </w:p>
  </w:footnote>
  <w:footnote w:id="5">
    <w:p w14:paraId="65C36DB4" w14:textId="52872C31" w:rsidR="002001FB" w:rsidRPr="00837DF7" w:rsidRDefault="002001FB" w:rsidP="00580699">
      <w:pPr>
        <w:pStyle w:val="FootnoteText"/>
        <w:rPr>
          <w:rFonts w:ascii="Constantia" w:hAnsi="Constantia"/>
          <w:sz w:val="24"/>
          <w:szCs w:val="24"/>
        </w:rPr>
      </w:pPr>
      <w:r>
        <w:rPr>
          <w:rStyle w:val="FootnoteReference"/>
        </w:rPr>
        <w:footnoteRef/>
      </w:r>
      <w:r>
        <w:t xml:space="preserve"> </w:t>
      </w:r>
      <w:r w:rsidRPr="007446D2">
        <w:rPr>
          <w:rFonts w:cstheme="minorHAnsi"/>
        </w:rPr>
        <w:t xml:space="preserve">Kruys,G., “Post-Cold War/11 September 2001 Insurgency and Counterinsurgency with Specific Reference to Iraq and Afghanistan”, in  Hough, M., Kruys, G.P.H,  and Du Plessis, A., </w:t>
      </w:r>
      <w:r w:rsidRPr="007446D2">
        <w:rPr>
          <w:rFonts w:cstheme="minorHAnsi"/>
          <w:u w:val="single"/>
        </w:rPr>
        <w:t xml:space="preserve">Contemporary Terrorism and Insurgency: Selected Case Studies and Responses, </w:t>
      </w:r>
      <w:r w:rsidRPr="007446D2">
        <w:rPr>
          <w:rFonts w:cstheme="minorHAnsi"/>
        </w:rPr>
        <w:t>Ad Hoc Publication No. 42. November 2005. Institute for Strategic Studies, University of Pretoria, p.38</w:t>
      </w:r>
    </w:p>
  </w:footnote>
  <w:footnote w:id="6">
    <w:p w14:paraId="15548063" w14:textId="77777777" w:rsidR="002001FB" w:rsidRDefault="002001FB" w:rsidP="00580699">
      <w:pPr>
        <w:pStyle w:val="FootnoteText"/>
      </w:pPr>
      <w:r>
        <w:rPr>
          <w:rStyle w:val="FootnoteReference"/>
        </w:rPr>
        <w:footnoteRef/>
      </w:r>
      <w:r>
        <w:t xml:space="preserve"> Santos, D.N., </w:t>
      </w:r>
      <w:r w:rsidRPr="00256E90">
        <w:rPr>
          <w:u w:val="single"/>
        </w:rPr>
        <w:t>Counterterrorism vs. Counterinsurgency: Lessons from Algeria and Afghanistan</w:t>
      </w:r>
      <w:r>
        <w:t>, in “</w:t>
      </w:r>
      <w:r w:rsidRPr="00256E90">
        <w:t>Small Wars Journal</w:t>
      </w:r>
      <w:r>
        <w:t>”</w:t>
      </w:r>
      <w:r>
        <w:rPr>
          <w:i/>
        </w:rPr>
        <w:t>,</w:t>
      </w:r>
      <w:r>
        <w:t xml:space="preserve"> Small Wars Foundation, United States, 2001, p.1</w:t>
      </w:r>
    </w:p>
  </w:footnote>
  <w:footnote w:id="7">
    <w:p w14:paraId="65CE2251" w14:textId="66C4E02E" w:rsidR="002001FB" w:rsidRPr="00A575A5" w:rsidRDefault="002001FB" w:rsidP="00580699">
      <w:pPr>
        <w:pStyle w:val="FootnoteText"/>
      </w:pPr>
      <w:r>
        <w:rPr>
          <w:rStyle w:val="FootnoteReference"/>
        </w:rPr>
        <w:footnoteRef/>
      </w:r>
      <w:r>
        <w:t xml:space="preserve"> </w:t>
      </w:r>
      <w:r>
        <w:rPr>
          <w:u w:val="single"/>
        </w:rPr>
        <w:t>Loccit.</w:t>
      </w:r>
    </w:p>
  </w:footnote>
  <w:footnote w:id="8">
    <w:p w14:paraId="30075ACA" w14:textId="786516E7" w:rsidR="002001FB" w:rsidRDefault="002001FB" w:rsidP="00580699">
      <w:pPr>
        <w:pStyle w:val="FootnoteText"/>
      </w:pPr>
      <w:r>
        <w:rPr>
          <w:rStyle w:val="FootnoteReference"/>
        </w:rPr>
        <w:footnoteRef/>
      </w:r>
      <w:r>
        <w:t xml:space="preserve"> Eisenstadt, M., White, J., “Assessing Iraq’s Sunni Arab Insurgency”, in Evans, S.S, </w:t>
      </w:r>
      <w:r w:rsidRPr="007446D2">
        <w:rPr>
          <w:u w:val="single"/>
        </w:rPr>
        <w:t>U.S. Marines and Irregular Warfare, 1898-2007: Anthology and Selected Bibliography</w:t>
      </w:r>
      <w:r>
        <w:t>, Marine Corps University Press: US. 2008, p.266</w:t>
      </w:r>
    </w:p>
  </w:footnote>
  <w:footnote w:id="9">
    <w:p w14:paraId="2532B74C" w14:textId="4D276696" w:rsidR="002001FB" w:rsidRDefault="002001FB" w:rsidP="00580699">
      <w:pPr>
        <w:pStyle w:val="FootnoteText"/>
      </w:pPr>
      <w:r>
        <w:rPr>
          <w:rStyle w:val="FootnoteReference"/>
        </w:rPr>
        <w:footnoteRef/>
      </w:r>
      <w:r>
        <w:t xml:space="preserve"> Petraeus, D.H., Amos, J.F., </w:t>
      </w:r>
      <w:r w:rsidRPr="007F3335">
        <w:rPr>
          <w:u w:val="single"/>
        </w:rPr>
        <w:t>Counterinsurgency (FM 3-24)</w:t>
      </w:r>
      <w:r>
        <w:t>, Headquarters Department of the Army, 2006, p. ix</w:t>
      </w:r>
    </w:p>
  </w:footnote>
  <w:footnote w:id="10">
    <w:p w14:paraId="25AEB621" w14:textId="77777777" w:rsidR="002001FB" w:rsidRPr="00C16824" w:rsidRDefault="002001FB" w:rsidP="00580699">
      <w:pPr>
        <w:pStyle w:val="FootnoteText"/>
      </w:pPr>
      <w:r>
        <w:rPr>
          <w:rStyle w:val="FootnoteReference"/>
        </w:rPr>
        <w:footnoteRef/>
      </w:r>
      <w:r>
        <w:t xml:space="preserve"> Tappeiner, I., </w:t>
      </w:r>
      <w:r>
        <w:rPr>
          <w:u w:val="single"/>
        </w:rPr>
        <w:t>The Fight Against Terrorism, The Lists and Gaps,</w:t>
      </w:r>
      <w:r>
        <w:t xml:space="preserve"> Ultrecht Law Review, University of Ultrecht, Vol.1, No.1, September 2005, p.97</w:t>
      </w:r>
    </w:p>
  </w:footnote>
  <w:footnote w:id="11">
    <w:p w14:paraId="3A8DC975" w14:textId="77777777" w:rsidR="002001FB" w:rsidRDefault="002001FB" w:rsidP="00580699">
      <w:pPr>
        <w:pStyle w:val="FootnoteText"/>
      </w:pPr>
      <w:r>
        <w:rPr>
          <w:rStyle w:val="FootnoteReference"/>
        </w:rPr>
        <w:footnoteRef/>
      </w:r>
      <w:r>
        <w:t xml:space="preserve"> Moore, R.S., </w:t>
      </w:r>
      <w:r w:rsidRPr="007D46FE">
        <w:rPr>
          <w:u w:val="single"/>
        </w:rPr>
        <w:t>The Basics of Counter Insurgency</w:t>
      </w:r>
      <w:r>
        <w:t>, Joint Urban Operations Office, US Joint Forces Command, 2007, P.3</w:t>
      </w:r>
    </w:p>
  </w:footnote>
  <w:footnote w:id="12">
    <w:p w14:paraId="6C76738E" w14:textId="2B5406BB" w:rsidR="002001FB" w:rsidRDefault="002001FB" w:rsidP="00580699">
      <w:pPr>
        <w:pStyle w:val="FootnoteText"/>
      </w:pPr>
      <w:r>
        <w:rPr>
          <w:rStyle w:val="FootnoteReference"/>
        </w:rPr>
        <w:footnoteRef/>
      </w:r>
      <w:r>
        <w:t xml:space="preserve"> Kiras, J.D., “</w:t>
      </w:r>
      <w:r w:rsidRPr="005068F6">
        <w:t>Irregular Warfare: Terrorism and Insurgency</w:t>
      </w:r>
      <w:r>
        <w:t xml:space="preserve">”, in Baylis, J., Gray, C.S., (et.al.), </w:t>
      </w:r>
      <w:r w:rsidRPr="005068F6">
        <w:rPr>
          <w:u w:val="single"/>
        </w:rPr>
        <w:t>Strategy in the Contemporary World, an Introduction to Strategic Studies</w:t>
      </w:r>
      <w:r>
        <w:rPr>
          <w:i/>
        </w:rPr>
        <w:t>,</w:t>
      </w:r>
      <w:r>
        <w:t xml:space="preserve"> Oxford University Press, United Kingdom, 2010, p.188</w:t>
      </w:r>
    </w:p>
  </w:footnote>
  <w:footnote w:id="13">
    <w:p w14:paraId="173BF790" w14:textId="77777777" w:rsidR="002001FB" w:rsidRDefault="002001FB" w:rsidP="00580699">
      <w:pPr>
        <w:pStyle w:val="FootnoteText"/>
      </w:pPr>
      <w:r>
        <w:rPr>
          <w:rStyle w:val="FootnoteReference"/>
        </w:rPr>
        <w:footnoteRef/>
      </w:r>
      <w:r>
        <w:t xml:space="preserve"> </w:t>
      </w:r>
      <w:r w:rsidRPr="005C54F4">
        <w:rPr>
          <w:u w:val="single"/>
        </w:rPr>
        <w:t>Ibid.</w:t>
      </w:r>
      <w:r>
        <w:t>, p.194</w:t>
      </w:r>
    </w:p>
  </w:footnote>
  <w:footnote w:id="14">
    <w:p w14:paraId="72951538" w14:textId="77777777" w:rsidR="002001FB" w:rsidRDefault="002001FB" w:rsidP="00580699">
      <w:pPr>
        <w:pStyle w:val="FootnoteText"/>
      </w:pPr>
      <w:r>
        <w:rPr>
          <w:rStyle w:val="FootnoteReference"/>
        </w:rPr>
        <w:footnoteRef/>
      </w:r>
      <w:r>
        <w:t xml:space="preserve"> Kruys, G., </w:t>
      </w:r>
      <w:r w:rsidRPr="00762B72">
        <w:rPr>
          <w:u w:val="single"/>
        </w:rPr>
        <w:t>Op.Cit.</w:t>
      </w:r>
      <w:r>
        <w:t>, p.26</w:t>
      </w:r>
    </w:p>
  </w:footnote>
  <w:footnote w:id="15">
    <w:p w14:paraId="602ADB6A" w14:textId="77777777" w:rsidR="002001FB" w:rsidRDefault="002001FB" w:rsidP="00506269">
      <w:pPr>
        <w:pStyle w:val="FootnoteText"/>
      </w:pPr>
      <w:r>
        <w:rPr>
          <w:rStyle w:val="FootnoteReference"/>
        </w:rPr>
        <w:footnoteRef/>
      </w:r>
      <w:r>
        <w:t xml:space="preserve"> Eisenstadt, M., White, J., </w:t>
      </w:r>
      <w:r w:rsidRPr="00035E64">
        <w:rPr>
          <w:u w:val="single"/>
        </w:rPr>
        <w:t>Op.Cit.</w:t>
      </w:r>
      <w:r>
        <w:t>, p.259</w:t>
      </w:r>
    </w:p>
  </w:footnote>
  <w:footnote w:id="16">
    <w:p w14:paraId="5C5BF13D" w14:textId="77777777" w:rsidR="002001FB" w:rsidRDefault="002001FB" w:rsidP="00580699">
      <w:pPr>
        <w:pStyle w:val="FootnoteText"/>
      </w:pPr>
      <w:r>
        <w:rPr>
          <w:rStyle w:val="FootnoteReference"/>
        </w:rPr>
        <w:footnoteRef/>
      </w:r>
      <w:r>
        <w:t xml:space="preserve"> Kruys, G.,</w:t>
      </w:r>
      <w:r>
        <w:rPr>
          <w:u w:val="single"/>
        </w:rPr>
        <w:t>Op.CIt,,</w:t>
      </w:r>
      <w:r>
        <w:t xml:space="preserve"> p.37</w:t>
      </w:r>
    </w:p>
  </w:footnote>
  <w:footnote w:id="17">
    <w:p w14:paraId="4E42A094" w14:textId="77777777" w:rsidR="002001FB" w:rsidRDefault="002001FB" w:rsidP="00580699">
      <w:pPr>
        <w:pStyle w:val="FootnoteText"/>
      </w:pPr>
      <w:r>
        <w:rPr>
          <w:rStyle w:val="FootnoteReference"/>
        </w:rPr>
        <w:footnoteRef/>
      </w:r>
      <w:r>
        <w:t xml:space="preserve"> </w:t>
      </w:r>
      <w:r w:rsidRPr="00D2217A">
        <w:rPr>
          <w:u w:val="single"/>
        </w:rPr>
        <w:t>Ibid.,</w:t>
      </w:r>
      <w:r>
        <w:t xml:space="preserve"> p. 38</w:t>
      </w:r>
    </w:p>
  </w:footnote>
  <w:footnote w:id="18">
    <w:p w14:paraId="6D172B6C" w14:textId="77777777" w:rsidR="002001FB" w:rsidRDefault="002001FB" w:rsidP="00580699">
      <w:pPr>
        <w:pStyle w:val="FootnoteText"/>
      </w:pPr>
      <w:r>
        <w:rPr>
          <w:rStyle w:val="FootnoteReference"/>
        </w:rPr>
        <w:footnoteRef/>
      </w:r>
      <w:r>
        <w:t xml:space="preserve"> Viljoen, C.L., </w:t>
      </w:r>
      <w:r w:rsidRPr="00EA117F">
        <w:rPr>
          <w:u w:val="single"/>
        </w:rPr>
        <w:t>Revolutionary Warfare and Counter Insurgency</w:t>
      </w:r>
      <w:r>
        <w:t>, in Hough, M., “Revolutionary Warfare and Counter Insurgency”, Institute for Strategic Studies University of Pretoria, South Africa, 1984, p.6</w:t>
      </w:r>
    </w:p>
  </w:footnote>
  <w:footnote w:id="19">
    <w:p w14:paraId="20EC2D13" w14:textId="77777777" w:rsidR="002001FB" w:rsidRDefault="002001FB" w:rsidP="00580699">
      <w:pPr>
        <w:pStyle w:val="FootnoteText"/>
      </w:pPr>
      <w:r>
        <w:rPr>
          <w:rStyle w:val="FootnoteReference"/>
        </w:rPr>
        <w:footnoteRef/>
      </w:r>
      <w:r>
        <w:t xml:space="preserve"> Kruys, G., </w:t>
      </w:r>
      <w:r w:rsidRPr="00C12BF0">
        <w:rPr>
          <w:u w:val="single"/>
        </w:rPr>
        <w:t>Op.Cit.</w:t>
      </w:r>
      <w:r>
        <w:t>, p.38</w:t>
      </w:r>
    </w:p>
  </w:footnote>
  <w:footnote w:id="20">
    <w:p w14:paraId="1F89F3D7" w14:textId="77777777" w:rsidR="002001FB" w:rsidRDefault="002001FB" w:rsidP="00580699">
      <w:pPr>
        <w:pStyle w:val="FootnoteText"/>
      </w:pPr>
      <w:r>
        <w:rPr>
          <w:rStyle w:val="FootnoteReference"/>
        </w:rPr>
        <w:footnoteRef/>
      </w:r>
      <w:r>
        <w:t xml:space="preserve"> </w:t>
      </w:r>
      <w:r>
        <w:rPr>
          <w:u w:val="single"/>
        </w:rPr>
        <w:t>Ibid</w:t>
      </w:r>
      <w:r w:rsidRPr="00D31D66">
        <w:rPr>
          <w:u w:val="single"/>
        </w:rPr>
        <w:t>.,</w:t>
      </w:r>
      <w:r>
        <w:t xml:space="preserve"> p.38</w:t>
      </w:r>
    </w:p>
  </w:footnote>
  <w:footnote w:id="21">
    <w:p w14:paraId="0A5C52F4" w14:textId="77777777" w:rsidR="002001FB" w:rsidRDefault="002001FB" w:rsidP="00580699">
      <w:pPr>
        <w:pStyle w:val="FootnoteText"/>
      </w:pPr>
      <w:r>
        <w:rPr>
          <w:rStyle w:val="FootnoteReference"/>
        </w:rPr>
        <w:footnoteRef/>
      </w:r>
      <w:r>
        <w:t xml:space="preserve"> Eisenstadt, M., White, J., </w:t>
      </w:r>
      <w:r w:rsidRPr="00E80D0D">
        <w:rPr>
          <w:u w:val="single"/>
        </w:rPr>
        <w:t>Op.Cit.</w:t>
      </w:r>
      <w:r>
        <w:t>, p. 263</w:t>
      </w:r>
    </w:p>
  </w:footnote>
  <w:footnote w:id="22">
    <w:p w14:paraId="12E717EF" w14:textId="77777777" w:rsidR="002001FB" w:rsidRDefault="002001FB" w:rsidP="00580699">
      <w:pPr>
        <w:pStyle w:val="FootnoteText"/>
      </w:pPr>
      <w:r>
        <w:rPr>
          <w:rStyle w:val="FootnoteReference"/>
        </w:rPr>
        <w:footnoteRef/>
      </w:r>
      <w:r>
        <w:t xml:space="preserve"> Kruys, G., </w:t>
      </w:r>
      <w:r w:rsidRPr="002A2D81">
        <w:rPr>
          <w:u w:val="single"/>
        </w:rPr>
        <w:t>Op.Cit.</w:t>
      </w:r>
      <w:r>
        <w:t>, p.38</w:t>
      </w:r>
    </w:p>
  </w:footnote>
  <w:footnote w:id="23">
    <w:p w14:paraId="468DF5A1" w14:textId="77777777" w:rsidR="002001FB" w:rsidRDefault="002001FB" w:rsidP="00580699">
      <w:pPr>
        <w:pStyle w:val="FootnoteText"/>
      </w:pPr>
      <w:r>
        <w:rPr>
          <w:rStyle w:val="FootnoteReference"/>
        </w:rPr>
        <w:footnoteRef/>
      </w:r>
      <w:r>
        <w:t xml:space="preserve"> Gove, M., </w:t>
      </w:r>
      <w:r w:rsidRPr="00986277">
        <w:rPr>
          <w:u w:val="single"/>
        </w:rPr>
        <w:t>Celsius 7/7</w:t>
      </w:r>
      <w:r>
        <w:t>, Weidenfeld and Nicolson, Great Britain, 2006, p.11</w:t>
      </w:r>
    </w:p>
  </w:footnote>
  <w:footnote w:id="24">
    <w:p w14:paraId="4F14F81B" w14:textId="77777777" w:rsidR="002001FB" w:rsidRDefault="002001FB" w:rsidP="00580699">
      <w:pPr>
        <w:pStyle w:val="FootnoteText"/>
      </w:pPr>
      <w:r>
        <w:rPr>
          <w:rStyle w:val="FootnoteReference"/>
        </w:rPr>
        <w:footnoteRef/>
      </w:r>
      <w:r w:rsidRPr="00E652FF">
        <w:rPr>
          <w:u w:val="single"/>
        </w:rPr>
        <w:t>Ibid.</w:t>
      </w:r>
      <w:r>
        <w:t>, p.10</w:t>
      </w:r>
    </w:p>
  </w:footnote>
  <w:footnote w:id="25">
    <w:p w14:paraId="727EFCBF" w14:textId="0E371F10" w:rsidR="002001FB" w:rsidRDefault="002001FB" w:rsidP="00580699">
      <w:pPr>
        <w:pStyle w:val="FootnoteText"/>
      </w:pPr>
      <w:r>
        <w:rPr>
          <w:rStyle w:val="FootnoteReference"/>
        </w:rPr>
        <w:footnoteRef/>
      </w:r>
      <w:r>
        <w:t xml:space="preserve"> </w:t>
      </w:r>
      <w:r>
        <w:rPr>
          <w:u w:val="single"/>
        </w:rPr>
        <w:t>Loccit.</w:t>
      </w:r>
    </w:p>
  </w:footnote>
  <w:footnote w:id="26">
    <w:p w14:paraId="0CB31C88" w14:textId="77777777" w:rsidR="002001FB" w:rsidRDefault="002001FB" w:rsidP="00580699">
      <w:pPr>
        <w:pStyle w:val="FootnoteText"/>
      </w:pPr>
      <w:r>
        <w:rPr>
          <w:rStyle w:val="FootnoteReference"/>
        </w:rPr>
        <w:footnoteRef/>
      </w:r>
      <w:r>
        <w:t xml:space="preserve"> Eisenstadt, M., White, J., </w:t>
      </w:r>
      <w:r w:rsidRPr="005C16BC">
        <w:rPr>
          <w:u w:val="single"/>
        </w:rPr>
        <w:t>Op.Cit.</w:t>
      </w:r>
      <w:r>
        <w:t>, p.266</w:t>
      </w:r>
    </w:p>
  </w:footnote>
  <w:footnote w:id="27">
    <w:p w14:paraId="4E5A4BAC" w14:textId="333FA7E9" w:rsidR="002001FB" w:rsidRDefault="002001FB" w:rsidP="00580699">
      <w:pPr>
        <w:pStyle w:val="FootnoteText"/>
      </w:pPr>
      <w:r>
        <w:rPr>
          <w:rStyle w:val="FootnoteReference"/>
        </w:rPr>
        <w:footnoteRef/>
      </w:r>
      <w:r>
        <w:t xml:space="preserve">Davidson, J., </w:t>
      </w:r>
      <w:r>
        <w:rPr>
          <w:u w:val="single"/>
        </w:rPr>
        <w:t>Principles of Modern American Counterinsurgency: Evolution and Debate,</w:t>
      </w:r>
      <w:r>
        <w:t xml:space="preserve"> Brookings, </w:t>
      </w:r>
      <w:hyperlink r:id="rId1" w:history="1">
        <w:r w:rsidRPr="00BE208A">
          <w:rPr>
            <w:rStyle w:val="Hyperlink"/>
            <w:color w:val="000000" w:themeColor="text1"/>
          </w:rPr>
          <w:t>http://www.brookings.edu/~/media/Files/rc/papers/2009/0608_counterinsurgency_davidson/0608_counterinsurgency_davidson.pdf</w:t>
        </w:r>
      </w:hyperlink>
      <w:r w:rsidRPr="00BE208A">
        <w:rPr>
          <w:color w:val="000000" w:themeColor="text1"/>
        </w:rPr>
        <w:t>,</w:t>
      </w:r>
      <w:r>
        <w:t xml:space="preserve"> Last Accessed:10 May 2012, P.2</w:t>
      </w:r>
    </w:p>
  </w:footnote>
  <w:footnote w:id="28">
    <w:p w14:paraId="7915DD26" w14:textId="77777777" w:rsidR="002001FB" w:rsidRDefault="002001FB" w:rsidP="00580699">
      <w:pPr>
        <w:pStyle w:val="FootnoteText"/>
      </w:pPr>
      <w:r>
        <w:rPr>
          <w:rStyle w:val="FootnoteReference"/>
        </w:rPr>
        <w:footnoteRef/>
      </w:r>
      <w:r>
        <w:t xml:space="preserve"> Moore, R.S, </w:t>
      </w:r>
      <w:r w:rsidRPr="001C00A6">
        <w:rPr>
          <w:u w:val="single"/>
        </w:rPr>
        <w:t>Op. Cit.</w:t>
      </w:r>
      <w:r>
        <w:t>, p.14</w:t>
      </w:r>
    </w:p>
  </w:footnote>
  <w:footnote w:id="29">
    <w:p w14:paraId="56D1E893" w14:textId="3704D232" w:rsidR="002001FB" w:rsidRDefault="002001FB" w:rsidP="00580699">
      <w:pPr>
        <w:pStyle w:val="FootnoteText"/>
      </w:pPr>
      <w:r>
        <w:rPr>
          <w:rStyle w:val="FootnoteReference"/>
        </w:rPr>
        <w:footnoteRef/>
      </w:r>
      <w:r>
        <w:rPr>
          <w:u w:val="single"/>
        </w:rPr>
        <w:t>Ibid</w:t>
      </w:r>
      <w:r w:rsidRPr="001C00A6">
        <w:rPr>
          <w:u w:val="single"/>
        </w:rPr>
        <w:t>.</w:t>
      </w:r>
      <w:r>
        <w:t>, p.19</w:t>
      </w:r>
    </w:p>
  </w:footnote>
  <w:footnote w:id="30">
    <w:p w14:paraId="4DD42D49" w14:textId="77777777" w:rsidR="002001FB" w:rsidRDefault="002001FB" w:rsidP="00580699">
      <w:pPr>
        <w:pStyle w:val="FootnoteText"/>
      </w:pPr>
      <w:r>
        <w:rPr>
          <w:rStyle w:val="FootnoteReference"/>
        </w:rPr>
        <w:footnoteRef/>
      </w:r>
      <w:r>
        <w:t xml:space="preserve"> Petraeus, D.H., Amos, J.F., </w:t>
      </w:r>
      <w:r w:rsidRPr="007F3335">
        <w:rPr>
          <w:u w:val="single"/>
        </w:rPr>
        <w:t>Op.Cit.</w:t>
      </w:r>
      <w:r>
        <w:t>, p.i</w:t>
      </w:r>
    </w:p>
  </w:footnote>
  <w:footnote w:id="31">
    <w:p w14:paraId="5FDA3A36" w14:textId="77777777" w:rsidR="002001FB" w:rsidRPr="00D97C86" w:rsidRDefault="002001FB" w:rsidP="00580699">
      <w:pPr>
        <w:pStyle w:val="FootnoteText"/>
      </w:pPr>
      <w:r>
        <w:rPr>
          <w:rStyle w:val="FootnoteReference"/>
        </w:rPr>
        <w:footnoteRef/>
      </w:r>
      <w:r>
        <w:t xml:space="preserve"> Nagl, J.A., </w:t>
      </w:r>
      <w:r>
        <w:rPr>
          <w:u w:val="single"/>
        </w:rPr>
        <w:t>Counterinsurgency Lessons from Malaya and Vietnam,</w:t>
      </w:r>
      <w:r>
        <w:t xml:space="preserve"> Praeger Publishers, United States, 2002, p.29</w:t>
      </w:r>
    </w:p>
  </w:footnote>
  <w:footnote w:id="32">
    <w:p w14:paraId="51F80AA6" w14:textId="55EA25B9" w:rsidR="002001FB" w:rsidRDefault="002001FB" w:rsidP="00580699">
      <w:pPr>
        <w:pStyle w:val="FootnoteText"/>
      </w:pPr>
      <w:r>
        <w:rPr>
          <w:rStyle w:val="FootnoteReference"/>
        </w:rPr>
        <w:footnoteRef/>
      </w:r>
      <w:r>
        <w:t xml:space="preserve"> Nagl, J.A., </w:t>
      </w:r>
      <w:r>
        <w:rPr>
          <w:u w:val="single"/>
        </w:rPr>
        <w:t>Op.Cit.</w:t>
      </w:r>
      <w:r>
        <w:t>, p.30</w:t>
      </w:r>
    </w:p>
  </w:footnote>
  <w:footnote w:id="33">
    <w:p w14:paraId="33BD64C3" w14:textId="77777777" w:rsidR="002001FB" w:rsidRDefault="002001FB" w:rsidP="00580699">
      <w:pPr>
        <w:pStyle w:val="FootnoteText"/>
      </w:pPr>
      <w:r>
        <w:rPr>
          <w:rStyle w:val="FootnoteReference"/>
        </w:rPr>
        <w:footnoteRef/>
      </w:r>
      <w:r>
        <w:t xml:space="preserve"> Petraeus, D.H., Amos, J.F., </w:t>
      </w:r>
      <w:r w:rsidRPr="007F3335">
        <w:rPr>
          <w:u w:val="single"/>
        </w:rPr>
        <w:t>Op.Cit.</w:t>
      </w:r>
      <w:r>
        <w:t>, p.1-1</w:t>
      </w:r>
    </w:p>
  </w:footnote>
  <w:footnote w:id="34">
    <w:p w14:paraId="03CF5A3F" w14:textId="708496C6" w:rsidR="002001FB" w:rsidRDefault="002001FB" w:rsidP="00580699">
      <w:pPr>
        <w:pStyle w:val="FootnoteText"/>
      </w:pPr>
      <w:r>
        <w:rPr>
          <w:rStyle w:val="FootnoteReference"/>
        </w:rPr>
        <w:footnoteRef/>
      </w:r>
      <w:r>
        <w:t xml:space="preserve"> </w:t>
      </w:r>
      <w:r>
        <w:rPr>
          <w:u w:val="single"/>
        </w:rPr>
        <w:t>Loccit.</w:t>
      </w:r>
    </w:p>
  </w:footnote>
  <w:footnote w:id="35">
    <w:p w14:paraId="44C5C85A" w14:textId="77777777" w:rsidR="002001FB" w:rsidRDefault="002001FB" w:rsidP="00580699">
      <w:pPr>
        <w:pStyle w:val="FootnoteText"/>
      </w:pPr>
      <w:r>
        <w:rPr>
          <w:rStyle w:val="FootnoteReference"/>
        </w:rPr>
        <w:footnoteRef/>
      </w:r>
      <w:r>
        <w:t xml:space="preserve"> </w:t>
      </w:r>
      <w:r w:rsidRPr="00D127D9">
        <w:rPr>
          <w:u w:val="single"/>
        </w:rPr>
        <w:t>Ibid</w:t>
      </w:r>
      <w:r>
        <w:t>., p.1-2</w:t>
      </w:r>
    </w:p>
  </w:footnote>
  <w:footnote w:id="36">
    <w:p w14:paraId="72A3F7A3" w14:textId="77777777" w:rsidR="002001FB" w:rsidRDefault="002001FB" w:rsidP="00580699">
      <w:pPr>
        <w:pStyle w:val="FootnoteText"/>
      </w:pPr>
      <w:r>
        <w:rPr>
          <w:rStyle w:val="FootnoteReference"/>
        </w:rPr>
        <w:footnoteRef/>
      </w:r>
      <w:r>
        <w:t xml:space="preserve"> George, A.L. and Bennet, A., </w:t>
      </w:r>
      <w:r w:rsidRPr="009E2AB7">
        <w:rPr>
          <w:u w:val="single"/>
        </w:rPr>
        <w:t>Case Studies and Theory Development in the Social Sciences</w:t>
      </w:r>
      <w:r>
        <w:t>, MIT Press, Massachusetts, 2005,p. 50</w:t>
      </w:r>
    </w:p>
  </w:footnote>
  <w:footnote w:id="37">
    <w:p w14:paraId="17602B58" w14:textId="382AD628" w:rsidR="002001FB" w:rsidRPr="00502A3B" w:rsidRDefault="002001FB" w:rsidP="00580699">
      <w:pPr>
        <w:pStyle w:val="FootnoteText"/>
        <w:rPr>
          <w:u w:val="single"/>
        </w:rPr>
      </w:pPr>
      <w:r>
        <w:rPr>
          <w:rStyle w:val="FootnoteReference"/>
        </w:rPr>
        <w:footnoteRef/>
      </w:r>
      <w:r>
        <w:rPr>
          <w:u w:val="single"/>
        </w:rPr>
        <w:t>Ibid.,</w:t>
      </w:r>
      <w:r>
        <w:t xml:space="preserve"> p.156</w:t>
      </w:r>
    </w:p>
  </w:footnote>
  <w:footnote w:id="38">
    <w:p w14:paraId="39C0295D" w14:textId="77777777" w:rsidR="002001FB" w:rsidRDefault="002001FB" w:rsidP="00580699">
      <w:pPr>
        <w:pStyle w:val="FootnoteText"/>
      </w:pPr>
      <w:r>
        <w:rPr>
          <w:rStyle w:val="FootnoteReference"/>
        </w:rPr>
        <w:footnoteRef/>
      </w:r>
      <w:r>
        <w:t xml:space="preserve"> Nagl, J.A., </w:t>
      </w:r>
      <w:r>
        <w:rPr>
          <w:u w:val="single"/>
        </w:rPr>
        <w:t>Op.Cit.</w:t>
      </w:r>
      <w:r>
        <w:t>, P. 27</w:t>
      </w:r>
    </w:p>
  </w:footnote>
  <w:footnote w:id="39">
    <w:p w14:paraId="1BFFA962" w14:textId="694B90E4" w:rsidR="002001FB" w:rsidRDefault="002001FB" w:rsidP="00580699">
      <w:pPr>
        <w:pStyle w:val="FootnoteText"/>
      </w:pPr>
      <w:r>
        <w:rPr>
          <w:rStyle w:val="FootnoteReference"/>
        </w:rPr>
        <w:footnoteRef/>
      </w:r>
      <w:r>
        <w:t xml:space="preserve"> Nagl, J.A., </w:t>
      </w:r>
      <w:r>
        <w:rPr>
          <w:u w:val="single"/>
        </w:rPr>
        <w:t>Op.Cit.</w:t>
      </w:r>
      <w:r>
        <w:t>,, p.29</w:t>
      </w:r>
    </w:p>
  </w:footnote>
  <w:footnote w:id="40">
    <w:p w14:paraId="3A11CADA" w14:textId="77777777" w:rsidR="002001FB" w:rsidRDefault="002001FB" w:rsidP="00580699">
      <w:pPr>
        <w:pStyle w:val="FootnoteText"/>
      </w:pPr>
      <w:r>
        <w:rPr>
          <w:rStyle w:val="FootnoteReference"/>
        </w:rPr>
        <w:footnoteRef/>
      </w:r>
      <w:r>
        <w:t xml:space="preserve"> Petraeus, D.H., Amos, J.F., </w:t>
      </w:r>
      <w:r w:rsidRPr="00F27AB6">
        <w:rPr>
          <w:u w:val="single"/>
        </w:rPr>
        <w:t>Op.Cit</w:t>
      </w:r>
      <w:r>
        <w:t>., p.ix</w:t>
      </w:r>
    </w:p>
  </w:footnote>
  <w:footnote w:id="41">
    <w:p w14:paraId="579FD427" w14:textId="432E76B2" w:rsidR="002001FB" w:rsidRDefault="002001FB" w:rsidP="00580699">
      <w:pPr>
        <w:pStyle w:val="FootnoteText"/>
      </w:pPr>
      <w:r>
        <w:rPr>
          <w:rStyle w:val="FootnoteReference"/>
        </w:rPr>
        <w:footnoteRef/>
      </w:r>
      <w:r>
        <w:t xml:space="preserve"> Petraeus, D.H., Amos, J.F., </w:t>
      </w:r>
      <w:r w:rsidRPr="00F27AB6">
        <w:rPr>
          <w:u w:val="single"/>
        </w:rPr>
        <w:t>Op.Cit</w:t>
      </w:r>
      <w:r>
        <w:t>., p.ix</w:t>
      </w:r>
    </w:p>
  </w:footnote>
  <w:footnote w:id="42">
    <w:p w14:paraId="299AB688" w14:textId="509647AD" w:rsidR="002001FB" w:rsidRDefault="002001FB" w:rsidP="00580699">
      <w:pPr>
        <w:pStyle w:val="FootnoteText"/>
      </w:pPr>
      <w:r>
        <w:rPr>
          <w:rStyle w:val="FootnoteReference"/>
        </w:rPr>
        <w:footnoteRef/>
      </w:r>
      <w:r>
        <w:t xml:space="preserve"> Rigden, O.B.E., </w:t>
      </w:r>
      <w:r>
        <w:rPr>
          <w:u w:val="single"/>
        </w:rPr>
        <w:t>The British Approach to Counterinsurgency: Myths, Realities and Strategic Challenges,</w:t>
      </w:r>
      <w:r>
        <w:t xml:space="preserve"> U.S Army War College, United States, 2008, p.11</w:t>
      </w:r>
    </w:p>
  </w:footnote>
  <w:footnote w:id="43">
    <w:p w14:paraId="2F595B7F" w14:textId="77777777" w:rsidR="002001FB" w:rsidRPr="00114816" w:rsidRDefault="002001FB" w:rsidP="00580699">
      <w:pPr>
        <w:pStyle w:val="FootnoteText"/>
      </w:pPr>
      <w:r>
        <w:rPr>
          <w:rStyle w:val="FootnoteReference"/>
        </w:rPr>
        <w:footnoteRef/>
      </w:r>
      <w:r>
        <w:t xml:space="preserve"> Kitson, F., </w:t>
      </w:r>
      <w:r>
        <w:rPr>
          <w:u w:val="single"/>
        </w:rPr>
        <w:t>Low Intensity Operations: Subversion, Insurgency and Peacekeeping,</w:t>
      </w:r>
      <w:r>
        <w:t xml:space="preserve"> Faber and Faber, London, 1971, p.24</w:t>
      </w:r>
    </w:p>
  </w:footnote>
  <w:footnote w:id="44">
    <w:p w14:paraId="1217D3AF" w14:textId="77777777" w:rsidR="002001FB" w:rsidRDefault="002001FB" w:rsidP="00580699">
      <w:pPr>
        <w:pStyle w:val="FootnoteText"/>
      </w:pPr>
      <w:r>
        <w:rPr>
          <w:rStyle w:val="FootnoteReference"/>
        </w:rPr>
        <w:footnoteRef/>
      </w:r>
      <w:r>
        <w:t xml:space="preserve"> Petraeus, D.H., Amos, J.F., </w:t>
      </w:r>
      <w:r w:rsidRPr="007F3335">
        <w:rPr>
          <w:u w:val="single"/>
        </w:rPr>
        <w:t>Op.Cit.</w:t>
      </w:r>
      <w:r>
        <w:t>, p.ix</w:t>
      </w:r>
    </w:p>
  </w:footnote>
  <w:footnote w:id="45">
    <w:p w14:paraId="37208B0F" w14:textId="77777777" w:rsidR="002001FB" w:rsidRPr="00EA44EF" w:rsidRDefault="002001FB" w:rsidP="00580699">
      <w:pPr>
        <w:pStyle w:val="FootnoteText"/>
      </w:pPr>
      <w:r>
        <w:rPr>
          <w:rStyle w:val="FootnoteReference"/>
        </w:rPr>
        <w:footnoteRef/>
      </w:r>
      <w:r>
        <w:t xml:space="preserve"> Graff, J.K., </w:t>
      </w:r>
      <w:r>
        <w:rPr>
          <w:u w:val="single"/>
        </w:rPr>
        <w:t xml:space="preserve">United States Counterinsurgency Doctrine and Implementation in Iraq, </w:t>
      </w:r>
      <w:r>
        <w:t xml:space="preserve">United States Military Academy, Kansas, 2004, p.31 </w:t>
      </w:r>
    </w:p>
  </w:footnote>
  <w:footnote w:id="46">
    <w:p w14:paraId="768397E9" w14:textId="77777777" w:rsidR="002001FB" w:rsidRDefault="002001FB" w:rsidP="00580699">
      <w:pPr>
        <w:pStyle w:val="FootnoteText"/>
      </w:pPr>
      <w:r>
        <w:rPr>
          <w:rStyle w:val="FootnoteReference"/>
        </w:rPr>
        <w:footnoteRef/>
      </w:r>
      <w:r>
        <w:t xml:space="preserve"> Kruys, G., </w:t>
      </w:r>
      <w:r w:rsidRPr="003C19B7">
        <w:rPr>
          <w:u w:val="single"/>
        </w:rPr>
        <w:t>Op.Cit</w:t>
      </w:r>
      <w:r>
        <w:t>., p. 17</w:t>
      </w:r>
    </w:p>
  </w:footnote>
  <w:footnote w:id="47">
    <w:p w14:paraId="3167C134" w14:textId="20453579" w:rsidR="002001FB" w:rsidRPr="006B6A2E" w:rsidRDefault="002001FB" w:rsidP="00580699">
      <w:pPr>
        <w:pStyle w:val="FootnoteText"/>
      </w:pPr>
      <w:r>
        <w:rPr>
          <w:rStyle w:val="FootnoteReference"/>
        </w:rPr>
        <w:footnoteRef/>
      </w:r>
      <w:r>
        <w:t xml:space="preserve"> Mao Tse-Tung, </w:t>
      </w:r>
      <w:r>
        <w:rPr>
          <w:u w:val="single"/>
        </w:rPr>
        <w:t>On Guerrilla Warfare,</w:t>
      </w:r>
      <w:r>
        <w:t xml:space="preserve"> University of Illinois Press, Chicago, 2000, p.2</w:t>
      </w:r>
    </w:p>
  </w:footnote>
  <w:footnote w:id="48">
    <w:p w14:paraId="746BAF98" w14:textId="77777777" w:rsidR="002001FB" w:rsidRDefault="002001FB" w:rsidP="00580699">
      <w:pPr>
        <w:pStyle w:val="FootnoteText"/>
      </w:pPr>
      <w:r>
        <w:rPr>
          <w:rStyle w:val="FootnoteReference"/>
        </w:rPr>
        <w:footnoteRef/>
      </w:r>
      <w:r>
        <w:t xml:space="preserve"> Kruys, G., </w:t>
      </w:r>
      <w:r w:rsidRPr="002F7ECD">
        <w:rPr>
          <w:u w:val="single"/>
        </w:rPr>
        <w:t>Op.Cit</w:t>
      </w:r>
      <w:r>
        <w:t>., p. 22</w:t>
      </w:r>
    </w:p>
  </w:footnote>
  <w:footnote w:id="49">
    <w:p w14:paraId="623C53E7" w14:textId="65ECAD14" w:rsidR="002001FB" w:rsidRPr="00114816" w:rsidRDefault="002001FB" w:rsidP="00580699">
      <w:pPr>
        <w:pStyle w:val="FootnoteText"/>
      </w:pPr>
      <w:r>
        <w:rPr>
          <w:rStyle w:val="FootnoteReference"/>
        </w:rPr>
        <w:footnoteRef/>
      </w:r>
      <w:r>
        <w:t xml:space="preserve"> Kahl, C.H., “COIN of the Realm: Is there a Future for Counterinsurgency?”, in </w:t>
      </w:r>
      <w:r>
        <w:rPr>
          <w:u w:val="single"/>
        </w:rPr>
        <w:t xml:space="preserve">Foreign Affairs, </w:t>
      </w:r>
      <w:r>
        <w:t>Vol. 86, Number 6, 2007, p.170</w:t>
      </w:r>
    </w:p>
  </w:footnote>
  <w:footnote w:id="50">
    <w:p w14:paraId="3F6B9E28" w14:textId="77777777" w:rsidR="002001FB" w:rsidRDefault="002001FB" w:rsidP="00580699">
      <w:pPr>
        <w:pStyle w:val="FootnoteText"/>
      </w:pPr>
      <w:r>
        <w:rPr>
          <w:rStyle w:val="FootnoteReference"/>
        </w:rPr>
        <w:footnoteRef/>
      </w:r>
      <w:r>
        <w:t xml:space="preserve"> Metz, S., and Millen, R., </w:t>
      </w:r>
      <w:r w:rsidRPr="006B6A2E">
        <w:rPr>
          <w:u w:val="single"/>
        </w:rPr>
        <w:t>Insurgency and Counterinsurgency in the 21</w:t>
      </w:r>
      <w:r w:rsidRPr="006B6A2E">
        <w:rPr>
          <w:u w:val="single"/>
          <w:vertAlign w:val="superscript"/>
        </w:rPr>
        <w:t>st</w:t>
      </w:r>
      <w:r w:rsidRPr="006B6A2E">
        <w:rPr>
          <w:u w:val="single"/>
        </w:rPr>
        <w:t xml:space="preserve"> Century: Reconceptualising Threat and Response</w:t>
      </w:r>
      <w:r>
        <w:t>, Strategic Studies Institute, 2004,  P.2</w:t>
      </w:r>
    </w:p>
  </w:footnote>
  <w:footnote w:id="51">
    <w:p w14:paraId="1E9F4B2F" w14:textId="77777777" w:rsidR="002001FB" w:rsidRDefault="002001FB" w:rsidP="00580699">
      <w:pPr>
        <w:pStyle w:val="FootnoteText"/>
      </w:pPr>
      <w:r>
        <w:rPr>
          <w:rStyle w:val="FootnoteReference"/>
        </w:rPr>
        <w:footnoteRef/>
      </w:r>
      <w:r>
        <w:t xml:space="preserve"> United States of America, Department of the Army Headquarters, FMI 3-07.22, Counterinsurgency Operations, October 2004, p.1-1</w:t>
      </w:r>
    </w:p>
  </w:footnote>
  <w:footnote w:id="52">
    <w:p w14:paraId="60141E11" w14:textId="77777777" w:rsidR="002001FB" w:rsidRDefault="002001FB" w:rsidP="00580699">
      <w:pPr>
        <w:pStyle w:val="FootnoteText"/>
      </w:pPr>
      <w:r>
        <w:rPr>
          <w:rStyle w:val="FootnoteReference"/>
        </w:rPr>
        <w:footnoteRef/>
      </w:r>
      <w:r>
        <w:t xml:space="preserve"> Kilcullen, D.J., “Countering Global Insurgency”, in </w:t>
      </w:r>
      <w:r w:rsidRPr="00361FF2">
        <w:rPr>
          <w:u w:val="single"/>
        </w:rPr>
        <w:t>Journal of Strategic Studies</w:t>
      </w:r>
      <w:r>
        <w:t>, Issue 28, Number 4, 2005, p.603</w:t>
      </w:r>
    </w:p>
  </w:footnote>
  <w:footnote w:id="53">
    <w:p w14:paraId="684A3E20" w14:textId="77777777" w:rsidR="002001FB" w:rsidRDefault="002001FB" w:rsidP="00580699">
      <w:pPr>
        <w:pStyle w:val="FootnoteText"/>
      </w:pPr>
      <w:r>
        <w:rPr>
          <w:rStyle w:val="FootnoteReference"/>
        </w:rPr>
        <w:footnoteRef/>
      </w:r>
      <w:r>
        <w:t xml:space="preserve"> Kruys, G.,</w:t>
      </w:r>
      <w:r>
        <w:rPr>
          <w:u w:val="single"/>
        </w:rPr>
        <w:t>Op.CIt,,</w:t>
      </w:r>
      <w:r>
        <w:t xml:space="preserve"> p.37</w:t>
      </w:r>
    </w:p>
  </w:footnote>
  <w:footnote w:id="54">
    <w:p w14:paraId="27778460" w14:textId="77777777" w:rsidR="002001FB" w:rsidRDefault="002001FB" w:rsidP="00580699">
      <w:pPr>
        <w:pStyle w:val="FootnoteText"/>
      </w:pPr>
      <w:r>
        <w:rPr>
          <w:rStyle w:val="FootnoteReference"/>
        </w:rPr>
        <w:footnoteRef/>
      </w:r>
      <w:r>
        <w:t xml:space="preserve"> Kilcullen, D.J., </w:t>
      </w:r>
      <w:r w:rsidRPr="007D6FAA">
        <w:rPr>
          <w:u w:val="single"/>
        </w:rPr>
        <w:t>Op.Cit.</w:t>
      </w:r>
      <w:r>
        <w:t>, p.603</w:t>
      </w:r>
    </w:p>
  </w:footnote>
  <w:footnote w:id="55">
    <w:p w14:paraId="2F1E1870" w14:textId="39C95362" w:rsidR="002001FB" w:rsidRDefault="002001FB" w:rsidP="00580699">
      <w:pPr>
        <w:pStyle w:val="FootnoteText"/>
      </w:pPr>
      <w:r>
        <w:rPr>
          <w:rStyle w:val="FootnoteReference"/>
        </w:rPr>
        <w:footnoteRef/>
      </w:r>
      <w:r>
        <w:t xml:space="preserve"> Gove, M., </w:t>
      </w:r>
      <w:r>
        <w:rPr>
          <w:u w:val="single"/>
        </w:rPr>
        <w:t>Op.Cit.</w:t>
      </w:r>
      <w:r>
        <w:t>, p.11</w:t>
      </w:r>
    </w:p>
  </w:footnote>
  <w:footnote w:id="56">
    <w:p w14:paraId="6420A73F" w14:textId="071C41BC" w:rsidR="002001FB" w:rsidRPr="00D45116" w:rsidRDefault="002001FB">
      <w:pPr>
        <w:pStyle w:val="FootnoteText"/>
        <w:rPr>
          <w:lang w:val="en-US"/>
        </w:rPr>
      </w:pPr>
      <w:r>
        <w:rPr>
          <w:rStyle w:val="FootnoteReference"/>
        </w:rPr>
        <w:footnoteRef/>
      </w:r>
      <w:r>
        <w:t xml:space="preserve"> Congressional Research Service, http//:www.zfacts.com, Last Accessed: 9 February 2013</w:t>
      </w:r>
    </w:p>
  </w:footnote>
  <w:footnote w:id="57">
    <w:p w14:paraId="7463218B" w14:textId="77777777" w:rsidR="002001FB" w:rsidRDefault="002001FB" w:rsidP="00580699">
      <w:pPr>
        <w:pStyle w:val="FootnoteText"/>
      </w:pPr>
      <w:r>
        <w:rPr>
          <w:rStyle w:val="FootnoteReference"/>
        </w:rPr>
        <w:footnoteRef/>
      </w:r>
      <w:r>
        <w:t xml:space="preserve"> O’Neill, B.E., Heaton, W.R. (et.al.), </w:t>
      </w:r>
      <w:r w:rsidRPr="009D4EA9">
        <w:rPr>
          <w:u w:val="single"/>
        </w:rPr>
        <w:t>Insurgency in the Modern World</w:t>
      </w:r>
      <w:r>
        <w:t>, Westview Press, United States of America, 1980, p. ix</w:t>
      </w:r>
    </w:p>
  </w:footnote>
  <w:footnote w:id="58">
    <w:p w14:paraId="43847844" w14:textId="77777777" w:rsidR="002001FB" w:rsidRDefault="002001FB" w:rsidP="00580699">
      <w:pPr>
        <w:pStyle w:val="FootnoteText"/>
      </w:pPr>
      <w:r>
        <w:rPr>
          <w:rStyle w:val="FootnoteReference"/>
        </w:rPr>
        <w:footnoteRef/>
      </w:r>
      <w:r>
        <w:t xml:space="preserve"> Kruys, G., </w:t>
      </w:r>
      <w:r w:rsidRPr="00762B72">
        <w:rPr>
          <w:u w:val="single"/>
        </w:rPr>
        <w:t>Op.Cit.</w:t>
      </w:r>
      <w:r>
        <w:t>, p.26</w:t>
      </w:r>
    </w:p>
  </w:footnote>
  <w:footnote w:id="59">
    <w:p w14:paraId="4C069D69" w14:textId="3F473B95" w:rsidR="002001FB" w:rsidRPr="00F85FB4" w:rsidRDefault="002001FB" w:rsidP="00580699">
      <w:pPr>
        <w:pStyle w:val="FootnoteText"/>
        <w:rPr>
          <w:lang w:val="en-US"/>
        </w:rPr>
      </w:pPr>
      <w:r>
        <w:rPr>
          <w:rStyle w:val="FootnoteReference"/>
        </w:rPr>
        <w:footnoteRef/>
      </w:r>
      <w:r>
        <w:t xml:space="preserve"> </w:t>
      </w:r>
      <w:r w:rsidRPr="00FC6A7D">
        <w:rPr>
          <w:u w:val="single"/>
          <w:lang w:val="en-US"/>
        </w:rPr>
        <w:t>Ibid</w:t>
      </w:r>
      <w:r w:rsidRPr="00FC6A7D">
        <w:rPr>
          <w:lang w:val="en-US"/>
        </w:rPr>
        <w:t xml:space="preserve">., </w:t>
      </w:r>
      <w:r>
        <w:rPr>
          <w:lang w:val="en-US"/>
        </w:rPr>
        <w:t>p. 23</w:t>
      </w:r>
    </w:p>
  </w:footnote>
  <w:footnote w:id="60">
    <w:p w14:paraId="34D19911" w14:textId="77777777" w:rsidR="002001FB" w:rsidRPr="00F85FB4" w:rsidRDefault="002001FB" w:rsidP="00580699">
      <w:pPr>
        <w:pStyle w:val="FootnoteText"/>
        <w:rPr>
          <w:lang w:val="en-US"/>
        </w:rPr>
      </w:pPr>
      <w:r>
        <w:rPr>
          <w:rStyle w:val="FootnoteReference"/>
        </w:rPr>
        <w:footnoteRef/>
      </w:r>
      <w:r>
        <w:t xml:space="preserve"> </w:t>
      </w:r>
      <w:r w:rsidRPr="00B70420">
        <w:rPr>
          <w:u w:val="single"/>
        </w:rPr>
        <w:t>Ibid.</w:t>
      </w:r>
      <w:r>
        <w:t>, p.24</w:t>
      </w:r>
    </w:p>
  </w:footnote>
  <w:footnote w:id="61">
    <w:p w14:paraId="194FF5E6" w14:textId="048DE402" w:rsidR="002001FB" w:rsidRDefault="002001FB" w:rsidP="005E73A8">
      <w:pPr>
        <w:pStyle w:val="FootnoteText"/>
      </w:pPr>
      <w:r>
        <w:rPr>
          <w:rStyle w:val="FootnoteReference"/>
        </w:rPr>
        <w:footnoteRef/>
      </w:r>
      <w:r>
        <w:t xml:space="preserve"> Eisenstadt, M., White, J., “Assessing Iraq’s Sunni Arab Insurgency”, in Evans, S.S, </w:t>
      </w:r>
      <w:r w:rsidRPr="007446D2">
        <w:rPr>
          <w:u w:val="single"/>
        </w:rPr>
        <w:t>U.S. Marines and Irregular Warfare, 1898-2007: Anthology and Selected Bibliography</w:t>
      </w:r>
      <w:r>
        <w:t>, Marine Corps University Press, United States, 2008, p.263</w:t>
      </w:r>
    </w:p>
  </w:footnote>
  <w:footnote w:id="62">
    <w:p w14:paraId="67E9E56F" w14:textId="16EF22ED" w:rsidR="002001FB" w:rsidRPr="00B70420" w:rsidRDefault="002001FB" w:rsidP="00580699">
      <w:pPr>
        <w:pStyle w:val="FootnoteText"/>
        <w:rPr>
          <w:lang w:val="en-US"/>
        </w:rPr>
      </w:pPr>
      <w:r>
        <w:rPr>
          <w:rStyle w:val="FootnoteReference"/>
        </w:rPr>
        <w:footnoteRef/>
      </w:r>
      <w:r>
        <w:t xml:space="preserve"> </w:t>
      </w:r>
      <w:r>
        <w:rPr>
          <w:lang w:val="en-US"/>
        </w:rPr>
        <w:t xml:space="preserve">Kruys, G.,  “Post-Cold War/11 September 2001 Insurgency and Counter-Insurgency with Specific Reference to Iraq and Afghanistan”, Hough, M., Kruys, G.P.H, and Du Plessis, A., </w:t>
      </w:r>
      <w:r w:rsidRPr="000018CD">
        <w:rPr>
          <w:u w:val="single"/>
          <w:lang w:val="en-US"/>
        </w:rPr>
        <w:t>Contemporary Terrorism and Insurgency: Selected Case Studies and Responses</w:t>
      </w:r>
      <w:r>
        <w:rPr>
          <w:lang w:val="en-US"/>
        </w:rPr>
        <w:t>, Institute for Strategic Studies, 2005,p. 37</w:t>
      </w:r>
    </w:p>
  </w:footnote>
  <w:footnote w:id="63">
    <w:p w14:paraId="6C764CDC" w14:textId="270C0E30" w:rsidR="002001FB" w:rsidRPr="005E73A8" w:rsidRDefault="002001FB">
      <w:pPr>
        <w:pStyle w:val="FootnoteText"/>
        <w:rPr>
          <w:lang w:val="en-US"/>
        </w:rPr>
      </w:pPr>
      <w:r>
        <w:rPr>
          <w:rStyle w:val="FootnoteReference"/>
        </w:rPr>
        <w:footnoteRef/>
      </w:r>
      <w:r>
        <w:t xml:space="preserve"> </w:t>
      </w:r>
      <w:r>
        <w:rPr>
          <w:lang w:val="en-US"/>
        </w:rPr>
        <w:t xml:space="preserve">Kruys, G.,  “Post-Cold War/11 September 2001 Insurgency and Counter-Insurgency with Specific Reference to Iraq and Afghanistan”, </w:t>
      </w:r>
      <w:r w:rsidRPr="005068F6">
        <w:rPr>
          <w:u w:val="single"/>
          <w:lang w:val="en-US"/>
        </w:rPr>
        <w:t>Op.Cit</w:t>
      </w:r>
      <w:r>
        <w:rPr>
          <w:lang w:val="en-US"/>
        </w:rPr>
        <w:t>., p.38</w:t>
      </w:r>
    </w:p>
  </w:footnote>
  <w:footnote w:id="64">
    <w:p w14:paraId="1C823B10" w14:textId="3F2678A4" w:rsidR="002001FB" w:rsidRPr="00FF414E" w:rsidRDefault="002001FB">
      <w:pPr>
        <w:pStyle w:val="FootnoteText"/>
        <w:rPr>
          <w:lang w:val="en-US"/>
        </w:rPr>
      </w:pPr>
      <w:r>
        <w:rPr>
          <w:rStyle w:val="FootnoteReference"/>
        </w:rPr>
        <w:footnoteRef/>
      </w:r>
      <w:r>
        <w:t xml:space="preserve"> </w:t>
      </w:r>
      <w:r>
        <w:rPr>
          <w:lang w:val="en-US"/>
        </w:rPr>
        <w:t xml:space="preserve">Morris, M.F., </w:t>
      </w:r>
      <w:r w:rsidRPr="00FF414E">
        <w:rPr>
          <w:u w:val="single"/>
          <w:lang w:val="en-US"/>
        </w:rPr>
        <w:t>Al-Qaeda as Insurgency</w:t>
      </w:r>
      <w:r>
        <w:rPr>
          <w:lang w:val="en-US"/>
        </w:rPr>
        <w:t>, US Army War College, 2005, p.2</w:t>
      </w:r>
    </w:p>
  </w:footnote>
  <w:footnote w:id="65">
    <w:p w14:paraId="69C1ABA1" w14:textId="20AAB017" w:rsidR="002001FB" w:rsidRPr="00291A14" w:rsidRDefault="002001FB" w:rsidP="00580699">
      <w:pPr>
        <w:pStyle w:val="FootnoteText"/>
        <w:rPr>
          <w:lang w:val="en-US"/>
        </w:rPr>
      </w:pPr>
      <w:r>
        <w:rPr>
          <w:rStyle w:val="FootnoteReference"/>
        </w:rPr>
        <w:footnoteRef/>
      </w:r>
      <w:r>
        <w:t xml:space="preserve"> </w:t>
      </w:r>
      <w:r>
        <w:rPr>
          <w:u w:val="single"/>
          <w:lang w:val="en-US"/>
        </w:rPr>
        <w:t>Loccit.</w:t>
      </w:r>
    </w:p>
  </w:footnote>
  <w:footnote w:id="66">
    <w:p w14:paraId="45E22863" w14:textId="5BFEB01C" w:rsidR="002001FB" w:rsidRPr="00291A14" w:rsidRDefault="002001FB" w:rsidP="00580699">
      <w:pPr>
        <w:pStyle w:val="FootnoteText"/>
        <w:rPr>
          <w:lang w:val="en-US"/>
        </w:rPr>
      </w:pPr>
      <w:r>
        <w:rPr>
          <w:rStyle w:val="FootnoteReference"/>
        </w:rPr>
        <w:footnoteRef/>
      </w:r>
      <w:r>
        <w:t xml:space="preserve"> </w:t>
      </w:r>
      <w:r w:rsidRPr="00361541">
        <w:rPr>
          <w:u w:val="single"/>
        </w:rPr>
        <w:t>Counterinsurgency Guide</w:t>
      </w:r>
      <w:r>
        <w:t>, US Department of State, 2009, p.6</w:t>
      </w:r>
    </w:p>
  </w:footnote>
  <w:footnote w:id="67">
    <w:p w14:paraId="10344332" w14:textId="2895B010" w:rsidR="002001FB" w:rsidRPr="00291A14" w:rsidRDefault="002001FB" w:rsidP="00580699">
      <w:pPr>
        <w:pStyle w:val="FootnoteText"/>
        <w:rPr>
          <w:lang w:val="en-US"/>
        </w:rPr>
      </w:pPr>
      <w:r>
        <w:rPr>
          <w:rStyle w:val="FootnoteReference"/>
        </w:rPr>
        <w:footnoteRef/>
      </w:r>
      <w:r>
        <w:t xml:space="preserve"> O’Neill, B.E. </w:t>
      </w:r>
      <w:r w:rsidRPr="00FF414E">
        <w:rPr>
          <w:u w:val="single"/>
        </w:rPr>
        <w:t>Op.Cit</w:t>
      </w:r>
      <w:r>
        <w:t>., p.3</w:t>
      </w:r>
    </w:p>
  </w:footnote>
  <w:footnote w:id="68">
    <w:p w14:paraId="400297DA" w14:textId="2A069994" w:rsidR="002001FB" w:rsidRDefault="002001FB" w:rsidP="00580699">
      <w:pPr>
        <w:pStyle w:val="FootnoteText"/>
      </w:pPr>
      <w:r>
        <w:rPr>
          <w:rStyle w:val="FootnoteReference"/>
        </w:rPr>
        <w:footnoteRef/>
      </w:r>
      <w:r>
        <w:t xml:space="preserve"> Moore, R.S., </w:t>
      </w:r>
      <w:r w:rsidRPr="007D46FE">
        <w:rPr>
          <w:u w:val="single"/>
        </w:rPr>
        <w:t>The Basics of Counter Insurgency</w:t>
      </w:r>
      <w:r>
        <w:t>, Joint Urban Operations Office, US Joint Forces Command, 2007, p.3</w:t>
      </w:r>
    </w:p>
  </w:footnote>
  <w:footnote w:id="69">
    <w:p w14:paraId="3E8852FF" w14:textId="70C86298" w:rsidR="002001FB" w:rsidRDefault="002001FB" w:rsidP="00580699">
      <w:pPr>
        <w:pStyle w:val="FootnoteText"/>
      </w:pPr>
      <w:r>
        <w:rPr>
          <w:rStyle w:val="FootnoteReference"/>
        </w:rPr>
        <w:footnoteRef/>
      </w:r>
      <w:r>
        <w:t xml:space="preserve"> Kiras, J.D., </w:t>
      </w:r>
      <w:r>
        <w:rPr>
          <w:u w:val="single"/>
        </w:rPr>
        <w:t>Op.Cit.,</w:t>
      </w:r>
      <w:r w:rsidRPr="00361541">
        <w:t xml:space="preserve"> </w:t>
      </w:r>
      <w:r>
        <w:t>p.188</w:t>
      </w:r>
    </w:p>
  </w:footnote>
  <w:footnote w:id="70">
    <w:p w14:paraId="0EE4E173" w14:textId="39CA7C9B" w:rsidR="002001FB" w:rsidRDefault="002001FB" w:rsidP="00580699">
      <w:pPr>
        <w:pStyle w:val="FootnoteText"/>
      </w:pPr>
      <w:r>
        <w:rPr>
          <w:rStyle w:val="FootnoteReference"/>
        </w:rPr>
        <w:footnoteRef/>
      </w:r>
      <w:r>
        <w:t xml:space="preserve"> </w:t>
      </w:r>
      <w:r w:rsidRPr="002320A0">
        <w:rPr>
          <w:u w:val="single"/>
        </w:rPr>
        <w:t>Ibid</w:t>
      </w:r>
      <w:r>
        <w:rPr>
          <w:u w:val="single"/>
        </w:rPr>
        <w:t>.,</w:t>
      </w:r>
      <w:r w:rsidRPr="00361541">
        <w:t xml:space="preserve"> </w:t>
      </w:r>
      <w:r>
        <w:t>p.194</w:t>
      </w:r>
    </w:p>
  </w:footnote>
  <w:footnote w:id="71">
    <w:p w14:paraId="7DA99FF6" w14:textId="3458B13B" w:rsidR="002001FB" w:rsidRPr="003F69DC" w:rsidRDefault="002001FB" w:rsidP="00580699">
      <w:pPr>
        <w:pStyle w:val="FootnoteText"/>
        <w:rPr>
          <w:lang w:val="en-US"/>
        </w:rPr>
      </w:pPr>
      <w:r>
        <w:rPr>
          <w:rStyle w:val="FootnoteReference"/>
        </w:rPr>
        <w:footnoteRef/>
      </w:r>
      <w:r>
        <w:t xml:space="preserve"> </w:t>
      </w:r>
      <w:r>
        <w:rPr>
          <w:u w:val="single"/>
          <w:lang w:val="en-US"/>
        </w:rPr>
        <w:t>Ibid</w:t>
      </w:r>
      <w:r w:rsidRPr="003F69DC">
        <w:rPr>
          <w:u w:val="single"/>
          <w:lang w:val="en-US"/>
        </w:rPr>
        <w:t>.,</w:t>
      </w:r>
      <w:r>
        <w:rPr>
          <w:lang w:val="en-US"/>
        </w:rPr>
        <w:t xml:space="preserve"> p.2</w:t>
      </w:r>
    </w:p>
  </w:footnote>
  <w:footnote w:id="72">
    <w:p w14:paraId="6F6AA07E" w14:textId="0743585F" w:rsidR="002001FB" w:rsidRPr="00AB0D1F" w:rsidRDefault="002001FB" w:rsidP="00580699">
      <w:pPr>
        <w:pStyle w:val="FootnoteText"/>
        <w:rPr>
          <w:lang w:val="en-US"/>
        </w:rPr>
      </w:pPr>
      <w:r>
        <w:rPr>
          <w:rStyle w:val="FootnoteReference"/>
        </w:rPr>
        <w:footnoteRef/>
      </w:r>
      <w:r>
        <w:t xml:space="preserve"> </w:t>
      </w:r>
      <w:r>
        <w:rPr>
          <w:u w:val="single"/>
          <w:lang w:val="en-US"/>
        </w:rPr>
        <w:t>Ibid</w:t>
      </w:r>
      <w:r>
        <w:rPr>
          <w:lang w:val="en-US"/>
        </w:rPr>
        <w:t>., p.189</w:t>
      </w:r>
    </w:p>
  </w:footnote>
  <w:footnote w:id="73">
    <w:p w14:paraId="689BF2FD" w14:textId="77777777" w:rsidR="002001FB" w:rsidRPr="00AB0D1F" w:rsidRDefault="002001FB" w:rsidP="00580699">
      <w:pPr>
        <w:pStyle w:val="FootnoteText"/>
        <w:rPr>
          <w:lang w:val="en-US"/>
        </w:rPr>
      </w:pPr>
      <w:r>
        <w:rPr>
          <w:rStyle w:val="FootnoteReference"/>
        </w:rPr>
        <w:footnoteRef/>
      </w:r>
      <w:r>
        <w:t xml:space="preserve"> </w:t>
      </w:r>
      <w:r w:rsidRPr="00AB0D1F">
        <w:rPr>
          <w:u w:val="single"/>
          <w:lang w:val="en-US"/>
        </w:rPr>
        <w:t>Ibid.</w:t>
      </w:r>
      <w:r>
        <w:rPr>
          <w:lang w:val="en-US"/>
        </w:rPr>
        <w:t>, p.188</w:t>
      </w:r>
    </w:p>
  </w:footnote>
  <w:footnote w:id="74">
    <w:p w14:paraId="03BC7DAE" w14:textId="77777777" w:rsidR="002001FB" w:rsidRPr="00AB0D1F" w:rsidRDefault="002001FB" w:rsidP="00580699">
      <w:pPr>
        <w:pStyle w:val="FootnoteText"/>
        <w:rPr>
          <w:lang w:val="en-US"/>
        </w:rPr>
      </w:pPr>
      <w:r>
        <w:rPr>
          <w:rStyle w:val="FootnoteReference"/>
        </w:rPr>
        <w:footnoteRef/>
      </w:r>
      <w:r>
        <w:t xml:space="preserve"> </w:t>
      </w:r>
      <w:r>
        <w:rPr>
          <w:lang w:val="en-US"/>
        </w:rPr>
        <w:t xml:space="preserve">Kiras, J.D., </w:t>
      </w:r>
      <w:r w:rsidRPr="00AB0D1F">
        <w:rPr>
          <w:u w:val="single"/>
          <w:lang w:val="en-US"/>
        </w:rPr>
        <w:t>Op.Cit</w:t>
      </w:r>
      <w:r>
        <w:rPr>
          <w:lang w:val="en-US"/>
        </w:rPr>
        <w:t>., p.187</w:t>
      </w:r>
    </w:p>
  </w:footnote>
  <w:footnote w:id="75">
    <w:p w14:paraId="712E2472" w14:textId="77777777" w:rsidR="002001FB" w:rsidRPr="005C104E" w:rsidRDefault="002001FB" w:rsidP="00580699">
      <w:pPr>
        <w:tabs>
          <w:tab w:val="left" w:pos="284"/>
        </w:tabs>
        <w:ind w:right="-631"/>
        <w:jc w:val="both"/>
        <w:rPr>
          <w:rFonts w:ascii="Constantia" w:hAnsi="Constantia"/>
          <w:sz w:val="20"/>
          <w:szCs w:val="20"/>
        </w:rPr>
      </w:pPr>
      <w:r w:rsidRPr="00F32F55">
        <w:rPr>
          <w:rStyle w:val="FootnoteReference"/>
          <w:sz w:val="20"/>
          <w:szCs w:val="20"/>
        </w:rPr>
        <w:footnoteRef/>
      </w:r>
      <w:r w:rsidRPr="00F32F55">
        <w:rPr>
          <w:sz w:val="20"/>
          <w:szCs w:val="20"/>
        </w:rPr>
        <w:t xml:space="preserve"> </w:t>
      </w:r>
      <w:r w:rsidRPr="00F32F55">
        <w:rPr>
          <w:rFonts w:ascii="Constantia" w:hAnsi="Constantia"/>
          <w:sz w:val="20"/>
          <w:szCs w:val="20"/>
        </w:rPr>
        <w:t xml:space="preserve">For a brief breakdown of the main types of insurgencies and their relative effect within various realms of the insurgency are reflected in Table 1. </w:t>
      </w:r>
    </w:p>
  </w:footnote>
  <w:footnote w:id="76">
    <w:p w14:paraId="12391803" w14:textId="77777777" w:rsidR="002001FB" w:rsidRPr="00652FDD" w:rsidRDefault="002001FB" w:rsidP="00580699">
      <w:pPr>
        <w:pStyle w:val="FootnoteText"/>
        <w:rPr>
          <w:lang w:val="en-US"/>
        </w:rPr>
      </w:pPr>
      <w:r>
        <w:rPr>
          <w:rStyle w:val="FootnoteReference"/>
        </w:rPr>
        <w:footnoteRef/>
      </w:r>
      <w:r>
        <w:t xml:space="preserve"> </w:t>
      </w:r>
      <w:r>
        <w:rPr>
          <w:lang w:val="en-US"/>
        </w:rPr>
        <w:t xml:space="preserve">Kruys, G., </w:t>
      </w:r>
      <w:r w:rsidRPr="00652FDD">
        <w:rPr>
          <w:u w:val="single"/>
          <w:lang w:val="en-US"/>
        </w:rPr>
        <w:t>Op.Cit</w:t>
      </w:r>
      <w:r>
        <w:rPr>
          <w:lang w:val="en-US"/>
        </w:rPr>
        <w:t>., p.34</w:t>
      </w:r>
    </w:p>
  </w:footnote>
  <w:footnote w:id="77">
    <w:p w14:paraId="335AE277" w14:textId="77777777" w:rsidR="002001FB" w:rsidRPr="00652FDD" w:rsidRDefault="002001FB" w:rsidP="00580699">
      <w:pPr>
        <w:pStyle w:val="FootnoteText"/>
        <w:rPr>
          <w:lang w:val="en-US"/>
        </w:rPr>
      </w:pPr>
      <w:r>
        <w:rPr>
          <w:rStyle w:val="FootnoteReference"/>
        </w:rPr>
        <w:footnoteRef/>
      </w:r>
      <w:r>
        <w:t xml:space="preserve"> </w:t>
      </w:r>
      <w:r w:rsidRPr="00652FDD">
        <w:rPr>
          <w:u w:val="single"/>
          <w:lang w:val="en-US"/>
        </w:rPr>
        <w:t>Loccit</w:t>
      </w:r>
      <w:r>
        <w:rPr>
          <w:lang w:val="en-US"/>
        </w:rPr>
        <w:t>.</w:t>
      </w:r>
    </w:p>
  </w:footnote>
  <w:footnote w:id="78">
    <w:p w14:paraId="40AEAB9F" w14:textId="77777777" w:rsidR="002001FB" w:rsidRPr="00652FDD" w:rsidRDefault="002001FB" w:rsidP="00580699">
      <w:pPr>
        <w:pStyle w:val="FootnoteText"/>
        <w:rPr>
          <w:lang w:val="en-US"/>
        </w:rPr>
      </w:pPr>
      <w:r>
        <w:rPr>
          <w:rStyle w:val="FootnoteReference"/>
        </w:rPr>
        <w:footnoteRef/>
      </w:r>
      <w:r>
        <w:t xml:space="preserve"> </w:t>
      </w:r>
      <w:r>
        <w:rPr>
          <w:lang w:val="en-US"/>
        </w:rPr>
        <w:t xml:space="preserve">Kiras, J.D., </w:t>
      </w:r>
      <w:r w:rsidRPr="00652FDD">
        <w:rPr>
          <w:u w:val="single"/>
          <w:lang w:val="en-US"/>
        </w:rPr>
        <w:t>Op.Cit</w:t>
      </w:r>
      <w:r>
        <w:rPr>
          <w:lang w:val="en-US"/>
        </w:rPr>
        <w:t>., p.190</w:t>
      </w:r>
    </w:p>
  </w:footnote>
  <w:footnote w:id="79">
    <w:p w14:paraId="07FADC0A" w14:textId="77777777" w:rsidR="002001FB" w:rsidRPr="00CF69B5" w:rsidRDefault="002001FB" w:rsidP="00580699">
      <w:pPr>
        <w:pStyle w:val="FootnoteText"/>
        <w:rPr>
          <w:lang w:val="en-US"/>
        </w:rPr>
      </w:pPr>
      <w:r>
        <w:rPr>
          <w:rStyle w:val="FootnoteReference"/>
        </w:rPr>
        <w:footnoteRef/>
      </w:r>
      <w:r>
        <w:t xml:space="preserve"> </w:t>
      </w:r>
      <w:r>
        <w:rPr>
          <w:lang w:val="en-US"/>
        </w:rPr>
        <w:t xml:space="preserve">Hammes, T.X., “Insurgency: Modern Warfare Evolves into a Fourth Generation”, in </w:t>
      </w:r>
      <w:r w:rsidRPr="00CF69B5">
        <w:rPr>
          <w:u w:val="single"/>
          <w:lang w:val="en-US"/>
        </w:rPr>
        <w:t>Strategic Forum</w:t>
      </w:r>
      <w:r>
        <w:rPr>
          <w:lang w:val="en-US"/>
        </w:rPr>
        <w:t>, 2005, p.1</w:t>
      </w:r>
    </w:p>
  </w:footnote>
  <w:footnote w:id="80">
    <w:p w14:paraId="3DD826FA" w14:textId="25682611" w:rsidR="002001FB" w:rsidRPr="00E23D71" w:rsidRDefault="002001FB" w:rsidP="00580699">
      <w:pPr>
        <w:pStyle w:val="FootnoteText"/>
        <w:rPr>
          <w:lang w:val="en-US"/>
        </w:rPr>
      </w:pPr>
      <w:r>
        <w:rPr>
          <w:rStyle w:val="FootnoteReference"/>
        </w:rPr>
        <w:footnoteRef/>
      </w:r>
      <w:r>
        <w:t xml:space="preserve"> </w:t>
      </w:r>
      <w:r>
        <w:rPr>
          <w:lang w:val="en-US"/>
        </w:rPr>
        <w:t xml:space="preserve">Hammes, T.X., </w:t>
      </w:r>
      <w:r>
        <w:rPr>
          <w:u w:val="single"/>
          <w:lang w:val="en-US"/>
        </w:rPr>
        <w:t>Op.Cit.,</w:t>
      </w:r>
      <w:r>
        <w:rPr>
          <w:lang w:val="en-US"/>
        </w:rPr>
        <w:t xml:space="preserve"> p.3</w:t>
      </w:r>
    </w:p>
  </w:footnote>
  <w:footnote w:id="81">
    <w:p w14:paraId="2A5FAAA3" w14:textId="276F4F67" w:rsidR="002001FB" w:rsidRPr="00361541" w:rsidRDefault="002001FB" w:rsidP="00361541">
      <w:pPr>
        <w:jc w:val="both"/>
        <w:rPr>
          <w:sz w:val="20"/>
          <w:szCs w:val="20"/>
        </w:rPr>
      </w:pPr>
      <w:r w:rsidRPr="00361541">
        <w:rPr>
          <w:rStyle w:val="FootnoteReference"/>
          <w:sz w:val="20"/>
          <w:szCs w:val="20"/>
        </w:rPr>
        <w:footnoteRef/>
      </w:r>
      <w:r w:rsidRPr="00361541">
        <w:rPr>
          <w:sz w:val="20"/>
          <w:szCs w:val="20"/>
        </w:rPr>
        <w:t xml:space="preserve"> Basilici, S.P., </w:t>
      </w:r>
      <w:r w:rsidRPr="00361541">
        <w:rPr>
          <w:sz w:val="20"/>
          <w:szCs w:val="20"/>
          <w:u w:val="single"/>
        </w:rPr>
        <w:t>Ethics, Counterinsurgency and Perceptions in the Information Era</w:t>
      </w:r>
      <w:r w:rsidRPr="00361541">
        <w:rPr>
          <w:sz w:val="20"/>
          <w:szCs w:val="20"/>
        </w:rPr>
        <w:t>, United States Army Command and General Staff College, 2006</w:t>
      </w:r>
      <w:r>
        <w:rPr>
          <w:sz w:val="20"/>
          <w:szCs w:val="20"/>
        </w:rPr>
        <w:t>, p.10</w:t>
      </w:r>
    </w:p>
  </w:footnote>
  <w:footnote w:id="82">
    <w:p w14:paraId="285C1944" w14:textId="77777777" w:rsidR="002001FB" w:rsidRPr="00A21722" w:rsidRDefault="002001FB" w:rsidP="00580699">
      <w:pPr>
        <w:pStyle w:val="FootnoteText"/>
        <w:rPr>
          <w:lang w:val="en-US"/>
        </w:rPr>
      </w:pPr>
      <w:r>
        <w:rPr>
          <w:rStyle w:val="FootnoteReference"/>
        </w:rPr>
        <w:footnoteRef/>
      </w:r>
      <w:r>
        <w:t xml:space="preserve"> </w:t>
      </w:r>
      <w:r>
        <w:rPr>
          <w:lang w:val="en-US"/>
        </w:rPr>
        <w:t xml:space="preserve">Hammes, T.X., </w:t>
      </w:r>
      <w:r w:rsidRPr="00A21722">
        <w:rPr>
          <w:u w:val="single"/>
          <w:lang w:val="en-US"/>
        </w:rPr>
        <w:t>Op.Cit.,</w:t>
      </w:r>
      <w:r>
        <w:rPr>
          <w:lang w:val="en-US"/>
        </w:rPr>
        <w:t xml:space="preserve"> p.6</w:t>
      </w:r>
    </w:p>
  </w:footnote>
  <w:footnote w:id="83">
    <w:p w14:paraId="70421460" w14:textId="77777777" w:rsidR="002001FB" w:rsidRPr="00711A52" w:rsidRDefault="002001FB" w:rsidP="00580699">
      <w:pPr>
        <w:pStyle w:val="FootnoteText"/>
        <w:rPr>
          <w:lang w:val="en-US"/>
        </w:rPr>
      </w:pPr>
      <w:r>
        <w:rPr>
          <w:rStyle w:val="FootnoteReference"/>
        </w:rPr>
        <w:footnoteRef/>
      </w:r>
      <w:r>
        <w:t xml:space="preserve"> </w:t>
      </w:r>
      <w:r>
        <w:rPr>
          <w:lang w:val="en-US"/>
        </w:rPr>
        <w:t xml:space="preserve">Marques, P.D., </w:t>
      </w:r>
      <w:r w:rsidRPr="00711A52">
        <w:rPr>
          <w:u w:val="single"/>
          <w:lang w:val="en-US"/>
        </w:rPr>
        <w:t>Guerilla Warfare Tactics in Urban Environments</w:t>
      </w:r>
      <w:r>
        <w:rPr>
          <w:lang w:val="en-US"/>
        </w:rPr>
        <w:t>, Indiana University, Indiana, 1990, p.1</w:t>
      </w:r>
    </w:p>
  </w:footnote>
  <w:footnote w:id="84">
    <w:p w14:paraId="32149C70" w14:textId="77777777" w:rsidR="002001FB" w:rsidRPr="00AF4B9B" w:rsidRDefault="002001FB" w:rsidP="00580699">
      <w:pPr>
        <w:pStyle w:val="FootnoteText"/>
        <w:rPr>
          <w:lang w:val="en-US"/>
        </w:rPr>
      </w:pPr>
      <w:r>
        <w:rPr>
          <w:rStyle w:val="FootnoteReference"/>
        </w:rPr>
        <w:footnoteRef/>
      </w:r>
      <w:r>
        <w:t xml:space="preserve"> </w:t>
      </w:r>
      <w:r>
        <w:rPr>
          <w:lang w:val="en-US"/>
        </w:rPr>
        <w:t>Beckett, I.F.W., Modern Insurgencies and Counter Insurgencies: Guerillas and their Opponents Since 1750, Routledge, 2001, p.</w:t>
      </w:r>
    </w:p>
  </w:footnote>
  <w:footnote w:id="85">
    <w:p w14:paraId="5BC24E60" w14:textId="77777777" w:rsidR="002001FB" w:rsidRPr="00AF4B9B" w:rsidRDefault="002001FB" w:rsidP="00580699">
      <w:pPr>
        <w:pStyle w:val="FootnoteText"/>
        <w:rPr>
          <w:lang w:val="en-US"/>
        </w:rPr>
      </w:pPr>
      <w:r>
        <w:rPr>
          <w:rStyle w:val="FootnoteReference"/>
        </w:rPr>
        <w:footnoteRef/>
      </w:r>
      <w:r>
        <w:t xml:space="preserve"> </w:t>
      </w:r>
      <w:r>
        <w:rPr>
          <w:lang w:val="en-US"/>
        </w:rPr>
        <w:t xml:space="preserve">O’Neill, B.E., </w:t>
      </w:r>
      <w:r w:rsidRPr="00AF4B9B">
        <w:rPr>
          <w:u w:val="single"/>
          <w:lang w:val="en-US"/>
        </w:rPr>
        <w:t>Op.Cit</w:t>
      </w:r>
      <w:r>
        <w:rPr>
          <w:lang w:val="en-US"/>
        </w:rPr>
        <w:t>., p.33</w:t>
      </w:r>
    </w:p>
  </w:footnote>
  <w:footnote w:id="86">
    <w:p w14:paraId="4845A2F9" w14:textId="77EEFB1A" w:rsidR="002001FB" w:rsidRPr="000018CD" w:rsidRDefault="002001FB" w:rsidP="00580699">
      <w:pPr>
        <w:pStyle w:val="FootnoteText"/>
        <w:rPr>
          <w:lang w:val="en-US"/>
        </w:rPr>
      </w:pPr>
      <w:r>
        <w:rPr>
          <w:rStyle w:val="FootnoteReference"/>
        </w:rPr>
        <w:footnoteRef/>
      </w:r>
      <w:r>
        <w:t xml:space="preserve"> </w:t>
      </w:r>
      <w:r>
        <w:rPr>
          <w:lang w:val="en-US"/>
        </w:rPr>
        <w:t xml:space="preserve">Kruys, G., “Twentieth Century Classical Insurgency, Counter-Insurgency and Counter Terror”, </w:t>
      </w:r>
      <w:r w:rsidRPr="00361541">
        <w:rPr>
          <w:u w:val="single"/>
          <w:lang w:val="en-US"/>
        </w:rPr>
        <w:t>Op.Cit.,</w:t>
      </w:r>
      <w:r>
        <w:rPr>
          <w:lang w:val="en-US"/>
        </w:rPr>
        <w:t xml:space="preserve"> p.14</w:t>
      </w:r>
    </w:p>
  </w:footnote>
  <w:footnote w:id="87">
    <w:p w14:paraId="328A0C17" w14:textId="405EEFE5" w:rsidR="002001FB" w:rsidRPr="000018CD" w:rsidRDefault="002001FB" w:rsidP="00580699">
      <w:pPr>
        <w:pStyle w:val="FootnoteText"/>
        <w:rPr>
          <w:lang w:val="en-US"/>
        </w:rPr>
      </w:pPr>
      <w:r>
        <w:rPr>
          <w:rStyle w:val="FootnoteReference"/>
        </w:rPr>
        <w:footnoteRef/>
      </w:r>
      <w:r>
        <w:t xml:space="preserve"> </w:t>
      </w:r>
      <w:r>
        <w:rPr>
          <w:u w:val="single"/>
          <w:lang w:val="en-US"/>
        </w:rPr>
        <w:t>Ibid</w:t>
      </w:r>
      <w:r w:rsidRPr="000018CD">
        <w:rPr>
          <w:u w:val="single"/>
          <w:lang w:val="en-US"/>
        </w:rPr>
        <w:t>.</w:t>
      </w:r>
      <w:r>
        <w:rPr>
          <w:lang w:val="en-US"/>
        </w:rPr>
        <w:t>, p.15</w:t>
      </w:r>
    </w:p>
  </w:footnote>
  <w:footnote w:id="88">
    <w:p w14:paraId="74FE9BD4" w14:textId="77777777" w:rsidR="002001FB" w:rsidRPr="00A21722" w:rsidRDefault="002001FB" w:rsidP="00580699">
      <w:pPr>
        <w:pStyle w:val="FootnoteText"/>
        <w:rPr>
          <w:lang w:val="en-US"/>
        </w:rPr>
      </w:pPr>
      <w:r>
        <w:rPr>
          <w:rStyle w:val="FootnoteReference"/>
        </w:rPr>
        <w:footnoteRef/>
      </w:r>
      <w:r>
        <w:t xml:space="preserve"> </w:t>
      </w:r>
      <w:r>
        <w:rPr>
          <w:lang w:val="en-US"/>
        </w:rPr>
        <w:t xml:space="preserve">Kiras, J.D., </w:t>
      </w:r>
      <w:r w:rsidRPr="00A21722">
        <w:rPr>
          <w:u w:val="single"/>
          <w:lang w:val="en-US"/>
        </w:rPr>
        <w:t>Op.Cit</w:t>
      </w:r>
      <w:r>
        <w:rPr>
          <w:lang w:val="en-US"/>
        </w:rPr>
        <w:t>., p.191</w:t>
      </w:r>
    </w:p>
  </w:footnote>
  <w:footnote w:id="89">
    <w:p w14:paraId="66AD0D2C" w14:textId="022A68F2" w:rsidR="002001FB" w:rsidRPr="00F35AA3" w:rsidRDefault="002001FB" w:rsidP="00580699">
      <w:pPr>
        <w:pStyle w:val="FootnoteText"/>
        <w:rPr>
          <w:lang w:val="en-US"/>
        </w:rPr>
      </w:pPr>
      <w:r>
        <w:rPr>
          <w:rStyle w:val="FootnoteReference"/>
        </w:rPr>
        <w:footnoteRef/>
      </w:r>
      <w:r>
        <w:t xml:space="preserve"> </w:t>
      </w:r>
      <w:r w:rsidRPr="005068F6">
        <w:rPr>
          <w:u w:val="single"/>
          <w:lang w:val="en-US"/>
        </w:rPr>
        <w:t>Loccit.</w:t>
      </w:r>
    </w:p>
  </w:footnote>
  <w:footnote w:id="90">
    <w:p w14:paraId="17DF4640" w14:textId="77777777" w:rsidR="002001FB" w:rsidRPr="00F35AA3" w:rsidRDefault="002001FB" w:rsidP="00580699">
      <w:pPr>
        <w:pStyle w:val="FootnoteText"/>
        <w:rPr>
          <w:lang w:val="en-US"/>
        </w:rPr>
      </w:pPr>
      <w:r>
        <w:rPr>
          <w:rStyle w:val="FootnoteReference"/>
        </w:rPr>
        <w:footnoteRef/>
      </w:r>
      <w:r>
        <w:t xml:space="preserve"> </w:t>
      </w:r>
      <w:r w:rsidRPr="00F35AA3">
        <w:rPr>
          <w:u w:val="single"/>
          <w:lang w:val="en-US"/>
        </w:rPr>
        <w:t>Loccit.</w:t>
      </w:r>
    </w:p>
  </w:footnote>
  <w:footnote w:id="91">
    <w:p w14:paraId="6B96C2FD" w14:textId="77777777" w:rsidR="002001FB" w:rsidRPr="00BE66E6" w:rsidRDefault="002001FB" w:rsidP="00580699">
      <w:pPr>
        <w:pStyle w:val="FootnoteText"/>
        <w:rPr>
          <w:lang w:val="en-US"/>
        </w:rPr>
      </w:pPr>
      <w:r>
        <w:rPr>
          <w:rStyle w:val="FootnoteReference"/>
        </w:rPr>
        <w:footnoteRef/>
      </w:r>
      <w:r>
        <w:t xml:space="preserve"> </w:t>
      </w:r>
      <w:r>
        <w:rPr>
          <w:lang w:val="en-US"/>
        </w:rPr>
        <w:t xml:space="preserve">Morris, M.F., </w:t>
      </w:r>
      <w:r w:rsidRPr="00BE66E6">
        <w:rPr>
          <w:u w:val="single"/>
          <w:lang w:val="en-US"/>
        </w:rPr>
        <w:t>Op.Cit.</w:t>
      </w:r>
      <w:r>
        <w:rPr>
          <w:lang w:val="en-US"/>
        </w:rPr>
        <w:t>, p.8</w:t>
      </w:r>
    </w:p>
  </w:footnote>
  <w:footnote w:id="92">
    <w:p w14:paraId="11C35787" w14:textId="37E81256" w:rsidR="002001FB" w:rsidRPr="006712A0" w:rsidRDefault="002001FB" w:rsidP="00580699">
      <w:pPr>
        <w:pStyle w:val="FootnoteText"/>
        <w:rPr>
          <w:lang w:val="en-US"/>
        </w:rPr>
      </w:pPr>
      <w:r>
        <w:rPr>
          <w:rStyle w:val="FootnoteReference"/>
        </w:rPr>
        <w:footnoteRef/>
      </w:r>
      <w:r>
        <w:t xml:space="preserve"> </w:t>
      </w:r>
      <w:r>
        <w:rPr>
          <w:lang w:val="en-US"/>
        </w:rPr>
        <w:t xml:space="preserve">Woodwell, D., “The Troubles of Northern Ireland”, in Collier, P. and Sambanis, N., </w:t>
      </w:r>
      <w:r w:rsidRPr="00512127">
        <w:rPr>
          <w:u w:val="single"/>
          <w:lang w:val="en-US"/>
        </w:rPr>
        <w:t>Understanding Civil War</w:t>
      </w:r>
      <w:r>
        <w:rPr>
          <w:lang w:val="en-US"/>
        </w:rPr>
        <w:t>, Volume 2, World Bank Publications, Washington, 2005, p.161</w:t>
      </w:r>
    </w:p>
  </w:footnote>
  <w:footnote w:id="93">
    <w:p w14:paraId="0E019403" w14:textId="34EF2D49" w:rsidR="002001FB" w:rsidRPr="006712A0" w:rsidRDefault="002001FB" w:rsidP="00580699">
      <w:pPr>
        <w:pStyle w:val="FootnoteText"/>
        <w:rPr>
          <w:lang w:val="en-US"/>
        </w:rPr>
      </w:pPr>
      <w:r>
        <w:rPr>
          <w:rStyle w:val="FootnoteReference"/>
        </w:rPr>
        <w:footnoteRef/>
      </w:r>
      <w:r>
        <w:t xml:space="preserve"> </w:t>
      </w:r>
      <w:r>
        <w:rPr>
          <w:u w:val="single"/>
          <w:lang w:val="en-US"/>
        </w:rPr>
        <w:t>Ibid</w:t>
      </w:r>
      <w:r>
        <w:rPr>
          <w:lang w:val="en-US"/>
        </w:rPr>
        <w:t>., p.162</w:t>
      </w:r>
    </w:p>
  </w:footnote>
  <w:footnote w:id="94">
    <w:p w14:paraId="6D97F2E1" w14:textId="2E3D7A72" w:rsidR="002001FB" w:rsidRPr="002552D9" w:rsidRDefault="002001FB" w:rsidP="00580699">
      <w:pPr>
        <w:pStyle w:val="FootnoteText"/>
        <w:rPr>
          <w:lang w:val="en-US"/>
        </w:rPr>
      </w:pPr>
      <w:r>
        <w:rPr>
          <w:rStyle w:val="FootnoteReference"/>
        </w:rPr>
        <w:footnoteRef/>
      </w:r>
      <w:r>
        <w:t xml:space="preserve"> </w:t>
      </w:r>
      <w:r w:rsidRPr="002552D9">
        <w:rPr>
          <w:u w:val="single"/>
          <w:lang w:val="en-US"/>
        </w:rPr>
        <w:t>Ibid</w:t>
      </w:r>
      <w:r>
        <w:rPr>
          <w:lang w:val="en-US"/>
        </w:rPr>
        <w:t>., p.166</w:t>
      </w:r>
    </w:p>
  </w:footnote>
  <w:footnote w:id="95">
    <w:p w14:paraId="794D9FFD" w14:textId="6C2CD5CA" w:rsidR="002001FB" w:rsidRPr="002552D9" w:rsidRDefault="002001FB" w:rsidP="00580699">
      <w:pPr>
        <w:pStyle w:val="FootnoteText"/>
        <w:rPr>
          <w:lang w:val="en-US"/>
        </w:rPr>
      </w:pPr>
      <w:r>
        <w:rPr>
          <w:rStyle w:val="FootnoteReference"/>
        </w:rPr>
        <w:footnoteRef/>
      </w:r>
      <w:r>
        <w:t xml:space="preserve"> </w:t>
      </w:r>
      <w:r>
        <w:rPr>
          <w:lang w:val="en-US"/>
        </w:rPr>
        <w:t xml:space="preserve">Woodwell, D., </w:t>
      </w:r>
      <w:r>
        <w:rPr>
          <w:u w:val="single"/>
          <w:lang w:val="en-US"/>
        </w:rPr>
        <w:t>Op.Cit</w:t>
      </w:r>
      <w:r w:rsidRPr="002552D9">
        <w:rPr>
          <w:u w:val="single"/>
          <w:lang w:val="en-US"/>
        </w:rPr>
        <w:t>.</w:t>
      </w:r>
      <w:r>
        <w:rPr>
          <w:lang w:val="en-US"/>
        </w:rPr>
        <w:t>, p.171</w:t>
      </w:r>
    </w:p>
  </w:footnote>
  <w:footnote w:id="96">
    <w:p w14:paraId="31FFAFA9" w14:textId="7D543A0A" w:rsidR="002001FB" w:rsidRPr="002552D9" w:rsidRDefault="002001FB" w:rsidP="00580699">
      <w:pPr>
        <w:pStyle w:val="FootnoteText"/>
        <w:rPr>
          <w:lang w:val="en-US"/>
        </w:rPr>
      </w:pPr>
      <w:r>
        <w:rPr>
          <w:rStyle w:val="FootnoteReference"/>
        </w:rPr>
        <w:footnoteRef/>
      </w:r>
      <w:r w:rsidRPr="002552D9">
        <w:t xml:space="preserve"> </w:t>
      </w:r>
      <w:r>
        <w:rPr>
          <w:u w:val="single"/>
          <w:lang w:val="en-US"/>
        </w:rPr>
        <w:t>Ibid</w:t>
      </w:r>
      <w:r>
        <w:rPr>
          <w:lang w:val="en-US"/>
        </w:rPr>
        <w:t>., p.172</w:t>
      </w:r>
    </w:p>
  </w:footnote>
  <w:footnote w:id="97">
    <w:p w14:paraId="3902BEE3" w14:textId="77777777" w:rsidR="002001FB" w:rsidRPr="00AB0D1F" w:rsidRDefault="002001FB" w:rsidP="00580699">
      <w:pPr>
        <w:pStyle w:val="FootnoteText"/>
        <w:rPr>
          <w:lang w:val="en-US"/>
        </w:rPr>
      </w:pPr>
      <w:r>
        <w:rPr>
          <w:rStyle w:val="FootnoteReference"/>
        </w:rPr>
        <w:footnoteRef/>
      </w:r>
      <w:r>
        <w:t xml:space="preserve"> Kiras, J.D., </w:t>
      </w:r>
      <w:r>
        <w:rPr>
          <w:u w:val="single"/>
          <w:lang w:val="en-US"/>
        </w:rPr>
        <w:t>Op</w:t>
      </w:r>
      <w:r w:rsidRPr="00AB0D1F">
        <w:rPr>
          <w:u w:val="single"/>
          <w:lang w:val="en-US"/>
        </w:rPr>
        <w:t>.</w:t>
      </w:r>
      <w:r>
        <w:rPr>
          <w:u w:val="single"/>
          <w:lang w:val="en-US"/>
        </w:rPr>
        <w:t>Cit</w:t>
      </w:r>
      <w:r>
        <w:rPr>
          <w:lang w:val="en-US"/>
        </w:rPr>
        <w:t>, p.188</w:t>
      </w:r>
    </w:p>
  </w:footnote>
  <w:footnote w:id="98">
    <w:p w14:paraId="3961D1CC" w14:textId="77777777" w:rsidR="002001FB" w:rsidRPr="00303B38" w:rsidRDefault="002001FB" w:rsidP="00580699">
      <w:pPr>
        <w:pStyle w:val="FootnoteText"/>
        <w:rPr>
          <w:lang w:val="en-US"/>
        </w:rPr>
      </w:pPr>
      <w:r>
        <w:rPr>
          <w:rStyle w:val="FootnoteReference"/>
        </w:rPr>
        <w:footnoteRef/>
      </w:r>
      <w:r>
        <w:t xml:space="preserve"> </w:t>
      </w:r>
      <w:r w:rsidRPr="00303B38">
        <w:rPr>
          <w:u w:val="single"/>
          <w:lang w:val="en-US"/>
        </w:rPr>
        <w:t>Loccit.</w:t>
      </w:r>
    </w:p>
  </w:footnote>
  <w:footnote w:id="99">
    <w:p w14:paraId="78BA55F3" w14:textId="77777777" w:rsidR="002001FB" w:rsidRDefault="002001FB" w:rsidP="00580699">
      <w:pPr>
        <w:pStyle w:val="FootnoteText"/>
      </w:pPr>
      <w:r>
        <w:rPr>
          <w:rStyle w:val="FootnoteReference"/>
        </w:rPr>
        <w:footnoteRef/>
      </w:r>
      <w:r>
        <w:t xml:space="preserve"> </w:t>
      </w:r>
      <w:r w:rsidRPr="00D2217A">
        <w:rPr>
          <w:u w:val="single"/>
        </w:rPr>
        <w:t>Ibid.,</w:t>
      </w:r>
      <w:r>
        <w:t xml:space="preserve"> p. 38</w:t>
      </w:r>
    </w:p>
  </w:footnote>
  <w:footnote w:id="100">
    <w:p w14:paraId="1C0AFC41" w14:textId="77777777" w:rsidR="002001FB" w:rsidRPr="002C72FA" w:rsidRDefault="002001FB" w:rsidP="00754A04">
      <w:pPr>
        <w:pStyle w:val="FootnoteText"/>
        <w:rPr>
          <w:lang w:val="en-US"/>
        </w:rPr>
      </w:pPr>
      <w:r>
        <w:rPr>
          <w:rStyle w:val="FootnoteReference"/>
        </w:rPr>
        <w:footnoteRef/>
      </w:r>
      <w:r>
        <w:t xml:space="preserve"> </w:t>
      </w:r>
      <w:r>
        <w:rPr>
          <w:lang w:val="en-US"/>
        </w:rPr>
        <w:t>Goulding, C., “The New Strategy of the IRA”, The New Left Review, Issue 64, Ireland, June 1970</w:t>
      </w:r>
    </w:p>
  </w:footnote>
  <w:footnote w:id="101">
    <w:p w14:paraId="5EA35A4A" w14:textId="60A5433A" w:rsidR="002001FB" w:rsidRPr="002001FB" w:rsidRDefault="002001FB">
      <w:pPr>
        <w:pStyle w:val="FootnoteText"/>
        <w:rPr>
          <w:lang w:val="en-US"/>
        </w:rPr>
      </w:pPr>
      <w:r>
        <w:rPr>
          <w:rStyle w:val="FootnoteReference"/>
        </w:rPr>
        <w:footnoteRef/>
      </w:r>
      <w:r>
        <w:t xml:space="preserve"> </w:t>
      </w:r>
      <w:r>
        <w:rPr>
          <w:lang w:val="en-US"/>
        </w:rPr>
        <w:t xml:space="preserve">Thackston, R.C., </w:t>
      </w:r>
      <w:r w:rsidRPr="002001FB">
        <w:rPr>
          <w:u w:val="single"/>
          <w:lang w:val="en-US"/>
        </w:rPr>
        <w:t>Urban Counterinsurgency in a Democracy: Great Britain Versus the Irish Republican Army</w:t>
      </w:r>
      <w:r>
        <w:rPr>
          <w:lang w:val="en-US"/>
        </w:rPr>
        <w:t>, The Naval War College, Newport, 1993, p.6</w:t>
      </w:r>
    </w:p>
  </w:footnote>
  <w:footnote w:id="102">
    <w:p w14:paraId="1F803920" w14:textId="77777777" w:rsidR="002001FB" w:rsidRDefault="002001FB" w:rsidP="00580699">
      <w:pPr>
        <w:pStyle w:val="FootnoteText"/>
      </w:pPr>
      <w:r>
        <w:rPr>
          <w:rStyle w:val="FootnoteReference"/>
        </w:rPr>
        <w:footnoteRef/>
      </w:r>
      <w:r>
        <w:t xml:space="preserve"> Viljoen, C.L., </w:t>
      </w:r>
      <w:r>
        <w:rPr>
          <w:u w:val="single"/>
        </w:rPr>
        <w:t>Op.Cit.</w:t>
      </w:r>
      <w:r>
        <w:t xml:space="preserve"> p.6</w:t>
      </w:r>
    </w:p>
  </w:footnote>
  <w:footnote w:id="103">
    <w:p w14:paraId="7913C634" w14:textId="477C17D7" w:rsidR="002001FB" w:rsidRPr="00017D9B" w:rsidRDefault="002001FB" w:rsidP="00FF414E">
      <w:pPr>
        <w:pStyle w:val="FootnoteText"/>
        <w:rPr>
          <w:lang w:val="en-US"/>
        </w:rPr>
      </w:pPr>
      <w:r>
        <w:rPr>
          <w:rStyle w:val="FootnoteReference"/>
        </w:rPr>
        <w:footnoteRef/>
      </w:r>
      <w:r>
        <w:t xml:space="preserve"> </w:t>
      </w:r>
      <w:r>
        <w:rPr>
          <w:lang w:val="en-US"/>
        </w:rPr>
        <w:t xml:space="preserve">Schweitzer, Y. “The War in Iraq and International Terrorism”, in Feldman, S., </w:t>
      </w:r>
      <w:r w:rsidRPr="00C916CD">
        <w:rPr>
          <w:u w:val="single"/>
          <w:lang w:val="en-US"/>
        </w:rPr>
        <w:t>After the War in Iraq: Defining the New Strate</w:t>
      </w:r>
      <w:r>
        <w:rPr>
          <w:u w:val="single"/>
          <w:lang w:val="en-US"/>
        </w:rPr>
        <w:t>g</w:t>
      </w:r>
      <w:r w:rsidRPr="00C916CD">
        <w:rPr>
          <w:u w:val="single"/>
          <w:lang w:val="en-US"/>
        </w:rPr>
        <w:t>ic Balance</w:t>
      </w:r>
      <w:r>
        <w:rPr>
          <w:lang w:val="en-US"/>
        </w:rPr>
        <w:t>, Sussex Academic Press, England, 2003, p.48</w:t>
      </w:r>
    </w:p>
  </w:footnote>
  <w:footnote w:id="104">
    <w:p w14:paraId="06A7C370" w14:textId="77777777" w:rsidR="002001FB" w:rsidRPr="00140D4D" w:rsidRDefault="002001FB" w:rsidP="00FF414E">
      <w:pPr>
        <w:pStyle w:val="FootnoteText"/>
        <w:rPr>
          <w:lang w:val="en-US"/>
        </w:rPr>
      </w:pPr>
      <w:r>
        <w:rPr>
          <w:rStyle w:val="FootnoteReference"/>
        </w:rPr>
        <w:footnoteRef/>
      </w:r>
      <w:r>
        <w:t xml:space="preserve"> </w:t>
      </w:r>
      <w:r w:rsidRPr="00140D4D">
        <w:rPr>
          <w:u w:val="single"/>
          <w:lang w:val="en-US"/>
        </w:rPr>
        <w:t>Loccit.</w:t>
      </w:r>
    </w:p>
  </w:footnote>
  <w:footnote w:id="105">
    <w:p w14:paraId="0BCC9AD9" w14:textId="7EDFAC11" w:rsidR="002001FB" w:rsidRPr="00E432D2" w:rsidRDefault="002001FB">
      <w:pPr>
        <w:pStyle w:val="FootnoteText"/>
        <w:rPr>
          <w:lang w:val="en-US"/>
        </w:rPr>
      </w:pPr>
      <w:r>
        <w:rPr>
          <w:rStyle w:val="FootnoteReference"/>
        </w:rPr>
        <w:footnoteRef/>
      </w:r>
      <w:r>
        <w:t xml:space="preserve"> </w:t>
      </w:r>
      <w:r>
        <w:rPr>
          <w:lang w:val="en-US"/>
        </w:rPr>
        <w:t>Bin Laden, O., “Declaration of War Against the Americans Occupying the Land of the Two Holy Places”, Republic of Iraq, 23 August 1996</w:t>
      </w:r>
    </w:p>
  </w:footnote>
  <w:footnote w:id="106">
    <w:p w14:paraId="6441E5F4" w14:textId="77777777" w:rsidR="002001FB" w:rsidRDefault="002001FB" w:rsidP="000350D6">
      <w:pPr>
        <w:pStyle w:val="FootnoteText"/>
      </w:pPr>
      <w:r>
        <w:rPr>
          <w:rStyle w:val="FootnoteReference"/>
        </w:rPr>
        <w:footnoteRef/>
      </w:r>
      <w:r>
        <w:t xml:space="preserve"> Gove, M., </w:t>
      </w:r>
      <w:r>
        <w:rPr>
          <w:u w:val="single"/>
        </w:rPr>
        <w:t>Op.Cit.</w:t>
      </w:r>
      <w:r>
        <w:t>, p.11</w:t>
      </w:r>
    </w:p>
  </w:footnote>
  <w:footnote w:id="107">
    <w:p w14:paraId="4F1FA405" w14:textId="77777777" w:rsidR="002001FB" w:rsidRDefault="002001FB" w:rsidP="000350D6">
      <w:pPr>
        <w:pStyle w:val="FootnoteText"/>
      </w:pPr>
      <w:r>
        <w:rPr>
          <w:rStyle w:val="FootnoteReference"/>
        </w:rPr>
        <w:footnoteRef/>
      </w:r>
      <w:r w:rsidRPr="00E652FF">
        <w:rPr>
          <w:u w:val="single"/>
        </w:rPr>
        <w:t>Ibid.</w:t>
      </w:r>
      <w:r>
        <w:t>, p.10</w:t>
      </w:r>
    </w:p>
  </w:footnote>
  <w:footnote w:id="108">
    <w:p w14:paraId="0BE4409E" w14:textId="77777777" w:rsidR="002001FB" w:rsidRDefault="002001FB" w:rsidP="000350D6">
      <w:pPr>
        <w:pStyle w:val="FootnoteText"/>
      </w:pPr>
      <w:r>
        <w:rPr>
          <w:rStyle w:val="FootnoteReference"/>
        </w:rPr>
        <w:footnoteRef/>
      </w:r>
      <w:r>
        <w:t xml:space="preserve"> Gove, M., </w:t>
      </w:r>
      <w:r>
        <w:rPr>
          <w:u w:val="single"/>
        </w:rPr>
        <w:t>Op.Cit.</w:t>
      </w:r>
      <w:r>
        <w:t>, p.10</w:t>
      </w:r>
    </w:p>
  </w:footnote>
  <w:footnote w:id="109">
    <w:p w14:paraId="4E8F96FC" w14:textId="77777777" w:rsidR="002001FB" w:rsidRDefault="002001FB" w:rsidP="000350D6">
      <w:pPr>
        <w:pStyle w:val="FootnoteText"/>
      </w:pPr>
      <w:r>
        <w:rPr>
          <w:rStyle w:val="FootnoteReference"/>
        </w:rPr>
        <w:footnoteRef/>
      </w:r>
      <w:r>
        <w:t xml:space="preserve"> Eisenstadt, M., White, J., </w:t>
      </w:r>
      <w:r w:rsidRPr="005C16BC">
        <w:rPr>
          <w:u w:val="single"/>
        </w:rPr>
        <w:t>Op.Cit.</w:t>
      </w:r>
      <w:r>
        <w:t>, p.266</w:t>
      </w:r>
    </w:p>
  </w:footnote>
  <w:footnote w:id="110">
    <w:p w14:paraId="5938510A" w14:textId="085772AF" w:rsidR="002001FB" w:rsidRPr="009C005E" w:rsidRDefault="002001FB">
      <w:pPr>
        <w:pStyle w:val="FootnoteText"/>
        <w:rPr>
          <w:lang w:val="en-US"/>
        </w:rPr>
      </w:pPr>
      <w:r>
        <w:rPr>
          <w:rStyle w:val="FootnoteReference"/>
        </w:rPr>
        <w:footnoteRef/>
      </w:r>
      <w:r>
        <w:t xml:space="preserve"> Ollivant, D.A., </w:t>
      </w:r>
      <w:r w:rsidRPr="000F31FD">
        <w:rPr>
          <w:u w:val="single"/>
        </w:rPr>
        <w:t>Renewed Violence in Iraq, Contingency Planning Memorandum No.5</w:t>
      </w:r>
      <w:r>
        <w:t xml:space="preserve">,  Council on Foreign Relations, </w:t>
      </w:r>
      <w:hyperlink r:id="rId2" w:history="1">
        <w:r w:rsidRPr="009C005E">
          <w:rPr>
            <w:rStyle w:val="Hyperlink"/>
            <w:color w:val="auto"/>
            <w:u w:val="none"/>
          </w:rPr>
          <w:t>http://www.cfr.org/iraq/renewed-violence-iraq/p28808</w:t>
        </w:r>
      </w:hyperlink>
      <w:r w:rsidRPr="009C005E">
        <w:t>,</w:t>
      </w:r>
      <w:r>
        <w:t xml:space="preserve"> Last Accessed: 12 February 2013</w:t>
      </w:r>
    </w:p>
  </w:footnote>
  <w:footnote w:id="111">
    <w:p w14:paraId="1F1431AF" w14:textId="4038C224" w:rsidR="002001FB" w:rsidRPr="009C005E" w:rsidRDefault="002001FB">
      <w:pPr>
        <w:pStyle w:val="FootnoteText"/>
        <w:rPr>
          <w:lang w:val="en-US"/>
        </w:rPr>
      </w:pPr>
      <w:r>
        <w:rPr>
          <w:rStyle w:val="FootnoteReference"/>
        </w:rPr>
        <w:footnoteRef/>
      </w:r>
      <w:r>
        <w:t xml:space="preserve"> </w:t>
      </w:r>
      <w:r w:rsidRPr="009C005E">
        <w:rPr>
          <w:u w:val="single"/>
          <w:lang w:val="en-US"/>
        </w:rPr>
        <w:t>Loccit.</w:t>
      </w:r>
    </w:p>
  </w:footnote>
  <w:footnote w:id="112">
    <w:p w14:paraId="268977F5" w14:textId="355AFA72" w:rsidR="002001FB" w:rsidRPr="009C005E" w:rsidRDefault="002001FB">
      <w:pPr>
        <w:pStyle w:val="FootnoteText"/>
        <w:rPr>
          <w:lang w:val="en-US"/>
        </w:rPr>
      </w:pPr>
      <w:r>
        <w:rPr>
          <w:rStyle w:val="FootnoteReference"/>
        </w:rPr>
        <w:footnoteRef/>
      </w:r>
      <w:r>
        <w:t xml:space="preserve"> </w:t>
      </w:r>
      <w:r>
        <w:rPr>
          <w:lang w:val="en-US"/>
        </w:rPr>
        <w:t xml:space="preserve">Gairdner, D., “Risk and Violence in Iraq’s New Sectarian Violence”, in </w:t>
      </w:r>
      <w:r w:rsidRPr="000F31FD">
        <w:rPr>
          <w:u w:val="single"/>
          <w:lang w:val="en-US"/>
        </w:rPr>
        <w:t>NOREF Report</w:t>
      </w:r>
      <w:r>
        <w:rPr>
          <w:lang w:val="en-US"/>
        </w:rPr>
        <w:t xml:space="preserve">, September 2012, </w:t>
      </w:r>
      <w:hyperlink r:id="rId3" w:history="1">
        <w:r w:rsidRPr="000F31FD">
          <w:rPr>
            <w:rStyle w:val="Hyperlink"/>
            <w:color w:val="auto"/>
            <w:u w:val="none"/>
            <w:lang w:val="en-US"/>
          </w:rPr>
          <w:t>http://www.clingendael.nl/cru/publications/2012/20121214_Gairdner_NOREF-Clingendael_Risk_and_violence_in_Iraq's_new_sectarian_bal.pdf</w:t>
        </w:r>
      </w:hyperlink>
      <w:r w:rsidRPr="000F31FD">
        <w:rPr>
          <w:lang w:val="en-US"/>
        </w:rPr>
        <w:t xml:space="preserve">, </w:t>
      </w:r>
      <w:r>
        <w:rPr>
          <w:lang w:val="en-US"/>
        </w:rPr>
        <w:t>Last Accessed: 11 February 2013</w:t>
      </w:r>
    </w:p>
  </w:footnote>
  <w:footnote w:id="113">
    <w:p w14:paraId="78A6F5B5" w14:textId="2095A524" w:rsidR="002001FB" w:rsidRPr="00C52467" w:rsidRDefault="002001FB">
      <w:pPr>
        <w:pStyle w:val="FootnoteText"/>
        <w:rPr>
          <w:lang w:val="en-US"/>
        </w:rPr>
      </w:pPr>
      <w:r>
        <w:rPr>
          <w:rStyle w:val="FootnoteReference"/>
        </w:rPr>
        <w:footnoteRef/>
      </w:r>
      <w:r>
        <w:t xml:space="preserve"> </w:t>
      </w:r>
      <w:r>
        <w:rPr>
          <w:lang w:val="en-US"/>
        </w:rPr>
        <w:t xml:space="preserve">Adapted from information from Kruys, G., “Post-Cold War/11 September 2001 Insurgency and Counter-Insurgency with Specific Reference to Iraq and Afghanistan”, </w:t>
      </w:r>
      <w:r w:rsidRPr="00C52467">
        <w:rPr>
          <w:u w:val="single"/>
          <w:lang w:val="en-US"/>
        </w:rPr>
        <w:t>Op.Cit.</w:t>
      </w:r>
      <w:r>
        <w:rPr>
          <w:lang w:val="en-US"/>
        </w:rPr>
        <w:t>, p.35-37</w:t>
      </w:r>
    </w:p>
  </w:footnote>
  <w:footnote w:id="114">
    <w:p w14:paraId="77B107F9" w14:textId="3DDDF224" w:rsidR="002001FB" w:rsidRPr="005E6C81" w:rsidRDefault="002001FB" w:rsidP="00580699">
      <w:pPr>
        <w:pStyle w:val="FootnoteText"/>
        <w:rPr>
          <w:lang w:val="en-US"/>
        </w:rPr>
      </w:pPr>
      <w:r>
        <w:rPr>
          <w:rStyle w:val="FootnoteReference"/>
        </w:rPr>
        <w:footnoteRef/>
      </w:r>
      <w:r>
        <w:t xml:space="preserve"> </w:t>
      </w:r>
      <w:r>
        <w:rPr>
          <w:lang w:val="en-US"/>
        </w:rPr>
        <w:t xml:space="preserve">Kitson, F., </w:t>
      </w:r>
      <w:r w:rsidRPr="00AE43D3">
        <w:rPr>
          <w:u w:val="single"/>
          <w:lang w:val="en-US"/>
        </w:rPr>
        <w:t>Bunch of Five</w:t>
      </w:r>
      <w:r>
        <w:rPr>
          <w:lang w:val="en-US"/>
        </w:rPr>
        <w:t>, Faber and Faber, 1977, p.16</w:t>
      </w:r>
    </w:p>
  </w:footnote>
  <w:footnote w:id="115">
    <w:p w14:paraId="5D8BDF1B" w14:textId="0C2F40DB" w:rsidR="002001FB" w:rsidRDefault="002001FB" w:rsidP="00580699">
      <w:pPr>
        <w:pStyle w:val="FootnoteText"/>
      </w:pPr>
      <w:r>
        <w:rPr>
          <w:rStyle w:val="FootnoteReference"/>
        </w:rPr>
        <w:footnoteRef/>
      </w:r>
      <w:r>
        <w:t xml:space="preserve"> Jackson, A.B., </w:t>
      </w:r>
      <w:r w:rsidRPr="005B29BD">
        <w:rPr>
          <w:u w:val="single"/>
        </w:rPr>
        <w:t>Counterinsurgency Intelligence in a “Long War”</w:t>
      </w:r>
      <w:r>
        <w:t>, The British Experience in Northern Ireland, Military Review, Rand Corporation, January-February 2007, P.76</w:t>
      </w:r>
    </w:p>
  </w:footnote>
  <w:footnote w:id="116">
    <w:p w14:paraId="59FAEE31" w14:textId="77777777" w:rsidR="002001FB" w:rsidRDefault="002001FB" w:rsidP="00580699">
      <w:pPr>
        <w:pStyle w:val="FootnoteText"/>
      </w:pPr>
      <w:r>
        <w:rPr>
          <w:rStyle w:val="FootnoteReference"/>
        </w:rPr>
        <w:footnoteRef/>
      </w:r>
      <w:r>
        <w:t xml:space="preserve"> Mirzoeff, N., </w:t>
      </w:r>
      <w:r w:rsidRPr="005B29BD">
        <w:rPr>
          <w:u w:val="single"/>
        </w:rPr>
        <w:t>War is Culture: Global Counterinsurgency, Visuality, and the Petraeus Doctrine</w:t>
      </w:r>
      <w:r>
        <w:t>, The Modern Language Association of America, 2009, p. 1</w:t>
      </w:r>
    </w:p>
  </w:footnote>
  <w:footnote w:id="117">
    <w:p w14:paraId="6C7D18F2" w14:textId="3F721E50" w:rsidR="002001FB" w:rsidRPr="003876C0" w:rsidRDefault="002001FB">
      <w:pPr>
        <w:pStyle w:val="FootnoteText"/>
        <w:rPr>
          <w:lang w:val="en-US"/>
        </w:rPr>
      </w:pPr>
      <w:r>
        <w:rPr>
          <w:rStyle w:val="FootnoteReference"/>
        </w:rPr>
        <w:footnoteRef/>
      </w:r>
      <w:r>
        <w:t xml:space="preserve"> </w:t>
      </w:r>
      <w:r w:rsidRPr="00AD0159">
        <w:t xml:space="preserve">Davidson, J., “Principles of Modern American Counterinsurgency: Evolution and Debate, in </w:t>
      </w:r>
      <w:r w:rsidRPr="00AD0159">
        <w:rPr>
          <w:u w:val="single"/>
        </w:rPr>
        <w:t>Counterinsurgency and Pakistan Paper Series</w:t>
      </w:r>
      <w:r w:rsidRPr="00AD0159">
        <w:t xml:space="preserve">, The Brookings Institution, </w:t>
      </w:r>
      <w:hyperlink r:id="rId4" w:history="1">
        <w:r w:rsidRPr="00C748CE">
          <w:rPr>
            <w:rStyle w:val="Hyperlink"/>
            <w:color w:val="000000" w:themeColor="text1"/>
            <w:u w:val="none"/>
          </w:rPr>
          <w:t>http://www.brookings.edu/~/media/Files/rc/papers/2009/0608_counterinsurgency_davidson/0608_counterinsurgency_davidson.pdf</w:t>
        </w:r>
      </w:hyperlink>
      <w:r w:rsidRPr="00AD0159">
        <w:t>, Last Accessed: 10 February</w:t>
      </w:r>
      <w:r>
        <w:t xml:space="preserve"> 2013, p.3</w:t>
      </w:r>
    </w:p>
  </w:footnote>
  <w:footnote w:id="118">
    <w:p w14:paraId="0A90B069" w14:textId="77777777" w:rsidR="002001FB" w:rsidRDefault="002001FB" w:rsidP="00580699">
      <w:pPr>
        <w:pStyle w:val="FootnoteText"/>
      </w:pPr>
      <w:r>
        <w:rPr>
          <w:rStyle w:val="FootnoteReference"/>
        </w:rPr>
        <w:footnoteRef/>
      </w:r>
      <w:r>
        <w:t xml:space="preserve"> Krisel, R.S., </w:t>
      </w:r>
      <w:r w:rsidRPr="005B29BD">
        <w:rPr>
          <w:u w:val="single"/>
        </w:rPr>
        <w:t>The Hidden Costs of US Counterinsurgency Strategy</w:t>
      </w:r>
      <w:r>
        <w:t xml:space="preserve">, Wesleyan University, 2010, P.4 </w:t>
      </w:r>
    </w:p>
  </w:footnote>
  <w:footnote w:id="119">
    <w:p w14:paraId="77F9CE28" w14:textId="2AFC1A32" w:rsidR="002001FB" w:rsidRPr="00E67A86" w:rsidRDefault="002001FB">
      <w:pPr>
        <w:pStyle w:val="FootnoteText"/>
        <w:rPr>
          <w:lang w:val="en-US"/>
        </w:rPr>
      </w:pPr>
      <w:r>
        <w:rPr>
          <w:rStyle w:val="FootnoteReference"/>
        </w:rPr>
        <w:footnoteRef/>
      </w:r>
      <w:r>
        <w:t xml:space="preserve"> Lindsey, L.B., “What the Iraq War Will Cost the US”, adapted from Lindsey, L.B., </w:t>
      </w:r>
      <w:r w:rsidRPr="00E67A86">
        <w:rPr>
          <w:u w:val="single"/>
        </w:rPr>
        <w:t>What A President Should Know But Most Learn too Late</w:t>
      </w:r>
      <w:r>
        <w:t xml:space="preserve">, CNN Money, 11 January 2008, </w:t>
      </w:r>
      <w:hyperlink r:id="rId5" w:history="1">
        <w:r w:rsidRPr="00E67A86">
          <w:rPr>
            <w:rStyle w:val="Hyperlink"/>
            <w:color w:val="auto"/>
            <w:u w:val="none"/>
          </w:rPr>
          <w:t>http://money.cnn.com/2008/01/10/news/economy/costofwar.fortune/index.htm</w:t>
        </w:r>
      </w:hyperlink>
      <w:r w:rsidRPr="00E67A86">
        <w:t xml:space="preserve">, Last </w:t>
      </w:r>
      <w:r>
        <w:t>Accessed 10 February 2013</w:t>
      </w:r>
    </w:p>
  </w:footnote>
  <w:footnote w:id="120">
    <w:p w14:paraId="42B256F7" w14:textId="27755051" w:rsidR="002001FB" w:rsidRPr="000F0891" w:rsidRDefault="002001FB">
      <w:pPr>
        <w:pStyle w:val="FootnoteText"/>
        <w:rPr>
          <w:lang w:val="en-US"/>
        </w:rPr>
      </w:pPr>
      <w:r>
        <w:rPr>
          <w:rStyle w:val="FootnoteReference"/>
        </w:rPr>
        <w:footnoteRef/>
      </w:r>
      <w:r>
        <w:t xml:space="preserve"> </w:t>
      </w:r>
      <w:r w:rsidRPr="000F0891">
        <w:rPr>
          <w:u w:val="single"/>
          <w:lang w:val="en-US"/>
        </w:rPr>
        <w:t>Loccit.</w:t>
      </w:r>
    </w:p>
  </w:footnote>
  <w:footnote w:id="121">
    <w:p w14:paraId="2CD4FD60" w14:textId="57DF4AB2" w:rsidR="002001FB" w:rsidRPr="00AD0159" w:rsidRDefault="002001FB">
      <w:pPr>
        <w:pStyle w:val="FootnoteText"/>
        <w:rPr>
          <w:lang w:val="en-US"/>
        </w:rPr>
      </w:pPr>
      <w:r>
        <w:rPr>
          <w:rStyle w:val="FootnoteReference"/>
        </w:rPr>
        <w:footnoteRef/>
      </w:r>
      <w:r>
        <w:t xml:space="preserve"> Morales, O.P., “The Evolution of Counterinsurgency Warfare: A Historical Overview”, in </w:t>
      </w:r>
      <w:r w:rsidRPr="00AD0159">
        <w:rPr>
          <w:u w:val="single"/>
        </w:rPr>
        <w:t>Revista</w:t>
      </w:r>
      <w:r>
        <w:t>, Bogata, Columbia, Vol.6, No.2, July-December 2011, p.197</w:t>
      </w:r>
    </w:p>
  </w:footnote>
  <w:footnote w:id="122">
    <w:p w14:paraId="6BCC611E" w14:textId="13C1B23A" w:rsidR="002001FB" w:rsidRDefault="002001FB" w:rsidP="00580699">
      <w:pPr>
        <w:pStyle w:val="FootnoteText"/>
      </w:pPr>
      <w:r>
        <w:rPr>
          <w:rStyle w:val="FootnoteReference"/>
        </w:rPr>
        <w:footnoteRef/>
      </w:r>
      <w:r>
        <w:t xml:space="preserve">Davidson, J., </w:t>
      </w:r>
      <w:r>
        <w:rPr>
          <w:u w:val="single"/>
        </w:rPr>
        <w:t>Op.Cit.</w:t>
      </w:r>
      <w:r>
        <w:t>, p.2</w:t>
      </w:r>
    </w:p>
  </w:footnote>
  <w:footnote w:id="123">
    <w:p w14:paraId="1AB6A5DA" w14:textId="77777777" w:rsidR="002001FB" w:rsidRDefault="002001FB" w:rsidP="00580699">
      <w:pPr>
        <w:pStyle w:val="FootnoteText"/>
      </w:pPr>
      <w:r>
        <w:rPr>
          <w:rStyle w:val="FootnoteReference"/>
        </w:rPr>
        <w:footnoteRef/>
      </w:r>
      <w:r>
        <w:t xml:space="preserve"> Moore, R.S, </w:t>
      </w:r>
      <w:r w:rsidRPr="001C00A6">
        <w:rPr>
          <w:u w:val="single"/>
        </w:rPr>
        <w:t>Op. Cit.</w:t>
      </w:r>
      <w:r>
        <w:t>, p.14</w:t>
      </w:r>
    </w:p>
  </w:footnote>
  <w:footnote w:id="124">
    <w:p w14:paraId="6C0549AD" w14:textId="1D166BEE" w:rsidR="002001FB" w:rsidRDefault="002001FB" w:rsidP="00580699">
      <w:pPr>
        <w:pStyle w:val="FootnoteText"/>
      </w:pPr>
      <w:r>
        <w:rPr>
          <w:rStyle w:val="FootnoteReference"/>
        </w:rPr>
        <w:footnoteRef/>
      </w:r>
      <w:r>
        <w:t xml:space="preserve"> Moore, R.S, </w:t>
      </w:r>
      <w:r w:rsidRPr="001C00A6">
        <w:rPr>
          <w:u w:val="single"/>
        </w:rPr>
        <w:t>Op. Cit.</w:t>
      </w:r>
      <w:r>
        <w:t>, p.19</w:t>
      </w:r>
    </w:p>
  </w:footnote>
  <w:footnote w:id="125">
    <w:p w14:paraId="61FC93BF" w14:textId="356C3513" w:rsidR="002001FB" w:rsidRPr="000C3A26" w:rsidRDefault="002001FB">
      <w:pPr>
        <w:pStyle w:val="FootnoteText"/>
        <w:rPr>
          <w:lang w:val="en-US"/>
        </w:rPr>
      </w:pPr>
      <w:r>
        <w:rPr>
          <w:rStyle w:val="FootnoteReference"/>
        </w:rPr>
        <w:footnoteRef/>
      </w:r>
      <w:r>
        <w:t xml:space="preserve"> </w:t>
      </w:r>
      <w:r>
        <w:rPr>
          <w:lang w:val="en-US"/>
        </w:rPr>
        <w:t xml:space="preserve">Galula, D., </w:t>
      </w:r>
      <w:r w:rsidRPr="002320A0">
        <w:rPr>
          <w:u w:val="single"/>
          <w:lang w:val="en-US"/>
        </w:rPr>
        <w:t>Counterinsurgency Warfare: Theory and Practice</w:t>
      </w:r>
      <w:r>
        <w:rPr>
          <w:lang w:val="en-US"/>
        </w:rPr>
        <w:t>, Library of Congress Cataloging-in-Publication Data, 1964, p.58</w:t>
      </w:r>
    </w:p>
  </w:footnote>
  <w:footnote w:id="126">
    <w:p w14:paraId="57DC468E" w14:textId="77777777" w:rsidR="002001FB" w:rsidRPr="002A16AD" w:rsidRDefault="002001FB" w:rsidP="00580699">
      <w:pPr>
        <w:pStyle w:val="FootnoteText"/>
        <w:rPr>
          <w:lang w:val="en-US"/>
        </w:rPr>
      </w:pPr>
      <w:r>
        <w:rPr>
          <w:rStyle w:val="FootnoteReference"/>
        </w:rPr>
        <w:footnoteRef/>
      </w:r>
      <w:r>
        <w:t xml:space="preserve"> </w:t>
      </w:r>
      <w:r>
        <w:rPr>
          <w:lang w:val="en-US"/>
        </w:rPr>
        <w:t xml:space="preserve">Spjut, R.J. “A Review of Counter-Insurgency Theorists”, in </w:t>
      </w:r>
      <w:r w:rsidRPr="002A16AD">
        <w:rPr>
          <w:u w:val="single"/>
          <w:lang w:val="en-US"/>
        </w:rPr>
        <w:t>Political Quarterly</w:t>
      </w:r>
      <w:r>
        <w:rPr>
          <w:lang w:val="en-US"/>
        </w:rPr>
        <w:t>, Blackwell Publishing Limited, p.54</w:t>
      </w:r>
    </w:p>
  </w:footnote>
  <w:footnote w:id="127">
    <w:p w14:paraId="388B8FF3" w14:textId="77777777" w:rsidR="002001FB" w:rsidRPr="002A16AD" w:rsidRDefault="002001FB" w:rsidP="00580699">
      <w:pPr>
        <w:pStyle w:val="FootnoteText"/>
        <w:rPr>
          <w:lang w:val="en-US"/>
        </w:rPr>
      </w:pPr>
      <w:r>
        <w:rPr>
          <w:rStyle w:val="FootnoteReference"/>
        </w:rPr>
        <w:footnoteRef/>
      </w:r>
      <w:r>
        <w:t xml:space="preserve"> </w:t>
      </w:r>
      <w:r w:rsidRPr="002A16AD">
        <w:rPr>
          <w:u w:val="single"/>
          <w:lang w:val="en-US"/>
        </w:rPr>
        <w:t>Loccit.</w:t>
      </w:r>
    </w:p>
  </w:footnote>
  <w:footnote w:id="128">
    <w:p w14:paraId="5D1E395D" w14:textId="77777777" w:rsidR="002001FB" w:rsidRPr="0045402F" w:rsidRDefault="002001FB" w:rsidP="00580699">
      <w:pPr>
        <w:pStyle w:val="FootnoteText"/>
        <w:rPr>
          <w:lang w:val="en-US"/>
        </w:rPr>
      </w:pPr>
      <w:r>
        <w:rPr>
          <w:rStyle w:val="FootnoteReference"/>
        </w:rPr>
        <w:footnoteRef/>
      </w:r>
      <w:r>
        <w:t xml:space="preserve"> </w:t>
      </w:r>
      <w:r w:rsidRPr="0045402F">
        <w:rPr>
          <w:u w:val="single"/>
          <w:lang w:val="en-US"/>
        </w:rPr>
        <w:t>Ibid.</w:t>
      </w:r>
      <w:r>
        <w:rPr>
          <w:lang w:val="en-US"/>
        </w:rPr>
        <w:t xml:space="preserve"> p.55</w:t>
      </w:r>
    </w:p>
  </w:footnote>
  <w:footnote w:id="129">
    <w:p w14:paraId="51A9C1F5" w14:textId="0FE8865F" w:rsidR="002001FB" w:rsidRPr="00C748CE" w:rsidRDefault="002001FB">
      <w:pPr>
        <w:pStyle w:val="FootnoteText"/>
        <w:rPr>
          <w:lang w:val="en-US"/>
        </w:rPr>
      </w:pPr>
      <w:r>
        <w:rPr>
          <w:rStyle w:val="FootnoteReference"/>
        </w:rPr>
        <w:footnoteRef/>
      </w:r>
      <w:r>
        <w:t xml:space="preserve"> </w:t>
      </w:r>
      <w:r>
        <w:rPr>
          <w:lang w:val="en-US"/>
        </w:rPr>
        <w:t xml:space="preserve">Thompson, R., </w:t>
      </w:r>
      <w:r w:rsidRPr="008D1552">
        <w:rPr>
          <w:u w:val="single"/>
          <w:lang w:val="en-US"/>
        </w:rPr>
        <w:t>Defeating Communist Insurgency</w:t>
      </w:r>
      <w:r>
        <w:rPr>
          <w:lang w:val="en-US"/>
        </w:rPr>
        <w:t>, Chatto and Windus, London, 1967, p.35</w:t>
      </w:r>
    </w:p>
  </w:footnote>
  <w:footnote w:id="130">
    <w:p w14:paraId="6B8B87B0" w14:textId="2CF3D8B4" w:rsidR="002001FB" w:rsidRPr="0043633A" w:rsidRDefault="002001FB" w:rsidP="00580699">
      <w:pPr>
        <w:pStyle w:val="FootnoteText"/>
        <w:rPr>
          <w:lang w:val="en-US"/>
        </w:rPr>
      </w:pPr>
      <w:r>
        <w:rPr>
          <w:rStyle w:val="FootnoteReference"/>
        </w:rPr>
        <w:footnoteRef/>
      </w:r>
      <w:r>
        <w:t xml:space="preserve"> </w:t>
      </w:r>
      <w:r>
        <w:rPr>
          <w:lang w:val="en-US"/>
        </w:rPr>
        <w:t xml:space="preserve">Kruys, G. “Twentieth Century Classical Insurgency, Counter-Insurgency and Counter-Terror”, </w:t>
      </w:r>
      <w:r>
        <w:rPr>
          <w:u w:val="single"/>
          <w:lang w:val="en-US"/>
        </w:rPr>
        <w:t>Op.Cit.</w:t>
      </w:r>
      <w:r>
        <w:rPr>
          <w:lang w:val="en-US"/>
        </w:rPr>
        <w:t>, p.18</w:t>
      </w:r>
    </w:p>
  </w:footnote>
  <w:footnote w:id="131">
    <w:p w14:paraId="2F24CAA1" w14:textId="32CBFF27" w:rsidR="002001FB" w:rsidRPr="003B7F2D" w:rsidRDefault="002001FB">
      <w:pPr>
        <w:pStyle w:val="FootnoteText"/>
        <w:rPr>
          <w:lang w:val="en-US"/>
        </w:rPr>
      </w:pPr>
      <w:r>
        <w:rPr>
          <w:rStyle w:val="FootnoteReference"/>
        </w:rPr>
        <w:footnoteRef/>
      </w:r>
      <w:r>
        <w:t xml:space="preserve"> Davidson, J., </w:t>
      </w:r>
      <w:r w:rsidRPr="008D1552">
        <w:rPr>
          <w:u w:val="single"/>
        </w:rPr>
        <w:t>Op.Cit.</w:t>
      </w:r>
      <w:r>
        <w:t>, p.4</w:t>
      </w:r>
    </w:p>
  </w:footnote>
  <w:footnote w:id="132">
    <w:p w14:paraId="7B7F2557" w14:textId="77777777" w:rsidR="002001FB" w:rsidRPr="00D93614" w:rsidRDefault="002001FB" w:rsidP="00580699">
      <w:pPr>
        <w:pStyle w:val="FootnoteText"/>
        <w:rPr>
          <w:lang w:val="en-US"/>
        </w:rPr>
      </w:pPr>
      <w:r>
        <w:rPr>
          <w:rStyle w:val="FootnoteReference"/>
        </w:rPr>
        <w:footnoteRef/>
      </w:r>
      <w:r>
        <w:t xml:space="preserve"> </w:t>
      </w:r>
      <w:r>
        <w:rPr>
          <w:lang w:val="en-US"/>
        </w:rPr>
        <w:t xml:space="preserve">Kitson, F. </w:t>
      </w:r>
      <w:r w:rsidRPr="00D93614">
        <w:rPr>
          <w:u w:val="single"/>
          <w:lang w:val="en-US"/>
        </w:rPr>
        <w:t>Low Intensity Operations: Subversion, Insurgency and Peacekeeping</w:t>
      </w:r>
      <w:r>
        <w:rPr>
          <w:lang w:val="en-US"/>
        </w:rPr>
        <w:t>, Faber and Faber, London, 1971, p.24</w:t>
      </w:r>
    </w:p>
  </w:footnote>
  <w:footnote w:id="133">
    <w:p w14:paraId="57C87D21" w14:textId="77777777" w:rsidR="002001FB" w:rsidRPr="007E2C59" w:rsidRDefault="002001FB" w:rsidP="00580699">
      <w:pPr>
        <w:pStyle w:val="FootnoteText"/>
        <w:rPr>
          <w:lang w:val="en-US"/>
        </w:rPr>
      </w:pPr>
      <w:r>
        <w:rPr>
          <w:rStyle w:val="FootnoteReference"/>
        </w:rPr>
        <w:footnoteRef/>
      </w:r>
      <w:r>
        <w:t xml:space="preserve"> </w:t>
      </w:r>
      <w:r w:rsidRPr="007E2C59">
        <w:rPr>
          <w:u w:val="single"/>
          <w:lang w:val="en-US"/>
        </w:rPr>
        <w:t>Loccit.</w:t>
      </w:r>
    </w:p>
  </w:footnote>
  <w:footnote w:id="134">
    <w:p w14:paraId="41754503" w14:textId="77777777" w:rsidR="002001FB" w:rsidRPr="00661A6B" w:rsidRDefault="002001FB" w:rsidP="00580699">
      <w:pPr>
        <w:pStyle w:val="FootnoteText"/>
        <w:rPr>
          <w:lang w:val="en-US"/>
        </w:rPr>
      </w:pPr>
      <w:r>
        <w:rPr>
          <w:rStyle w:val="FootnoteReference"/>
        </w:rPr>
        <w:footnoteRef/>
      </w:r>
      <w:r>
        <w:t xml:space="preserve"> </w:t>
      </w:r>
      <w:r>
        <w:rPr>
          <w:lang w:val="en-US"/>
        </w:rPr>
        <w:t xml:space="preserve">Spjut, R.J. </w:t>
      </w:r>
      <w:r w:rsidRPr="00661A6B">
        <w:rPr>
          <w:u w:val="single"/>
          <w:lang w:val="en-US"/>
        </w:rPr>
        <w:t>Op.Cit</w:t>
      </w:r>
      <w:r>
        <w:rPr>
          <w:lang w:val="en-US"/>
        </w:rPr>
        <w:t>., p.56</w:t>
      </w:r>
    </w:p>
  </w:footnote>
  <w:footnote w:id="135">
    <w:p w14:paraId="4AE55EC1" w14:textId="77777777" w:rsidR="002001FB" w:rsidRPr="00230543" w:rsidRDefault="002001FB" w:rsidP="00580699">
      <w:pPr>
        <w:pStyle w:val="FootnoteText"/>
        <w:rPr>
          <w:lang w:val="en-US"/>
        </w:rPr>
      </w:pPr>
      <w:r>
        <w:rPr>
          <w:rStyle w:val="FootnoteReference"/>
        </w:rPr>
        <w:footnoteRef/>
      </w:r>
      <w:r>
        <w:t xml:space="preserve"> </w:t>
      </w:r>
      <w:r w:rsidRPr="00230543">
        <w:rPr>
          <w:u w:val="single"/>
          <w:lang w:val="en-US"/>
        </w:rPr>
        <w:t>Loccit.</w:t>
      </w:r>
    </w:p>
  </w:footnote>
  <w:footnote w:id="136">
    <w:p w14:paraId="5C70E3B5" w14:textId="77777777" w:rsidR="002001FB" w:rsidRPr="00877331" w:rsidRDefault="002001FB" w:rsidP="00580699">
      <w:pPr>
        <w:pStyle w:val="FootnoteText"/>
        <w:rPr>
          <w:lang w:val="en-US"/>
        </w:rPr>
      </w:pPr>
      <w:r>
        <w:rPr>
          <w:rStyle w:val="FootnoteReference"/>
        </w:rPr>
        <w:footnoteRef/>
      </w:r>
      <w:r>
        <w:t xml:space="preserve"> </w:t>
      </w:r>
      <w:r w:rsidRPr="00877331">
        <w:rPr>
          <w:u w:val="single"/>
          <w:lang w:val="en-US"/>
        </w:rPr>
        <w:t>Loccit.</w:t>
      </w:r>
    </w:p>
  </w:footnote>
  <w:footnote w:id="137">
    <w:p w14:paraId="71DC8F89" w14:textId="3F487C68" w:rsidR="002001FB" w:rsidRPr="00877331" w:rsidRDefault="002001FB" w:rsidP="00580699">
      <w:pPr>
        <w:pStyle w:val="FootnoteText"/>
        <w:rPr>
          <w:lang w:val="en-US"/>
        </w:rPr>
      </w:pPr>
      <w:r>
        <w:rPr>
          <w:rStyle w:val="FootnoteReference"/>
        </w:rPr>
        <w:footnoteRef/>
      </w:r>
      <w:r>
        <w:t xml:space="preserve"> </w:t>
      </w:r>
      <w:r>
        <w:rPr>
          <w:u w:val="single"/>
          <w:lang w:val="en-US"/>
        </w:rPr>
        <w:t>Ibid</w:t>
      </w:r>
      <w:r>
        <w:rPr>
          <w:lang w:val="en-US"/>
        </w:rPr>
        <w:t>. p.58</w:t>
      </w:r>
    </w:p>
  </w:footnote>
  <w:footnote w:id="138">
    <w:p w14:paraId="357B737B" w14:textId="77777777" w:rsidR="002001FB" w:rsidRPr="0019348D" w:rsidRDefault="002001FB" w:rsidP="00580699">
      <w:pPr>
        <w:pStyle w:val="FootnoteText"/>
        <w:rPr>
          <w:lang w:val="en-US"/>
        </w:rPr>
      </w:pPr>
      <w:r>
        <w:rPr>
          <w:rStyle w:val="FootnoteReference"/>
        </w:rPr>
        <w:footnoteRef/>
      </w:r>
      <w:r w:rsidRPr="0019348D">
        <w:rPr>
          <w:u w:val="single"/>
        </w:rPr>
        <w:t xml:space="preserve"> </w:t>
      </w:r>
      <w:r w:rsidRPr="0019348D">
        <w:rPr>
          <w:u w:val="single"/>
          <w:lang w:val="en-US"/>
        </w:rPr>
        <w:t>Loccit.</w:t>
      </w:r>
    </w:p>
  </w:footnote>
  <w:footnote w:id="139">
    <w:p w14:paraId="5C0A0123" w14:textId="77777777" w:rsidR="002001FB" w:rsidRPr="00514988" w:rsidRDefault="002001FB" w:rsidP="00580699">
      <w:pPr>
        <w:pStyle w:val="FootnoteText"/>
        <w:rPr>
          <w:lang w:val="en-US"/>
        </w:rPr>
      </w:pPr>
      <w:r>
        <w:rPr>
          <w:rStyle w:val="FootnoteReference"/>
        </w:rPr>
        <w:footnoteRef/>
      </w:r>
      <w:r>
        <w:t xml:space="preserve"> </w:t>
      </w:r>
      <w:r>
        <w:rPr>
          <w:lang w:val="en-US"/>
        </w:rPr>
        <w:t xml:space="preserve">Clutterbuck, R. </w:t>
      </w:r>
      <w:r w:rsidRPr="00514988">
        <w:rPr>
          <w:u w:val="single"/>
          <w:lang w:val="en-US"/>
        </w:rPr>
        <w:t>Protest and the Urban Guerilla</w:t>
      </w:r>
      <w:r>
        <w:rPr>
          <w:lang w:val="en-US"/>
        </w:rPr>
        <w:t>, Abelard Publishers, London, 1974, p.20</w:t>
      </w:r>
    </w:p>
  </w:footnote>
  <w:footnote w:id="140">
    <w:p w14:paraId="2D527203" w14:textId="63F540E6" w:rsidR="002001FB" w:rsidRPr="008D1552" w:rsidRDefault="002001FB">
      <w:pPr>
        <w:pStyle w:val="FootnoteText"/>
        <w:rPr>
          <w:lang w:val="en-US"/>
        </w:rPr>
      </w:pPr>
      <w:r>
        <w:rPr>
          <w:rStyle w:val="FootnoteReference"/>
        </w:rPr>
        <w:footnoteRef/>
      </w:r>
      <w:r>
        <w:t xml:space="preserve"> </w:t>
      </w:r>
      <w:r>
        <w:rPr>
          <w:lang w:val="en-US"/>
        </w:rPr>
        <w:t xml:space="preserve">Thompson, R., </w:t>
      </w:r>
      <w:r>
        <w:rPr>
          <w:u w:val="single"/>
          <w:lang w:val="en-US"/>
        </w:rPr>
        <w:t>Op.Cit.</w:t>
      </w:r>
      <w:r>
        <w:rPr>
          <w:lang w:val="en-US"/>
        </w:rPr>
        <w:t>, p.84</w:t>
      </w:r>
    </w:p>
  </w:footnote>
  <w:footnote w:id="141">
    <w:p w14:paraId="06DA7230" w14:textId="4848FA32" w:rsidR="002001FB" w:rsidRPr="00800B07" w:rsidRDefault="002001FB" w:rsidP="00580699">
      <w:pPr>
        <w:pStyle w:val="FootnoteText"/>
        <w:rPr>
          <w:lang w:val="en-US"/>
        </w:rPr>
      </w:pPr>
      <w:r>
        <w:rPr>
          <w:rStyle w:val="FootnoteReference"/>
        </w:rPr>
        <w:footnoteRef/>
      </w:r>
      <w:r>
        <w:t xml:space="preserve"> </w:t>
      </w:r>
      <w:r>
        <w:rPr>
          <w:u w:val="single"/>
          <w:lang w:val="en-US"/>
        </w:rPr>
        <w:t>Loccit.</w:t>
      </w:r>
    </w:p>
  </w:footnote>
  <w:footnote w:id="142">
    <w:p w14:paraId="055B4015" w14:textId="2375197A" w:rsidR="002001FB" w:rsidRPr="00800B07" w:rsidRDefault="002001FB" w:rsidP="00580699">
      <w:pPr>
        <w:pStyle w:val="FootnoteText"/>
        <w:rPr>
          <w:lang w:val="en-US"/>
        </w:rPr>
      </w:pPr>
      <w:r>
        <w:rPr>
          <w:rStyle w:val="FootnoteReference"/>
        </w:rPr>
        <w:footnoteRef/>
      </w:r>
      <w:r>
        <w:t xml:space="preserve"> </w:t>
      </w:r>
      <w:r>
        <w:rPr>
          <w:lang w:val="en-US"/>
        </w:rPr>
        <w:t xml:space="preserve">Kitson, F., </w:t>
      </w:r>
      <w:r w:rsidRPr="00800B07">
        <w:rPr>
          <w:u w:val="single"/>
          <w:lang w:val="en-US"/>
        </w:rPr>
        <w:t>Op.Cit</w:t>
      </w:r>
      <w:r>
        <w:rPr>
          <w:lang w:val="en-US"/>
        </w:rPr>
        <w:t>., p.91</w:t>
      </w:r>
    </w:p>
  </w:footnote>
  <w:footnote w:id="143">
    <w:p w14:paraId="18B6124A" w14:textId="5E5F178A" w:rsidR="002001FB" w:rsidRPr="00100F74" w:rsidRDefault="002001FB" w:rsidP="00580699">
      <w:pPr>
        <w:pStyle w:val="FootnoteText"/>
        <w:rPr>
          <w:lang w:val="en-US"/>
        </w:rPr>
      </w:pPr>
      <w:r>
        <w:rPr>
          <w:rStyle w:val="FootnoteReference"/>
        </w:rPr>
        <w:footnoteRef/>
      </w:r>
      <w:r>
        <w:t xml:space="preserve"> </w:t>
      </w:r>
      <w:r w:rsidRPr="00100F74">
        <w:rPr>
          <w:u w:val="single"/>
          <w:lang w:val="en-US"/>
        </w:rPr>
        <w:t>Ibid.</w:t>
      </w:r>
      <w:r>
        <w:rPr>
          <w:u w:val="single"/>
          <w:lang w:val="en-US"/>
        </w:rPr>
        <w:t>,</w:t>
      </w:r>
      <w:r>
        <w:rPr>
          <w:lang w:val="en-US"/>
        </w:rPr>
        <w:t>p.93</w:t>
      </w:r>
    </w:p>
  </w:footnote>
  <w:footnote w:id="144">
    <w:p w14:paraId="1BE85E40" w14:textId="77777777" w:rsidR="002001FB" w:rsidRPr="004B4576" w:rsidRDefault="002001FB" w:rsidP="00580699">
      <w:pPr>
        <w:pStyle w:val="FootnoteText"/>
        <w:rPr>
          <w:lang w:val="en-US"/>
        </w:rPr>
      </w:pPr>
      <w:r>
        <w:rPr>
          <w:rStyle w:val="FootnoteReference"/>
        </w:rPr>
        <w:footnoteRef/>
      </w:r>
      <w:r>
        <w:t xml:space="preserve"> </w:t>
      </w:r>
      <w:r>
        <w:rPr>
          <w:lang w:val="en-US"/>
        </w:rPr>
        <w:t xml:space="preserve">Thompson, R. </w:t>
      </w:r>
      <w:r w:rsidRPr="004B4576">
        <w:rPr>
          <w:u w:val="single"/>
          <w:lang w:val="en-US"/>
        </w:rPr>
        <w:t>Op.Cit</w:t>
      </w:r>
      <w:r>
        <w:rPr>
          <w:lang w:val="en-US"/>
        </w:rPr>
        <w:t>., p.133</w:t>
      </w:r>
    </w:p>
  </w:footnote>
  <w:footnote w:id="145">
    <w:p w14:paraId="3C748E06" w14:textId="354AFC08" w:rsidR="002001FB" w:rsidRPr="0035615A" w:rsidRDefault="002001FB" w:rsidP="00580699">
      <w:pPr>
        <w:pStyle w:val="FootnoteText"/>
        <w:rPr>
          <w:lang w:val="en-US"/>
        </w:rPr>
      </w:pPr>
      <w:r>
        <w:rPr>
          <w:rStyle w:val="FootnoteReference"/>
        </w:rPr>
        <w:footnoteRef/>
      </w:r>
      <w:r>
        <w:t xml:space="preserve"> Millen, R. and Metz, S., </w:t>
      </w:r>
      <w:r w:rsidRPr="0007181E">
        <w:rPr>
          <w:u w:val="single"/>
        </w:rPr>
        <w:t>Insurgency and Counterinsurgency in the 21</w:t>
      </w:r>
      <w:r w:rsidRPr="0007181E">
        <w:rPr>
          <w:u w:val="single"/>
          <w:vertAlign w:val="superscript"/>
        </w:rPr>
        <w:t>st</w:t>
      </w:r>
      <w:r w:rsidRPr="0007181E">
        <w:rPr>
          <w:u w:val="single"/>
        </w:rPr>
        <w:t xml:space="preserve"> Century: Reconceptualising Threat and Response</w:t>
      </w:r>
      <w:r>
        <w:t xml:space="preserve">, Strategic Studies Institute, </w:t>
      </w:r>
      <w:hyperlink r:id="rId6" w:history="1">
        <w:r w:rsidRPr="0007181E">
          <w:rPr>
            <w:rStyle w:val="Hyperlink"/>
            <w:color w:val="auto"/>
            <w:u w:val="none"/>
          </w:rPr>
          <w:t>http://www.strategicstudiesinstitute.army.mil/pdffiles/pub586.pdf</w:t>
        </w:r>
      </w:hyperlink>
      <w:r>
        <w:t>, Last Accessed: 6 February 2013, p. vi</w:t>
      </w:r>
    </w:p>
  </w:footnote>
  <w:footnote w:id="146">
    <w:p w14:paraId="5E794EAD" w14:textId="77777777" w:rsidR="002001FB" w:rsidRPr="00CD057F" w:rsidRDefault="002001FB" w:rsidP="00580699">
      <w:pPr>
        <w:pStyle w:val="FootnoteText"/>
        <w:rPr>
          <w:lang w:val="en-US"/>
        </w:rPr>
      </w:pPr>
      <w:r>
        <w:rPr>
          <w:rStyle w:val="FootnoteReference"/>
        </w:rPr>
        <w:footnoteRef/>
      </w:r>
      <w:r>
        <w:t xml:space="preserve"> </w:t>
      </w:r>
      <w:r>
        <w:rPr>
          <w:lang w:val="en-US"/>
        </w:rPr>
        <w:t xml:space="preserve">Bulloch,G. “The Application of Military Doctrine to Counterinsurgency (COIN) Operations: A British Perspective”, in </w:t>
      </w:r>
      <w:r w:rsidRPr="00CD057F">
        <w:rPr>
          <w:u w:val="single"/>
          <w:lang w:val="en-US"/>
        </w:rPr>
        <w:t>Studies in Conflict &amp; Terrorism</w:t>
      </w:r>
      <w:r>
        <w:rPr>
          <w:lang w:val="en-US"/>
        </w:rPr>
        <w:t>, Taylor and Francis, 1996, p.247</w:t>
      </w:r>
    </w:p>
  </w:footnote>
  <w:footnote w:id="147">
    <w:p w14:paraId="6ECC1C29" w14:textId="77777777" w:rsidR="002001FB" w:rsidRPr="00CD057F" w:rsidRDefault="002001FB" w:rsidP="00580699">
      <w:pPr>
        <w:pStyle w:val="FootnoteText"/>
        <w:rPr>
          <w:lang w:val="en-US"/>
        </w:rPr>
      </w:pPr>
      <w:r>
        <w:rPr>
          <w:rStyle w:val="FootnoteReference"/>
        </w:rPr>
        <w:footnoteRef/>
      </w:r>
      <w:r>
        <w:t xml:space="preserve"> </w:t>
      </w:r>
      <w:r>
        <w:rPr>
          <w:u w:val="single"/>
          <w:lang w:val="en-US"/>
        </w:rPr>
        <w:t>Ibid</w:t>
      </w:r>
      <w:r w:rsidRPr="00CD057F">
        <w:rPr>
          <w:u w:val="single"/>
          <w:lang w:val="en-US"/>
        </w:rPr>
        <w:t>.</w:t>
      </w:r>
      <w:r>
        <w:rPr>
          <w:lang w:val="en-US"/>
        </w:rPr>
        <w:t xml:space="preserve"> p.249</w:t>
      </w:r>
    </w:p>
  </w:footnote>
  <w:footnote w:id="148">
    <w:p w14:paraId="27613E84" w14:textId="0852340D" w:rsidR="002001FB" w:rsidRPr="00CD057F" w:rsidRDefault="002001FB" w:rsidP="00580699">
      <w:pPr>
        <w:pStyle w:val="FootnoteText"/>
        <w:rPr>
          <w:lang w:val="en-US"/>
        </w:rPr>
      </w:pPr>
      <w:r>
        <w:rPr>
          <w:rStyle w:val="FootnoteReference"/>
        </w:rPr>
        <w:footnoteRef/>
      </w:r>
      <w:r>
        <w:t xml:space="preserve"> </w:t>
      </w:r>
      <w:r>
        <w:rPr>
          <w:lang w:val="en-US"/>
        </w:rPr>
        <w:t xml:space="preserve">Mansfield, D. “The Irish Republican Army and Northern Ireland”, in O’Neill, B. and Heaton, W.R. (Eds.), </w:t>
      </w:r>
      <w:r w:rsidRPr="00CA568D">
        <w:rPr>
          <w:u w:val="single"/>
          <w:lang w:val="en-US"/>
        </w:rPr>
        <w:t>Insurgency in the Modern World</w:t>
      </w:r>
      <w:r>
        <w:rPr>
          <w:lang w:val="en-US"/>
        </w:rPr>
        <w:t>, Westview Press, Colorado, 1980, p.59</w:t>
      </w:r>
    </w:p>
  </w:footnote>
  <w:footnote w:id="149">
    <w:p w14:paraId="58A81DE7" w14:textId="77777777" w:rsidR="002001FB" w:rsidRPr="00C5256E" w:rsidRDefault="002001FB" w:rsidP="00580699">
      <w:pPr>
        <w:pStyle w:val="FootnoteText"/>
        <w:rPr>
          <w:lang w:val="en-US"/>
        </w:rPr>
      </w:pPr>
      <w:r>
        <w:rPr>
          <w:rStyle w:val="FootnoteReference"/>
        </w:rPr>
        <w:footnoteRef/>
      </w:r>
      <w:r>
        <w:t xml:space="preserve"> </w:t>
      </w:r>
      <w:r w:rsidRPr="00C5256E">
        <w:rPr>
          <w:u w:val="single"/>
          <w:lang w:val="en-US"/>
        </w:rPr>
        <w:t>Ibid.</w:t>
      </w:r>
      <w:r>
        <w:rPr>
          <w:lang w:val="en-US"/>
        </w:rPr>
        <w:t>p.67</w:t>
      </w:r>
    </w:p>
  </w:footnote>
  <w:footnote w:id="150">
    <w:p w14:paraId="6A0D9F59" w14:textId="12619A13" w:rsidR="002001FB" w:rsidRPr="0007181E" w:rsidRDefault="002001FB">
      <w:pPr>
        <w:pStyle w:val="FootnoteText"/>
        <w:rPr>
          <w:lang w:val="en-US"/>
        </w:rPr>
      </w:pPr>
      <w:r>
        <w:rPr>
          <w:rStyle w:val="FootnoteReference"/>
        </w:rPr>
        <w:footnoteRef/>
      </w:r>
      <w:r>
        <w:t xml:space="preserve"> </w:t>
      </w:r>
      <w:r>
        <w:rPr>
          <w:lang w:val="en-US"/>
        </w:rPr>
        <w:t xml:space="preserve">Woodwell, D., </w:t>
      </w:r>
      <w:r w:rsidRPr="0007181E">
        <w:rPr>
          <w:u w:val="single"/>
          <w:lang w:val="en-US"/>
        </w:rPr>
        <w:t>Op.Cit.</w:t>
      </w:r>
      <w:r>
        <w:rPr>
          <w:lang w:val="en-US"/>
        </w:rPr>
        <w:t>, p.161</w:t>
      </w:r>
    </w:p>
  </w:footnote>
  <w:footnote w:id="151">
    <w:p w14:paraId="626310B1" w14:textId="77777777" w:rsidR="002001FB" w:rsidRPr="00D97D18" w:rsidRDefault="002001FB" w:rsidP="00580699">
      <w:pPr>
        <w:pStyle w:val="FootnoteText"/>
        <w:rPr>
          <w:lang w:val="en-US"/>
        </w:rPr>
      </w:pPr>
      <w:r>
        <w:rPr>
          <w:rStyle w:val="FootnoteReference"/>
        </w:rPr>
        <w:footnoteRef/>
      </w:r>
      <w:r>
        <w:t xml:space="preserve"> </w:t>
      </w:r>
      <w:r>
        <w:rPr>
          <w:lang w:val="en-US"/>
        </w:rPr>
        <w:t xml:space="preserve">Mansfield, D. </w:t>
      </w:r>
      <w:r w:rsidRPr="00D97D18">
        <w:rPr>
          <w:u w:val="single"/>
          <w:lang w:val="en-US"/>
        </w:rPr>
        <w:t>Op.Cit</w:t>
      </w:r>
      <w:r>
        <w:rPr>
          <w:lang w:val="en-US"/>
        </w:rPr>
        <w:t>., p.74</w:t>
      </w:r>
    </w:p>
  </w:footnote>
  <w:footnote w:id="152">
    <w:p w14:paraId="0D843FCE" w14:textId="77777777" w:rsidR="002001FB" w:rsidRPr="00D97D18" w:rsidRDefault="002001FB" w:rsidP="00580699">
      <w:pPr>
        <w:pStyle w:val="FootnoteText"/>
        <w:rPr>
          <w:lang w:val="en-US"/>
        </w:rPr>
      </w:pPr>
      <w:r>
        <w:rPr>
          <w:rStyle w:val="FootnoteReference"/>
        </w:rPr>
        <w:footnoteRef/>
      </w:r>
      <w:r>
        <w:t xml:space="preserve"> </w:t>
      </w:r>
      <w:r w:rsidRPr="00D97D18">
        <w:rPr>
          <w:u w:val="single"/>
          <w:lang w:val="en-US"/>
        </w:rPr>
        <w:t>Loccit.</w:t>
      </w:r>
    </w:p>
  </w:footnote>
  <w:footnote w:id="153">
    <w:p w14:paraId="385FB747" w14:textId="6F53DE92" w:rsidR="002001FB" w:rsidRPr="003B7F2D" w:rsidRDefault="002001FB">
      <w:pPr>
        <w:pStyle w:val="FootnoteText"/>
        <w:rPr>
          <w:lang w:val="en-US"/>
        </w:rPr>
      </w:pPr>
      <w:r>
        <w:rPr>
          <w:rStyle w:val="FootnoteReference"/>
        </w:rPr>
        <w:footnoteRef/>
      </w:r>
      <w:r>
        <w:t xml:space="preserve"> </w:t>
      </w:r>
      <w:r w:rsidRPr="0007181E">
        <w:rPr>
          <w:u w:val="single"/>
        </w:rPr>
        <w:t>Loccit.</w:t>
      </w:r>
    </w:p>
  </w:footnote>
  <w:footnote w:id="154">
    <w:p w14:paraId="25906BB9" w14:textId="77777777" w:rsidR="002001FB" w:rsidRPr="00C80E52" w:rsidRDefault="002001FB" w:rsidP="00580699">
      <w:pPr>
        <w:pStyle w:val="FootnoteText"/>
        <w:rPr>
          <w:lang w:val="en-US"/>
        </w:rPr>
      </w:pPr>
      <w:r>
        <w:rPr>
          <w:rStyle w:val="FootnoteReference"/>
        </w:rPr>
        <w:footnoteRef/>
      </w:r>
      <w:r>
        <w:t xml:space="preserve"> </w:t>
      </w:r>
      <w:r w:rsidRPr="00C80E52">
        <w:rPr>
          <w:u w:val="single"/>
          <w:lang w:val="en-US"/>
        </w:rPr>
        <w:t xml:space="preserve">Ibid. </w:t>
      </w:r>
      <w:r>
        <w:rPr>
          <w:lang w:val="en-US"/>
        </w:rPr>
        <w:t>p.75</w:t>
      </w:r>
    </w:p>
  </w:footnote>
  <w:footnote w:id="155">
    <w:p w14:paraId="3081604A" w14:textId="16D700CB" w:rsidR="002001FB" w:rsidRPr="000F6FC0" w:rsidRDefault="002001FB" w:rsidP="00580699">
      <w:pPr>
        <w:pStyle w:val="FootnoteText"/>
        <w:rPr>
          <w:lang w:val="en-US"/>
        </w:rPr>
      </w:pPr>
      <w:r>
        <w:rPr>
          <w:rStyle w:val="FootnoteReference"/>
        </w:rPr>
        <w:footnoteRef/>
      </w:r>
      <w:r>
        <w:t xml:space="preserve"> </w:t>
      </w:r>
      <w:r>
        <w:rPr>
          <w:lang w:val="en-US"/>
        </w:rPr>
        <w:t xml:space="preserve">Mansfield, D. </w:t>
      </w:r>
      <w:r w:rsidRPr="00D97D18">
        <w:rPr>
          <w:u w:val="single"/>
          <w:lang w:val="en-US"/>
        </w:rPr>
        <w:t>Op.Cit</w:t>
      </w:r>
      <w:r>
        <w:rPr>
          <w:lang w:val="en-US"/>
        </w:rPr>
        <w:t>., p.76</w:t>
      </w:r>
    </w:p>
  </w:footnote>
  <w:footnote w:id="156">
    <w:p w14:paraId="6E57C6AE" w14:textId="77777777" w:rsidR="002001FB" w:rsidRPr="00C80E52" w:rsidRDefault="002001FB" w:rsidP="00580699">
      <w:pPr>
        <w:pStyle w:val="FootnoteText"/>
        <w:rPr>
          <w:lang w:val="en-US"/>
        </w:rPr>
      </w:pPr>
      <w:r>
        <w:rPr>
          <w:rStyle w:val="FootnoteReference"/>
        </w:rPr>
        <w:footnoteRef/>
      </w:r>
      <w:r>
        <w:t xml:space="preserve"> </w:t>
      </w:r>
      <w:r>
        <w:rPr>
          <w:u w:val="single"/>
          <w:lang w:val="en-US"/>
        </w:rPr>
        <w:t>Loccit.</w:t>
      </w:r>
    </w:p>
  </w:footnote>
  <w:footnote w:id="157">
    <w:p w14:paraId="386DEC36" w14:textId="77777777" w:rsidR="002001FB" w:rsidRPr="004B4576" w:rsidRDefault="002001FB" w:rsidP="00580699">
      <w:pPr>
        <w:pStyle w:val="FootnoteText"/>
        <w:rPr>
          <w:lang w:val="en-US"/>
        </w:rPr>
      </w:pPr>
      <w:r>
        <w:rPr>
          <w:rStyle w:val="FootnoteReference"/>
        </w:rPr>
        <w:footnoteRef/>
      </w:r>
      <w:r>
        <w:t xml:space="preserve"> </w:t>
      </w:r>
      <w:r>
        <w:rPr>
          <w:lang w:val="en-US"/>
        </w:rPr>
        <w:t xml:space="preserve">Thompson, R. </w:t>
      </w:r>
      <w:r w:rsidRPr="004B4576">
        <w:rPr>
          <w:u w:val="single"/>
          <w:lang w:val="en-US"/>
        </w:rPr>
        <w:t>Op.Cit</w:t>
      </w:r>
      <w:r>
        <w:rPr>
          <w:lang w:val="en-US"/>
        </w:rPr>
        <w:t>., p.133</w:t>
      </w:r>
    </w:p>
  </w:footnote>
  <w:footnote w:id="158">
    <w:p w14:paraId="6C0B95C7" w14:textId="56E08972" w:rsidR="002001FB" w:rsidRPr="00EB66CF" w:rsidRDefault="002001FB" w:rsidP="00580699">
      <w:pPr>
        <w:pStyle w:val="FootnoteText"/>
        <w:rPr>
          <w:lang w:val="en-US"/>
        </w:rPr>
      </w:pPr>
      <w:r>
        <w:rPr>
          <w:rStyle w:val="FootnoteReference"/>
        </w:rPr>
        <w:footnoteRef/>
      </w:r>
      <w:r>
        <w:t xml:space="preserve"> </w:t>
      </w:r>
      <w:r>
        <w:rPr>
          <w:lang w:val="en-US"/>
        </w:rPr>
        <w:t xml:space="preserve">Kitson, F., </w:t>
      </w:r>
      <w:r>
        <w:rPr>
          <w:u w:val="single"/>
          <w:lang w:val="en-US"/>
        </w:rPr>
        <w:t>Op.Cit.</w:t>
      </w:r>
      <w:r>
        <w:rPr>
          <w:lang w:val="en-US"/>
        </w:rPr>
        <w:t>, p.79</w:t>
      </w:r>
    </w:p>
  </w:footnote>
  <w:footnote w:id="159">
    <w:p w14:paraId="137DDC0C" w14:textId="465B0325" w:rsidR="002001FB" w:rsidRPr="0093761A" w:rsidRDefault="002001FB" w:rsidP="00580699">
      <w:pPr>
        <w:pStyle w:val="FootnoteText"/>
        <w:rPr>
          <w:lang w:val="en-US"/>
        </w:rPr>
      </w:pPr>
      <w:r>
        <w:rPr>
          <w:rStyle w:val="FootnoteReference"/>
        </w:rPr>
        <w:footnoteRef/>
      </w:r>
      <w:r>
        <w:t xml:space="preserve"> </w:t>
      </w:r>
      <w:r>
        <w:rPr>
          <w:lang w:val="en-US"/>
        </w:rPr>
        <w:t xml:space="preserve">Mansfield, D., </w:t>
      </w:r>
      <w:r w:rsidRPr="0093761A">
        <w:rPr>
          <w:u w:val="single"/>
          <w:lang w:val="en-US"/>
        </w:rPr>
        <w:t>Op.Cit</w:t>
      </w:r>
      <w:r>
        <w:rPr>
          <w:lang w:val="en-US"/>
        </w:rPr>
        <w:t>., p.76</w:t>
      </w:r>
    </w:p>
  </w:footnote>
  <w:footnote w:id="160">
    <w:p w14:paraId="5E6F6970" w14:textId="46B5B41C" w:rsidR="002001FB" w:rsidRPr="00290EF3" w:rsidRDefault="002001FB" w:rsidP="00580699">
      <w:pPr>
        <w:pStyle w:val="FootnoteText"/>
        <w:rPr>
          <w:lang w:val="en-US"/>
        </w:rPr>
      </w:pPr>
      <w:r>
        <w:rPr>
          <w:rStyle w:val="FootnoteReference"/>
        </w:rPr>
        <w:footnoteRef/>
      </w:r>
      <w:r>
        <w:t xml:space="preserve"> </w:t>
      </w:r>
      <w:r>
        <w:rPr>
          <w:lang w:val="en-US"/>
        </w:rPr>
        <w:t xml:space="preserve">Mansfield, D., </w:t>
      </w:r>
      <w:r w:rsidRPr="0093761A">
        <w:rPr>
          <w:u w:val="single"/>
          <w:lang w:val="en-US"/>
        </w:rPr>
        <w:t>Op.Cit</w:t>
      </w:r>
      <w:r>
        <w:rPr>
          <w:lang w:val="en-US"/>
        </w:rPr>
        <w:t>.,p.78</w:t>
      </w:r>
    </w:p>
  </w:footnote>
  <w:footnote w:id="161">
    <w:p w14:paraId="732CC68D" w14:textId="53E3B2E5" w:rsidR="002001FB" w:rsidRPr="00290EF3" w:rsidRDefault="002001FB" w:rsidP="00580699">
      <w:pPr>
        <w:pStyle w:val="FootnoteText"/>
        <w:rPr>
          <w:lang w:val="en-US"/>
        </w:rPr>
      </w:pPr>
      <w:r>
        <w:rPr>
          <w:rStyle w:val="FootnoteReference"/>
        </w:rPr>
        <w:footnoteRef/>
      </w:r>
      <w:r>
        <w:t xml:space="preserve"> </w:t>
      </w:r>
      <w:r>
        <w:rPr>
          <w:u w:val="single"/>
          <w:lang w:val="en-US"/>
        </w:rPr>
        <w:t>Loccit.</w:t>
      </w:r>
    </w:p>
  </w:footnote>
  <w:footnote w:id="162">
    <w:p w14:paraId="17C9F966" w14:textId="5A1B5F04" w:rsidR="002001FB" w:rsidRPr="00290EF3" w:rsidRDefault="002001FB" w:rsidP="00580699">
      <w:pPr>
        <w:pStyle w:val="FootnoteText"/>
        <w:rPr>
          <w:lang w:val="en-US"/>
        </w:rPr>
      </w:pPr>
      <w:r>
        <w:rPr>
          <w:rStyle w:val="FootnoteReference"/>
        </w:rPr>
        <w:footnoteRef/>
      </w:r>
      <w:r>
        <w:t xml:space="preserve"> </w:t>
      </w:r>
      <w:r w:rsidRPr="00290EF3">
        <w:rPr>
          <w:u w:val="single"/>
          <w:lang w:val="en-US"/>
        </w:rPr>
        <w:t>Ibid</w:t>
      </w:r>
      <w:r>
        <w:rPr>
          <w:lang w:val="en-US"/>
        </w:rPr>
        <w:t>., p.79</w:t>
      </w:r>
    </w:p>
  </w:footnote>
  <w:footnote w:id="163">
    <w:p w14:paraId="3A71805E" w14:textId="77777777" w:rsidR="002001FB" w:rsidRPr="00E7025D" w:rsidRDefault="002001FB" w:rsidP="00580699">
      <w:pPr>
        <w:pStyle w:val="FootnoteText"/>
        <w:rPr>
          <w:lang w:val="en-US"/>
        </w:rPr>
      </w:pPr>
      <w:r>
        <w:rPr>
          <w:rStyle w:val="FootnoteReference"/>
        </w:rPr>
        <w:footnoteRef/>
      </w:r>
      <w:r>
        <w:t xml:space="preserve"> </w:t>
      </w:r>
      <w:r>
        <w:rPr>
          <w:lang w:val="en-US"/>
        </w:rPr>
        <w:t xml:space="preserve">Kitson, F. </w:t>
      </w:r>
      <w:r>
        <w:rPr>
          <w:u w:val="single"/>
          <w:lang w:val="en-US"/>
        </w:rPr>
        <w:t>Op.Cit.</w:t>
      </w:r>
      <w:r>
        <w:rPr>
          <w:lang w:val="en-US"/>
        </w:rPr>
        <w:t>, p.74</w:t>
      </w:r>
    </w:p>
  </w:footnote>
  <w:footnote w:id="164">
    <w:p w14:paraId="2F566679" w14:textId="136A00F7" w:rsidR="002001FB" w:rsidRPr="0043633A" w:rsidRDefault="002001FB" w:rsidP="00580699">
      <w:pPr>
        <w:pStyle w:val="FootnoteText"/>
        <w:rPr>
          <w:lang w:val="en-US"/>
        </w:rPr>
      </w:pPr>
      <w:r>
        <w:rPr>
          <w:rStyle w:val="FootnoteReference"/>
        </w:rPr>
        <w:footnoteRef/>
      </w:r>
      <w:r>
        <w:t xml:space="preserve"> Kruys, G. </w:t>
      </w:r>
      <w:r w:rsidRPr="007446D2">
        <w:rPr>
          <w:rFonts w:cstheme="minorHAnsi"/>
        </w:rPr>
        <w:t xml:space="preserve">“Post-Cold War/11 September 2001 Insurgency and Counterinsurgency with Specific Reference to Iraq and Afghanistan”, </w:t>
      </w:r>
      <w:r>
        <w:rPr>
          <w:rFonts w:cstheme="minorHAnsi"/>
          <w:u w:val="single"/>
        </w:rPr>
        <w:t>Op.Cit.</w:t>
      </w:r>
      <w:r w:rsidRPr="007446D2">
        <w:rPr>
          <w:rFonts w:cstheme="minorHAnsi"/>
        </w:rPr>
        <w:t>,</w:t>
      </w:r>
      <w:r>
        <w:rPr>
          <w:rFonts w:cstheme="minorHAnsi"/>
        </w:rPr>
        <w:t xml:space="preserve"> </w:t>
      </w:r>
      <w:r>
        <w:rPr>
          <w:lang w:val="en-US"/>
        </w:rPr>
        <w:t>p.14</w:t>
      </w:r>
    </w:p>
  </w:footnote>
  <w:footnote w:id="165">
    <w:p w14:paraId="20A5FF02" w14:textId="77777777" w:rsidR="002001FB" w:rsidRPr="0043633A" w:rsidRDefault="002001FB" w:rsidP="00580699">
      <w:pPr>
        <w:pStyle w:val="FootnoteText"/>
        <w:rPr>
          <w:lang w:val="en-US"/>
        </w:rPr>
      </w:pPr>
      <w:r>
        <w:rPr>
          <w:rStyle w:val="FootnoteReference"/>
        </w:rPr>
        <w:footnoteRef/>
      </w:r>
      <w:r>
        <w:t xml:space="preserve"> </w:t>
      </w:r>
      <w:r w:rsidRPr="0043633A">
        <w:rPr>
          <w:u w:val="single"/>
          <w:lang w:val="en-US"/>
        </w:rPr>
        <w:t>Loccit.</w:t>
      </w:r>
    </w:p>
  </w:footnote>
  <w:footnote w:id="166">
    <w:p w14:paraId="0FC5F193" w14:textId="52E8EFBB" w:rsidR="002001FB" w:rsidRPr="00754A04" w:rsidRDefault="002001FB">
      <w:pPr>
        <w:pStyle w:val="FootnoteText"/>
        <w:rPr>
          <w:lang w:val="en-US"/>
        </w:rPr>
      </w:pPr>
      <w:r>
        <w:rPr>
          <w:rStyle w:val="FootnoteReference"/>
        </w:rPr>
        <w:footnoteRef/>
      </w:r>
      <w:r>
        <w:t xml:space="preserve"> </w:t>
      </w:r>
      <w:r>
        <w:rPr>
          <w:lang w:val="en-US"/>
        </w:rPr>
        <w:t>Petraeus, D., “We Must be Coldly Realistic Over the Use of Force”, Royal United Services Institute, London, 2010</w:t>
      </w:r>
    </w:p>
  </w:footnote>
  <w:footnote w:id="167">
    <w:p w14:paraId="1B34BB68" w14:textId="12A76A20" w:rsidR="002001FB" w:rsidRPr="0066333B" w:rsidRDefault="002001FB" w:rsidP="00580699">
      <w:pPr>
        <w:pStyle w:val="FootnoteText"/>
        <w:rPr>
          <w:lang w:val="en-US"/>
        </w:rPr>
      </w:pPr>
      <w:r>
        <w:rPr>
          <w:rStyle w:val="FootnoteReference"/>
        </w:rPr>
        <w:footnoteRef/>
      </w:r>
      <w:r>
        <w:t xml:space="preserve"> </w:t>
      </w:r>
      <w:r>
        <w:rPr>
          <w:lang w:val="en-US"/>
        </w:rPr>
        <w:t xml:space="preserve">United States of America, </w:t>
      </w:r>
      <w:r w:rsidRPr="0066333B">
        <w:rPr>
          <w:u w:val="single"/>
          <w:lang w:val="en-US"/>
        </w:rPr>
        <w:t>Counterinsurgency Operations</w:t>
      </w:r>
      <w:r>
        <w:rPr>
          <w:lang w:val="en-US"/>
        </w:rPr>
        <w:t>, Department of the Army, FMI 3-07.22, October 2004, p.1-1</w:t>
      </w:r>
    </w:p>
  </w:footnote>
  <w:footnote w:id="168">
    <w:p w14:paraId="7949AF62" w14:textId="39FEAAA6" w:rsidR="002001FB" w:rsidRPr="00612E26" w:rsidRDefault="002001FB" w:rsidP="00580699">
      <w:pPr>
        <w:pStyle w:val="FootnoteText"/>
        <w:rPr>
          <w:lang w:val="en-US"/>
        </w:rPr>
      </w:pPr>
      <w:r>
        <w:rPr>
          <w:rStyle w:val="FootnoteReference"/>
        </w:rPr>
        <w:footnoteRef/>
      </w:r>
      <w:r>
        <w:t xml:space="preserve"> </w:t>
      </w:r>
      <w:r>
        <w:rPr>
          <w:lang w:val="en-US"/>
        </w:rPr>
        <w:t xml:space="preserve">United States of America, </w:t>
      </w:r>
      <w:r w:rsidRPr="00CA568D">
        <w:rPr>
          <w:lang w:val="en-US"/>
        </w:rPr>
        <w:t>Counterinsurgency Operations</w:t>
      </w:r>
      <w:r>
        <w:rPr>
          <w:u w:val="single"/>
          <w:lang w:val="en-US"/>
        </w:rPr>
        <w:t>, Op.Cit.,</w:t>
      </w:r>
      <w:r>
        <w:rPr>
          <w:lang w:val="en-US"/>
        </w:rPr>
        <w:t xml:space="preserve"> p.48</w:t>
      </w:r>
    </w:p>
  </w:footnote>
  <w:footnote w:id="169">
    <w:p w14:paraId="1ADA3D1D" w14:textId="77777777" w:rsidR="002001FB" w:rsidRPr="005C2C95" w:rsidRDefault="002001FB" w:rsidP="00580699">
      <w:pPr>
        <w:pStyle w:val="FootnoteText"/>
        <w:rPr>
          <w:lang w:val="en-US"/>
        </w:rPr>
      </w:pPr>
      <w:r>
        <w:rPr>
          <w:rStyle w:val="FootnoteReference"/>
        </w:rPr>
        <w:footnoteRef/>
      </w:r>
      <w:r>
        <w:t xml:space="preserve"> </w:t>
      </w:r>
      <w:r>
        <w:rPr>
          <w:lang w:val="en-US"/>
        </w:rPr>
        <w:t>Marine Corps Combat Development Command, “A Concept for Countering Irregular Threats: A Comprehensive Approach” in, 2006, p.25</w:t>
      </w:r>
    </w:p>
  </w:footnote>
  <w:footnote w:id="170">
    <w:p w14:paraId="41673469" w14:textId="77777777" w:rsidR="002001FB" w:rsidRPr="005C2C95" w:rsidRDefault="002001FB" w:rsidP="00580699">
      <w:pPr>
        <w:pStyle w:val="FootnoteText"/>
        <w:rPr>
          <w:lang w:val="en-US"/>
        </w:rPr>
      </w:pPr>
      <w:r>
        <w:rPr>
          <w:rStyle w:val="FootnoteReference"/>
        </w:rPr>
        <w:footnoteRef/>
      </w:r>
      <w:r>
        <w:t xml:space="preserve"> Kruys, G. </w:t>
      </w:r>
      <w:r w:rsidRPr="005C2C95">
        <w:rPr>
          <w:u w:val="single"/>
          <w:lang w:val="en-US"/>
        </w:rPr>
        <w:t>Op.Cit.</w:t>
      </w:r>
      <w:r>
        <w:rPr>
          <w:lang w:val="en-US"/>
        </w:rPr>
        <w:t>, p.48</w:t>
      </w:r>
    </w:p>
  </w:footnote>
  <w:footnote w:id="171">
    <w:p w14:paraId="2F5286CC" w14:textId="566FA290" w:rsidR="002001FB" w:rsidRDefault="002001FB" w:rsidP="00580699">
      <w:pPr>
        <w:pStyle w:val="FootnoteText"/>
      </w:pPr>
      <w:r>
        <w:rPr>
          <w:rStyle w:val="FootnoteReference"/>
        </w:rPr>
        <w:footnoteRef/>
      </w:r>
      <w:r>
        <w:t xml:space="preserve"> Petraeus, D.H., Amos, J.F., </w:t>
      </w:r>
      <w:r>
        <w:rPr>
          <w:u w:val="single"/>
        </w:rPr>
        <w:t>Op.Cit.</w:t>
      </w:r>
      <w:r>
        <w:t>, p.ix</w:t>
      </w:r>
    </w:p>
  </w:footnote>
  <w:footnote w:id="172">
    <w:p w14:paraId="0C0A141C" w14:textId="36B51DE4" w:rsidR="002001FB" w:rsidRPr="00CD1CE5" w:rsidRDefault="002001FB" w:rsidP="00580699">
      <w:pPr>
        <w:pStyle w:val="FootnoteText"/>
      </w:pPr>
      <w:r>
        <w:rPr>
          <w:rStyle w:val="FootnoteReference"/>
        </w:rPr>
        <w:footnoteRef/>
      </w:r>
      <w:r>
        <w:t xml:space="preserve"> </w:t>
      </w:r>
      <w:r>
        <w:rPr>
          <w:u w:val="single"/>
        </w:rPr>
        <w:t>Loccit.</w:t>
      </w:r>
    </w:p>
  </w:footnote>
  <w:footnote w:id="173">
    <w:p w14:paraId="79B21B09" w14:textId="77777777" w:rsidR="002001FB" w:rsidRPr="005C2C95" w:rsidRDefault="002001FB" w:rsidP="00580699">
      <w:pPr>
        <w:pStyle w:val="FootnoteText"/>
        <w:rPr>
          <w:lang w:val="en-US"/>
        </w:rPr>
      </w:pPr>
      <w:r>
        <w:rPr>
          <w:rStyle w:val="FootnoteReference"/>
        </w:rPr>
        <w:footnoteRef/>
      </w:r>
      <w:r>
        <w:t xml:space="preserve"> </w:t>
      </w:r>
      <w:r>
        <w:rPr>
          <w:lang w:val="en-US"/>
        </w:rPr>
        <w:t xml:space="preserve">Marine Corps Combat Development Command, </w:t>
      </w:r>
      <w:r w:rsidRPr="005C2C95">
        <w:rPr>
          <w:u w:val="single"/>
          <w:lang w:val="en-US"/>
        </w:rPr>
        <w:t>Op.Cit</w:t>
      </w:r>
      <w:r>
        <w:rPr>
          <w:lang w:val="en-US"/>
        </w:rPr>
        <w:t>., p.25</w:t>
      </w:r>
    </w:p>
  </w:footnote>
  <w:footnote w:id="174">
    <w:p w14:paraId="40C41032" w14:textId="3BC51D7A" w:rsidR="002001FB" w:rsidRPr="005C2C95" w:rsidRDefault="002001FB" w:rsidP="00580699">
      <w:pPr>
        <w:pStyle w:val="FootnoteText"/>
        <w:rPr>
          <w:lang w:val="en-US"/>
        </w:rPr>
      </w:pPr>
      <w:r>
        <w:rPr>
          <w:rStyle w:val="FootnoteReference"/>
        </w:rPr>
        <w:footnoteRef/>
      </w:r>
      <w:r>
        <w:rPr>
          <w:lang w:val="en-US"/>
        </w:rPr>
        <w:t xml:space="preserve"> </w:t>
      </w:r>
      <w:r w:rsidRPr="00CD1CE5">
        <w:rPr>
          <w:u w:val="single"/>
          <w:lang w:val="en-US"/>
        </w:rPr>
        <w:t>Ibid.</w:t>
      </w:r>
      <w:r>
        <w:rPr>
          <w:u w:val="single"/>
          <w:lang w:val="en-US"/>
        </w:rPr>
        <w:t>,</w:t>
      </w:r>
      <w:r>
        <w:rPr>
          <w:lang w:val="en-US"/>
        </w:rPr>
        <w:t xml:space="preserve"> p.26</w:t>
      </w:r>
    </w:p>
  </w:footnote>
  <w:footnote w:id="175">
    <w:p w14:paraId="3CAE259B" w14:textId="77777777" w:rsidR="002001FB" w:rsidRPr="00456E4C" w:rsidRDefault="002001FB" w:rsidP="00580699">
      <w:pPr>
        <w:pStyle w:val="FootnoteText"/>
        <w:rPr>
          <w:lang w:val="en-US"/>
        </w:rPr>
      </w:pPr>
      <w:r>
        <w:rPr>
          <w:rStyle w:val="FootnoteReference"/>
        </w:rPr>
        <w:footnoteRef/>
      </w:r>
      <w:r>
        <w:t xml:space="preserve"> </w:t>
      </w:r>
      <w:r w:rsidRPr="00456E4C">
        <w:rPr>
          <w:u w:val="single"/>
          <w:lang w:val="en-US"/>
        </w:rPr>
        <w:t>Loccit.</w:t>
      </w:r>
    </w:p>
  </w:footnote>
  <w:footnote w:id="176">
    <w:p w14:paraId="79361D07" w14:textId="1709B532" w:rsidR="002001FB" w:rsidRPr="00CD1CE5" w:rsidRDefault="002001FB">
      <w:pPr>
        <w:pStyle w:val="FootnoteText"/>
        <w:rPr>
          <w:lang w:val="en-US"/>
        </w:rPr>
      </w:pPr>
      <w:r>
        <w:rPr>
          <w:rStyle w:val="FootnoteReference"/>
        </w:rPr>
        <w:footnoteRef/>
      </w:r>
      <w:r>
        <w:t xml:space="preserve"> </w:t>
      </w:r>
      <w:r>
        <w:rPr>
          <w:lang w:val="en-US"/>
        </w:rPr>
        <w:t xml:space="preserve">Thompson, R., </w:t>
      </w:r>
      <w:r w:rsidRPr="00CD1CE5">
        <w:rPr>
          <w:u w:val="single"/>
          <w:lang w:val="en-US"/>
        </w:rPr>
        <w:t>OpCit.</w:t>
      </w:r>
      <w:r>
        <w:rPr>
          <w:lang w:val="en-US"/>
        </w:rPr>
        <w:t>, p.55</w:t>
      </w:r>
    </w:p>
  </w:footnote>
  <w:footnote w:id="177">
    <w:p w14:paraId="7FE5842C" w14:textId="77777777" w:rsidR="002001FB" w:rsidRDefault="002001FB" w:rsidP="00580699">
      <w:pPr>
        <w:pStyle w:val="FootnoteText"/>
      </w:pPr>
      <w:r>
        <w:rPr>
          <w:rStyle w:val="FootnoteReference"/>
        </w:rPr>
        <w:footnoteRef/>
      </w:r>
      <w:r>
        <w:t xml:space="preserve"> Petraeus, D.H., Amos, J.F., </w:t>
      </w:r>
      <w:r w:rsidRPr="007F3335">
        <w:rPr>
          <w:u w:val="single"/>
        </w:rPr>
        <w:t>Op.Cit.</w:t>
      </w:r>
      <w:r>
        <w:t>, p.ix</w:t>
      </w:r>
    </w:p>
  </w:footnote>
  <w:footnote w:id="178">
    <w:p w14:paraId="230C7629" w14:textId="77777777" w:rsidR="002001FB" w:rsidRPr="00EA44EF" w:rsidRDefault="002001FB" w:rsidP="00580699">
      <w:pPr>
        <w:pStyle w:val="FootnoteText"/>
      </w:pPr>
      <w:r>
        <w:rPr>
          <w:rStyle w:val="FootnoteReference"/>
        </w:rPr>
        <w:footnoteRef/>
      </w:r>
      <w:r>
        <w:t xml:space="preserve"> Graff, J.K., </w:t>
      </w:r>
      <w:r>
        <w:rPr>
          <w:u w:val="single"/>
        </w:rPr>
        <w:t xml:space="preserve">United States Counterinsurgency Doctrine and Implementation in Iraq, </w:t>
      </w:r>
      <w:r>
        <w:t xml:space="preserve">United States Military Academy, Kansas, 2004, p.31 </w:t>
      </w:r>
    </w:p>
  </w:footnote>
  <w:footnote w:id="179">
    <w:p w14:paraId="301DC535" w14:textId="77777777" w:rsidR="002001FB" w:rsidRPr="000465B3" w:rsidRDefault="002001FB" w:rsidP="00580699">
      <w:pPr>
        <w:pStyle w:val="FootnoteText"/>
        <w:rPr>
          <w:lang w:val="en-US"/>
        </w:rPr>
      </w:pPr>
      <w:r>
        <w:rPr>
          <w:rStyle w:val="FootnoteReference"/>
        </w:rPr>
        <w:footnoteRef/>
      </w:r>
      <w:r>
        <w:t xml:space="preserve"> </w:t>
      </w:r>
      <w:r>
        <w:rPr>
          <w:lang w:val="en-US"/>
        </w:rPr>
        <w:t xml:space="preserve">Gentile, G.P. “A Strategy of Tactics: Population-centric COIN and the Army”, in </w:t>
      </w:r>
      <w:r w:rsidRPr="00F047FE">
        <w:rPr>
          <w:u w:val="single"/>
          <w:lang w:val="en-US"/>
        </w:rPr>
        <w:t>World Affairs</w:t>
      </w:r>
      <w:r>
        <w:rPr>
          <w:lang w:val="en-US"/>
        </w:rPr>
        <w:t xml:space="preserve">, </w:t>
      </w:r>
      <w:r w:rsidRPr="00F047FE">
        <w:rPr>
          <w:lang w:val="en-US"/>
        </w:rPr>
        <w:t>US Army War College Report</w:t>
      </w:r>
      <w:r>
        <w:rPr>
          <w:lang w:val="en-US"/>
        </w:rPr>
        <w:t>, Autumn 2009, p.5</w:t>
      </w:r>
    </w:p>
  </w:footnote>
  <w:footnote w:id="180">
    <w:p w14:paraId="01235295" w14:textId="3A9BDD36" w:rsidR="002001FB" w:rsidRPr="000465B3" w:rsidRDefault="002001FB" w:rsidP="00580699">
      <w:pPr>
        <w:pStyle w:val="FootnoteText"/>
        <w:rPr>
          <w:lang w:val="en-US"/>
        </w:rPr>
      </w:pPr>
      <w:r>
        <w:rPr>
          <w:rStyle w:val="FootnoteReference"/>
        </w:rPr>
        <w:footnoteRef/>
      </w:r>
      <w:r>
        <w:t xml:space="preserve"> </w:t>
      </w:r>
      <w:r>
        <w:rPr>
          <w:u w:val="single"/>
          <w:lang w:val="en-US"/>
        </w:rPr>
        <w:t>Ibid</w:t>
      </w:r>
      <w:r>
        <w:rPr>
          <w:lang w:val="en-US"/>
        </w:rPr>
        <w:t>., p.7</w:t>
      </w:r>
    </w:p>
  </w:footnote>
  <w:footnote w:id="181">
    <w:p w14:paraId="4323C6D1" w14:textId="77777777" w:rsidR="002001FB" w:rsidRPr="000465B3" w:rsidRDefault="002001FB" w:rsidP="00580699">
      <w:pPr>
        <w:pStyle w:val="FootnoteText"/>
        <w:rPr>
          <w:lang w:val="en-US"/>
        </w:rPr>
      </w:pPr>
      <w:r>
        <w:rPr>
          <w:rStyle w:val="FootnoteReference"/>
        </w:rPr>
        <w:footnoteRef/>
      </w:r>
      <w:r>
        <w:t xml:space="preserve"> </w:t>
      </w:r>
      <w:r>
        <w:rPr>
          <w:lang w:val="en-US"/>
        </w:rPr>
        <w:t xml:space="preserve">Biddle, S., Review Symposium, </w:t>
      </w:r>
      <w:r w:rsidRPr="00B24057">
        <w:rPr>
          <w:u w:val="single"/>
          <w:lang w:val="en-US"/>
        </w:rPr>
        <w:t>The New US Army/Marine Corps Counterinsurgency Field Manual as Political Science and Political Praxis</w:t>
      </w:r>
      <w:r>
        <w:rPr>
          <w:lang w:val="en-US"/>
        </w:rPr>
        <w:t>, Vol. 6, No. 2, 2008, p.348</w:t>
      </w:r>
    </w:p>
  </w:footnote>
  <w:footnote w:id="182">
    <w:p w14:paraId="4E8F0B9B" w14:textId="6A02B3E7" w:rsidR="002001FB" w:rsidRPr="00CA568D" w:rsidRDefault="002001FB" w:rsidP="00580699">
      <w:pPr>
        <w:pStyle w:val="FootnoteText"/>
        <w:rPr>
          <w:lang w:val="en-US"/>
        </w:rPr>
      </w:pPr>
      <w:r>
        <w:rPr>
          <w:rStyle w:val="FootnoteReference"/>
        </w:rPr>
        <w:footnoteRef/>
      </w:r>
      <w:r>
        <w:t xml:space="preserve"> </w:t>
      </w:r>
      <w:r>
        <w:rPr>
          <w:lang w:val="en-US"/>
        </w:rPr>
        <w:t xml:space="preserve">Biddle, S., </w:t>
      </w:r>
      <w:r>
        <w:rPr>
          <w:u w:val="single"/>
          <w:lang w:val="en-US"/>
        </w:rPr>
        <w:t>Op.Cit.,</w:t>
      </w:r>
      <w:r>
        <w:rPr>
          <w:lang w:val="en-US"/>
        </w:rPr>
        <w:t xml:space="preserve"> p.348</w:t>
      </w:r>
    </w:p>
  </w:footnote>
  <w:footnote w:id="183">
    <w:p w14:paraId="60BD09C8" w14:textId="77777777" w:rsidR="002001FB" w:rsidRPr="00215E84" w:rsidRDefault="002001FB" w:rsidP="00580699">
      <w:pPr>
        <w:pStyle w:val="FootnoteText"/>
        <w:rPr>
          <w:lang w:val="en-US"/>
        </w:rPr>
      </w:pPr>
      <w:r>
        <w:rPr>
          <w:rStyle w:val="FootnoteReference"/>
        </w:rPr>
        <w:footnoteRef/>
      </w:r>
      <w:r>
        <w:t xml:space="preserve"> Kalyvas, S.N</w:t>
      </w:r>
      <w:r>
        <w:rPr>
          <w:lang w:val="en-US"/>
        </w:rPr>
        <w:t xml:space="preserve">., Review Symposium, </w:t>
      </w:r>
      <w:r w:rsidRPr="00B24057">
        <w:rPr>
          <w:u w:val="single"/>
          <w:lang w:val="en-US"/>
        </w:rPr>
        <w:t>The New US Army/Marine Corps Counterinsurgency Field Manual as Political Science and Political Praxis</w:t>
      </w:r>
      <w:r>
        <w:rPr>
          <w:lang w:val="en-US"/>
        </w:rPr>
        <w:t>, Vol. 6, No. 2, 2008, p.351</w:t>
      </w:r>
    </w:p>
  </w:footnote>
  <w:footnote w:id="184">
    <w:p w14:paraId="4F2D1AA4" w14:textId="77777777" w:rsidR="002001FB" w:rsidRPr="009168AD" w:rsidRDefault="002001FB" w:rsidP="00580699">
      <w:pPr>
        <w:pStyle w:val="FootnoteText"/>
        <w:rPr>
          <w:lang w:val="en-US"/>
        </w:rPr>
      </w:pPr>
      <w:r>
        <w:rPr>
          <w:rStyle w:val="FootnoteReference"/>
        </w:rPr>
        <w:footnoteRef/>
      </w:r>
      <w:r>
        <w:t xml:space="preserve"> Petraeus, D.H., Amos, J.F., </w:t>
      </w:r>
      <w:r w:rsidRPr="007F3335">
        <w:rPr>
          <w:u w:val="single"/>
        </w:rPr>
        <w:t>Op.Cit.</w:t>
      </w:r>
      <w:r>
        <w:t>, p.iii</w:t>
      </w:r>
    </w:p>
  </w:footnote>
  <w:footnote w:id="185">
    <w:p w14:paraId="1063EF61" w14:textId="77777777" w:rsidR="002001FB" w:rsidRPr="009168AD" w:rsidRDefault="002001FB" w:rsidP="00580699">
      <w:pPr>
        <w:pStyle w:val="FootnoteText"/>
        <w:rPr>
          <w:lang w:val="en-US"/>
        </w:rPr>
      </w:pPr>
      <w:r>
        <w:rPr>
          <w:rStyle w:val="FootnoteReference"/>
        </w:rPr>
        <w:footnoteRef/>
      </w:r>
      <w:r>
        <w:t xml:space="preserve"> </w:t>
      </w:r>
      <w:r>
        <w:rPr>
          <w:lang w:val="en-US"/>
        </w:rPr>
        <w:t xml:space="preserve">Kalyvas, S.N. </w:t>
      </w:r>
      <w:r w:rsidRPr="009168AD">
        <w:rPr>
          <w:u w:val="single"/>
          <w:lang w:val="en-US"/>
        </w:rPr>
        <w:t>Op. Cit</w:t>
      </w:r>
      <w:r>
        <w:rPr>
          <w:lang w:val="en-US"/>
        </w:rPr>
        <w:t>., p.355</w:t>
      </w:r>
    </w:p>
  </w:footnote>
  <w:footnote w:id="186">
    <w:p w14:paraId="2B01D45A" w14:textId="338EA187" w:rsidR="002001FB" w:rsidRDefault="002001FB" w:rsidP="0035261D">
      <w:pPr>
        <w:pStyle w:val="FootnoteText"/>
      </w:pPr>
      <w:r>
        <w:rPr>
          <w:rStyle w:val="FootnoteReference"/>
        </w:rPr>
        <w:footnoteRef/>
      </w:r>
      <w:r>
        <w:t xml:space="preserve"> </w:t>
      </w:r>
      <w:r>
        <w:rPr>
          <w:lang w:val="en-US"/>
        </w:rPr>
        <w:t>Bacevich,</w:t>
      </w:r>
      <w:r w:rsidRPr="00B668E3">
        <w:rPr>
          <w:lang w:val="en-US"/>
        </w:rPr>
        <w:t xml:space="preserve"> </w:t>
      </w:r>
      <w:r>
        <w:rPr>
          <w:lang w:val="en-US"/>
        </w:rPr>
        <w:t xml:space="preserve">A.J. </w:t>
      </w:r>
      <w:r w:rsidRPr="00B668E3">
        <w:rPr>
          <w:u w:val="single"/>
          <w:lang w:val="en-US"/>
        </w:rPr>
        <w:t>Op.Cit</w:t>
      </w:r>
      <w:r>
        <w:rPr>
          <w:lang w:val="en-US"/>
        </w:rPr>
        <w:t>.,</w:t>
      </w:r>
      <w:r>
        <w:t xml:space="preserve"> p.19</w:t>
      </w:r>
    </w:p>
  </w:footnote>
  <w:footnote w:id="187">
    <w:p w14:paraId="003C5572" w14:textId="1ED21651" w:rsidR="002001FB" w:rsidRPr="00D97C86" w:rsidRDefault="002001FB" w:rsidP="0035261D">
      <w:pPr>
        <w:pStyle w:val="FootnoteText"/>
      </w:pPr>
      <w:r>
        <w:rPr>
          <w:rStyle w:val="FootnoteReference"/>
        </w:rPr>
        <w:footnoteRef/>
      </w:r>
      <w:r>
        <w:t xml:space="preserve"> Nagl, J.A., </w:t>
      </w:r>
      <w:r>
        <w:rPr>
          <w:u w:val="single"/>
        </w:rPr>
        <w:t>Op.Cit.</w:t>
      </w:r>
      <w:r>
        <w:t>, p.29</w:t>
      </w:r>
    </w:p>
  </w:footnote>
  <w:footnote w:id="188">
    <w:p w14:paraId="25A6943D" w14:textId="69F921D1" w:rsidR="002001FB" w:rsidRDefault="002001FB" w:rsidP="0035261D">
      <w:pPr>
        <w:pStyle w:val="FootnoteText"/>
      </w:pPr>
      <w:r>
        <w:rPr>
          <w:rStyle w:val="FootnoteReference"/>
        </w:rPr>
        <w:footnoteRef/>
      </w:r>
      <w:r>
        <w:t xml:space="preserve"> </w:t>
      </w:r>
      <w:r>
        <w:rPr>
          <w:u w:val="single"/>
        </w:rPr>
        <w:t>Ibid</w:t>
      </w:r>
      <w:r w:rsidRPr="00CC5AE4">
        <w:rPr>
          <w:u w:val="single"/>
        </w:rPr>
        <w:t>.</w:t>
      </w:r>
      <w:r>
        <w:t>, p.30</w:t>
      </w:r>
    </w:p>
  </w:footnote>
  <w:footnote w:id="189">
    <w:p w14:paraId="28BBC8E0" w14:textId="77777777" w:rsidR="002001FB" w:rsidRDefault="002001FB" w:rsidP="0035261D">
      <w:pPr>
        <w:pStyle w:val="FootnoteText"/>
      </w:pPr>
      <w:r>
        <w:rPr>
          <w:rStyle w:val="FootnoteReference"/>
        </w:rPr>
        <w:footnoteRef/>
      </w:r>
      <w:r>
        <w:t xml:space="preserve"> Petraeus, D.H., Amos, J.F., </w:t>
      </w:r>
      <w:r w:rsidRPr="007F3335">
        <w:rPr>
          <w:u w:val="single"/>
        </w:rPr>
        <w:t>Op.Cit.</w:t>
      </w:r>
      <w:r>
        <w:t>, p.1-1</w:t>
      </w:r>
    </w:p>
  </w:footnote>
  <w:footnote w:id="190">
    <w:p w14:paraId="471609A0" w14:textId="7886B5C7" w:rsidR="002001FB" w:rsidRDefault="002001FB" w:rsidP="0035261D">
      <w:pPr>
        <w:pStyle w:val="FootnoteText"/>
      </w:pPr>
      <w:r>
        <w:rPr>
          <w:rStyle w:val="FootnoteReference"/>
        </w:rPr>
        <w:footnoteRef/>
      </w:r>
      <w:r>
        <w:t xml:space="preserve"> </w:t>
      </w:r>
      <w:r>
        <w:rPr>
          <w:u w:val="single"/>
        </w:rPr>
        <w:t>Loccit.</w:t>
      </w:r>
    </w:p>
  </w:footnote>
  <w:footnote w:id="191">
    <w:p w14:paraId="337C1E36" w14:textId="77777777" w:rsidR="002001FB" w:rsidRDefault="002001FB" w:rsidP="0035261D">
      <w:pPr>
        <w:pStyle w:val="FootnoteText"/>
      </w:pPr>
      <w:r>
        <w:rPr>
          <w:rStyle w:val="FootnoteReference"/>
        </w:rPr>
        <w:footnoteRef/>
      </w:r>
      <w:r>
        <w:t xml:space="preserve"> </w:t>
      </w:r>
      <w:r w:rsidRPr="00D127D9">
        <w:rPr>
          <w:u w:val="single"/>
        </w:rPr>
        <w:t>Ibid</w:t>
      </w:r>
      <w:r>
        <w:t>., p.1-2</w:t>
      </w:r>
    </w:p>
  </w:footnote>
  <w:footnote w:id="192">
    <w:p w14:paraId="3B9FC45A" w14:textId="28FE261B" w:rsidR="002001FB" w:rsidRDefault="002001FB" w:rsidP="0035261D">
      <w:pPr>
        <w:pStyle w:val="FootnoteText"/>
      </w:pPr>
      <w:r>
        <w:rPr>
          <w:rStyle w:val="FootnoteReference"/>
        </w:rPr>
        <w:footnoteRef/>
      </w:r>
      <w:r>
        <w:t xml:space="preserve"> Petraeus, D.H., Amos, J.F., </w:t>
      </w:r>
      <w:r w:rsidRPr="007F3335">
        <w:rPr>
          <w:u w:val="single"/>
        </w:rPr>
        <w:t>Op.Cit</w:t>
      </w:r>
      <w:r>
        <w:rPr>
          <w:u w:val="single"/>
        </w:rPr>
        <w:t>.</w:t>
      </w:r>
      <w:r w:rsidRPr="00883A63">
        <w:rPr>
          <w:u w:val="single"/>
        </w:rPr>
        <w:t>,</w:t>
      </w:r>
      <w:r>
        <w:t>p.ix</w:t>
      </w:r>
    </w:p>
  </w:footnote>
  <w:footnote w:id="193">
    <w:p w14:paraId="6E7C3267" w14:textId="3796400C" w:rsidR="002001FB" w:rsidRPr="003958E1" w:rsidRDefault="002001FB">
      <w:pPr>
        <w:pStyle w:val="FootnoteText"/>
        <w:rPr>
          <w:lang w:val="en-US"/>
        </w:rPr>
      </w:pPr>
      <w:r>
        <w:rPr>
          <w:rStyle w:val="FootnoteReference"/>
        </w:rPr>
        <w:footnoteRef/>
      </w:r>
      <w:r>
        <w:t xml:space="preserve"> Petraeus, D.H., Amos, J.F., </w:t>
      </w:r>
      <w:r w:rsidRPr="007F3335">
        <w:rPr>
          <w:u w:val="single"/>
        </w:rPr>
        <w:t>Op.Cit.</w:t>
      </w:r>
      <w:r>
        <w:t>, p.54</w:t>
      </w:r>
    </w:p>
  </w:footnote>
  <w:footnote w:id="194">
    <w:p w14:paraId="6E7B9905" w14:textId="4E9DC3A7" w:rsidR="002001FB" w:rsidRDefault="002001FB" w:rsidP="00580699">
      <w:pPr>
        <w:pStyle w:val="FootnoteText"/>
      </w:pPr>
      <w:r>
        <w:rPr>
          <w:rStyle w:val="FootnoteReference"/>
        </w:rPr>
        <w:footnoteRef/>
      </w:r>
      <w:r>
        <w:t xml:space="preserve"> Santos, D.N., </w:t>
      </w:r>
      <w:r>
        <w:rPr>
          <w:u w:val="single"/>
        </w:rPr>
        <w:t>Op.Cit.</w:t>
      </w:r>
      <w:r>
        <w:t>, p.1</w:t>
      </w:r>
    </w:p>
  </w:footnote>
  <w:footnote w:id="195">
    <w:p w14:paraId="16AA5818" w14:textId="796332B5" w:rsidR="002001FB" w:rsidRPr="00A575A5" w:rsidRDefault="002001FB" w:rsidP="00580699">
      <w:pPr>
        <w:pStyle w:val="FootnoteText"/>
      </w:pPr>
      <w:r>
        <w:rPr>
          <w:rStyle w:val="FootnoteReference"/>
        </w:rPr>
        <w:footnoteRef/>
      </w:r>
      <w:r>
        <w:t xml:space="preserve"> Santos, D.N., </w:t>
      </w:r>
      <w:r>
        <w:rPr>
          <w:u w:val="single"/>
        </w:rPr>
        <w:t>Op.Cit.</w:t>
      </w:r>
      <w:r>
        <w:t>, p.1</w:t>
      </w:r>
    </w:p>
  </w:footnote>
  <w:footnote w:id="196">
    <w:p w14:paraId="401151F4" w14:textId="77777777" w:rsidR="002001FB" w:rsidRPr="002C5219" w:rsidRDefault="002001FB" w:rsidP="00580699">
      <w:pPr>
        <w:pStyle w:val="FootnoteText"/>
        <w:rPr>
          <w:lang w:val="en-US"/>
        </w:rPr>
      </w:pPr>
      <w:r>
        <w:rPr>
          <w:rStyle w:val="FootnoteReference"/>
        </w:rPr>
        <w:footnoteRef/>
      </w:r>
      <w:r>
        <w:t xml:space="preserve"> </w:t>
      </w:r>
      <w:r>
        <w:rPr>
          <w:lang w:val="en-US"/>
        </w:rPr>
        <w:t>Cassidy, R.M. “The British Army and Counterinsurgency: The Salience of Military Culture”, in Military Review, May-June 2005, p.56</w:t>
      </w:r>
    </w:p>
  </w:footnote>
  <w:footnote w:id="197">
    <w:p w14:paraId="7381CC8A" w14:textId="143FB2B1" w:rsidR="002001FB" w:rsidRPr="002117DF" w:rsidRDefault="002001FB" w:rsidP="00580699">
      <w:pPr>
        <w:pStyle w:val="FootnoteText"/>
      </w:pPr>
      <w:r>
        <w:rPr>
          <w:rStyle w:val="FootnoteReference"/>
        </w:rPr>
        <w:footnoteRef/>
      </w:r>
      <w:r>
        <w:t xml:space="preserve"> Viljoen, C.L., </w:t>
      </w:r>
      <w:r>
        <w:rPr>
          <w:u w:val="single"/>
        </w:rPr>
        <w:t>Op.Cit</w:t>
      </w:r>
      <w:r>
        <w:t>, p.6</w:t>
      </w:r>
    </w:p>
  </w:footnote>
  <w:footnote w:id="198">
    <w:p w14:paraId="5590AE3C" w14:textId="222A62F4" w:rsidR="002001FB" w:rsidRPr="009549CE" w:rsidRDefault="002001FB" w:rsidP="009549CE">
      <w:pPr>
        <w:rPr>
          <w:sz w:val="20"/>
          <w:szCs w:val="20"/>
        </w:rPr>
      </w:pPr>
      <w:r w:rsidRPr="009549CE">
        <w:rPr>
          <w:rStyle w:val="FootnoteReference"/>
          <w:sz w:val="20"/>
          <w:szCs w:val="20"/>
        </w:rPr>
        <w:footnoteRef/>
      </w:r>
      <w:r w:rsidRPr="009549CE">
        <w:rPr>
          <w:sz w:val="20"/>
          <w:szCs w:val="20"/>
        </w:rPr>
        <w:t xml:space="preserve"> </w:t>
      </w:r>
      <w:r>
        <w:rPr>
          <w:sz w:val="20"/>
          <w:szCs w:val="20"/>
        </w:rPr>
        <w:t>Woodwell, D.,</w:t>
      </w:r>
      <w:r w:rsidRPr="009549CE">
        <w:rPr>
          <w:sz w:val="20"/>
          <w:szCs w:val="20"/>
        </w:rPr>
        <w:t>“The ‘Troubles’ of Northern Ireland: Civil Conflict in an Economically Well</w:t>
      </w:r>
      <w:r>
        <w:rPr>
          <w:sz w:val="20"/>
          <w:szCs w:val="20"/>
        </w:rPr>
        <w:t xml:space="preserve">-Developed State”, in Collier, P. and Sambanis, N. (Eds.), </w:t>
      </w:r>
      <w:r w:rsidRPr="009549CE">
        <w:rPr>
          <w:sz w:val="20"/>
          <w:szCs w:val="20"/>
          <w:u w:val="single"/>
        </w:rPr>
        <w:t>Understanding Civil War</w:t>
      </w:r>
      <w:r w:rsidRPr="009549CE">
        <w:rPr>
          <w:sz w:val="20"/>
          <w:szCs w:val="20"/>
        </w:rPr>
        <w:t xml:space="preserve">, World </w:t>
      </w:r>
      <w:r>
        <w:rPr>
          <w:sz w:val="20"/>
          <w:szCs w:val="20"/>
        </w:rPr>
        <w:t xml:space="preserve">Bank Publications, Washington, 2005, </w:t>
      </w:r>
      <w:r w:rsidRPr="009549CE">
        <w:rPr>
          <w:sz w:val="20"/>
          <w:szCs w:val="20"/>
        </w:rPr>
        <w:t>p.161</w:t>
      </w:r>
    </w:p>
  </w:footnote>
  <w:footnote w:id="199">
    <w:p w14:paraId="2A79276A" w14:textId="77777777" w:rsidR="002001FB" w:rsidRPr="009F1573" w:rsidRDefault="002001FB" w:rsidP="00580699">
      <w:pPr>
        <w:pStyle w:val="FootnoteText"/>
        <w:rPr>
          <w:lang w:val="en-US"/>
        </w:rPr>
      </w:pPr>
      <w:r>
        <w:rPr>
          <w:rStyle w:val="FootnoteReference"/>
        </w:rPr>
        <w:footnoteRef/>
      </w:r>
      <w:r>
        <w:t xml:space="preserve"> Jackson, B.A., “Counterinsurgency Intelligence in a “Long War” : The British Experience in Northern Ireland”, in </w:t>
      </w:r>
      <w:r w:rsidRPr="009F1573">
        <w:rPr>
          <w:u w:val="single"/>
        </w:rPr>
        <w:t>Military Review</w:t>
      </w:r>
      <w:r>
        <w:t>, January-February, 2007, p.75</w:t>
      </w:r>
    </w:p>
  </w:footnote>
  <w:footnote w:id="200">
    <w:p w14:paraId="04E9CB67" w14:textId="77777777" w:rsidR="002001FB" w:rsidRPr="009F1573" w:rsidRDefault="002001FB" w:rsidP="00580699">
      <w:pPr>
        <w:pStyle w:val="FootnoteText"/>
        <w:rPr>
          <w:lang w:val="en-US"/>
        </w:rPr>
      </w:pPr>
      <w:r>
        <w:rPr>
          <w:rStyle w:val="FootnoteReference"/>
        </w:rPr>
        <w:footnoteRef/>
      </w:r>
      <w:r>
        <w:t xml:space="preserve"> </w:t>
      </w:r>
      <w:r>
        <w:rPr>
          <w:lang w:val="en-US"/>
        </w:rPr>
        <w:t xml:space="preserve">Jackson, B.D, </w:t>
      </w:r>
      <w:r w:rsidRPr="009F1573">
        <w:rPr>
          <w:u w:val="single"/>
          <w:lang w:val="en-US"/>
        </w:rPr>
        <w:t>Op.Cit</w:t>
      </w:r>
      <w:r>
        <w:rPr>
          <w:lang w:val="en-US"/>
        </w:rPr>
        <w:t>. p.76</w:t>
      </w:r>
    </w:p>
  </w:footnote>
  <w:footnote w:id="201">
    <w:p w14:paraId="182CE33F" w14:textId="26E25F9B" w:rsidR="002001FB" w:rsidRPr="009F1573" w:rsidRDefault="002001FB" w:rsidP="00580699">
      <w:pPr>
        <w:pStyle w:val="FootnoteText"/>
        <w:rPr>
          <w:lang w:val="en-US"/>
        </w:rPr>
      </w:pPr>
      <w:r>
        <w:rPr>
          <w:rStyle w:val="FootnoteReference"/>
        </w:rPr>
        <w:footnoteRef/>
      </w:r>
      <w:r>
        <w:t xml:space="preserve"> </w:t>
      </w:r>
      <w:r>
        <w:rPr>
          <w:lang w:val="en-US"/>
        </w:rPr>
        <w:t xml:space="preserve">Kruys, G. “Twentieth Century Classical Insurgency, Counter-Insurgency and Counter-Terror”, </w:t>
      </w:r>
      <w:r w:rsidRPr="000E4472">
        <w:rPr>
          <w:u w:val="single"/>
          <w:lang w:val="en-US"/>
        </w:rPr>
        <w:t>Op.Cit.</w:t>
      </w:r>
      <w:r>
        <w:rPr>
          <w:lang w:val="en-US"/>
        </w:rPr>
        <w:t>, p.18</w:t>
      </w:r>
    </w:p>
  </w:footnote>
  <w:footnote w:id="202">
    <w:p w14:paraId="0D169D8A" w14:textId="77777777" w:rsidR="002001FB" w:rsidRPr="009C006A" w:rsidRDefault="002001FB" w:rsidP="00580699">
      <w:pPr>
        <w:pStyle w:val="FootnoteText"/>
        <w:rPr>
          <w:lang w:val="en-US"/>
        </w:rPr>
      </w:pPr>
      <w:r>
        <w:rPr>
          <w:rStyle w:val="FootnoteReference"/>
        </w:rPr>
        <w:footnoteRef/>
      </w:r>
      <w:r>
        <w:t xml:space="preserve"> </w:t>
      </w:r>
      <w:r>
        <w:rPr>
          <w:lang w:val="en-US"/>
        </w:rPr>
        <w:t xml:space="preserve">Jackson, B.D, </w:t>
      </w:r>
      <w:r w:rsidRPr="009F1573">
        <w:rPr>
          <w:u w:val="single"/>
          <w:lang w:val="en-US"/>
        </w:rPr>
        <w:t>Op.Cit</w:t>
      </w:r>
      <w:r>
        <w:rPr>
          <w:lang w:val="en-US"/>
        </w:rPr>
        <w:t>. p.77</w:t>
      </w:r>
    </w:p>
  </w:footnote>
  <w:footnote w:id="203">
    <w:p w14:paraId="37A66CB5" w14:textId="77777777" w:rsidR="002001FB" w:rsidRPr="0012746F" w:rsidRDefault="002001FB" w:rsidP="00580699">
      <w:pPr>
        <w:pStyle w:val="FootnoteText"/>
        <w:rPr>
          <w:lang w:val="en-US"/>
        </w:rPr>
      </w:pPr>
      <w:r>
        <w:rPr>
          <w:rStyle w:val="FootnoteReference"/>
        </w:rPr>
        <w:footnoteRef/>
      </w:r>
      <w:r>
        <w:t xml:space="preserve"> </w:t>
      </w:r>
      <w:r w:rsidRPr="0012746F">
        <w:rPr>
          <w:u w:val="single"/>
          <w:lang w:val="en-US"/>
        </w:rPr>
        <w:t>Ibid.</w:t>
      </w:r>
      <w:r>
        <w:rPr>
          <w:lang w:val="en-US"/>
        </w:rPr>
        <w:t xml:space="preserve"> p.79</w:t>
      </w:r>
    </w:p>
  </w:footnote>
  <w:footnote w:id="204">
    <w:p w14:paraId="0995DDCF" w14:textId="4395811E" w:rsidR="002001FB" w:rsidRPr="009549CE" w:rsidRDefault="002001FB">
      <w:pPr>
        <w:pStyle w:val="FootnoteText"/>
        <w:rPr>
          <w:u w:val="single"/>
          <w:lang w:val="en-US"/>
        </w:rPr>
      </w:pPr>
      <w:r>
        <w:rPr>
          <w:rStyle w:val="FootnoteReference"/>
        </w:rPr>
        <w:footnoteRef/>
      </w:r>
      <w:r>
        <w:t xml:space="preserve"> Henriksen, T.H., “What Really Happened in Northern Ireland’s Counterinsurgency: Revision and Revelation”, in </w:t>
      </w:r>
      <w:r w:rsidRPr="0098273E">
        <w:rPr>
          <w:u w:val="single"/>
        </w:rPr>
        <w:t>JSOU Report</w:t>
      </w:r>
      <w:r>
        <w:t>, October 2008,  p.27</w:t>
      </w:r>
    </w:p>
  </w:footnote>
  <w:footnote w:id="205">
    <w:p w14:paraId="06A530BA" w14:textId="2959EDCE" w:rsidR="002001FB" w:rsidRPr="009549CE" w:rsidRDefault="002001FB" w:rsidP="00580699">
      <w:pPr>
        <w:pStyle w:val="FootnoteText"/>
        <w:rPr>
          <w:u w:val="single"/>
          <w:lang w:val="en-US"/>
        </w:rPr>
      </w:pPr>
      <w:r>
        <w:rPr>
          <w:rStyle w:val="FootnoteReference"/>
        </w:rPr>
        <w:footnoteRef/>
      </w:r>
      <w:r>
        <w:t xml:space="preserve"> </w:t>
      </w:r>
      <w:r w:rsidRPr="009549CE">
        <w:rPr>
          <w:u w:val="single"/>
        </w:rPr>
        <w:t>Loccit.</w:t>
      </w:r>
    </w:p>
  </w:footnote>
  <w:footnote w:id="206">
    <w:p w14:paraId="0A4B024D" w14:textId="77777777" w:rsidR="002001FB" w:rsidRPr="00857738" w:rsidRDefault="002001FB" w:rsidP="00580699">
      <w:pPr>
        <w:pStyle w:val="FootnoteText"/>
        <w:rPr>
          <w:lang w:val="en-US"/>
        </w:rPr>
      </w:pPr>
      <w:r>
        <w:rPr>
          <w:rStyle w:val="FootnoteReference"/>
        </w:rPr>
        <w:footnoteRef/>
      </w:r>
      <w:r>
        <w:t xml:space="preserve"> </w:t>
      </w:r>
      <w:r w:rsidRPr="000215FC">
        <w:rPr>
          <w:u w:val="single"/>
          <w:lang w:val="en-US"/>
        </w:rPr>
        <w:t>Loccit.</w:t>
      </w:r>
    </w:p>
  </w:footnote>
  <w:footnote w:id="207">
    <w:p w14:paraId="7AA3F652" w14:textId="77777777" w:rsidR="002001FB" w:rsidRPr="0012746F" w:rsidRDefault="002001FB" w:rsidP="00580699">
      <w:pPr>
        <w:pStyle w:val="FootnoteText"/>
        <w:rPr>
          <w:lang w:val="en-US"/>
        </w:rPr>
      </w:pPr>
      <w:r>
        <w:rPr>
          <w:rStyle w:val="FootnoteReference"/>
        </w:rPr>
        <w:footnoteRef/>
      </w:r>
      <w:r w:rsidRPr="0012746F">
        <w:rPr>
          <w:u w:val="single"/>
        </w:rPr>
        <w:t xml:space="preserve"> </w:t>
      </w:r>
      <w:r>
        <w:rPr>
          <w:lang w:val="en-US"/>
        </w:rPr>
        <w:t xml:space="preserve">Jackson, B.D, </w:t>
      </w:r>
      <w:r w:rsidRPr="009F1573">
        <w:rPr>
          <w:u w:val="single"/>
          <w:lang w:val="en-US"/>
        </w:rPr>
        <w:t>Op.Cit</w:t>
      </w:r>
      <w:r>
        <w:rPr>
          <w:lang w:val="en-US"/>
        </w:rPr>
        <w:t>. p.79</w:t>
      </w:r>
    </w:p>
  </w:footnote>
  <w:footnote w:id="208">
    <w:p w14:paraId="7F2DAA63" w14:textId="4BF1B719" w:rsidR="002001FB" w:rsidRPr="0012746F" w:rsidRDefault="002001FB" w:rsidP="00580699">
      <w:pPr>
        <w:pStyle w:val="FootnoteText"/>
        <w:rPr>
          <w:lang w:val="en-US"/>
        </w:rPr>
      </w:pPr>
      <w:r>
        <w:rPr>
          <w:rStyle w:val="FootnoteReference"/>
        </w:rPr>
        <w:footnoteRef/>
      </w:r>
      <w:r>
        <w:t xml:space="preserve"> </w:t>
      </w:r>
      <w:r>
        <w:rPr>
          <w:lang w:val="en-US"/>
        </w:rPr>
        <w:t xml:space="preserve">Jackson, B.D, </w:t>
      </w:r>
      <w:r w:rsidRPr="009F1573">
        <w:rPr>
          <w:u w:val="single"/>
          <w:lang w:val="en-US"/>
        </w:rPr>
        <w:t>Op.Cit</w:t>
      </w:r>
      <w:r>
        <w:rPr>
          <w:lang w:val="en-US"/>
        </w:rPr>
        <w:t>. p.79</w:t>
      </w:r>
    </w:p>
  </w:footnote>
  <w:footnote w:id="209">
    <w:p w14:paraId="15EE88E2" w14:textId="674D9A80" w:rsidR="002001FB" w:rsidRPr="00801969" w:rsidRDefault="002001FB" w:rsidP="00580699">
      <w:pPr>
        <w:pStyle w:val="FootnoteText"/>
      </w:pPr>
      <w:r>
        <w:rPr>
          <w:rStyle w:val="FootnoteReference"/>
        </w:rPr>
        <w:footnoteRef/>
      </w:r>
      <w:r>
        <w:t xml:space="preserve"> Viljoen, C.L., “</w:t>
      </w:r>
      <w:r w:rsidRPr="000E4472">
        <w:t>Revolutionary Warfare and Counter Insurgency</w:t>
      </w:r>
      <w:r>
        <w:t xml:space="preserve">”, </w:t>
      </w:r>
      <w:r w:rsidRPr="000E4472">
        <w:rPr>
          <w:u w:val="single"/>
        </w:rPr>
        <w:t>Op.Cit.</w:t>
      </w:r>
      <w:r>
        <w:t>, p.6</w:t>
      </w:r>
    </w:p>
  </w:footnote>
  <w:footnote w:id="210">
    <w:p w14:paraId="76DB6E6E" w14:textId="041C66D1" w:rsidR="002001FB" w:rsidRPr="00C63943" w:rsidRDefault="002001FB" w:rsidP="000905EF">
      <w:pPr>
        <w:pStyle w:val="FootnoteText"/>
        <w:rPr>
          <w:lang w:val="en-US"/>
        </w:rPr>
      </w:pPr>
      <w:r>
        <w:rPr>
          <w:rStyle w:val="FootnoteReference"/>
        </w:rPr>
        <w:footnoteRef/>
      </w:r>
      <w:r>
        <w:t xml:space="preserve"> Chief of the General Staff,  </w:t>
      </w:r>
      <w:r w:rsidRPr="000E4472">
        <w:rPr>
          <w:u w:val="single"/>
          <w:lang w:val="en-US"/>
        </w:rPr>
        <w:t>Army Field Manual</w:t>
      </w:r>
      <w:r>
        <w:rPr>
          <w:lang w:val="en-US"/>
        </w:rPr>
        <w:t>, Vol.V, Operations Other than War, London, 1995, p.3-1</w:t>
      </w:r>
    </w:p>
  </w:footnote>
  <w:footnote w:id="211">
    <w:p w14:paraId="7B0615BF" w14:textId="77777777" w:rsidR="002001FB" w:rsidRPr="000215FC" w:rsidRDefault="002001FB" w:rsidP="00580699">
      <w:pPr>
        <w:pStyle w:val="FootnoteText"/>
        <w:rPr>
          <w:lang w:val="en-US"/>
        </w:rPr>
      </w:pPr>
      <w:r>
        <w:rPr>
          <w:rStyle w:val="FootnoteReference"/>
        </w:rPr>
        <w:footnoteRef/>
      </w:r>
      <w:r>
        <w:t xml:space="preserve"> Henriksen, T.H., </w:t>
      </w:r>
      <w:r w:rsidRPr="0098273E">
        <w:rPr>
          <w:u w:val="single"/>
        </w:rPr>
        <w:t>Op.Cit</w:t>
      </w:r>
      <w:r>
        <w:t xml:space="preserve">. </w:t>
      </w:r>
      <w:r>
        <w:rPr>
          <w:lang w:val="en-US"/>
        </w:rPr>
        <w:t>p.28</w:t>
      </w:r>
    </w:p>
  </w:footnote>
  <w:footnote w:id="212">
    <w:p w14:paraId="337D43D0" w14:textId="48D7BEF6" w:rsidR="002001FB" w:rsidRPr="000215FC" w:rsidRDefault="002001FB" w:rsidP="00580699">
      <w:pPr>
        <w:pStyle w:val="FootnoteText"/>
        <w:rPr>
          <w:lang w:val="en-US"/>
        </w:rPr>
      </w:pPr>
      <w:r>
        <w:rPr>
          <w:rStyle w:val="FootnoteReference"/>
        </w:rPr>
        <w:footnoteRef/>
      </w:r>
      <w:r>
        <w:t xml:space="preserve"> Henriksen, T.H., </w:t>
      </w:r>
      <w:r w:rsidRPr="0098273E">
        <w:rPr>
          <w:u w:val="single"/>
        </w:rPr>
        <w:t>Op.Cit</w:t>
      </w:r>
      <w:r>
        <w:t xml:space="preserve">. </w:t>
      </w:r>
      <w:r>
        <w:rPr>
          <w:lang w:val="en-US"/>
        </w:rPr>
        <w:t>p.29</w:t>
      </w:r>
    </w:p>
  </w:footnote>
  <w:footnote w:id="213">
    <w:p w14:paraId="679F4D1D" w14:textId="1A654FFE" w:rsidR="002001FB" w:rsidRPr="000215FC" w:rsidRDefault="002001FB" w:rsidP="00580699">
      <w:pPr>
        <w:pStyle w:val="FootnoteText"/>
        <w:rPr>
          <w:lang w:val="en-US"/>
        </w:rPr>
      </w:pPr>
      <w:r>
        <w:rPr>
          <w:rStyle w:val="FootnoteReference"/>
        </w:rPr>
        <w:footnoteRef/>
      </w:r>
      <w:r>
        <w:t xml:space="preserve"> </w:t>
      </w:r>
      <w:r w:rsidRPr="00883A63">
        <w:rPr>
          <w:u w:val="single"/>
        </w:rPr>
        <w:t>Ibid.,</w:t>
      </w:r>
      <w:r>
        <w:t xml:space="preserve"> p.28</w:t>
      </w:r>
    </w:p>
  </w:footnote>
  <w:footnote w:id="214">
    <w:p w14:paraId="722E1640" w14:textId="601CF822" w:rsidR="002001FB" w:rsidRPr="00801969" w:rsidRDefault="002001FB" w:rsidP="00580699">
      <w:pPr>
        <w:pStyle w:val="FootnoteText"/>
      </w:pPr>
      <w:r>
        <w:rPr>
          <w:rStyle w:val="FootnoteReference"/>
        </w:rPr>
        <w:footnoteRef/>
      </w:r>
      <w:r>
        <w:t xml:space="preserve"> Viljoen, C.L., </w:t>
      </w:r>
      <w:r>
        <w:rPr>
          <w:u w:val="single"/>
        </w:rPr>
        <w:t>Op.Cit.</w:t>
      </w:r>
      <w:r>
        <w:t>, p.6</w:t>
      </w:r>
    </w:p>
  </w:footnote>
  <w:footnote w:id="215">
    <w:p w14:paraId="781DE9D3" w14:textId="6FA275A2" w:rsidR="002001FB" w:rsidRPr="00A90EEB" w:rsidRDefault="002001FB">
      <w:pPr>
        <w:pStyle w:val="FootnoteText"/>
        <w:rPr>
          <w:lang w:val="en-US"/>
        </w:rPr>
      </w:pPr>
      <w:r>
        <w:rPr>
          <w:rStyle w:val="FootnoteReference"/>
        </w:rPr>
        <w:footnoteRef/>
      </w:r>
      <w:r>
        <w:t xml:space="preserve"> Henriksen, T.H., </w:t>
      </w:r>
      <w:r w:rsidRPr="0098273E">
        <w:rPr>
          <w:u w:val="single"/>
        </w:rPr>
        <w:t>Op.Cit</w:t>
      </w:r>
      <w:r>
        <w:t xml:space="preserve">., </w:t>
      </w:r>
      <w:r>
        <w:rPr>
          <w:lang w:val="en-US"/>
        </w:rPr>
        <w:t>p.29</w:t>
      </w:r>
    </w:p>
  </w:footnote>
  <w:footnote w:id="216">
    <w:p w14:paraId="5842CC89" w14:textId="61F8B412" w:rsidR="002001FB" w:rsidRPr="000B3474" w:rsidRDefault="002001FB" w:rsidP="000905EF">
      <w:pPr>
        <w:pStyle w:val="FootnoteText"/>
        <w:rPr>
          <w:lang w:val="en-US"/>
        </w:rPr>
      </w:pPr>
      <w:r>
        <w:rPr>
          <w:rStyle w:val="FootnoteReference"/>
        </w:rPr>
        <w:footnoteRef/>
      </w:r>
      <w:r>
        <w:t xml:space="preserve"> </w:t>
      </w:r>
      <w:r w:rsidRPr="000905EF">
        <w:rPr>
          <w:u w:val="single"/>
        </w:rPr>
        <w:t>Ibid.,</w:t>
      </w:r>
      <w:r>
        <w:t xml:space="preserve"> p.31</w:t>
      </w:r>
    </w:p>
  </w:footnote>
  <w:footnote w:id="217">
    <w:p w14:paraId="51AC5C13" w14:textId="3BAD7EF0" w:rsidR="002001FB" w:rsidRPr="00D65156" w:rsidRDefault="002001FB" w:rsidP="007A0AA6">
      <w:pPr>
        <w:pStyle w:val="FootnoteText"/>
        <w:rPr>
          <w:lang w:val="en-US"/>
        </w:rPr>
      </w:pPr>
      <w:r>
        <w:rPr>
          <w:rStyle w:val="FootnoteReference"/>
        </w:rPr>
        <w:footnoteRef/>
      </w:r>
      <w:r>
        <w:t xml:space="preserve"> </w:t>
      </w:r>
      <w:r w:rsidRPr="00883A63">
        <w:rPr>
          <w:u w:val="single"/>
        </w:rPr>
        <w:t>Loccit.</w:t>
      </w:r>
    </w:p>
  </w:footnote>
  <w:footnote w:id="218">
    <w:p w14:paraId="248A1295" w14:textId="77777777" w:rsidR="002001FB" w:rsidRPr="0056376F" w:rsidRDefault="002001FB" w:rsidP="008F4C36">
      <w:pPr>
        <w:pStyle w:val="FootnoteText"/>
        <w:rPr>
          <w:lang w:val="en-US"/>
        </w:rPr>
      </w:pPr>
      <w:r>
        <w:rPr>
          <w:rStyle w:val="FootnoteReference"/>
        </w:rPr>
        <w:footnoteRef/>
      </w:r>
      <w:r>
        <w:t xml:space="preserve"> </w:t>
      </w:r>
      <w:r>
        <w:rPr>
          <w:lang w:val="en-US"/>
        </w:rPr>
        <w:t xml:space="preserve">McInnes, C., </w:t>
      </w:r>
      <w:r w:rsidRPr="00F23D6E">
        <w:rPr>
          <w:u w:val="single"/>
          <w:lang w:val="en-US"/>
        </w:rPr>
        <w:t>Hot War, Cold War: The British Army’s Way in Warfare, 1945-1995</w:t>
      </w:r>
      <w:r>
        <w:rPr>
          <w:lang w:val="en-US"/>
        </w:rPr>
        <w:t>, Brasseys, London, 1996, p.169</w:t>
      </w:r>
    </w:p>
  </w:footnote>
  <w:footnote w:id="219">
    <w:p w14:paraId="5FF7ACBA" w14:textId="14E2D5F9" w:rsidR="002001FB" w:rsidRPr="00201586" w:rsidRDefault="002001FB" w:rsidP="008F4C36">
      <w:pPr>
        <w:pStyle w:val="FootnoteText"/>
        <w:rPr>
          <w:lang w:val="en-US"/>
        </w:rPr>
      </w:pPr>
      <w:r>
        <w:rPr>
          <w:rStyle w:val="FootnoteReference"/>
        </w:rPr>
        <w:footnoteRef/>
      </w:r>
      <w:r>
        <w:t xml:space="preserve"> </w:t>
      </w:r>
      <w:r>
        <w:rPr>
          <w:lang w:val="en-US"/>
        </w:rPr>
        <w:t xml:space="preserve">McInnes, C., </w:t>
      </w:r>
      <w:r>
        <w:rPr>
          <w:u w:val="single"/>
          <w:lang w:val="en-US"/>
        </w:rPr>
        <w:t>Op.Cit.,</w:t>
      </w:r>
      <w:r>
        <w:rPr>
          <w:lang w:val="en-US"/>
        </w:rPr>
        <w:t xml:space="preserve"> p.169</w:t>
      </w:r>
    </w:p>
  </w:footnote>
  <w:footnote w:id="220">
    <w:p w14:paraId="6D188198" w14:textId="5888CE16" w:rsidR="002001FB" w:rsidRPr="000215FC" w:rsidRDefault="002001FB" w:rsidP="00580699">
      <w:pPr>
        <w:pStyle w:val="FootnoteText"/>
        <w:rPr>
          <w:lang w:val="en-US"/>
        </w:rPr>
      </w:pPr>
      <w:r>
        <w:rPr>
          <w:rStyle w:val="FootnoteReference"/>
        </w:rPr>
        <w:footnoteRef/>
      </w:r>
      <w:r>
        <w:t xml:space="preserve"> Henriksen, T.H., </w:t>
      </w:r>
      <w:r w:rsidRPr="0098273E">
        <w:rPr>
          <w:u w:val="single"/>
        </w:rPr>
        <w:t>Op.Cit</w:t>
      </w:r>
      <w:r>
        <w:t xml:space="preserve">., </w:t>
      </w:r>
      <w:r>
        <w:rPr>
          <w:lang w:val="en-US"/>
        </w:rPr>
        <w:t>p.29</w:t>
      </w:r>
    </w:p>
  </w:footnote>
  <w:footnote w:id="221">
    <w:p w14:paraId="4326ABBE" w14:textId="2087EDB1" w:rsidR="002001FB" w:rsidRPr="002117DF" w:rsidRDefault="002001FB" w:rsidP="00580699">
      <w:pPr>
        <w:pStyle w:val="FootnoteText"/>
        <w:rPr>
          <w:lang w:val="en-US"/>
        </w:rPr>
      </w:pPr>
      <w:r>
        <w:rPr>
          <w:rStyle w:val="FootnoteReference"/>
        </w:rPr>
        <w:footnoteRef/>
      </w:r>
      <w:r>
        <w:t xml:space="preserve"> </w:t>
      </w:r>
      <w:r>
        <w:rPr>
          <w:lang w:val="en-US"/>
        </w:rPr>
        <w:t xml:space="preserve">Woodwell, D., </w:t>
      </w:r>
      <w:r w:rsidRPr="000E4472">
        <w:rPr>
          <w:u w:val="single"/>
          <w:lang w:val="en-US"/>
        </w:rPr>
        <w:t>Op.Cit.</w:t>
      </w:r>
      <w:r>
        <w:rPr>
          <w:lang w:val="en-US"/>
        </w:rPr>
        <w:t>,  p.161</w:t>
      </w:r>
    </w:p>
  </w:footnote>
  <w:footnote w:id="222">
    <w:p w14:paraId="3D9774C9" w14:textId="040DDCE6" w:rsidR="002001FB" w:rsidRDefault="002001FB" w:rsidP="00580699">
      <w:pPr>
        <w:pStyle w:val="FootnoteText"/>
      </w:pPr>
      <w:r>
        <w:rPr>
          <w:rStyle w:val="FootnoteReference"/>
        </w:rPr>
        <w:footnoteRef/>
      </w:r>
      <w:r>
        <w:t xml:space="preserve"> Nagl, J.A., </w:t>
      </w:r>
      <w:r>
        <w:rPr>
          <w:u w:val="single"/>
        </w:rPr>
        <w:t>Op.Cit.,</w:t>
      </w:r>
      <w:r>
        <w:t xml:space="preserve"> P.29</w:t>
      </w:r>
    </w:p>
  </w:footnote>
  <w:footnote w:id="223">
    <w:p w14:paraId="766817E9" w14:textId="658890E1" w:rsidR="002001FB" w:rsidRPr="00F869A3" w:rsidRDefault="002001FB" w:rsidP="00580699">
      <w:pPr>
        <w:pStyle w:val="FootnoteText"/>
        <w:rPr>
          <w:lang w:val="en-US"/>
        </w:rPr>
      </w:pPr>
      <w:r>
        <w:rPr>
          <w:rStyle w:val="FootnoteReference"/>
        </w:rPr>
        <w:footnoteRef/>
      </w:r>
      <w:r>
        <w:t xml:space="preserve"> Nagl, J.A., </w:t>
      </w:r>
      <w:r>
        <w:rPr>
          <w:u w:val="single"/>
        </w:rPr>
        <w:t>Op.Cit.,</w:t>
      </w:r>
      <w:r>
        <w:t xml:space="preserve"> P.29</w:t>
      </w:r>
    </w:p>
  </w:footnote>
  <w:footnote w:id="224">
    <w:p w14:paraId="126A3E22" w14:textId="77777777" w:rsidR="002001FB" w:rsidRPr="00F901D2" w:rsidRDefault="002001FB" w:rsidP="00580699">
      <w:pPr>
        <w:pStyle w:val="FootnoteText"/>
        <w:rPr>
          <w:lang w:val="en-US"/>
        </w:rPr>
      </w:pPr>
      <w:r>
        <w:rPr>
          <w:rStyle w:val="FootnoteReference"/>
        </w:rPr>
        <w:footnoteRef/>
      </w:r>
      <w:r>
        <w:t xml:space="preserve"> </w:t>
      </w:r>
      <w:r>
        <w:rPr>
          <w:lang w:val="en-US"/>
        </w:rPr>
        <w:t xml:space="preserve">McInnes, C., </w:t>
      </w:r>
      <w:r>
        <w:rPr>
          <w:u w:val="single"/>
          <w:lang w:val="en-US"/>
        </w:rPr>
        <w:t>Op.Cit</w:t>
      </w:r>
      <w:r>
        <w:rPr>
          <w:lang w:val="en-US"/>
        </w:rPr>
        <w:t>. p.169</w:t>
      </w:r>
    </w:p>
  </w:footnote>
  <w:footnote w:id="225">
    <w:p w14:paraId="10DE54D4" w14:textId="77777777" w:rsidR="002001FB" w:rsidRPr="000B3474" w:rsidRDefault="002001FB" w:rsidP="00580699">
      <w:pPr>
        <w:pStyle w:val="FootnoteText"/>
        <w:rPr>
          <w:lang w:val="en-US"/>
        </w:rPr>
      </w:pPr>
      <w:r>
        <w:rPr>
          <w:rStyle w:val="FootnoteReference"/>
        </w:rPr>
        <w:footnoteRef/>
      </w:r>
      <w:r>
        <w:t xml:space="preserve"> Henriksen, T.H., </w:t>
      </w:r>
      <w:r w:rsidRPr="0098273E">
        <w:rPr>
          <w:u w:val="single"/>
        </w:rPr>
        <w:t>Op.Cit</w:t>
      </w:r>
      <w:r>
        <w:t>. p.31</w:t>
      </w:r>
    </w:p>
  </w:footnote>
  <w:footnote w:id="226">
    <w:p w14:paraId="3C68FE84" w14:textId="77777777" w:rsidR="002001FB" w:rsidRPr="00AE7ADC" w:rsidRDefault="002001FB" w:rsidP="00580699">
      <w:pPr>
        <w:pStyle w:val="FootnoteText"/>
        <w:rPr>
          <w:lang w:val="en-US"/>
        </w:rPr>
      </w:pPr>
      <w:r>
        <w:rPr>
          <w:rStyle w:val="FootnoteReference"/>
        </w:rPr>
        <w:footnoteRef/>
      </w:r>
      <w:r>
        <w:t xml:space="preserve">Nagl, J.A., </w:t>
      </w:r>
      <w:r>
        <w:rPr>
          <w:u w:val="single"/>
          <w:lang w:val="en-US"/>
        </w:rPr>
        <w:t>Op.Cit</w:t>
      </w:r>
      <w:r w:rsidRPr="00AE7ADC">
        <w:rPr>
          <w:lang w:val="en-US"/>
        </w:rPr>
        <w:t xml:space="preserve">. </w:t>
      </w:r>
      <w:r>
        <w:rPr>
          <w:lang w:val="en-US"/>
        </w:rPr>
        <w:t>p.29</w:t>
      </w:r>
    </w:p>
  </w:footnote>
  <w:footnote w:id="227">
    <w:p w14:paraId="568173CF" w14:textId="2D8C5F09" w:rsidR="002001FB" w:rsidRPr="000B3474" w:rsidRDefault="002001FB" w:rsidP="00201586">
      <w:pPr>
        <w:pStyle w:val="FootnoteText"/>
        <w:rPr>
          <w:lang w:val="en-US"/>
        </w:rPr>
      </w:pPr>
      <w:r>
        <w:rPr>
          <w:rStyle w:val="FootnoteReference"/>
        </w:rPr>
        <w:footnoteRef/>
      </w:r>
      <w:r>
        <w:t xml:space="preserve"> </w:t>
      </w:r>
      <w:r w:rsidRPr="00883A63">
        <w:rPr>
          <w:u w:val="single"/>
        </w:rPr>
        <w:t>Loccit.</w:t>
      </w:r>
    </w:p>
  </w:footnote>
  <w:footnote w:id="228">
    <w:p w14:paraId="3F44C210" w14:textId="77777777" w:rsidR="002001FB" w:rsidRPr="008B10FB" w:rsidRDefault="002001FB" w:rsidP="00201586">
      <w:pPr>
        <w:pStyle w:val="FootnoteText"/>
        <w:rPr>
          <w:lang w:val="en-US"/>
        </w:rPr>
      </w:pPr>
      <w:r>
        <w:rPr>
          <w:rStyle w:val="FootnoteReference"/>
        </w:rPr>
        <w:footnoteRef/>
      </w:r>
      <w:r>
        <w:t xml:space="preserve"> </w:t>
      </w:r>
      <w:r>
        <w:rPr>
          <w:lang w:val="en-US"/>
        </w:rPr>
        <w:t xml:space="preserve">Tomlinson, M. “Relegating Local Government”, in O’Dowd, L., Rolston, B. and Tomlinson, M., </w:t>
      </w:r>
      <w:r w:rsidRPr="008B10FB">
        <w:rPr>
          <w:u w:val="single"/>
          <w:lang w:val="en-US"/>
        </w:rPr>
        <w:t>Northern Ireland: Between Civil Rights and Civil War</w:t>
      </w:r>
      <w:r>
        <w:rPr>
          <w:lang w:val="en-US"/>
        </w:rPr>
        <w:t>, CSE Books, London, 1980, p.116</w:t>
      </w:r>
    </w:p>
  </w:footnote>
  <w:footnote w:id="229">
    <w:p w14:paraId="4BD5AEF0" w14:textId="77777777" w:rsidR="002001FB" w:rsidRPr="000B1871" w:rsidRDefault="002001FB" w:rsidP="00201586">
      <w:pPr>
        <w:pStyle w:val="FootnoteText"/>
        <w:rPr>
          <w:lang w:val="en-US"/>
        </w:rPr>
      </w:pPr>
      <w:r>
        <w:rPr>
          <w:rStyle w:val="FootnoteReference"/>
        </w:rPr>
        <w:footnoteRef/>
      </w:r>
      <w:r>
        <w:t xml:space="preserve"> </w:t>
      </w:r>
      <w:r w:rsidRPr="000B1871">
        <w:rPr>
          <w:u w:val="single"/>
        </w:rPr>
        <w:t>Loccit</w:t>
      </w:r>
      <w:r>
        <w:t>.</w:t>
      </w:r>
    </w:p>
  </w:footnote>
  <w:footnote w:id="230">
    <w:p w14:paraId="628745C7" w14:textId="0FB87C07" w:rsidR="002001FB" w:rsidRPr="000B1871" w:rsidRDefault="002001FB" w:rsidP="008F4C36">
      <w:pPr>
        <w:pStyle w:val="FootnoteText"/>
        <w:rPr>
          <w:lang w:val="en-US"/>
        </w:rPr>
      </w:pPr>
      <w:r>
        <w:rPr>
          <w:rStyle w:val="FootnoteReference"/>
        </w:rPr>
        <w:footnoteRef/>
      </w:r>
      <w:r>
        <w:t xml:space="preserve"> </w:t>
      </w:r>
      <w:r w:rsidRPr="00201586">
        <w:rPr>
          <w:u w:val="single"/>
        </w:rPr>
        <w:t>Loccit</w:t>
      </w:r>
      <w:r>
        <w:t>.</w:t>
      </w:r>
    </w:p>
  </w:footnote>
  <w:footnote w:id="231">
    <w:p w14:paraId="7A8CBF4D" w14:textId="77777777" w:rsidR="002001FB" w:rsidRPr="000B1871" w:rsidRDefault="002001FB" w:rsidP="008F4C36">
      <w:pPr>
        <w:pStyle w:val="FootnoteText"/>
        <w:rPr>
          <w:lang w:val="en-US"/>
        </w:rPr>
      </w:pPr>
      <w:r>
        <w:rPr>
          <w:rStyle w:val="FootnoteReference"/>
        </w:rPr>
        <w:footnoteRef/>
      </w:r>
      <w:r>
        <w:t xml:space="preserve"> Boyle, K. and Hadden, T., </w:t>
      </w:r>
      <w:r w:rsidRPr="00E347B7">
        <w:rPr>
          <w:u w:val="single"/>
        </w:rPr>
        <w:t>The Northern Ireland Peace Proess 1993-1996: A Chronology</w:t>
      </w:r>
      <w:r>
        <w:t>, Serif Publishers, London, 1996, p.45</w:t>
      </w:r>
    </w:p>
  </w:footnote>
  <w:footnote w:id="232">
    <w:p w14:paraId="0493EF47" w14:textId="4E801DB4" w:rsidR="002001FB" w:rsidRPr="000B1871" w:rsidRDefault="002001FB" w:rsidP="008F4C36">
      <w:pPr>
        <w:pStyle w:val="FootnoteText"/>
        <w:rPr>
          <w:lang w:val="en-US"/>
        </w:rPr>
      </w:pPr>
      <w:r>
        <w:rPr>
          <w:rStyle w:val="FootnoteReference"/>
        </w:rPr>
        <w:footnoteRef/>
      </w:r>
      <w:r>
        <w:t xml:space="preserve"> Boyle, K. and Hadden, T., </w:t>
      </w:r>
      <w:r>
        <w:rPr>
          <w:u w:val="single"/>
        </w:rPr>
        <w:t>Op.Cit</w:t>
      </w:r>
      <w:r>
        <w:t>., p.46</w:t>
      </w:r>
    </w:p>
  </w:footnote>
  <w:footnote w:id="233">
    <w:p w14:paraId="401AFCDA" w14:textId="47CA13C6" w:rsidR="002001FB" w:rsidRPr="00955038" w:rsidRDefault="002001FB" w:rsidP="00580699">
      <w:pPr>
        <w:pStyle w:val="FootnoteText"/>
        <w:rPr>
          <w:lang w:val="en-US"/>
        </w:rPr>
      </w:pPr>
      <w:r>
        <w:rPr>
          <w:rStyle w:val="FootnoteReference"/>
        </w:rPr>
        <w:footnoteRef/>
      </w:r>
      <w:r>
        <w:t xml:space="preserve"> </w:t>
      </w:r>
      <w:r>
        <w:rPr>
          <w:lang w:val="en-US"/>
        </w:rPr>
        <w:t xml:space="preserve">Nagl, J.A., </w:t>
      </w:r>
      <w:r w:rsidRPr="00955038">
        <w:rPr>
          <w:u w:val="single"/>
          <w:lang w:val="en-US"/>
        </w:rPr>
        <w:t>Op.Cit</w:t>
      </w:r>
      <w:r>
        <w:rPr>
          <w:lang w:val="en-US"/>
        </w:rPr>
        <w:t>., p.29</w:t>
      </w:r>
    </w:p>
  </w:footnote>
  <w:footnote w:id="234">
    <w:p w14:paraId="5272EFBE" w14:textId="439F0D32" w:rsidR="002001FB" w:rsidRPr="00D65156" w:rsidRDefault="002001FB" w:rsidP="008F4C36">
      <w:pPr>
        <w:pStyle w:val="FootnoteText"/>
        <w:rPr>
          <w:lang w:val="en-US"/>
        </w:rPr>
      </w:pPr>
      <w:r>
        <w:rPr>
          <w:rStyle w:val="FootnoteReference"/>
        </w:rPr>
        <w:footnoteRef/>
      </w:r>
      <w:r>
        <w:t xml:space="preserve"> Henriksen, T.H., </w:t>
      </w:r>
      <w:r w:rsidRPr="0098273E">
        <w:rPr>
          <w:u w:val="single"/>
        </w:rPr>
        <w:t>Op.Cit</w:t>
      </w:r>
      <w:r>
        <w:t xml:space="preserve">., </w:t>
      </w:r>
      <w:r>
        <w:rPr>
          <w:lang w:val="en-US"/>
        </w:rPr>
        <w:t>p.47</w:t>
      </w:r>
    </w:p>
  </w:footnote>
  <w:footnote w:id="235">
    <w:p w14:paraId="6473DCB6" w14:textId="77777777" w:rsidR="002001FB" w:rsidRPr="0098273E" w:rsidRDefault="002001FB" w:rsidP="002B6E07">
      <w:pPr>
        <w:pStyle w:val="FootnoteText"/>
        <w:rPr>
          <w:lang w:val="en-US"/>
        </w:rPr>
      </w:pPr>
      <w:r>
        <w:rPr>
          <w:rStyle w:val="FootnoteReference"/>
        </w:rPr>
        <w:footnoteRef/>
      </w:r>
      <w:r>
        <w:t xml:space="preserve"> Wilson, D. and Tyrrell, J. “Institutions for Conciliation and Mediation”, in Dunn, S., </w:t>
      </w:r>
      <w:r w:rsidRPr="0098273E">
        <w:rPr>
          <w:u w:val="single"/>
        </w:rPr>
        <w:t>Facets of the Northern Ireland Conflict</w:t>
      </w:r>
      <w:r>
        <w:t>, St.Martins Press, New York, 1995, p.230</w:t>
      </w:r>
    </w:p>
  </w:footnote>
  <w:footnote w:id="236">
    <w:p w14:paraId="4BE71133" w14:textId="77777777" w:rsidR="002001FB" w:rsidRPr="00361F9F" w:rsidRDefault="002001FB" w:rsidP="002B6E07">
      <w:pPr>
        <w:pStyle w:val="FootnoteText"/>
        <w:rPr>
          <w:lang w:val="en-US"/>
        </w:rPr>
      </w:pPr>
      <w:r>
        <w:rPr>
          <w:rStyle w:val="FootnoteReference"/>
        </w:rPr>
        <w:footnoteRef/>
      </w:r>
      <w:r>
        <w:t xml:space="preserve"> Henriksen, T.H., </w:t>
      </w:r>
      <w:r w:rsidRPr="0098273E">
        <w:rPr>
          <w:u w:val="single"/>
        </w:rPr>
        <w:t>Op.Cit</w:t>
      </w:r>
      <w:r>
        <w:t>. p.39</w:t>
      </w:r>
    </w:p>
  </w:footnote>
  <w:footnote w:id="237">
    <w:p w14:paraId="5D0772B5" w14:textId="77777777" w:rsidR="002001FB" w:rsidRPr="00E42CA8" w:rsidRDefault="002001FB" w:rsidP="00244AC9">
      <w:pPr>
        <w:pStyle w:val="FootnoteText"/>
        <w:rPr>
          <w:lang w:val="en-US"/>
        </w:rPr>
      </w:pPr>
      <w:r>
        <w:rPr>
          <w:rStyle w:val="FootnoteReference"/>
        </w:rPr>
        <w:footnoteRef/>
      </w:r>
      <w:r>
        <w:t xml:space="preserve"> </w:t>
      </w:r>
      <w:r w:rsidRPr="0030728C">
        <w:rPr>
          <w:lang w:val="en-US"/>
        </w:rPr>
        <w:t xml:space="preserve">Filkins, D., “Sunni Clerics Call for an End to Killing of Iraqis”, in </w:t>
      </w:r>
      <w:r w:rsidRPr="0030728C">
        <w:rPr>
          <w:u w:val="single"/>
          <w:lang w:val="en-US"/>
        </w:rPr>
        <w:t>New York Times</w:t>
      </w:r>
      <w:r w:rsidRPr="0030728C">
        <w:rPr>
          <w:lang w:val="en-US"/>
        </w:rPr>
        <w:t>, 1 March 2004</w:t>
      </w:r>
    </w:p>
  </w:footnote>
  <w:footnote w:id="238">
    <w:p w14:paraId="28278963" w14:textId="4BA5CAE5" w:rsidR="002001FB" w:rsidRPr="007A0AA6" w:rsidRDefault="002001FB">
      <w:pPr>
        <w:pStyle w:val="FootnoteText"/>
        <w:rPr>
          <w:lang w:val="en-US"/>
        </w:rPr>
      </w:pPr>
      <w:r>
        <w:rPr>
          <w:rStyle w:val="FootnoteReference"/>
        </w:rPr>
        <w:footnoteRef/>
      </w:r>
      <w:r>
        <w:t xml:space="preserve"> Byman, D., “An Autopsy of the Iraq Debacle: Policy Failure or Bridge too Far?”, in </w:t>
      </w:r>
      <w:r w:rsidRPr="00DB5E3F">
        <w:rPr>
          <w:u w:val="single"/>
        </w:rPr>
        <w:t>Security Studies</w:t>
      </w:r>
      <w:r>
        <w:t>, Vol.17, 2008, p.601</w:t>
      </w:r>
    </w:p>
  </w:footnote>
  <w:footnote w:id="239">
    <w:p w14:paraId="3C7E825B" w14:textId="305D24EA" w:rsidR="002001FB" w:rsidRPr="00DB5E3F" w:rsidRDefault="002001FB">
      <w:pPr>
        <w:pStyle w:val="FootnoteText"/>
        <w:rPr>
          <w:lang w:val="en-US"/>
        </w:rPr>
      </w:pPr>
      <w:r>
        <w:rPr>
          <w:rStyle w:val="FootnoteReference"/>
        </w:rPr>
        <w:footnoteRef/>
      </w:r>
      <w:r>
        <w:t xml:space="preserve"> </w:t>
      </w:r>
      <w:r w:rsidRPr="00DB5E3F">
        <w:rPr>
          <w:u w:val="single"/>
          <w:lang w:val="en-US"/>
        </w:rPr>
        <w:t>Ibid.,</w:t>
      </w:r>
      <w:r>
        <w:rPr>
          <w:lang w:val="en-US"/>
        </w:rPr>
        <w:t xml:space="preserve"> p.599</w:t>
      </w:r>
    </w:p>
  </w:footnote>
  <w:footnote w:id="240">
    <w:p w14:paraId="01C86C5D" w14:textId="60767BD5" w:rsidR="002001FB" w:rsidRPr="00C916CD" w:rsidRDefault="002001FB" w:rsidP="00244AC9">
      <w:pPr>
        <w:pStyle w:val="FootnoteText"/>
        <w:rPr>
          <w:lang w:val="en-US"/>
        </w:rPr>
      </w:pPr>
      <w:r>
        <w:rPr>
          <w:rStyle w:val="FootnoteReference"/>
        </w:rPr>
        <w:footnoteRef/>
      </w:r>
      <w:r>
        <w:t xml:space="preserve"> </w:t>
      </w:r>
      <w:r>
        <w:rPr>
          <w:lang w:val="en-US"/>
        </w:rPr>
        <w:t xml:space="preserve">Schweitzer, Y., </w:t>
      </w:r>
      <w:r w:rsidRPr="000E4472">
        <w:rPr>
          <w:u w:val="single"/>
          <w:lang w:val="en-US"/>
        </w:rPr>
        <w:t>Op.Cit</w:t>
      </w:r>
      <w:r>
        <w:rPr>
          <w:lang w:val="en-US"/>
        </w:rPr>
        <w:t>., p.45</w:t>
      </w:r>
    </w:p>
  </w:footnote>
  <w:footnote w:id="241">
    <w:p w14:paraId="00F1E0C3" w14:textId="77777777" w:rsidR="002001FB" w:rsidRPr="00863228" w:rsidRDefault="002001FB" w:rsidP="00244AC9">
      <w:pPr>
        <w:pStyle w:val="FootnoteText"/>
        <w:rPr>
          <w:lang w:val="en-US"/>
        </w:rPr>
      </w:pPr>
      <w:r>
        <w:rPr>
          <w:rStyle w:val="FootnoteReference"/>
        </w:rPr>
        <w:footnoteRef/>
      </w:r>
      <w:r>
        <w:t xml:space="preserve"> </w:t>
      </w:r>
      <w:r w:rsidRPr="00863228">
        <w:rPr>
          <w:u w:val="single"/>
          <w:lang w:val="en-US"/>
        </w:rPr>
        <w:t>Ibid.</w:t>
      </w:r>
      <w:r>
        <w:rPr>
          <w:lang w:val="en-US"/>
        </w:rPr>
        <w:t xml:space="preserve"> p.50</w:t>
      </w:r>
    </w:p>
  </w:footnote>
  <w:footnote w:id="242">
    <w:p w14:paraId="5A485C6D" w14:textId="77777777" w:rsidR="002001FB" w:rsidRPr="00863228" w:rsidRDefault="002001FB" w:rsidP="00244AC9">
      <w:pPr>
        <w:pStyle w:val="FootnoteText"/>
        <w:rPr>
          <w:lang w:val="en-US"/>
        </w:rPr>
      </w:pPr>
      <w:r>
        <w:rPr>
          <w:rStyle w:val="FootnoteReference"/>
        </w:rPr>
        <w:footnoteRef/>
      </w:r>
      <w:r>
        <w:t xml:space="preserve"> </w:t>
      </w:r>
      <w:r w:rsidRPr="00863228">
        <w:rPr>
          <w:u w:val="single"/>
          <w:lang w:val="en-US"/>
        </w:rPr>
        <w:t>Loccit.</w:t>
      </w:r>
    </w:p>
  </w:footnote>
  <w:footnote w:id="243">
    <w:p w14:paraId="250EAC4B" w14:textId="77777777" w:rsidR="002001FB" w:rsidRDefault="002001FB" w:rsidP="00244AC9">
      <w:pPr>
        <w:pStyle w:val="FootnoteText"/>
      </w:pPr>
      <w:r>
        <w:rPr>
          <w:rStyle w:val="FootnoteReference"/>
        </w:rPr>
        <w:footnoteRef/>
      </w:r>
      <w:r>
        <w:t xml:space="preserve"> Kruys, G., </w:t>
      </w:r>
      <w:r w:rsidRPr="002A2D81">
        <w:rPr>
          <w:u w:val="single"/>
        </w:rPr>
        <w:t>Op.Cit.</w:t>
      </w:r>
      <w:r>
        <w:t>, p.38</w:t>
      </w:r>
    </w:p>
  </w:footnote>
  <w:footnote w:id="244">
    <w:p w14:paraId="3EF472CB" w14:textId="0673740C" w:rsidR="002001FB" w:rsidRDefault="002001FB" w:rsidP="00244AC9">
      <w:pPr>
        <w:pStyle w:val="FootnoteText"/>
      </w:pPr>
      <w:r>
        <w:rPr>
          <w:rStyle w:val="FootnoteReference"/>
        </w:rPr>
        <w:footnoteRef/>
      </w:r>
      <w:r>
        <w:t xml:space="preserve"> Gove, M., </w:t>
      </w:r>
      <w:r>
        <w:rPr>
          <w:u w:val="single"/>
        </w:rPr>
        <w:t>Op.Cit.</w:t>
      </w:r>
      <w:r>
        <w:t>, p.11</w:t>
      </w:r>
    </w:p>
  </w:footnote>
  <w:footnote w:id="245">
    <w:p w14:paraId="42E49C67" w14:textId="77777777" w:rsidR="002001FB" w:rsidRDefault="002001FB" w:rsidP="00244AC9">
      <w:pPr>
        <w:pStyle w:val="FootnoteText"/>
      </w:pPr>
      <w:r>
        <w:rPr>
          <w:rStyle w:val="FootnoteReference"/>
        </w:rPr>
        <w:footnoteRef/>
      </w:r>
      <w:r w:rsidRPr="00E652FF">
        <w:rPr>
          <w:u w:val="single"/>
        </w:rPr>
        <w:t>Ibid.</w:t>
      </w:r>
      <w:r>
        <w:t>, p.10</w:t>
      </w:r>
    </w:p>
  </w:footnote>
  <w:footnote w:id="246">
    <w:p w14:paraId="57510045" w14:textId="1B86DFCC" w:rsidR="002001FB" w:rsidRDefault="002001FB" w:rsidP="00244AC9">
      <w:pPr>
        <w:pStyle w:val="FootnoteText"/>
      </w:pPr>
      <w:r>
        <w:rPr>
          <w:rStyle w:val="FootnoteReference"/>
        </w:rPr>
        <w:footnoteRef/>
      </w:r>
      <w:r>
        <w:t xml:space="preserve"> Gove, M., </w:t>
      </w:r>
      <w:r>
        <w:rPr>
          <w:u w:val="single"/>
        </w:rPr>
        <w:t>Op.Cit.</w:t>
      </w:r>
      <w:r>
        <w:t>, P.10</w:t>
      </w:r>
    </w:p>
  </w:footnote>
  <w:footnote w:id="247">
    <w:p w14:paraId="598443A3" w14:textId="77777777" w:rsidR="002001FB" w:rsidRDefault="002001FB" w:rsidP="00244AC9">
      <w:pPr>
        <w:pStyle w:val="FootnoteText"/>
      </w:pPr>
      <w:r>
        <w:rPr>
          <w:rStyle w:val="FootnoteReference"/>
        </w:rPr>
        <w:footnoteRef/>
      </w:r>
      <w:r>
        <w:t xml:space="preserve"> Eisenstadt, M., White, J., </w:t>
      </w:r>
      <w:r w:rsidRPr="005C16BC">
        <w:rPr>
          <w:u w:val="single"/>
        </w:rPr>
        <w:t>Op.Cit.</w:t>
      </w:r>
      <w:r>
        <w:t>, p.266</w:t>
      </w:r>
    </w:p>
  </w:footnote>
  <w:footnote w:id="248">
    <w:p w14:paraId="4223A59F" w14:textId="77777777" w:rsidR="002001FB" w:rsidRDefault="002001FB" w:rsidP="00244AC9">
      <w:pPr>
        <w:pStyle w:val="FootnoteText"/>
      </w:pPr>
      <w:r>
        <w:rPr>
          <w:rStyle w:val="FootnoteReference"/>
        </w:rPr>
        <w:footnoteRef/>
      </w:r>
      <w:r>
        <w:t xml:space="preserve"> Kruys, G., </w:t>
      </w:r>
      <w:r w:rsidRPr="00C12BF0">
        <w:rPr>
          <w:u w:val="single"/>
        </w:rPr>
        <w:t>Op.Cit.</w:t>
      </w:r>
      <w:r>
        <w:t>, p.38</w:t>
      </w:r>
    </w:p>
  </w:footnote>
  <w:footnote w:id="249">
    <w:p w14:paraId="6C95A3B2" w14:textId="77777777" w:rsidR="002001FB" w:rsidRDefault="002001FB" w:rsidP="00244AC9">
      <w:pPr>
        <w:pStyle w:val="FootnoteText"/>
      </w:pPr>
      <w:r>
        <w:rPr>
          <w:rStyle w:val="FootnoteReference"/>
        </w:rPr>
        <w:footnoteRef/>
      </w:r>
      <w:r>
        <w:t xml:space="preserve"> Eisenstadt, M., White, J., </w:t>
      </w:r>
      <w:r w:rsidRPr="00E80D0D">
        <w:rPr>
          <w:u w:val="single"/>
        </w:rPr>
        <w:t>Op.Cit.</w:t>
      </w:r>
      <w:r>
        <w:t>, p. 263</w:t>
      </w:r>
    </w:p>
  </w:footnote>
  <w:footnote w:id="250">
    <w:p w14:paraId="43B5C2D3" w14:textId="3E1CD28F" w:rsidR="002001FB" w:rsidRDefault="002001FB" w:rsidP="00244AC9">
      <w:pPr>
        <w:pStyle w:val="FootnoteText"/>
      </w:pPr>
      <w:r>
        <w:rPr>
          <w:rStyle w:val="FootnoteReference"/>
        </w:rPr>
        <w:footnoteRef/>
      </w:r>
      <w:r>
        <w:t xml:space="preserve"> Eisenstadt, M., White, J., </w:t>
      </w:r>
      <w:r w:rsidRPr="00E80D0D">
        <w:rPr>
          <w:u w:val="single"/>
        </w:rPr>
        <w:t>Op.Cit.</w:t>
      </w:r>
      <w:r>
        <w:t>,p.38</w:t>
      </w:r>
    </w:p>
  </w:footnote>
  <w:footnote w:id="251">
    <w:p w14:paraId="2EFFE681" w14:textId="2551EEE3" w:rsidR="002001FB" w:rsidRPr="002117DF" w:rsidRDefault="002001FB" w:rsidP="00244AC9">
      <w:pPr>
        <w:pStyle w:val="FootnoteText"/>
        <w:rPr>
          <w:lang w:val="en-US"/>
        </w:rPr>
      </w:pPr>
      <w:r>
        <w:rPr>
          <w:rStyle w:val="FootnoteReference"/>
        </w:rPr>
        <w:footnoteRef/>
      </w:r>
      <w:r>
        <w:t xml:space="preserve"> </w:t>
      </w:r>
      <w:r>
        <w:rPr>
          <w:lang w:val="en-US"/>
        </w:rPr>
        <w:t xml:space="preserve">Woodwell, D., </w:t>
      </w:r>
      <w:r w:rsidRPr="000454A2">
        <w:rPr>
          <w:u w:val="single"/>
          <w:lang w:val="en-US"/>
        </w:rPr>
        <w:t>Op.Cit.,</w:t>
      </w:r>
      <w:r>
        <w:rPr>
          <w:lang w:val="en-US"/>
        </w:rPr>
        <w:t xml:space="preserve"> p.161</w:t>
      </w:r>
    </w:p>
  </w:footnote>
  <w:footnote w:id="252">
    <w:p w14:paraId="2A3AB224" w14:textId="77777777" w:rsidR="002001FB" w:rsidRPr="00E23D71" w:rsidRDefault="002001FB" w:rsidP="00244AC9">
      <w:pPr>
        <w:pStyle w:val="FootnoteText"/>
        <w:rPr>
          <w:lang w:val="en-US"/>
        </w:rPr>
      </w:pPr>
      <w:r>
        <w:rPr>
          <w:rStyle w:val="FootnoteReference"/>
        </w:rPr>
        <w:footnoteRef/>
      </w:r>
      <w:r>
        <w:t xml:space="preserve"> Eisenstadt, M., </w:t>
      </w:r>
      <w:r>
        <w:rPr>
          <w:u w:val="single"/>
          <w:lang w:val="en-US"/>
        </w:rPr>
        <w:t>Op.Cit</w:t>
      </w:r>
      <w:r w:rsidRPr="00E23D71">
        <w:rPr>
          <w:u w:val="single"/>
          <w:lang w:val="en-US"/>
        </w:rPr>
        <w:t>.</w:t>
      </w:r>
      <w:r>
        <w:rPr>
          <w:lang w:val="en-US"/>
        </w:rPr>
        <w:t>, p.3</w:t>
      </w:r>
    </w:p>
  </w:footnote>
  <w:footnote w:id="253">
    <w:p w14:paraId="027B0512" w14:textId="1100F769" w:rsidR="002001FB" w:rsidRPr="00A54EA2" w:rsidRDefault="002001FB">
      <w:pPr>
        <w:pStyle w:val="FootnoteText"/>
        <w:rPr>
          <w:lang w:val="en-US"/>
        </w:rPr>
      </w:pPr>
      <w:r>
        <w:rPr>
          <w:rStyle w:val="FootnoteReference"/>
        </w:rPr>
        <w:footnoteRef/>
      </w:r>
      <w:r>
        <w:t xml:space="preserve"> </w:t>
      </w:r>
      <w:r w:rsidRPr="00A54EA2">
        <w:rPr>
          <w:u w:val="single"/>
          <w:lang w:val="en-US"/>
        </w:rPr>
        <w:t xml:space="preserve">Ibid. </w:t>
      </w:r>
      <w:r>
        <w:rPr>
          <w:lang w:val="en-US"/>
        </w:rPr>
        <w:t>p.1</w:t>
      </w:r>
    </w:p>
  </w:footnote>
  <w:footnote w:id="254">
    <w:p w14:paraId="66D1EBBE" w14:textId="582994A5" w:rsidR="002001FB" w:rsidRPr="00A54EA2" w:rsidRDefault="002001FB">
      <w:pPr>
        <w:pStyle w:val="FootnoteText"/>
        <w:rPr>
          <w:lang w:val="en-US"/>
        </w:rPr>
      </w:pPr>
      <w:r>
        <w:rPr>
          <w:rStyle w:val="FootnoteReference"/>
        </w:rPr>
        <w:footnoteRef/>
      </w:r>
      <w:r>
        <w:t xml:space="preserve"> </w:t>
      </w:r>
      <w:r>
        <w:rPr>
          <w:lang w:val="en-US"/>
        </w:rPr>
        <w:t xml:space="preserve">Beckett, I.F., </w:t>
      </w:r>
      <w:r w:rsidRPr="00A54EA2">
        <w:rPr>
          <w:u w:val="single"/>
          <w:lang w:val="en-US"/>
        </w:rPr>
        <w:t>Insurgency in Iraq: An Historical Perspective</w:t>
      </w:r>
      <w:r>
        <w:rPr>
          <w:lang w:val="en-US"/>
        </w:rPr>
        <w:t>, Strategic Studies Institute, 2005, p.5</w:t>
      </w:r>
    </w:p>
  </w:footnote>
  <w:footnote w:id="255">
    <w:p w14:paraId="021DC685" w14:textId="292714CC" w:rsidR="002001FB" w:rsidRPr="0092505D" w:rsidRDefault="002001FB">
      <w:pPr>
        <w:pStyle w:val="FootnoteText"/>
        <w:rPr>
          <w:lang w:val="en-US"/>
        </w:rPr>
      </w:pPr>
      <w:r>
        <w:rPr>
          <w:rStyle w:val="FootnoteReference"/>
        </w:rPr>
        <w:footnoteRef/>
      </w:r>
      <w:r>
        <w:t xml:space="preserve"> </w:t>
      </w:r>
      <w:r>
        <w:rPr>
          <w:lang w:val="en-US"/>
        </w:rPr>
        <w:t>Abizaid, J., Testimony at the Hearing of the US Senate Armed Services Committee on “Military Strategy and Operational Requirements for Combatant Commanders”, March 2005</w:t>
      </w:r>
    </w:p>
  </w:footnote>
  <w:footnote w:id="256">
    <w:p w14:paraId="14446432" w14:textId="6EC196E5" w:rsidR="002001FB" w:rsidRPr="0092505D" w:rsidRDefault="002001FB">
      <w:pPr>
        <w:pStyle w:val="FootnoteText"/>
        <w:rPr>
          <w:lang w:val="en-US"/>
        </w:rPr>
      </w:pPr>
      <w:r>
        <w:rPr>
          <w:rStyle w:val="FootnoteReference"/>
        </w:rPr>
        <w:footnoteRef/>
      </w:r>
      <w:r>
        <w:t xml:space="preserve"> </w:t>
      </w:r>
      <w:r>
        <w:rPr>
          <w:lang w:val="en-US"/>
        </w:rPr>
        <w:t xml:space="preserve">CNN, USA Today, Gallup Poll, March 2004, </w:t>
      </w:r>
      <w:hyperlink r:id="rId7" w:history="1">
        <w:r w:rsidRPr="000454A2">
          <w:rPr>
            <w:rStyle w:val="Hyperlink"/>
            <w:color w:val="auto"/>
            <w:u w:val="none"/>
            <w:lang w:val="en-US"/>
          </w:rPr>
          <w:t>www.washingtoninstitute.org/documents/41fa731fb9f4c.pdf</w:t>
        </w:r>
      </w:hyperlink>
      <w:r>
        <w:rPr>
          <w:lang w:val="en-US"/>
        </w:rPr>
        <w:t>, Last Accessed 3 February 2013</w:t>
      </w:r>
    </w:p>
  </w:footnote>
  <w:footnote w:id="257">
    <w:p w14:paraId="77631242" w14:textId="5642B79A" w:rsidR="002001FB" w:rsidRPr="00CC1BBB" w:rsidRDefault="002001FB">
      <w:pPr>
        <w:pStyle w:val="FootnoteText"/>
        <w:rPr>
          <w:lang w:val="en-US"/>
        </w:rPr>
      </w:pPr>
      <w:r>
        <w:rPr>
          <w:rStyle w:val="FootnoteReference"/>
        </w:rPr>
        <w:footnoteRef/>
      </w:r>
      <w:r>
        <w:t xml:space="preserve"> Eisenstadt, M., </w:t>
      </w:r>
      <w:r>
        <w:rPr>
          <w:u w:val="single"/>
          <w:lang w:val="en-US"/>
        </w:rPr>
        <w:t>Op.Cit</w:t>
      </w:r>
      <w:r w:rsidRPr="00E23D71">
        <w:rPr>
          <w:u w:val="single"/>
          <w:lang w:val="en-US"/>
        </w:rPr>
        <w:t>.</w:t>
      </w:r>
      <w:r>
        <w:rPr>
          <w:lang w:val="en-US"/>
        </w:rPr>
        <w:t>, p.11</w:t>
      </w:r>
    </w:p>
  </w:footnote>
  <w:footnote w:id="258">
    <w:p w14:paraId="72F05DD3" w14:textId="77777777" w:rsidR="002001FB" w:rsidRPr="004521B7" w:rsidRDefault="002001FB" w:rsidP="00CC1BBB">
      <w:pPr>
        <w:pStyle w:val="FootnoteText"/>
        <w:rPr>
          <w:lang w:val="en-US"/>
        </w:rPr>
      </w:pPr>
      <w:r>
        <w:rPr>
          <w:rStyle w:val="FootnoteReference"/>
        </w:rPr>
        <w:footnoteRef/>
      </w:r>
      <w:r>
        <w:t xml:space="preserve"> </w:t>
      </w:r>
      <w:r>
        <w:rPr>
          <w:lang w:val="en-US"/>
        </w:rPr>
        <w:t xml:space="preserve">Kilcullen, D.J., “ Countering Global Insurgency”, in </w:t>
      </w:r>
      <w:r w:rsidRPr="004521B7">
        <w:rPr>
          <w:u w:val="single"/>
          <w:lang w:val="en-US"/>
        </w:rPr>
        <w:t>Journal of Strategic Studies</w:t>
      </w:r>
      <w:r>
        <w:rPr>
          <w:lang w:val="en-US"/>
        </w:rPr>
        <w:t>, 2005, Vol.28, No. 4, p.600</w:t>
      </w:r>
    </w:p>
  </w:footnote>
  <w:footnote w:id="259">
    <w:p w14:paraId="28D0C94D" w14:textId="77777777" w:rsidR="002001FB" w:rsidRPr="00C916CD" w:rsidRDefault="002001FB" w:rsidP="00244AC9">
      <w:pPr>
        <w:pStyle w:val="FootnoteText"/>
        <w:rPr>
          <w:lang w:val="en-US"/>
        </w:rPr>
      </w:pPr>
      <w:r>
        <w:rPr>
          <w:rStyle w:val="FootnoteReference"/>
        </w:rPr>
        <w:footnoteRef/>
      </w:r>
      <w:r>
        <w:t xml:space="preserve"> </w:t>
      </w:r>
      <w:r>
        <w:rPr>
          <w:lang w:val="en-US"/>
        </w:rPr>
        <w:t xml:space="preserve">Schweitzer, Y. </w:t>
      </w:r>
      <w:r w:rsidRPr="00C916CD">
        <w:rPr>
          <w:u w:val="single"/>
          <w:lang w:val="en-US"/>
        </w:rPr>
        <w:t>Op.Cit.</w:t>
      </w:r>
      <w:r>
        <w:rPr>
          <w:lang w:val="en-US"/>
        </w:rPr>
        <w:t>, p.46</w:t>
      </w:r>
    </w:p>
  </w:footnote>
  <w:footnote w:id="260">
    <w:p w14:paraId="6CC7479E" w14:textId="77777777" w:rsidR="002001FB" w:rsidRPr="00C916CD" w:rsidRDefault="002001FB" w:rsidP="00244AC9">
      <w:pPr>
        <w:pStyle w:val="FootnoteText"/>
        <w:rPr>
          <w:lang w:val="en-US"/>
        </w:rPr>
      </w:pPr>
      <w:r>
        <w:rPr>
          <w:rStyle w:val="FootnoteReference"/>
        </w:rPr>
        <w:footnoteRef/>
      </w:r>
      <w:r>
        <w:t xml:space="preserve"> </w:t>
      </w:r>
      <w:r w:rsidRPr="00C916CD">
        <w:rPr>
          <w:u w:val="single"/>
          <w:lang w:val="en-US"/>
        </w:rPr>
        <w:t>Loccit.</w:t>
      </w:r>
    </w:p>
  </w:footnote>
  <w:footnote w:id="261">
    <w:p w14:paraId="34135E87" w14:textId="77777777" w:rsidR="002001FB" w:rsidRPr="008934D3" w:rsidRDefault="002001FB" w:rsidP="00244AC9">
      <w:pPr>
        <w:pStyle w:val="FootnoteText"/>
        <w:rPr>
          <w:lang w:val="en-US"/>
        </w:rPr>
      </w:pPr>
      <w:r>
        <w:rPr>
          <w:rStyle w:val="FootnoteReference"/>
        </w:rPr>
        <w:footnoteRef/>
      </w:r>
      <w:r>
        <w:t xml:space="preserve"> </w:t>
      </w:r>
      <w:r>
        <w:rPr>
          <w:lang w:val="en-US"/>
        </w:rPr>
        <w:t xml:space="preserve">Plesch,D. </w:t>
      </w:r>
      <w:r w:rsidRPr="008934D3">
        <w:rPr>
          <w:u w:val="single"/>
          <w:lang w:val="en-US"/>
        </w:rPr>
        <w:t>Op.Cit.</w:t>
      </w:r>
      <w:r>
        <w:rPr>
          <w:lang w:val="en-US"/>
        </w:rPr>
        <w:t xml:space="preserve"> p.55-56</w:t>
      </w:r>
    </w:p>
  </w:footnote>
  <w:footnote w:id="262">
    <w:p w14:paraId="2E58DDB6" w14:textId="1D44B4E2" w:rsidR="002001FB" w:rsidRPr="00E42CA8" w:rsidRDefault="002001FB" w:rsidP="00244AC9">
      <w:pPr>
        <w:pStyle w:val="FootnoteText"/>
        <w:rPr>
          <w:lang w:val="en-US"/>
        </w:rPr>
      </w:pPr>
      <w:r>
        <w:rPr>
          <w:rStyle w:val="FootnoteReference"/>
        </w:rPr>
        <w:footnoteRef/>
      </w:r>
      <w:r>
        <w:t xml:space="preserve"> </w:t>
      </w:r>
      <w:r>
        <w:rPr>
          <w:lang w:val="en-US"/>
        </w:rPr>
        <w:t>Hoffman, B., “Insurgency and Counterinsurgency in Iraq”, in RAND Occasional Paper, June 2004, p.2</w:t>
      </w:r>
    </w:p>
  </w:footnote>
  <w:footnote w:id="263">
    <w:p w14:paraId="223E49F0" w14:textId="7F077556" w:rsidR="002001FB" w:rsidRPr="00100CDE" w:rsidRDefault="002001FB" w:rsidP="00244AC9">
      <w:pPr>
        <w:pStyle w:val="FootnoteText"/>
        <w:rPr>
          <w:lang w:val="en-US"/>
        </w:rPr>
      </w:pPr>
      <w:r>
        <w:rPr>
          <w:rStyle w:val="FootnoteReference"/>
        </w:rPr>
        <w:footnoteRef/>
      </w:r>
      <w:r>
        <w:t xml:space="preserve"> </w:t>
      </w:r>
      <w:r>
        <w:rPr>
          <w:u w:val="single"/>
          <w:lang w:val="en-US"/>
        </w:rPr>
        <w:t>Ibid.,</w:t>
      </w:r>
      <w:r>
        <w:rPr>
          <w:lang w:val="en-US"/>
        </w:rPr>
        <w:t xml:space="preserve"> p.3</w:t>
      </w:r>
    </w:p>
  </w:footnote>
  <w:footnote w:id="264">
    <w:p w14:paraId="4AA74637" w14:textId="77777777" w:rsidR="002001FB" w:rsidRPr="00100CDE" w:rsidRDefault="002001FB" w:rsidP="00244AC9">
      <w:pPr>
        <w:pStyle w:val="FootnoteText"/>
        <w:rPr>
          <w:lang w:val="en-US"/>
        </w:rPr>
      </w:pPr>
      <w:r>
        <w:rPr>
          <w:rStyle w:val="FootnoteReference"/>
        </w:rPr>
        <w:footnoteRef/>
      </w:r>
      <w:r>
        <w:t xml:space="preserve"> </w:t>
      </w:r>
      <w:r w:rsidRPr="00100CDE">
        <w:rPr>
          <w:u w:val="single"/>
          <w:lang w:val="en-US"/>
        </w:rPr>
        <w:t>Loccit.</w:t>
      </w:r>
    </w:p>
  </w:footnote>
  <w:footnote w:id="265">
    <w:p w14:paraId="0E3D9782" w14:textId="77777777" w:rsidR="002001FB" w:rsidRPr="005152AB" w:rsidRDefault="002001FB" w:rsidP="00244AC9">
      <w:pPr>
        <w:pStyle w:val="FootnoteText"/>
        <w:rPr>
          <w:lang w:val="en-US"/>
        </w:rPr>
      </w:pPr>
      <w:r>
        <w:rPr>
          <w:rStyle w:val="FootnoteReference"/>
        </w:rPr>
        <w:footnoteRef/>
      </w:r>
      <w:r>
        <w:t xml:space="preserve"> </w:t>
      </w:r>
      <w:r>
        <w:rPr>
          <w:lang w:val="en-US"/>
        </w:rPr>
        <w:t xml:space="preserve">Plesch, D. “The Neo-Cons, Neo-conservative Thinking Since the Onset of the Iraq War”, in </w:t>
      </w:r>
      <w:r w:rsidRPr="005152AB">
        <w:rPr>
          <w:u w:val="single"/>
          <w:lang w:val="en-US"/>
        </w:rPr>
        <w:t>The Iraq War and Democratic Politics</w:t>
      </w:r>
      <w:r>
        <w:rPr>
          <w:lang w:val="en-US"/>
        </w:rPr>
        <w:t>, p.47</w:t>
      </w:r>
    </w:p>
  </w:footnote>
  <w:footnote w:id="266">
    <w:p w14:paraId="6BE9FC70" w14:textId="77777777" w:rsidR="002001FB" w:rsidRPr="00381243" w:rsidRDefault="002001FB" w:rsidP="00244AC9">
      <w:pPr>
        <w:pStyle w:val="FootnoteText"/>
        <w:rPr>
          <w:lang w:val="en-US"/>
        </w:rPr>
      </w:pPr>
      <w:r>
        <w:rPr>
          <w:rStyle w:val="FootnoteReference"/>
        </w:rPr>
        <w:footnoteRef/>
      </w:r>
      <w:r>
        <w:t xml:space="preserve"> </w:t>
      </w:r>
      <w:r>
        <w:rPr>
          <w:lang w:val="en-US"/>
        </w:rPr>
        <w:t xml:space="preserve">Knowlton, B., “Top US General in Iraq Sees “Classical Guerilla-Type” War”, in </w:t>
      </w:r>
      <w:r w:rsidRPr="00381243">
        <w:rPr>
          <w:u w:val="single"/>
          <w:lang w:val="en-US"/>
        </w:rPr>
        <w:t>International Herald Tribune</w:t>
      </w:r>
      <w:r>
        <w:rPr>
          <w:lang w:val="en-US"/>
        </w:rPr>
        <w:t>, July 2003</w:t>
      </w:r>
    </w:p>
  </w:footnote>
  <w:footnote w:id="267">
    <w:p w14:paraId="0A8646F5" w14:textId="77777777" w:rsidR="002001FB" w:rsidRPr="00381243" w:rsidRDefault="002001FB" w:rsidP="00244AC9">
      <w:pPr>
        <w:pStyle w:val="FootnoteText"/>
        <w:rPr>
          <w:lang w:val="en-US"/>
        </w:rPr>
      </w:pPr>
      <w:r>
        <w:rPr>
          <w:rStyle w:val="FootnoteReference"/>
        </w:rPr>
        <w:footnoteRef/>
      </w:r>
      <w:r>
        <w:t xml:space="preserve"> </w:t>
      </w:r>
      <w:r>
        <w:rPr>
          <w:lang w:val="en-US"/>
        </w:rPr>
        <w:t xml:space="preserve">Hoffman, B., </w:t>
      </w:r>
      <w:r w:rsidRPr="00381243">
        <w:rPr>
          <w:u w:val="single"/>
          <w:lang w:val="en-US"/>
        </w:rPr>
        <w:t>Op.Cit.</w:t>
      </w:r>
      <w:r>
        <w:rPr>
          <w:lang w:val="en-US"/>
        </w:rPr>
        <w:t xml:space="preserve"> p.4</w:t>
      </w:r>
    </w:p>
  </w:footnote>
  <w:footnote w:id="268">
    <w:p w14:paraId="5C5CD8A1" w14:textId="77777777" w:rsidR="002001FB" w:rsidRPr="00381243" w:rsidRDefault="002001FB" w:rsidP="00244AC9">
      <w:pPr>
        <w:pStyle w:val="FootnoteText"/>
        <w:rPr>
          <w:lang w:val="en-US"/>
        </w:rPr>
      </w:pPr>
      <w:r>
        <w:rPr>
          <w:rStyle w:val="FootnoteReference"/>
        </w:rPr>
        <w:footnoteRef/>
      </w:r>
      <w:r>
        <w:t xml:space="preserve"> </w:t>
      </w:r>
      <w:r w:rsidRPr="00381243">
        <w:rPr>
          <w:u w:val="single"/>
          <w:lang w:val="en-US"/>
        </w:rPr>
        <w:t>Loccit.</w:t>
      </w:r>
    </w:p>
  </w:footnote>
  <w:footnote w:id="269">
    <w:p w14:paraId="70EF7818" w14:textId="180E62C0" w:rsidR="002001FB" w:rsidRPr="00381243" w:rsidRDefault="002001FB" w:rsidP="00244AC9">
      <w:pPr>
        <w:pStyle w:val="FootnoteText"/>
        <w:rPr>
          <w:lang w:val="en-US"/>
        </w:rPr>
      </w:pPr>
      <w:r>
        <w:rPr>
          <w:rStyle w:val="FootnoteReference"/>
        </w:rPr>
        <w:footnoteRef/>
      </w:r>
      <w:r>
        <w:t xml:space="preserve"> </w:t>
      </w:r>
      <w:r>
        <w:rPr>
          <w:lang w:val="en-US"/>
        </w:rPr>
        <w:t xml:space="preserve">Hoffman, B., </w:t>
      </w:r>
      <w:r w:rsidRPr="00381243">
        <w:rPr>
          <w:u w:val="single"/>
          <w:lang w:val="en-US"/>
        </w:rPr>
        <w:t>Op.Cit.</w:t>
      </w:r>
      <w:r>
        <w:rPr>
          <w:lang w:val="en-US"/>
        </w:rPr>
        <w:t xml:space="preserve"> p.6</w:t>
      </w:r>
    </w:p>
  </w:footnote>
  <w:footnote w:id="270">
    <w:p w14:paraId="2DDF283B" w14:textId="77777777" w:rsidR="002001FB" w:rsidRPr="008D0C02" w:rsidRDefault="002001FB" w:rsidP="00244AC9">
      <w:pPr>
        <w:pStyle w:val="FootnoteText"/>
        <w:rPr>
          <w:lang w:val="en-US"/>
        </w:rPr>
      </w:pPr>
      <w:r>
        <w:rPr>
          <w:rStyle w:val="FootnoteReference"/>
        </w:rPr>
        <w:footnoteRef/>
      </w:r>
      <w:r>
        <w:t xml:space="preserve"> </w:t>
      </w:r>
      <w:r w:rsidRPr="008D0C02">
        <w:rPr>
          <w:u w:val="single"/>
          <w:lang w:val="en-US"/>
        </w:rPr>
        <w:t>Ibid.</w:t>
      </w:r>
      <w:r>
        <w:rPr>
          <w:lang w:val="en-US"/>
        </w:rPr>
        <w:t xml:space="preserve"> p.8</w:t>
      </w:r>
    </w:p>
  </w:footnote>
  <w:footnote w:id="271">
    <w:p w14:paraId="2C6C3BA8" w14:textId="5EAEE153" w:rsidR="002001FB" w:rsidRPr="000454A2" w:rsidRDefault="002001FB">
      <w:pPr>
        <w:pStyle w:val="FootnoteText"/>
        <w:rPr>
          <w:lang w:val="en-US"/>
        </w:rPr>
      </w:pPr>
      <w:r>
        <w:rPr>
          <w:rStyle w:val="FootnoteReference"/>
        </w:rPr>
        <w:footnoteRef/>
      </w:r>
      <w:r>
        <w:t xml:space="preserve"> </w:t>
      </w:r>
      <w:r>
        <w:rPr>
          <w:lang w:val="en-US"/>
        </w:rPr>
        <w:t xml:space="preserve">Byman, D., </w:t>
      </w:r>
      <w:r w:rsidRPr="000454A2">
        <w:rPr>
          <w:u w:val="single"/>
          <w:lang w:val="en-US"/>
        </w:rPr>
        <w:t>Op.Cit.</w:t>
      </w:r>
      <w:r>
        <w:rPr>
          <w:lang w:val="en-US"/>
        </w:rPr>
        <w:t>, p.602</w:t>
      </w:r>
    </w:p>
  </w:footnote>
  <w:footnote w:id="272">
    <w:p w14:paraId="65172E7B" w14:textId="5F23FF5B" w:rsidR="002001FB" w:rsidRPr="001D2283" w:rsidRDefault="002001FB" w:rsidP="00244AC9">
      <w:pPr>
        <w:pStyle w:val="FootnoteText"/>
        <w:rPr>
          <w:lang w:val="en-US"/>
        </w:rPr>
      </w:pPr>
      <w:r>
        <w:rPr>
          <w:rStyle w:val="FootnoteReference"/>
        </w:rPr>
        <w:footnoteRef/>
      </w:r>
      <w:r>
        <w:t xml:space="preserve"> </w:t>
      </w:r>
      <w:r>
        <w:rPr>
          <w:lang w:val="en-US"/>
        </w:rPr>
        <w:t xml:space="preserve">Biddle, S., </w:t>
      </w:r>
      <w:r>
        <w:rPr>
          <w:u w:val="single"/>
          <w:lang w:val="en-US"/>
        </w:rPr>
        <w:t>Op.Cit.</w:t>
      </w:r>
      <w:r>
        <w:rPr>
          <w:lang w:val="en-US"/>
        </w:rPr>
        <w:t>, p.347</w:t>
      </w:r>
    </w:p>
  </w:footnote>
  <w:footnote w:id="273">
    <w:p w14:paraId="455F16B9" w14:textId="745B058A" w:rsidR="002001FB" w:rsidRPr="00CD6E23" w:rsidRDefault="002001FB" w:rsidP="00244AC9">
      <w:pPr>
        <w:pStyle w:val="FootnoteText"/>
        <w:rPr>
          <w:lang w:val="en-US"/>
        </w:rPr>
      </w:pPr>
      <w:r>
        <w:rPr>
          <w:rStyle w:val="FootnoteReference"/>
        </w:rPr>
        <w:footnoteRef/>
      </w:r>
      <w:r>
        <w:t xml:space="preserve"> </w:t>
      </w:r>
      <w:r>
        <w:rPr>
          <w:lang w:val="en-US"/>
        </w:rPr>
        <w:t xml:space="preserve">Biddle, S., </w:t>
      </w:r>
      <w:r>
        <w:rPr>
          <w:u w:val="single"/>
          <w:lang w:val="en-US"/>
        </w:rPr>
        <w:t>Op.Cit.</w:t>
      </w:r>
      <w:r>
        <w:rPr>
          <w:lang w:val="en-US"/>
        </w:rPr>
        <w:t>,p.14</w:t>
      </w:r>
    </w:p>
  </w:footnote>
  <w:footnote w:id="274">
    <w:p w14:paraId="6BF7A294" w14:textId="77777777" w:rsidR="002001FB" w:rsidRPr="003E0F10" w:rsidRDefault="002001FB" w:rsidP="00244AC9">
      <w:pPr>
        <w:pStyle w:val="FootnoteText"/>
        <w:rPr>
          <w:lang w:val="en-US"/>
        </w:rPr>
      </w:pPr>
      <w:r>
        <w:rPr>
          <w:rStyle w:val="FootnoteReference"/>
        </w:rPr>
        <w:footnoteRef/>
      </w:r>
      <w:r>
        <w:t xml:space="preserve"> </w:t>
      </w:r>
      <w:r w:rsidRPr="003E0F10">
        <w:rPr>
          <w:u w:val="single"/>
          <w:lang w:val="en-US"/>
        </w:rPr>
        <w:t>Ibid.</w:t>
      </w:r>
      <w:r>
        <w:rPr>
          <w:lang w:val="en-US"/>
        </w:rPr>
        <w:t xml:space="preserve"> p.613</w:t>
      </w:r>
    </w:p>
  </w:footnote>
  <w:footnote w:id="275">
    <w:p w14:paraId="1624ECC6" w14:textId="77777777" w:rsidR="002001FB" w:rsidRPr="00DF2C0C" w:rsidRDefault="002001FB" w:rsidP="00244AC9">
      <w:pPr>
        <w:pStyle w:val="FootnoteText"/>
        <w:rPr>
          <w:lang w:val="en-US"/>
        </w:rPr>
      </w:pPr>
      <w:r>
        <w:rPr>
          <w:rStyle w:val="FootnoteReference"/>
        </w:rPr>
        <w:footnoteRef/>
      </w:r>
      <w:r>
        <w:t xml:space="preserve"> </w:t>
      </w:r>
      <w:r>
        <w:rPr>
          <w:lang w:val="en-US"/>
        </w:rPr>
        <w:t xml:space="preserve">Hoffman, B. </w:t>
      </w:r>
      <w:r w:rsidRPr="00DF2C0C">
        <w:rPr>
          <w:u w:val="single"/>
          <w:lang w:val="en-US"/>
        </w:rPr>
        <w:t>Op.Cit.,</w:t>
      </w:r>
      <w:r>
        <w:rPr>
          <w:lang w:val="en-US"/>
        </w:rPr>
        <w:t xml:space="preserve"> p.16</w:t>
      </w:r>
    </w:p>
  </w:footnote>
  <w:footnote w:id="276">
    <w:p w14:paraId="219C15B7" w14:textId="77777777" w:rsidR="002001FB" w:rsidRPr="00F731CD" w:rsidRDefault="002001FB" w:rsidP="00244AC9">
      <w:pPr>
        <w:pStyle w:val="FootnoteText"/>
        <w:rPr>
          <w:lang w:val="en-US"/>
        </w:rPr>
      </w:pPr>
      <w:r>
        <w:rPr>
          <w:rStyle w:val="FootnoteReference"/>
        </w:rPr>
        <w:footnoteRef/>
      </w:r>
      <w:r>
        <w:t xml:space="preserve"> </w:t>
      </w:r>
      <w:r>
        <w:rPr>
          <w:lang w:val="en-US"/>
        </w:rPr>
        <w:t xml:space="preserve">Central Intelligence Agency, </w:t>
      </w:r>
      <w:r w:rsidRPr="00F731CD">
        <w:rPr>
          <w:u w:val="single"/>
          <w:lang w:val="en-US"/>
        </w:rPr>
        <w:t>Guide to the Analysis of Insurgency</w:t>
      </w:r>
      <w:r>
        <w:rPr>
          <w:lang w:val="en-US"/>
        </w:rPr>
        <w:t>, Government Printing Office, Washington, no date, p.3</w:t>
      </w:r>
    </w:p>
  </w:footnote>
  <w:footnote w:id="277">
    <w:p w14:paraId="7BF9C047" w14:textId="5401EB1E" w:rsidR="002001FB" w:rsidRPr="00F731CD" w:rsidRDefault="002001FB" w:rsidP="00244AC9">
      <w:pPr>
        <w:pStyle w:val="FootnoteText"/>
        <w:rPr>
          <w:lang w:val="en-US"/>
        </w:rPr>
      </w:pPr>
      <w:r>
        <w:rPr>
          <w:rStyle w:val="FootnoteReference"/>
        </w:rPr>
        <w:footnoteRef/>
      </w:r>
      <w:r>
        <w:t xml:space="preserve"> </w:t>
      </w:r>
      <w:r>
        <w:rPr>
          <w:lang w:val="en-US"/>
        </w:rPr>
        <w:t xml:space="preserve">Arquilla, J. and Ronfeldt, D. and Zanini, M., “Networks, Netwar and Information-Age Terrorism”, in Lesser, I. (Et.Al.), </w:t>
      </w:r>
      <w:r w:rsidRPr="00F731CD">
        <w:rPr>
          <w:u w:val="single"/>
          <w:lang w:val="en-US"/>
        </w:rPr>
        <w:t>Countering the New Terrorism</w:t>
      </w:r>
      <w:r>
        <w:rPr>
          <w:lang w:val="en-US"/>
        </w:rPr>
        <w:t>, Rand Corporations, Santa Monica, 1999, p.47</w:t>
      </w:r>
    </w:p>
  </w:footnote>
  <w:footnote w:id="278">
    <w:p w14:paraId="375269D7" w14:textId="77777777" w:rsidR="002001FB" w:rsidRPr="00F66405" w:rsidRDefault="002001FB" w:rsidP="00244AC9">
      <w:pPr>
        <w:pStyle w:val="FootnoteText"/>
        <w:rPr>
          <w:lang w:val="en-US"/>
        </w:rPr>
      </w:pPr>
      <w:r>
        <w:rPr>
          <w:rStyle w:val="FootnoteReference"/>
        </w:rPr>
        <w:footnoteRef/>
      </w:r>
      <w:r>
        <w:t xml:space="preserve"> </w:t>
      </w:r>
      <w:r>
        <w:rPr>
          <w:lang w:val="en-US"/>
        </w:rPr>
        <w:t xml:space="preserve">Hoffman, B. </w:t>
      </w:r>
      <w:r w:rsidRPr="00F66405">
        <w:rPr>
          <w:u w:val="single"/>
          <w:lang w:val="en-US"/>
        </w:rPr>
        <w:t xml:space="preserve">Op.Cit., </w:t>
      </w:r>
      <w:r>
        <w:rPr>
          <w:lang w:val="en-US"/>
        </w:rPr>
        <w:t>p.18</w:t>
      </w:r>
    </w:p>
  </w:footnote>
  <w:footnote w:id="279">
    <w:p w14:paraId="37AFE970" w14:textId="535D365B" w:rsidR="002001FB" w:rsidRPr="00A377F4" w:rsidRDefault="002001FB" w:rsidP="000454A2">
      <w:pPr>
        <w:pStyle w:val="FootnoteText"/>
        <w:rPr>
          <w:lang w:val="en-US"/>
        </w:rPr>
      </w:pPr>
      <w:r>
        <w:rPr>
          <w:rStyle w:val="FootnoteReference"/>
        </w:rPr>
        <w:footnoteRef/>
      </w:r>
      <w:r>
        <w:t xml:space="preserve"> </w:t>
      </w:r>
      <w:r>
        <w:rPr>
          <w:lang w:val="en-US"/>
        </w:rPr>
        <w:t xml:space="preserve">Eisenstadt, M. and White, J., </w:t>
      </w:r>
      <w:r w:rsidRPr="000E4472">
        <w:rPr>
          <w:u w:val="single"/>
          <w:lang w:val="en-US"/>
        </w:rPr>
        <w:t>Op.Cit.</w:t>
      </w:r>
      <w:r>
        <w:rPr>
          <w:lang w:val="en-US"/>
        </w:rPr>
        <w:t>, p.257</w:t>
      </w:r>
    </w:p>
  </w:footnote>
  <w:footnote w:id="280">
    <w:p w14:paraId="6FB3354B" w14:textId="77777777" w:rsidR="002001FB" w:rsidRPr="00676CC5" w:rsidRDefault="002001FB" w:rsidP="00244AC9">
      <w:pPr>
        <w:pStyle w:val="FootnoteText"/>
        <w:rPr>
          <w:lang w:val="en-US"/>
        </w:rPr>
      </w:pPr>
      <w:r>
        <w:rPr>
          <w:rStyle w:val="FootnoteReference"/>
        </w:rPr>
        <w:footnoteRef/>
      </w:r>
      <w:r>
        <w:t xml:space="preserve"> </w:t>
      </w:r>
      <w:r>
        <w:rPr>
          <w:lang w:val="en-US"/>
        </w:rPr>
        <w:t xml:space="preserve">Krueger, A., </w:t>
      </w:r>
      <w:r w:rsidRPr="00676CC5">
        <w:rPr>
          <w:u w:val="single"/>
          <w:lang w:val="en-US"/>
        </w:rPr>
        <w:t>The National Origins of Fighters in Iraq</w:t>
      </w:r>
      <w:r>
        <w:rPr>
          <w:lang w:val="en-US"/>
        </w:rPr>
        <w:t xml:space="preserve">, presented at the NBER National Security Summer Institute, 2006, p.3 </w:t>
      </w:r>
    </w:p>
  </w:footnote>
  <w:footnote w:id="281">
    <w:p w14:paraId="179C414A" w14:textId="364A258A" w:rsidR="002001FB" w:rsidRPr="00667890" w:rsidRDefault="002001FB" w:rsidP="00244AC9">
      <w:pPr>
        <w:pStyle w:val="FootnoteText"/>
        <w:rPr>
          <w:lang w:val="en-US"/>
        </w:rPr>
      </w:pPr>
      <w:r>
        <w:rPr>
          <w:rStyle w:val="FootnoteReference"/>
        </w:rPr>
        <w:footnoteRef/>
      </w:r>
      <w:r>
        <w:t xml:space="preserve"> </w:t>
      </w:r>
      <w:r>
        <w:rPr>
          <w:u w:val="single"/>
          <w:lang w:val="en-US"/>
        </w:rPr>
        <w:t>Ibid</w:t>
      </w:r>
      <w:r w:rsidRPr="00667890">
        <w:rPr>
          <w:u w:val="single"/>
          <w:lang w:val="en-US"/>
        </w:rPr>
        <w:t>.</w:t>
      </w:r>
      <w:r>
        <w:rPr>
          <w:u w:val="single"/>
          <w:lang w:val="en-US"/>
        </w:rPr>
        <w:t>,</w:t>
      </w:r>
      <w:r>
        <w:rPr>
          <w:lang w:val="en-US"/>
        </w:rPr>
        <w:t xml:space="preserve"> p.266</w:t>
      </w:r>
    </w:p>
  </w:footnote>
  <w:footnote w:id="282">
    <w:p w14:paraId="608179DD" w14:textId="6221EBD1" w:rsidR="002001FB" w:rsidRPr="009569EC" w:rsidRDefault="002001FB" w:rsidP="00244AC9">
      <w:pPr>
        <w:pStyle w:val="FootnoteText"/>
        <w:rPr>
          <w:lang w:val="en-US"/>
        </w:rPr>
      </w:pPr>
      <w:r>
        <w:rPr>
          <w:rStyle w:val="FootnoteReference"/>
        </w:rPr>
        <w:footnoteRef/>
      </w:r>
      <w:r>
        <w:t xml:space="preserve"> </w:t>
      </w:r>
      <w:r>
        <w:rPr>
          <w:lang w:val="en-US"/>
        </w:rPr>
        <w:t xml:space="preserve">Krueger, A., </w:t>
      </w:r>
      <w:r w:rsidRPr="002A64CD">
        <w:rPr>
          <w:u w:val="single"/>
          <w:lang w:val="en-US"/>
        </w:rPr>
        <w:t>Op.Cit.,</w:t>
      </w:r>
      <w:r>
        <w:rPr>
          <w:lang w:val="en-US"/>
        </w:rPr>
        <w:t xml:space="preserve"> p.266</w:t>
      </w:r>
    </w:p>
  </w:footnote>
  <w:footnote w:id="283">
    <w:p w14:paraId="622D0626" w14:textId="0514B4B0" w:rsidR="002001FB" w:rsidRPr="00F27041" w:rsidRDefault="002001FB" w:rsidP="00244AC9">
      <w:pPr>
        <w:pStyle w:val="FootnoteText"/>
        <w:rPr>
          <w:lang w:val="en-US"/>
        </w:rPr>
      </w:pPr>
      <w:r>
        <w:rPr>
          <w:rStyle w:val="FootnoteReference"/>
        </w:rPr>
        <w:footnoteRef/>
      </w:r>
      <w:r>
        <w:t xml:space="preserve"> </w:t>
      </w:r>
      <w:r>
        <w:rPr>
          <w:u w:val="single"/>
          <w:lang w:val="en-US"/>
        </w:rPr>
        <w:t>Ibid</w:t>
      </w:r>
      <w:r w:rsidRPr="00F27041">
        <w:rPr>
          <w:u w:val="single"/>
          <w:lang w:val="en-US"/>
        </w:rPr>
        <w:t>.</w:t>
      </w:r>
      <w:r>
        <w:rPr>
          <w:u w:val="single"/>
          <w:lang w:val="en-US"/>
        </w:rPr>
        <w:t>,</w:t>
      </w:r>
      <w:r>
        <w:rPr>
          <w:lang w:val="en-US"/>
        </w:rPr>
        <w:t xml:space="preserve"> p.268</w:t>
      </w:r>
    </w:p>
  </w:footnote>
  <w:footnote w:id="284">
    <w:p w14:paraId="7451CB19" w14:textId="6920380F" w:rsidR="002001FB" w:rsidRPr="00F27041" w:rsidRDefault="002001FB" w:rsidP="00244AC9">
      <w:pPr>
        <w:pStyle w:val="FootnoteText"/>
        <w:rPr>
          <w:lang w:val="en-US"/>
        </w:rPr>
      </w:pPr>
      <w:r>
        <w:rPr>
          <w:rStyle w:val="FootnoteReference"/>
        </w:rPr>
        <w:footnoteRef/>
      </w:r>
      <w:r>
        <w:t xml:space="preserve"> </w:t>
      </w:r>
      <w:r w:rsidRPr="00F27041">
        <w:rPr>
          <w:u w:val="single"/>
          <w:lang w:val="en-US"/>
        </w:rPr>
        <w:t>Ibid.</w:t>
      </w:r>
      <w:r>
        <w:rPr>
          <w:u w:val="single"/>
          <w:lang w:val="en-US"/>
        </w:rPr>
        <w:t>,</w:t>
      </w:r>
      <w:r>
        <w:rPr>
          <w:lang w:val="en-US"/>
        </w:rPr>
        <w:t xml:space="preserve"> p.274</w:t>
      </w:r>
    </w:p>
  </w:footnote>
  <w:footnote w:id="285">
    <w:p w14:paraId="00E9827C" w14:textId="65739793" w:rsidR="002001FB" w:rsidRPr="008764B8" w:rsidRDefault="002001FB" w:rsidP="00244AC9">
      <w:pPr>
        <w:pStyle w:val="FootnoteText"/>
        <w:rPr>
          <w:lang w:val="en-US"/>
        </w:rPr>
      </w:pPr>
      <w:r>
        <w:rPr>
          <w:rStyle w:val="FootnoteReference"/>
        </w:rPr>
        <w:footnoteRef/>
      </w:r>
      <w:r>
        <w:t xml:space="preserve"> </w:t>
      </w:r>
      <w:r>
        <w:rPr>
          <w:lang w:val="en-US"/>
        </w:rPr>
        <w:t xml:space="preserve">Barno, D.W., “Challenges in Fighting a Global Insurgency”, </w:t>
      </w:r>
      <w:r>
        <w:t xml:space="preserve">in Evans, S.S, </w:t>
      </w:r>
      <w:r w:rsidRPr="007446D2">
        <w:rPr>
          <w:u w:val="single"/>
        </w:rPr>
        <w:t>U.S. Marines and Irregular Warfare, 1898-2007: Anthology and Selected Bibliography</w:t>
      </w:r>
      <w:r>
        <w:t xml:space="preserve">, Marine Corps University Press, United States, 2008, </w:t>
      </w:r>
      <w:r>
        <w:rPr>
          <w:lang w:val="en-US"/>
        </w:rPr>
        <w:t>p.176</w:t>
      </w:r>
    </w:p>
  </w:footnote>
  <w:footnote w:id="286">
    <w:p w14:paraId="193F8107" w14:textId="77777777" w:rsidR="002001FB" w:rsidRPr="008764B8" w:rsidRDefault="002001FB" w:rsidP="00244AC9">
      <w:pPr>
        <w:pStyle w:val="FootnoteText"/>
        <w:rPr>
          <w:lang w:val="en-US"/>
        </w:rPr>
      </w:pPr>
      <w:r>
        <w:rPr>
          <w:rStyle w:val="FootnoteReference"/>
        </w:rPr>
        <w:footnoteRef/>
      </w:r>
      <w:r>
        <w:t xml:space="preserve"> </w:t>
      </w:r>
      <w:r w:rsidRPr="008764B8">
        <w:rPr>
          <w:u w:val="single"/>
          <w:lang w:val="en-US"/>
        </w:rPr>
        <w:t>Loccit.</w:t>
      </w:r>
    </w:p>
  </w:footnote>
  <w:footnote w:id="287">
    <w:p w14:paraId="3445A2F1" w14:textId="77777777" w:rsidR="002001FB" w:rsidRPr="00C14D87" w:rsidRDefault="002001FB" w:rsidP="00244AC9">
      <w:pPr>
        <w:pStyle w:val="FootnoteText"/>
        <w:rPr>
          <w:lang w:val="en-US"/>
        </w:rPr>
      </w:pPr>
      <w:r>
        <w:rPr>
          <w:rStyle w:val="FootnoteReference"/>
        </w:rPr>
        <w:footnoteRef/>
      </w:r>
      <w:r>
        <w:t xml:space="preserve"> </w:t>
      </w:r>
      <w:r w:rsidRPr="00C14D87">
        <w:rPr>
          <w:u w:val="single"/>
          <w:lang w:val="en-US"/>
        </w:rPr>
        <w:t>Ibid.</w:t>
      </w:r>
      <w:r>
        <w:rPr>
          <w:lang w:val="en-US"/>
        </w:rPr>
        <w:t xml:space="preserve"> p.178</w:t>
      </w:r>
    </w:p>
  </w:footnote>
  <w:footnote w:id="288">
    <w:p w14:paraId="6E88BBC5" w14:textId="508EACB4" w:rsidR="002001FB" w:rsidRPr="00D96ED8" w:rsidRDefault="002001FB" w:rsidP="00244AC9">
      <w:pPr>
        <w:pStyle w:val="FootnoteText"/>
        <w:rPr>
          <w:lang w:val="en-US"/>
        </w:rPr>
      </w:pPr>
      <w:r>
        <w:rPr>
          <w:rStyle w:val="FootnoteReference"/>
        </w:rPr>
        <w:footnoteRef/>
      </w:r>
      <w:r>
        <w:t xml:space="preserve"> </w:t>
      </w:r>
      <w:r>
        <w:rPr>
          <w:lang w:val="en-US"/>
        </w:rPr>
        <w:t xml:space="preserve">Kruys, G. “Post Cold-War/11 September 2001 Insurgency and Counterinsurgency With Specific Reference to Iraq and Afghanistan”, </w:t>
      </w:r>
      <w:r w:rsidRPr="00B8369E">
        <w:rPr>
          <w:u w:val="single"/>
          <w:lang w:val="en-US"/>
        </w:rPr>
        <w:t>Op.Cit</w:t>
      </w:r>
      <w:r>
        <w:rPr>
          <w:lang w:val="en-US"/>
        </w:rPr>
        <w:t>., p.52</w:t>
      </w:r>
    </w:p>
  </w:footnote>
  <w:footnote w:id="289">
    <w:p w14:paraId="0E987050" w14:textId="75F50579" w:rsidR="002001FB" w:rsidRPr="008D0C02" w:rsidRDefault="002001FB" w:rsidP="00244AC9">
      <w:pPr>
        <w:pStyle w:val="FootnoteText"/>
        <w:rPr>
          <w:lang w:val="en-US"/>
        </w:rPr>
      </w:pPr>
      <w:r>
        <w:rPr>
          <w:rStyle w:val="FootnoteReference"/>
        </w:rPr>
        <w:footnoteRef/>
      </w:r>
      <w:r>
        <w:t xml:space="preserve"> </w:t>
      </w:r>
      <w:r>
        <w:rPr>
          <w:u w:val="single"/>
          <w:lang w:val="en-US"/>
        </w:rPr>
        <w:t>Ibid</w:t>
      </w:r>
      <w:r>
        <w:rPr>
          <w:lang w:val="en-US"/>
        </w:rPr>
        <w:t>.,p.8</w:t>
      </w:r>
    </w:p>
  </w:footnote>
  <w:footnote w:id="290">
    <w:p w14:paraId="091972F9" w14:textId="1B4D493E" w:rsidR="002001FB" w:rsidRPr="001D2283" w:rsidRDefault="002001FB" w:rsidP="00244AC9">
      <w:pPr>
        <w:pStyle w:val="FootnoteText"/>
        <w:rPr>
          <w:lang w:val="en-US"/>
        </w:rPr>
      </w:pPr>
      <w:r>
        <w:rPr>
          <w:rStyle w:val="FootnoteReference"/>
        </w:rPr>
        <w:footnoteRef/>
      </w:r>
      <w:r>
        <w:t xml:space="preserve"> </w:t>
      </w:r>
      <w:r>
        <w:rPr>
          <w:lang w:val="en-US"/>
        </w:rPr>
        <w:t xml:space="preserve">Biddle, S., </w:t>
      </w:r>
      <w:r>
        <w:rPr>
          <w:u w:val="single"/>
          <w:lang w:val="en-US"/>
        </w:rPr>
        <w:t>Op.Cit.</w:t>
      </w:r>
      <w:r>
        <w:rPr>
          <w:lang w:val="en-US"/>
        </w:rPr>
        <w:t>, p.347</w:t>
      </w:r>
    </w:p>
  </w:footnote>
  <w:footnote w:id="291">
    <w:p w14:paraId="0055D7D0" w14:textId="1F462B1D" w:rsidR="002001FB" w:rsidRPr="009569EC" w:rsidRDefault="002001FB">
      <w:pPr>
        <w:pStyle w:val="FootnoteText"/>
        <w:rPr>
          <w:lang w:val="en-US"/>
        </w:rPr>
      </w:pPr>
      <w:r>
        <w:rPr>
          <w:rStyle w:val="FootnoteReference"/>
        </w:rPr>
        <w:footnoteRef/>
      </w:r>
      <w:r>
        <w:t xml:space="preserve"> </w:t>
      </w:r>
      <w:r>
        <w:rPr>
          <w:lang w:val="en-US"/>
        </w:rPr>
        <w:t xml:space="preserve">Byman, D., </w:t>
      </w:r>
      <w:r w:rsidRPr="009569EC">
        <w:rPr>
          <w:u w:val="single"/>
          <w:lang w:val="en-US"/>
        </w:rPr>
        <w:t>Op.Cit.</w:t>
      </w:r>
      <w:r>
        <w:rPr>
          <w:lang w:val="en-US"/>
        </w:rPr>
        <w:t>, p.599</w:t>
      </w:r>
    </w:p>
  </w:footnote>
  <w:footnote w:id="292">
    <w:p w14:paraId="1B19BB86" w14:textId="77777777" w:rsidR="002001FB" w:rsidRPr="006C6C72" w:rsidRDefault="002001FB" w:rsidP="00D72C8F">
      <w:pPr>
        <w:pStyle w:val="FootnoteText"/>
        <w:rPr>
          <w:lang w:val="en-US"/>
        </w:rPr>
      </w:pPr>
      <w:r>
        <w:rPr>
          <w:rStyle w:val="FootnoteReference"/>
        </w:rPr>
        <w:footnoteRef/>
      </w:r>
      <w:r>
        <w:t xml:space="preserve"> </w:t>
      </w:r>
      <w:r>
        <w:rPr>
          <w:lang w:val="en-US"/>
        </w:rPr>
        <w:t xml:space="preserve">Eisenstadt, M. and White, J. </w:t>
      </w:r>
      <w:r w:rsidRPr="006C6C72">
        <w:rPr>
          <w:u w:val="single"/>
          <w:lang w:val="en-US"/>
        </w:rPr>
        <w:t>Op.Cit</w:t>
      </w:r>
      <w:r>
        <w:rPr>
          <w:lang w:val="en-US"/>
        </w:rPr>
        <w:t>. p. 259</w:t>
      </w:r>
    </w:p>
  </w:footnote>
  <w:footnote w:id="293">
    <w:p w14:paraId="453BD4FA" w14:textId="4351662D" w:rsidR="002001FB" w:rsidRPr="00CA4164" w:rsidRDefault="002001FB" w:rsidP="00D72C8F">
      <w:pPr>
        <w:pStyle w:val="FootnoteText"/>
        <w:rPr>
          <w:lang w:val="en-US"/>
        </w:rPr>
      </w:pPr>
      <w:r>
        <w:rPr>
          <w:rStyle w:val="FootnoteReference"/>
        </w:rPr>
        <w:footnoteRef/>
      </w:r>
      <w:r>
        <w:t xml:space="preserve"> </w:t>
      </w:r>
      <w:r>
        <w:rPr>
          <w:lang w:val="en-US"/>
        </w:rPr>
        <w:t xml:space="preserve">Eisenstadt, M. and White, J. </w:t>
      </w:r>
      <w:r w:rsidRPr="006C6C72">
        <w:rPr>
          <w:u w:val="single"/>
          <w:lang w:val="en-US"/>
        </w:rPr>
        <w:t>Op.Cit</w:t>
      </w:r>
      <w:r>
        <w:rPr>
          <w:lang w:val="en-US"/>
        </w:rPr>
        <w:t>. p. 260</w:t>
      </w:r>
    </w:p>
  </w:footnote>
  <w:footnote w:id="294">
    <w:p w14:paraId="1EE89EB6" w14:textId="7C875804" w:rsidR="002001FB" w:rsidRPr="004E6BEC" w:rsidRDefault="002001FB">
      <w:pPr>
        <w:pStyle w:val="FootnoteText"/>
        <w:rPr>
          <w:lang w:val="en-US"/>
        </w:rPr>
      </w:pPr>
      <w:r>
        <w:rPr>
          <w:rStyle w:val="FootnoteReference"/>
        </w:rPr>
        <w:footnoteRef/>
      </w:r>
      <w:r>
        <w:t xml:space="preserve"> </w:t>
      </w:r>
      <w:r>
        <w:rPr>
          <w:lang w:val="en-US"/>
        </w:rPr>
        <w:t xml:space="preserve">Schweitzer, Y. </w:t>
      </w:r>
      <w:r w:rsidRPr="00863228">
        <w:rPr>
          <w:u w:val="single"/>
          <w:lang w:val="en-US"/>
        </w:rPr>
        <w:t>Op.Cit</w:t>
      </w:r>
      <w:r>
        <w:rPr>
          <w:lang w:val="en-US"/>
        </w:rPr>
        <w:t>., p.51</w:t>
      </w:r>
    </w:p>
  </w:footnote>
  <w:footnote w:id="295">
    <w:p w14:paraId="305C7FFE" w14:textId="6EFE42F3" w:rsidR="002001FB" w:rsidRPr="00863228" w:rsidRDefault="002001FB" w:rsidP="00244AC9">
      <w:pPr>
        <w:pStyle w:val="FootnoteText"/>
        <w:rPr>
          <w:lang w:val="en-US"/>
        </w:rPr>
      </w:pPr>
      <w:r>
        <w:rPr>
          <w:rStyle w:val="FootnoteReference"/>
        </w:rPr>
        <w:footnoteRef/>
      </w:r>
      <w:r>
        <w:t xml:space="preserve"> </w:t>
      </w:r>
      <w:r w:rsidRPr="004E6BEC">
        <w:rPr>
          <w:u w:val="single"/>
          <w:lang w:val="en-US"/>
        </w:rPr>
        <w:t>Loccit.</w:t>
      </w:r>
    </w:p>
  </w:footnote>
  <w:footnote w:id="296">
    <w:p w14:paraId="0C2B002E" w14:textId="1D19B106" w:rsidR="002001FB" w:rsidRPr="003738A7" w:rsidRDefault="002001FB" w:rsidP="00244AC9">
      <w:pPr>
        <w:pStyle w:val="FootnoteText"/>
        <w:rPr>
          <w:lang w:val="en-US"/>
        </w:rPr>
      </w:pPr>
      <w:r>
        <w:rPr>
          <w:rStyle w:val="FootnoteReference"/>
        </w:rPr>
        <w:footnoteRef/>
      </w:r>
      <w:r>
        <w:t xml:space="preserve"> </w:t>
      </w:r>
      <w:r>
        <w:rPr>
          <w:lang w:val="en-US"/>
        </w:rPr>
        <w:t xml:space="preserve">Rangwala, G.,“The Democratic Transition in Iraq and the Discovery of its Limitations”, in Danchev, A. and MacMillen, J. (Eds.), </w:t>
      </w:r>
      <w:r w:rsidRPr="005C6626">
        <w:rPr>
          <w:u w:val="single"/>
          <w:lang w:val="en-US"/>
        </w:rPr>
        <w:t>The Iraq War and Democratic Politics</w:t>
      </w:r>
      <w:r>
        <w:rPr>
          <w:lang w:val="en-US"/>
        </w:rPr>
        <w:t>, Routledge, London, 2005, p.174</w:t>
      </w:r>
    </w:p>
  </w:footnote>
  <w:footnote w:id="297">
    <w:p w14:paraId="68B29A22" w14:textId="020F8D4E" w:rsidR="002001FB" w:rsidRPr="003738A7" w:rsidRDefault="002001FB" w:rsidP="00244AC9">
      <w:pPr>
        <w:pStyle w:val="FootnoteText"/>
        <w:rPr>
          <w:lang w:val="en-US"/>
        </w:rPr>
      </w:pPr>
      <w:r>
        <w:rPr>
          <w:rStyle w:val="FootnoteReference"/>
        </w:rPr>
        <w:footnoteRef/>
      </w:r>
      <w:r>
        <w:t xml:space="preserve"> </w:t>
      </w:r>
      <w:r>
        <w:rPr>
          <w:lang w:val="en-US"/>
        </w:rPr>
        <w:t xml:space="preserve">Rangwala, G., </w:t>
      </w:r>
      <w:r w:rsidRPr="005C6626">
        <w:rPr>
          <w:u w:val="single"/>
          <w:lang w:val="en-US"/>
        </w:rPr>
        <w:t>Op.Cit</w:t>
      </w:r>
      <w:r>
        <w:rPr>
          <w:lang w:val="en-US"/>
        </w:rPr>
        <w:t>., p.160</w:t>
      </w:r>
      <w:r w:rsidRPr="003738A7">
        <w:rPr>
          <w:u w:val="single"/>
          <w:lang w:val="en-US"/>
        </w:rPr>
        <w:t>.</w:t>
      </w:r>
    </w:p>
  </w:footnote>
  <w:footnote w:id="298">
    <w:p w14:paraId="26CFF7C0" w14:textId="5B8A85F2" w:rsidR="002001FB" w:rsidRPr="00275F25" w:rsidRDefault="002001FB" w:rsidP="00244AC9">
      <w:pPr>
        <w:pStyle w:val="FootnoteText"/>
        <w:rPr>
          <w:lang w:val="en-US"/>
        </w:rPr>
      </w:pPr>
      <w:r>
        <w:rPr>
          <w:rStyle w:val="FootnoteReference"/>
        </w:rPr>
        <w:footnoteRef/>
      </w:r>
      <w:r>
        <w:t xml:space="preserve"> </w:t>
      </w:r>
      <w:r w:rsidRPr="003738A7">
        <w:rPr>
          <w:u w:val="single"/>
          <w:lang w:val="en-US"/>
        </w:rPr>
        <w:t>Loccit</w:t>
      </w:r>
      <w:r>
        <w:rPr>
          <w:u w:val="single"/>
          <w:lang w:val="en-US"/>
        </w:rPr>
        <w:t>.</w:t>
      </w:r>
    </w:p>
  </w:footnote>
  <w:footnote w:id="299">
    <w:p w14:paraId="13603BB9" w14:textId="19783CEC" w:rsidR="002001FB" w:rsidRPr="00275F25" w:rsidRDefault="002001FB" w:rsidP="00244AC9">
      <w:pPr>
        <w:pStyle w:val="FootnoteText"/>
        <w:rPr>
          <w:lang w:val="en-US"/>
        </w:rPr>
      </w:pPr>
      <w:r>
        <w:rPr>
          <w:rStyle w:val="FootnoteReference"/>
        </w:rPr>
        <w:footnoteRef/>
      </w:r>
      <w:r>
        <w:t xml:space="preserve"> </w:t>
      </w:r>
      <w:r w:rsidRPr="005C6626">
        <w:rPr>
          <w:u w:val="single"/>
          <w:lang w:val="en-US"/>
        </w:rPr>
        <w:t>Ibid.,</w:t>
      </w:r>
      <w:r>
        <w:rPr>
          <w:lang w:val="en-US"/>
        </w:rPr>
        <w:t xml:space="preserve">  p.161</w:t>
      </w:r>
    </w:p>
  </w:footnote>
  <w:footnote w:id="300">
    <w:p w14:paraId="6DDFD9CF" w14:textId="2A74F031" w:rsidR="002001FB" w:rsidRPr="008661CA" w:rsidRDefault="002001FB" w:rsidP="00244AC9">
      <w:pPr>
        <w:pStyle w:val="FootnoteText"/>
        <w:rPr>
          <w:lang w:val="en-US"/>
        </w:rPr>
      </w:pPr>
      <w:r>
        <w:rPr>
          <w:rStyle w:val="FootnoteReference"/>
        </w:rPr>
        <w:footnoteRef/>
      </w:r>
      <w:r>
        <w:t xml:space="preserve"> </w:t>
      </w:r>
      <w:r>
        <w:rPr>
          <w:lang w:val="en-US"/>
        </w:rPr>
        <w:t xml:space="preserve">Rangwala, G., </w:t>
      </w:r>
      <w:r w:rsidRPr="005C6626">
        <w:rPr>
          <w:u w:val="single"/>
          <w:lang w:val="en-US"/>
        </w:rPr>
        <w:t>Op.Cit</w:t>
      </w:r>
      <w:r>
        <w:rPr>
          <w:lang w:val="en-US"/>
        </w:rPr>
        <w:t>., p.169</w:t>
      </w:r>
    </w:p>
  </w:footnote>
  <w:footnote w:id="301">
    <w:p w14:paraId="3FB3BD7B" w14:textId="77777777" w:rsidR="002001FB" w:rsidRPr="003738A7" w:rsidRDefault="002001FB" w:rsidP="00244AC9">
      <w:pPr>
        <w:pStyle w:val="FootnoteText"/>
        <w:rPr>
          <w:lang w:val="en-US"/>
        </w:rPr>
      </w:pPr>
      <w:r>
        <w:rPr>
          <w:rStyle w:val="FootnoteReference"/>
        </w:rPr>
        <w:footnoteRef/>
      </w:r>
      <w:r>
        <w:t xml:space="preserve"> </w:t>
      </w:r>
      <w:r w:rsidRPr="003738A7">
        <w:rPr>
          <w:u w:val="single"/>
          <w:lang w:val="en-US"/>
        </w:rPr>
        <w:t>Ibid.</w:t>
      </w:r>
      <w:r>
        <w:rPr>
          <w:lang w:val="en-US"/>
        </w:rPr>
        <w:t xml:space="preserve"> p.177</w:t>
      </w:r>
    </w:p>
  </w:footnote>
  <w:footnote w:id="302">
    <w:p w14:paraId="6D78E515" w14:textId="77777777" w:rsidR="002001FB" w:rsidRPr="00272EF1" w:rsidRDefault="002001FB" w:rsidP="00244AC9">
      <w:pPr>
        <w:pStyle w:val="FootnoteText"/>
        <w:rPr>
          <w:lang w:val="en-US"/>
        </w:rPr>
      </w:pPr>
      <w:r>
        <w:rPr>
          <w:rStyle w:val="FootnoteReference"/>
        </w:rPr>
        <w:footnoteRef/>
      </w:r>
      <w:r>
        <w:t xml:space="preserve"> </w:t>
      </w:r>
      <w:r>
        <w:rPr>
          <w:lang w:val="en-US"/>
        </w:rPr>
        <w:t xml:space="preserve">Biddle, S. </w:t>
      </w:r>
      <w:r w:rsidRPr="00272EF1">
        <w:rPr>
          <w:u w:val="single"/>
          <w:lang w:val="en-US"/>
        </w:rPr>
        <w:t>Op.Cit.,</w:t>
      </w:r>
      <w:r>
        <w:rPr>
          <w:lang w:val="en-US"/>
        </w:rPr>
        <w:t xml:space="preserve"> p.348</w:t>
      </w:r>
    </w:p>
  </w:footnote>
  <w:footnote w:id="303">
    <w:p w14:paraId="3A90C2B0" w14:textId="7D67DB26" w:rsidR="002001FB" w:rsidRPr="00B8369E" w:rsidRDefault="002001FB">
      <w:pPr>
        <w:pStyle w:val="FootnoteText"/>
      </w:pPr>
      <w:r>
        <w:rPr>
          <w:rStyle w:val="FootnoteReference"/>
        </w:rPr>
        <w:footnoteRef/>
      </w:r>
      <w:r>
        <w:t xml:space="preserve"> Hoffman, B., </w:t>
      </w:r>
      <w:r>
        <w:rPr>
          <w:u w:val="single"/>
        </w:rPr>
        <w:t>Op.Cit.</w:t>
      </w:r>
      <w:r>
        <w:t>, p.4</w:t>
      </w:r>
    </w:p>
  </w:footnote>
  <w:footnote w:id="304">
    <w:p w14:paraId="2C30A18F" w14:textId="2B0ACF7E" w:rsidR="002001FB" w:rsidRPr="003744F2" w:rsidRDefault="002001FB" w:rsidP="00244AC9">
      <w:pPr>
        <w:pStyle w:val="FootnoteText"/>
        <w:rPr>
          <w:lang w:val="en-US"/>
        </w:rPr>
      </w:pPr>
      <w:r>
        <w:rPr>
          <w:rStyle w:val="FootnoteReference"/>
        </w:rPr>
        <w:footnoteRef/>
      </w:r>
      <w:r>
        <w:t xml:space="preserve"> </w:t>
      </w:r>
      <w:r>
        <w:rPr>
          <w:lang w:val="en-US"/>
        </w:rPr>
        <w:t xml:space="preserve">Eisenstadt, M. and White, J. </w:t>
      </w:r>
      <w:r w:rsidRPr="006C6C72">
        <w:rPr>
          <w:u w:val="single"/>
          <w:lang w:val="en-US"/>
        </w:rPr>
        <w:t>Op.Cit</w:t>
      </w:r>
      <w:r>
        <w:rPr>
          <w:lang w:val="en-US"/>
        </w:rPr>
        <w:t>. p. 262</w:t>
      </w:r>
    </w:p>
  </w:footnote>
  <w:footnote w:id="305">
    <w:p w14:paraId="60B2BFD7" w14:textId="77777777" w:rsidR="002001FB" w:rsidRPr="00272EF1" w:rsidRDefault="002001FB" w:rsidP="00244AC9">
      <w:pPr>
        <w:pStyle w:val="FootnoteText"/>
        <w:rPr>
          <w:lang w:val="en-US"/>
        </w:rPr>
      </w:pPr>
      <w:r>
        <w:rPr>
          <w:rStyle w:val="FootnoteReference"/>
        </w:rPr>
        <w:footnoteRef/>
      </w:r>
      <w:r>
        <w:t xml:space="preserve"> </w:t>
      </w:r>
      <w:r>
        <w:rPr>
          <w:lang w:val="en-US"/>
        </w:rPr>
        <w:t xml:space="preserve">Biddle, S. </w:t>
      </w:r>
      <w:r w:rsidRPr="00272EF1">
        <w:rPr>
          <w:u w:val="single"/>
          <w:lang w:val="en-US"/>
        </w:rPr>
        <w:t>Op.Cit</w:t>
      </w:r>
      <w:r>
        <w:rPr>
          <w:lang w:val="en-US"/>
        </w:rPr>
        <w:t>., p.348</w:t>
      </w:r>
    </w:p>
  </w:footnote>
  <w:footnote w:id="306">
    <w:p w14:paraId="44769397" w14:textId="3C72BE72" w:rsidR="002001FB" w:rsidRPr="00893B4C" w:rsidRDefault="002001FB" w:rsidP="00244AC9">
      <w:pPr>
        <w:pStyle w:val="FootnoteText"/>
        <w:rPr>
          <w:lang w:val="en-US"/>
        </w:rPr>
      </w:pPr>
      <w:r>
        <w:rPr>
          <w:rStyle w:val="FootnoteReference"/>
        </w:rPr>
        <w:footnoteRef/>
      </w:r>
      <w:r>
        <w:t xml:space="preserve"> Hoffman, B., </w:t>
      </w:r>
      <w:r>
        <w:rPr>
          <w:u w:val="single"/>
        </w:rPr>
        <w:t>Op.Cit.</w:t>
      </w:r>
      <w:r>
        <w:t>, p.4</w:t>
      </w:r>
    </w:p>
  </w:footnote>
  <w:footnote w:id="307">
    <w:p w14:paraId="1408E4B2" w14:textId="77777777" w:rsidR="002001FB" w:rsidRPr="00B17369" w:rsidRDefault="002001FB" w:rsidP="00244AC9">
      <w:pPr>
        <w:pStyle w:val="FootnoteText"/>
        <w:rPr>
          <w:lang w:val="en-US"/>
        </w:rPr>
      </w:pPr>
      <w:r>
        <w:rPr>
          <w:rStyle w:val="FootnoteReference"/>
        </w:rPr>
        <w:footnoteRef/>
      </w:r>
      <w:r>
        <w:t xml:space="preserve"> </w:t>
      </w:r>
      <w:r>
        <w:rPr>
          <w:lang w:val="en-US"/>
        </w:rPr>
        <w:t xml:space="preserve">Eisenstadt, M. and White, J. </w:t>
      </w:r>
      <w:r w:rsidRPr="006C6C72">
        <w:rPr>
          <w:u w:val="single"/>
          <w:lang w:val="en-US"/>
        </w:rPr>
        <w:t>Op.Cit</w:t>
      </w:r>
      <w:r>
        <w:rPr>
          <w:lang w:val="en-US"/>
        </w:rPr>
        <w:t>. p.263</w:t>
      </w:r>
    </w:p>
  </w:footnote>
  <w:footnote w:id="308">
    <w:p w14:paraId="343A362A" w14:textId="45665019" w:rsidR="002001FB" w:rsidRPr="00893B4C" w:rsidRDefault="002001FB" w:rsidP="00244AC9">
      <w:pPr>
        <w:pStyle w:val="FootnoteText"/>
        <w:rPr>
          <w:lang w:val="en-US"/>
        </w:rPr>
      </w:pPr>
      <w:r>
        <w:rPr>
          <w:rStyle w:val="FootnoteReference"/>
        </w:rPr>
        <w:footnoteRef/>
      </w:r>
      <w:r>
        <w:t xml:space="preserve"> </w:t>
      </w:r>
      <w:r>
        <w:rPr>
          <w:lang w:val="en-US"/>
        </w:rPr>
        <w:t xml:space="preserve">Cordesman, A.H., </w:t>
      </w:r>
      <w:r w:rsidRPr="00D72C8F">
        <w:rPr>
          <w:u w:val="single"/>
          <w:lang w:val="en-US"/>
        </w:rPr>
        <w:t>Iraq: Too Uncertain to Call</w:t>
      </w:r>
      <w:r>
        <w:rPr>
          <w:lang w:val="en-US"/>
        </w:rPr>
        <w:t>,  Centre for Strategic and International Studies, Washington, 2006, p.2</w:t>
      </w:r>
    </w:p>
  </w:footnote>
  <w:footnote w:id="309">
    <w:p w14:paraId="383CB742" w14:textId="77777777" w:rsidR="002001FB" w:rsidRPr="00BF2A19" w:rsidRDefault="002001FB" w:rsidP="00244AC9">
      <w:pPr>
        <w:pStyle w:val="FootnoteText"/>
        <w:rPr>
          <w:lang w:val="en-US"/>
        </w:rPr>
      </w:pPr>
      <w:r>
        <w:rPr>
          <w:rStyle w:val="FootnoteReference"/>
        </w:rPr>
        <w:footnoteRef/>
      </w:r>
      <w:r>
        <w:t xml:space="preserve"> </w:t>
      </w:r>
      <w:r>
        <w:rPr>
          <w:lang w:val="en-US"/>
        </w:rPr>
        <w:t>Washington Institute for the Near East Policy, 2005</w:t>
      </w:r>
    </w:p>
  </w:footnote>
  <w:footnote w:id="310">
    <w:p w14:paraId="6721BFE3" w14:textId="665A97B8" w:rsidR="002001FB" w:rsidRPr="00032ED6" w:rsidRDefault="002001FB">
      <w:pPr>
        <w:pStyle w:val="FootnoteText"/>
        <w:rPr>
          <w:lang w:val="en-US"/>
        </w:rPr>
      </w:pPr>
      <w:r>
        <w:rPr>
          <w:rStyle w:val="FootnoteReference"/>
        </w:rPr>
        <w:footnoteRef/>
      </w:r>
      <w:r>
        <w:t xml:space="preserve"> </w:t>
      </w:r>
      <w:r>
        <w:rPr>
          <w:lang w:val="en-US"/>
        </w:rPr>
        <w:t xml:space="preserve">Galula, D., </w:t>
      </w:r>
      <w:r>
        <w:rPr>
          <w:u w:val="single"/>
          <w:lang w:val="en-US"/>
        </w:rPr>
        <w:t>Op.Cit.</w:t>
      </w:r>
      <w:r>
        <w:rPr>
          <w:lang w:val="en-US"/>
        </w:rPr>
        <w:t>, p.40</w:t>
      </w:r>
    </w:p>
  </w:footnote>
  <w:footnote w:id="311">
    <w:p w14:paraId="67D3CF89" w14:textId="0EA43730" w:rsidR="002001FB" w:rsidRPr="006D6317" w:rsidRDefault="002001FB" w:rsidP="005F691C">
      <w:pPr>
        <w:pStyle w:val="FootnoteText"/>
      </w:pPr>
      <w:r>
        <w:rPr>
          <w:rStyle w:val="FootnoteReference"/>
        </w:rPr>
        <w:footnoteRef/>
      </w:r>
      <w:r>
        <w:t xml:space="preserve"> Lindsay, L.B., </w:t>
      </w:r>
      <w:r w:rsidRPr="006D6317">
        <w:rPr>
          <w:u w:val="single"/>
        </w:rPr>
        <w:t>Op.Cit.</w:t>
      </w:r>
      <w:r>
        <w:rPr>
          <w:u w:val="single"/>
        </w:rPr>
        <w:t>,</w:t>
      </w:r>
      <w:r>
        <w:t xml:space="preserve"> No page number</w:t>
      </w:r>
    </w:p>
  </w:footnote>
  <w:footnote w:id="312">
    <w:p w14:paraId="14BFD860" w14:textId="3E3A4047" w:rsidR="002001FB" w:rsidRPr="00B22C79" w:rsidRDefault="002001FB">
      <w:pPr>
        <w:pStyle w:val="FootnoteText"/>
        <w:rPr>
          <w:lang w:val="en-US"/>
        </w:rPr>
      </w:pPr>
      <w:r>
        <w:rPr>
          <w:rStyle w:val="FootnoteReference"/>
        </w:rPr>
        <w:footnoteRef/>
      </w:r>
      <w:r>
        <w:t xml:space="preserve"> </w:t>
      </w:r>
      <w:r>
        <w:rPr>
          <w:lang w:val="en-US"/>
        </w:rPr>
        <w:t xml:space="preserve">Sun Tzu, </w:t>
      </w:r>
      <w:r w:rsidRPr="00DE6D82">
        <w:rPr>
          <w:u w:val="single"/>
          <w:lang w:val="en-US"/>
        </w:rPr>
        <w:t>The Art of War</w:t>
      </w:r>
      <w:r>
        <w:rPr>
          <w:lang w:val="en-US"/>
        </w:rPr>
        <w:t>, Oxford University Press, United States of America, 1963,p.148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bottomFromText="200" w:vertAnchor="text" w:tblpY="1"/>
      <w:tblW w:w="4937" w:type="pct"/>
      <w:tblLook w:val="04A0" w:firstRow="1" w:lastRow="0" w:firstColumn="1" w:lastColumn="0" w:noHBand="0" w:noVBand="1"/>
    </w:tblPr>
    <w:tblGrid>
      <w:gridCol w:w="3775"/>
      <w:gridCol w:w="1252"/>
      <w:gridCol w:w="3584"/>
    </w:tblGrid>
    <w:tr w:rsidR="002001FB" w:rsidRPr="008E0D90" w14:paraId="4196F224" w14:textId="77777777" w:rsidTr="00506269">
      <w:trPr>
        <w:trHeight w:val="151"/>
      </w:trPr>
      <w:tc>
        <w:tcPr>
          <w:tcW w:w="2389" w:type="pct"/>
          <w:tcBorders>
            <w:top w:val="nil"/>
            <w:left w:val="nil"/>
            <w:bottom w:val="single" w:sz="4" w:space="0" w:color="4F81BD" w:themeColor="accent1"/>
            <w:right w:val="nil"/>
          </w:tcBorders>
        </w:tcPr>
        <w:p w14:paraId="4D062BE6" w14:textId="77777777" w:rsidR="002001FB" w:rsidRPr="008E0D90" w:rsidRDefault="002001FB">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hideMark/>
        </w:tcPr>
        <w:p w14:paraId="00CEEA41" w14:textId="77777777" w:rsidR="002001FB" w:rsidRPr="008E0D90" w:rsidRDefault="00C70C58" w:rsidP="00506269">
          <w:pPr>
            <w:pStyle w:val="NoSpacing"/>
            <w:rPr>
              <w:rFonts w:ascii="Cambria" w:hAnsi="Cambria"/>
              <w:color w:val="4F81BD" w:themeColor="accent1"/>
              <w:szCs w:val="20"/>
            </w:rPr>
          </w:pPr>
          <w:sdt>
            <w:sdtPr>
              <w:rPr>
                <w:rFonts w:ascii="Cambria" w:hAnsi="Cambria"/>
                <w:color w:val="4F81BD" w:themeColor="accent1"/>
              </w:rPr>
              <w:id w:val="95367809"/>
              <w:placeholder>
                <w:docPart w:val="E1AE7499C771F444A53E0DEF677E9210"/>
              </w:placeholder>
              <w:temporary/>
              <w:showingPlcHdr/>
            </w:sdtPr>
            <w:sdtEndPr/>
            <w:sdtContent>
              <w:r w:rsidR="002001FB" w:rsidRPr="008E0D90">
                <w:rPr>
                  <w:rFonts w:ascii="Cambria" w:hAnsi="Cambria"/>
                  <w:color w:val="4F81BD" w:themeColor="accent1"/>
                </w:rPr>
                <w:t>[Type text]</w:t>
              </w:r>
            </w:sdtContent>
          </w:sdt>
        </w:p>
      </w:tc>
      <w:tc>
        <w:tcPr>
          <w:tcW w:w="2278" w:type="pct"/>
          <w:tcBorders>
            <w:top w:val="nil"/>
            <w:left w:val="nil"/>
            <w:bottom w:val="single" w:sz="4" w:space="0" w:color="4F81BD" w:themeColor="accent1"/>
            <w:right w:val="nil"/>
          </w:tcBorders>
        </w:tcPr>
        <w:p w14:paraId="1CFD6EF8" w14:textId="77777777" w:rsidR="002001FB" w:rsidRPr="008E0D90" w:rsidRDefault="002001FB">
          <w:pPr>
            <w:pStyle w:val="Header"/>
            <w:spacing w:line="276" w:lineRule="auto"/>
            <w:rPr>
              <w:rFonts w:ascii="Cambria" w:eastAsiaTheme="majorEastAsia" w:hAnsi="Cambria" w:cstheme="majorBidi"/>
              <w:b/>
              <w:bCs/>
              <w:color w:val="4F81BD" w:themeColor="accent1"/>
            </w:rPr>
          </w:pPr>
        </w:p>
      </w:tc>
    </w:tr>
    <w:tr w:rsidR="002001FB" w:rsidRPr="008E0D90" w14:paraId="5A4CE79F" w14:textId="77777777" w:rsidTr="00506269">
      <w:trPr>
        <w:trHeight w:val="150"/>
      </w:trPr>
      <w:tc>
        <w:tcPr>
          <w:tcW w:w="2389" w:type="pct"/>
          <w:tcBorders>
            <w:top w:val="single" w:sz="4" w:space="0" w:color="4F81BD" w:themeColor="accent1"/>
            <w:left w:val="nil"/>
            <w:bottom w:val="nil"/>
            <w:right w:val="nil"/>
          </w:tcBorders>
        </w:tcPr>
        <w:p w14:paraId="56D43072" w14:textId="77777777" w:rsidR="002001FB" w:rsidRPr="008E0D90" w:rsidRDefault="002001FB">
          <w:pPr>
            <w:pStyle w:val="Header"/>
            <w:spacing w:line="276" w:lineRule="auto"/>
            <w:rPr>
              <w:rFonts w:ascii="Cambria" w:eastAsiaTheme="majorEastAsia" w:hAnsi="Cambria" w:cstheme="majorBidi"/>
              <w:b/>
              <w:bCs/>
              <w:color w:val="4F81BD" w:themeColor="accent1"/>
            </w:rPr>
          </w:pPr>
        </w:p>
      </w:tc>
      <w:tc>
        <w:tcPr>
          <w:tcW w:w="0" w:type="auto"/>
          <w:vMerge/>
          <w:vAlign w:val="center"/>
          <w:hideMark/>
        </w:tcPr>
        <w:p w14:paraId="25537403" w14:textId="77777777" w:rsidR="002001FB" w:rsidRPr="008E0D90" w:rsidRDefault="002001FB">
          <w:pPr>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14:paraId="0D964E77" w14:textId="77777777" w:rsidR="002001FB" w:rsidRPr="008E0D90" w:rsidRDefault="002001FB">
          <w:pPr>
            <w:pStyle w:val="Header"/>
            <w:spacing w:line="276" w:lineRule="auto"/>
            <w:rPr>
              <w:rFonts w:ascii="Cambria" w:eastAsiaTheme="majorEastAsia" w:hAnsi="Cambria" w:cstheme="majorBidi"/>
              <w:b/>
              <w:bCs/>
              <w:color w:val="4F81BD" w:themeColor="accent1"/>
            </w:rPr>
          </w:pPr>
        </w:p>
      </w:tc>
    </w:tr>
  </w:tbl>
  <w:p w14:paraId="51626E4B" w14:textId="77777777" w:rsidR="002001FB" w:rsidRDefault="002001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bottomFromText="200" w:vertAnchor="text" w:tblpY="1"/>
      <w:tblW w:w="4937" w:type="pct"/>
      <w:tblLook w:val="04A0" w:firstRow="1" w:lastRow="0" w:firstColumn="1" w:lastColumn="0" w:noHBand="0" w:noVBand="1"/>
    </w:tblPr>
    <w:tblGrid>
      <w:gridCol w:w="3343"/>
      <w:gridCol w:w="2116"/>
      <w:gridCol w:w="3152"/>
    </w:tblGrid>
    <w:tr w:rsidR="002001FB" w:rsidRPr="003727BC" w14:paraId="40EE2C3B" w14:textId="77777777" w:rsidTr="003727BC">
      <w:trPr>
        <w:trHeight w:val="151"/>
      </w:trPr>
      <w:tc>
        <w:tcPr>
          <w:tcW w:w="2389" w:type="pct"/>
          <w:shd w:val="clear" w:color="auto" w:fill="auto"/>
        </w:tcPr>
        <w:p w14:paraId="71AC84C3" w14:textId="77777777" w:rsidR="002001FB" w:rsidRPr="003727BC" w:rsidRDefault="002001FB">
          <w:pPr>
            <w:pStyle w:val="Header"/>
            <w:spacing w:line="276" w:lineRule="auto"/>
            <w:rPr>
              <w:rFonts w:ascii="Cambria" w:eastAsiaTheme="majorEastAsia" w:hAnsi="Cambria" w:cstheme="majorBidi"/>
              <w:b/>
              <w:bCs/>
              <w:color w:val="943634" w:themeColor="accent2" w:themeShade="BF"/>
            </w:rPr>
          </w:pPr>
        </w:p>
      </w:tc>
      <w:tc>
        <w:tcPr>
          <w:tcW w:w="333" w:type="pct"/>
          <w:vMerge w:val="restart"/>
          <w:shd w:val="clear" w:color="auto" w:fill="auto"/>
          <w:noWrap/>
          <w:vAlign w:val="center"/>
          <w:hideMark/>
        </w:tcPr>
        <w:p w14:paraId="067A79BB" w14:textId="77777777" w:rsidR="002001FB" w:rsidRPr="003727BC" w:rsidRDefault="002001FB" w:rsidP="003727BC">
          <w:pPr>
            <w:pStyle w:val="NoSpacing"/>
            <w:jc w:val="center"/>
            <w:rPr>
              <w:rFonts w:ascii="Times New Roman" w:hAnsi="Times New Roman" w:cs="Times New Roman"/>
              <w:color w:val="943634" w:themeColor="accent2" w:themeShade="BF"/>
              <w:sz w:val="20"/>
              <w:szCs w:val="20"/>
            </w:rPr>
          </w:pPr>
          <w:r w:rsidRPr="003727BC">
            <w:rPr>
              <w:rFonts w:ascii="Times New Roman" w:hAnsi="Times New Roman" w:cs="Times New Roman"/>
              <w:color w:val="943634" w:themeColor="accent2" w:themeShade="BF"/>
              <w:sz w:val="20"/>
              <w:szCs w:val="20"/>
            </w:rPr>
            <w:t>Chantelle Holthuis</w:t>
          </w:r>
        </w:p>
        <w:p w14:paraId="026E1931" w14:textId="4F82254B" w:rsidR="002001FB" w:rsidRPr="003727BC" w:rsidRDefault="002001FB" w:rsidP="003727BC">
          <w:pPr>
            <w:pStyle w:val="NoSpacing"/>
            <w:jc w:val="center"/>
            <w:rPr>
              <w:rFonts w:ascii="Times New Roman" w:hAnsi="Times New Roman" w:cs="Times New Roman"/>
              <w:color w:val="943634" w:themeColor="accent2" w:themeShade="BF"/>
              <w:sz w:val="20"/>
              <w:szCs w:val="20"/>
            </w:rPr>
          </w:pPr>
          <w:r w:rsidRPr="003727BC">
            <w:rPr>
              <w:rFonts w:ascii="Times New Roman" w:hAnsi="Times New Roman" w:cs="Times New Roman"/>
              <w:color w:val="943634" w:themeColor="accent2" w:themeShade="BF"/>
              <w:sz w:val="20"/>
              <w:szCs w:val="20"/>
            </w:rPr>
            <w:t>Two Sides of the COIN</w:t>
          </w:r>
        </w:p>
      </w:tc>
      <w:tc>
        <w:tcPr>
          <w:tcW w:w="2278" w:type="pct"/>
          <w:shd w:val="clear" w:color="auto" w:fill="auto"/>
        </w:tcPr>
        <w:p w14:paraId="54C91317" w14:textId="77777777" w:rsidR="002001FB" w:rsidRPr="003727BC" w:rsidRDefault="002001FB">
          <w:pPr>
            <w:pStyle w:val="Header"/>
            <w:spacing w:line="276" w:lineRule="auto"/>
            <w:rPr>
              <w:rFonts w:ascii="Cambria" w:eastAsiaTheme="majorEastAsia" w:hAnsi="Cambria" w:cstheme="majorBidi"/>
              <w:b/>
              <w:bCs/>
              <w:color w:val="943634" w:themeColor="accent2" w:themeShade="BF"/>
            </w:rPr>
          </w:pPr>
        </w:p>
      </w:tc>
    </w:tr>
    <w:tr w:rsidR="002001FB" w:rsidRPr="003727BC" w14:paraId="34BB2974" w14:textId="77777777" w:rsidTr="003727BC">
      <w:trPr>
        <w:trHeight w:val="150"/>
      </w:trPr>
      <w:tc>
        <w:tcPr>
          <w:tcW w:w="2389" w:type="pct"/>
          <w:shd w:val="clear" w:color="auto" w:fill="auto"/>
        </w:tcPr>
        <w:p w14:paraId="0C2399DF" w14:textId="239CC018" w:rsidR="002001FB" w:rsidRPr="003727BC" w:rsidRDefault="002001FB">
          <w:pPr>
            <w:pStyle w:val="Header"/>
            <w:spacing w:line="276" w:lineRule="auto"/>
            <w:rPr>
              <w:rFonts w:ascii="Cambria" w:eastAsiaTheme="majorEastAsia" w:hAnsi="Cambria" w:cstheme="majorBidi"/>
              <w:b/>
              <w:bCs/>
              <w:color w:val="943634" w:themeColor="accent2" w:themeShade="BF"/>
            </w:rPr>
          </w:pPr>
        </w:p>
      </w:tc>
      <w:tc>
        <w:tcPr>
          <w:tcW w:w="0" w:type="auto"/>
          <w:vMerge/>
          <w:shd w:val="clear" w:color="auto" w:fill="auto"/>
          <w:vAlign w:val="center"/>
          <w:hideMark/>
        </w:tcPr>
        <w:p w14:paraId="4CD2A999" w14:textId="77777777" w:rsidR="002001FB" w:rsidRPr="003727BC" w:rsidRDefault="002001FB" w:rsidP="003727BC">
          <w:pPr>
            <w:jc w:val="center"/>
            <w:rPr>
              <w:rFonts w:ascii="Times New Roman" w:hAnsi="Times New Roman" w:cs="Times New Roman"/>
              <w:color w:val="943634" w:themeColor="accent2" w:themeShade="BF"/>
              <w:sz w:val="20"/>
              <w:szCs w:val="20"/>
            </w:rPr>
          </w:pPr>
        </w:p>
      </w:tc>
      <w:tc>
        <w:tcPr>
          <w:tcW w:w="2278" w:type="pct"/>
          <w:shd w:val="clear" w:color="auto" w:fill="auto"/>
        </w:tcPr>
        <w:p w14:paraId="48C12527" w14:textId="77777777" w:rsidR="002001FB" w:rsidRPr="003727BC" w:rsidRDefault="002001FB">
          <w:pPr>
            <w:pStyle w:val="Header"/>
            <w:spacing w:line="276" w:lineRule="auto"/>
            <w:rPr>
              <w:rFonts w:ascii="Cambria" w:eastAsiaTheme="majorEastAsia" w:hAnsi="Cambria" w:cstheme="majorBidi"/>
              <w:b/>
              <w:bCs/>
              <w:color w:val="943634" w:themeColor="accent2" w:themeShade="BF"/>
            </w:rPr>
          </w:pPr>
        </w:p>
      </w:tc>
    </w:tr>
  </w:tbl>
  <w:p w14:paraId="290C5E6D" w14:textId="77777777" w:rsidR="002001FB" w:rsidRDefault="002001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216A6A"/>
    <w:multiLevelType w:val="hybridMultilevel"/>
    <w:tmpl w:val="057EED7C"/>
    <w:lvl w:ilvl="0" w:tplc="4A3E8502">
      <w:start w:val="1"/>
      <w:numFmt w:val="decimal"/>
      <w:lvlText w:val="%1."/>
      <w:lvlJc w:val="left"/>
      <w:pPr>
        <w:ind w:left="587" w:hanging="360"/>
      </w:pPr>
      <w:rPr>
        <w:rFonts w:hint="default"/>
      </w:rPr>
    </w:lvl>
    <w:lvl w:ilvl="1" w:tplc="1C090019" w:tentative="1">
      <w:start w:val="1"/>
      <w:numFmt w:val="lowerLetter"/>
      <w:lvlText w:val="%2."/>
      <w:lvlJc w:val="left"/>
      <w:pPr>
        <w:ind w:left="1307" w:hanging="360"/>
      </w:pPr>
    </w:lvl>
    <w:lvl w:ilvl="2" w:tplc="1C09001B" w:tentative="1">
      <w:start w:val="1"/>
      <w:numFmt w:val="lowerRoman"/>
      <w:lvlText w:val="%3."/>
      <w:lvlJc w:val="right"/>
      <w:pPr>
        <w:ind w:left="2027" w:hanging="180"/>
      </w:pPr>
    </w:lvl>
    <w:lvl w:ilvl="3" w:tplc="1C09000F" w:tentative="1">
      <w:start w:val="1"/>
      <w:numFmt w:val="decimal"/>
      <w:lvlText w:val="%4."/>
      <w:lvlJc w:val="left"/>
      <w:pPr>
        <w:ind w:left="2747" w:hanging="360"/>
      </w:pPr>
    </w:lvl>
    <w:lvl w:ilvl="4" w:tplc="1C090019" w:tentative="1">
      <w:start w:val="1"/>
      <w:numFmt w:val="lowerLetter"/>
      <w:lvlText w:val="%5."/>
      <w:lvlJc w:val="left"/>
      <w:pPr>
        <w:ind w:left="3467" w:hanging="360"/>
      </w:pPr>
    </w:lvl>
    <w:lvl w:ilvl="5" w:tplc="1C09001B" w:tentative="1">
      <w:start w:val="1"/>
      <w:numFmt w:val="lowerRoman"/>
      <w:lvlText w:val="%6."/>
      <w:lvlJc w:val="right"/>
      <w:pPr>
        <w:ind w:left="4187" w:hanging="180"/>
      </w:pPr>
    </w:lvl>
    <w:lvl w:ilvl="6" w:tplc="1C09000F" w:tentative="1">
      <w:start w:val="1"/>
      <w:numFmt w:val="decimal"/>
      <w:lvlText w:val="%7."/>
      <w:lvlJc w:val="left"/>
      <w:pPr>
        <w:ind w:left="4907" w:hanging="360"/>
      </w:pPr>
    </w:lvl>
    <w:lvl w:ilvl="7" w:tplc="1C090019" w:tentative="1">
      <w:start w:val="1"/>
      <w:numFmt w:val="lowerLetter"/>
      <w:lvlText w:val="%8."/>
      <w:lvlJc w:val="left"/>
      <w:pPr>
        <w:ind w:left="5627" w:hanging="360"/>
      </w:pPr>
    </w:lvl>
    <w:lvl w:ilvl="8" w:tplc="1C09001B" w:tentative="1">
      <w:start w:val="1"/>
      <w:numFmt w:val="lowerRoman"/>
      <w:lvlText w:val="%9."/>
      <w:lvlJc w:val="right"/>
      <w:pPr>
        <w:ind w:left="6347" w:hanging="180"/>
      </w:pPr>
    </w:lvl>
  </w:abstractNum>
  <w:abstractNum w:abstractNumId="2">
    <w:nsid w:val="02A242A2"/>
    <w:multiLevelType w:val="hybridMultilevel"/>
    <w:tmpl w:val="B36A7BC6"/>
    <w:lvl w:ilvl="0" w:tplc="1430E2EA">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
    <w:nsid w:val="081B2A21"/>
    <w:multiLevelType w:val="hybridMultilevel"/>
    <w:tmpl w:val="63ECC97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0C5538AD"/>
    <w:multiLevelType w:val="multilevel"/>
    <w:tmpl w:val="E6887E4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F695CDD"/>
    <w:multiLevelType w:val="hybridMultilevel"/>
    <w:tmpl w:val="2D5C6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A74DB3"/>
    <w:multiLevelType w:val="multilevel"/>
    <w:tmpl w:val="F288D962"/>
    <w:lvl w:ilvl="0">
      <w:start w:val="4"/>
      <w:numFmt w:val="decimal"/>
      <w:lvlText w:val="%1"/>
      <w:lvlJc w:val="left"/>
      <w:pPr>
        <w:ind w:left="360" w:hanging="360"/>
      </w:pPr>
      <w:rPr>
        <w:rFonts w:hint="default"/>
        <w:b w:val="0"/>
        <w:u w:val="none"/>
      </w:rPr>
    </w:lvl>
    <w:lvl w:ilvl="1">
      <w:start w:val="1"/>
      <w:numFmt w:val="decimal"/>
      <w:lvlText w:val="%1.%2"/>
      <w:lvlJc w:val="left"/>
      <w:pPr>
        <w:ind w:left="-207" w:hanging="360"/>
      </w:pPr>
      <w:rPr>
        <w:rFonts w:hint="default"/>
        <w:b/>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529" w:hanging="144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7">
    <w:nsid w:val="1ABA067F"/>
    <w:multiLevelType w:val="multilevel"/>
    <w:tmpl w:val="05981474"/>
    <w:lvl w:ilvl="0">
      <w:start w:val="5"/>
      <w:numFmt w:val="decimal"/>
      <w:lvlText w:val="%1"/>
      <w:lvlJc w:val="left"/>
      <w:pPr>
        <w:ind w:left="360" w:hanging="360"/>
      </w:pPr>
      <w:rPr>
        <w:rFonts w:hint="default"/>
        <w:b w:val="0"/>
        <w:u w:val="none"/>
      </w:rPr>
    </w:lvl>
    <w:lvl w:ilvl="1">
      <w:start w:val="1"/>
      <w:numFmt w:val="decimal"/>
      <w:lvlText w:val="%1.%2"/>
      <w:lvlJc w:val="left"/>
      <w:pPr>
        <w:ind w:left="-207" w:hanging="360"/>
      </w:pPr>
      <w:rPr>
        <w:rFonts w:hint="default"/>
        <w:b/>
        <w:i/>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529" w:hanging="144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8">
    <w:nsid w:val="1AFF716B"/>
    <w:multiLevelType w:val="multilevel"/>
    <w:tmpl w:val="D2BC0A14"/>
    <w:lvl w:ilvl="0">
      <w:start w:val="2"/>
      <w:numFmt w:val="decimal"/>
      <w:lvlText w:val="%1"/>
      <w:lvlJc w:val="left"/>
      <w:pPr>
        <w:ind w:left="360" w:hanging="360"/>
      </w:pPr>
      <w:rPr>
        <w:rFonts w:hint="default"/>
      </w:rPr>
    </w:lvl>
    <w:lvl w:ilvl="1">
      <w:start w:val="1"/>
      <w:numFmt w:val="decimal"/>
      <w:lvlText w:val="%1.%2"/>
      <w:lvlJc w:val="left"/>
      <w:pPr>
        <w:ind w:left="513" w:hanging="360"/>
      </w:pPr>
      <w:rPr>
        <w:rFonts w:hint="default"/>
      </w:rPr>
    </w:lvl>
    <w:lvl w:ilvl="2">
      <w:start w:val="1"/>
      <w:numFmt w:val="decimal"/>
      <w:lvlText w:val="%1.%2.%3"/>
      <w:lvlJc w:val="left"/>
      <w:pPr>
        <w:ind w:left="1026" w:hanging="720"/>
      </w:pPr>
      <w:rPr>
        <w:rFonts w:hint="default"/>
      </w:rPr>
    </w:lvl>
    <w:lvl w:ilvl="3">
      <w:start w:val="1"/>
      <w:numFmt w:val="decimal"/>
      <w:lvlText w:val="%1.%2.%3.%4"/>
      <w:lvlJc w:val="left"/>
      <w:pPr>
        <w:ind w:left="1179" w:hanging="720"/>
      </w:pPr>
      <w:rPr>
        <w:rFonts w:hint="default"/>
      </w:rPr>
    </w:lvl>
    <w:lvl w:ilvl="4">
      <w:start w:val="1"/>
      <w:numFmt w:val="decimal"/>
      <w:lvlText w:val="%1.%2.%3.%4.%5"/>
      <w:lvlJc w:val="left"/>
      <w:pPr>
        <w:ind w:left="1692" w:hanging="1080"/>
      </w:pPr>
      <w:rPr>
        <w:rFonts w:hint="default"/>
      </w:rPr>
    </w:lvl>
    <w:lvl w:ilvl="5">
      <w:start w:val="1"/>
      <w:numFmt w:val="decimal"/>
      <w:lvlText w:val="%1.%2.%3.%4.%5.%6"/>
      <w:lvlJc w:val="left"/>
      <w:pPr>
        <w:ind w:left="1845" w:hanging="108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511" w:hanging="1440"/>
      </w:pPr>
      <w:rPr>
        <w:rFonts w:hint="default"/>
      </w:rPr>
    </w:lvl>
    <w:lvl w:ilvl="8">
      <w:start w:val="1"/>
      <w:numFmt w:val="decimal"/>
      <w:lvlText w:val="%1.%2.%3.%4.%5.%6.%7.%8.%9"/>
      <w:lvlJc w:val="left"/>
      <w:pPr>
        <w:ind w:left="3024" w:hanging="1800"/>
      </w:pPr>
      <w:rPr>
        <w:rFonts w:hint="default"/>
      </w:rPr>
    </w:lvl>
  </w:abstractNum>
  <w:abstractNum w:abstractNumId="9">
    <w:nsid w:val="1B234176"/>
    <w:multiLevelType w:val="hybridMultilevel"/>
    <w:tmpl w:val="40569D9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1F564CF8"/>
    <w:multiLevelType w:val="multilevel"/>
    <w:tmpl w:val="38FA1D50"/>
    <w:lvl w:ilvl="0">
      <w:start w:val="4"/>
      <w:numFmt w:val="decimal"/>
      <w:lvlText w:val="%1"/>
      <w:lvlJc w:val="left"/>
      <w:pPr>
        <w:ind w:left="360" w:hanging="360"/>
      </w:pPr>
      <w:rPr>
        <w:rFonts w:hint="default"/>
      </w:rPr>
    </w:lvl>
    <w:lvl w:ilvl="1">
      <w:start w:val="1"/>
      <w:numFmt w:val="decimal"/>
      <w:lvlText w:val="%1.%2"/>
      <w:lvlJc w:val="left"/>
      <w:pPr>
        <w:ind w:left="513" w:hanging="360"/>
      </w:pPr>
      <w:rPr>
        <w:rFonts w:hint="default"/>
      </w:rPr>
    </w:lvl>
    <w:lvl w:ilvl="2">
      <w:start w:val="1"/>
      <w:numFmt w:val="decimal"/>
      <w:lvlText w:val="%1.%2.%3"/>
      <w:lvlJc w:val="left"/>
      <w:pPr>
        <w:ind w:left="1026" w:hanging="720"/>
      </w:pPr>
      <w:rPr>
        <w:rFonts w:hint="default"/>
      </w:rPr>
    </w:lvl>
    <w:lvl w:ilvl="3">
      <w:start w:val="1"/>
      <w:numFmt w:val="decimal"/>
      <w:lvlText w:val="%1.%2.%3.%4"/>
      <w:lvlJc w:val="left"/>
      <w:pPr>
        <w:ind w:left="1179" w:hanging="720"/>
      </w:pPr>
      <w:rPr>
        <w:rFonts w:hint="default"/>
      </w:rPr>
    </w:lvl>
    <w:lvl w:ilvl="4">
      <w:start w:val="1"/>
      <w:numFmt w:val="decimal"/>
      <w:lvlText w:val="%1.%2.%3.%4.%5"/>
      <w:lvlJc w:val="left"/>
      <w:pPr>
        <w:ind w:left="1692" w:hanging="1080"/>
      </w:pPr>
      <w:rPr>
        <w:rFonts w:hint="default"/>
      </w:rPr>
    </w:lvl>
    <w:lvl w:ilvl="5">
      <w:start w:val="1"/>
      <w:numFmt w:val="decimal"/>
      <w:lvlText w:val="%1.%2.%3.%4.%5.%6"/>
      <w:lvlJc w:val="left"/>
      <w:pPr>
        <w:ind w:left="1845" w:hanging="108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511" w:hanging="1440"/>
      </w:pPr>
      <w:rPr>
        <w:rFonts w:hint="default"/>
      </w:rPr>
    </w:lvl>
    <w:lvl w:ilvl="8">
      <w:start w:val="1"/>
      <w:numFmt w:val="decimal"/>
      <w:lvlText w:val="%1.%2.%3.%4.%5.%6.%7.%8.%9"/>
      <w:lvlJc w:val="left"/>
      <w:pPr>
        <w:ind w:left="3024" w:hanging="1800"/>
      </w:pPr>
      <w:rPr>
        <w:rFonts w:hint="default"/>
      </w:rPr>
    </w:lvl>
  </w:abstractNum>
  <w:abstractNum w:abstractNumId="11">
    <w:nsid w:val="20732282"/>
    <w:multiLevelType w:val="multilevel"/>
    <w:tmpl w:val="C2D62C84"/>
    <w:lvl w:ilvl="0">
      <w:start w:val="3"/>
      <w:numFmt w:val="decimal"/>
      <w:lvlText w:val="%1"/>
      <w:lvlJc w:val="left"/>
      <w:pPr>
        <w:ind w:left="360" w:hanging="360"/>
      </w:pPr>
      <w:rPr>
        <w:rFonts w:hint="default"/>
        <w:b w:val="0"/>
        <w:u w:val="none"/>
      </w:rPr>
    </w:lvl>
    <w:lvl w:ilvl="1">
      <w:start w:val="1"/>
      <w:numFmt w:val="decimal"/>
      <w:lvlText w:val="%1.%2"/>
      <w:lvlJc w:val="left"/>
      <w:pPr>
        <w:ind w:left="-207" w:hanging="360"/>
      </w:pPr>
      <w:rPr>
        <w:rFonts w:hint="default"/>
        <w:b/>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529" w:hanging="144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12">
    <w:nsid w:val="24835FA1"/>
    <w:multiLevelType w:val="multilevel"/>
    <w:tmpl w:val="92A0A592"/>
    <w:lvl w:ilvl="0">
      <w:start w:val="1"/>
      <w:numFmt w:val="decimal"/>
      <w:lvlText w:val="%1."/>
      <w:lvlJc w:val="left"/>
      <w:pPr>
        <w:ind w:left="-207" w:hanging="360"/>
      </w:pPr>
      <w:rPr>
        <w:rFonts w:hint="default"/>
      </w:rPr>
    </w:lvl>
    <w:lvl w:ilvl="1">
      <w:start w:val="1"/>
      <w:numFmt w:val="decimal"/>
      <w:isLgl/>
      <w:lvlText w:val="%1.%2"/>
      <w:lvlJc w:val="left"/>
      <w:pPr>
        <w:ind w:left="-207" w:hanging="360"/>
      </w:pPr>
      <w:rPr>
        <w:rFonts w:hint="default"/>
        <w:b/>
        <w:u w:val="none"/>
      </w:rPr>
    </w:lvl>
    <w:lvl w:ilvl="2">
      <w:start w:val="1"/>
      <w:numFmt w:val="decimal"/>
      <w:isLgl/>
      <w:lvlText w:val="%1.%2.%3"/>
      <w:lvlJc w:val="left"/>
      <w:pPr>
        <w:ind w:left="153" w:hanging="720"/>
      </w:pPr>
      <w:rPr>
        <w:rFonts w:hint="default"/>
        <w:b w:val="0"/>
        <w:u w:val="none"/>
      </w:rPr>
    </w:lvl>
    <w:lvl w:ilvl="3">
      <w:start w:val="1"/>
      <w:numFmt w:val="decimal"/>
      <w:isLgl/>
      <w:lvlText w:val="%1.%2.%3.%4"/>
      <w:lvlJc w:val="left"/>
      <w:pPr>
        <w:ind w:left="153" w:hanging="720"/>
      </w:pPr>
      <w:rPr>
        <w:rFonts w:hint="default"/>
        <w:b w:val="0"/>
        <w:u w:val="none"/>
      </w:rPr>
    </w:lvl>
    <w:lvl w:ilvl="4">
      <w:start w:val="1"/>
      <w:numFmt w:val="decimal"/>
      <w:isLgl/>
      <w:lvlText w:val="%1.%2.%3.%4.%5"/>
      <w:lvlJc w:val="left"/>
      <w:pPr>
        <w:ind w:left="513" w:hanging="1080"/>
      </w:pPr>
      <w:rPr>
        <w:rFonts w:hint="default"/>
        <w:b w:val="0"/>
        <w:u w:val="none"/>
      </w:rPr>
    </w:lvl>
    <w:lvl w:ilvl="5">
      <w:start w:val="1"/>
      <w:numFmt w:val="decimal"/>
      <w:isLgl/>
      <w:lvlText w:val="%1.%2.%3.%4.%5.%6"/>
      <w:lvlJc w:val="left"/>
      <w:pPr>
        <w:ind w:left="513" w:hanging="1080"/>
      </w:pPr>
      <w:rPr>
        <w:rFonts w:hint="default"/>
        <w:b w:val="0"/>
        <w:u w:val="none"/>
      </w:rPr>
    </w:lvl>
    <w:lvl w:ilvl="6">
      <w:start w:val="1"/>
      <w:numFmt w:val="decimal"/>
      <w:isLgl/>
      <w:lvlText w:val="%1.%2.%3.%4.%5.%6.%7"/>
      <w:lvlJc w:val="left"/>
      <w:pPr>
        <w:ind w:left="873" w:hanging="1440"/>
      </w:pPr>
      <w:rPr>
        <w:rFonts w:hint="default"/>
        <w:b w:val="0"/>
        <w:u w:val="none"/>
      </w:rPr>
    </w:lvl>
    <w:lvl w:ilvl="7">
      <w:start w:val="1"/>
      <w:numFmt w:val="decimal"/>
      <w:isLgl/>
      <w:lvlText w:val="%1.%2.%3.%4.%5.%6.%7.%8"/>
      <w:lvlJc w:val="left"/>
      <w:pPr>
        <w:ind w:left="873" w:hanging="1440"/>
      </w:pPr>
      <w:rPr>
        <w:rFonts w:hint="default"/>
        <w:b w:val="0"/>
        <w:u w:val="none"/>
      </w:rPr>
    </w:lvl>
    <w:lvl w:ilvl="8">
      <w:start w:val="1"/>
      <w:numFmt w:val="decimal"/>
      <w:isLgl/>
      <w:lvlText w:val="%1.%2.%3.%4.%5.%6.%7.%8.%9"/>
      <w:lvlJc w:val="left"/>
      <w:pPr>
        <w:ind w:left="1233" w:hanging="1800"/>
      </w:pPr>
      <w:rPr>
        <w:rFonts w:hint="default"/>
        <w:b w:val="0"/>
        <w:u w:val="none"/>
      </w:rPr>
    </w:lvl>
  </w:abstractNum>
  <w:abstractNum w:abstractNumId="13">
    <w:nsid w:val="2595046E"/>
    <w:multiLevelType w:val="multilevel"/>
    <w:tmpl w:val="11CE7DBE"/>
    <w:lvl w:ilvl="0">
      <w:start w:val="1"/>
      <w:numFmt w:val="decimal"/>
      <w:lvlText w:val="%1."/>
      <w:lvlJc w:val="left"/>
      <w:pPr>
        <w:ind w:left="1120" w:hanging="7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275D53DD"/>
    <w:multiLevelType w:val="multilevel"/>
    <w:tmpl w:val="3970D40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C917FA7"/>
    <w:multiLevelType w:val="multilevel"/>
    <w:tmpl w:val="0E8E9F56"/>
    <w:lvl w:ilvl="0">
      <w:start w:val="1"/>
      <w:numFmt w:val="decimal"/>
      <w:lvlText w:val="%1."/>
      <w:lvlJc w:val="left"/>
      <w:pPr>
        <w:ind w:left="-207"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2727" w:hanging="720"/>
      </w:pPr>
      <w:rPr>
        <w:rFonts w:hint="default"/>
      </w:rPr>
    </w:lvl>
    <w:lvl w:ilvl="3">
      <w:start w:val="1"/>
      <w:numFmt w:val="decimal"/>
      <w:isLgl/>
      <w:lvlText w:val="%1.%2.%3.%4"/>
      <w:lvlJc w:val="left"/>
      <w:pPr>
        <w:ind w:left="4014" w:hanging="720"/>
      </w:pPr>
      <w:rPr>
        <w:rFonts w:hint="default"/>
      </w:rPr>
    </w:lvl>
    <w:lvl w:ilvl="4">
      <w:start w:val="1"/>
      <w:numFmt w:val="decimal"/>
      <w:isLgl/>
      <w:lvlText w:val="%1.%2.%3.%4.%5"/>
      <w:lvlJc w:val="left"/>
      <w:pPr>
        <w:ind w:left="5661" w:hanging="1080"/>
      </w:pPr>
      <w:rPr>
        <w:rFonts w:hint="default"/>
      </w:rPr>
    </w:lvl>
    <w:lvl w:ilvl="5">
      <w:start w:val="1"/>
      <w:numFmt w:val="decimal"/>
      <w:isLgl/>
      <w:lvlText w:val="%1.%2.%3.%4.%5.%6"/>
      <w:lvlJc w:val="left"/>
      <w:pPr>
        <w:ind w:left="6948" w:hanging="1080"/>
      </w:pPr>
      <w:rPr>
        <w:rFonts w:hint="default"/>
      </w:rPr>
    </w:lvl>
    <w:lvl w:ilvl="6">
      <w:start w:val="1"/>
      <w:numFmt w:val="decimal"/>
      <w:isLgl/>
      <w:lvlText w:val="%1.%2.%3.%4.%5.%6.%7"/>
      <w:lvlJc w:val="left"/>
      <w:pPr>
        <w:ind w:left="8595" w:hanging="1440"/>
      </w:pPr>
      <w:rPr>
        <w:rFonts w:hint="default"/>
      </w:rPr>
    </w:lvl>
    <w:lvl w:ilvl="7">
      <w:start w:val="1"/>
      <w:numFmt w:val="decimal"/>
      <w:isLgl/>
      <w:lvlText w:val="%1.%2.%3.%4.%5.%6.%7.%8"/>
      <w:lvlJc w:val="left"/>
      <w:pPr>
        <w:ind w:left="9882" w:hanging="1440"/>
      </w:pPr>
      <w:rPr>
        <w:rFonts w:hint="default"/>
      </w:rPr>
    </w:lvl>
    <w:lvl w:ilvl="8">
      <w:start w:val="1"/>
      <w:numFmt w:val="decimal"/>
      <w:isLgl/>
      <w:lvlText w:val="%1.%2.%3.%4.%5.%6.%7.%8.%9"/>
      <w:lvlJc w:val="left"/>
      <w:pPr>
        <w:ind w:left="11529" w:hanging="1800"/>
      </w:pPr>
      <w:rPr>
        <w:rFonts w:hint="default"/>
      </w:rPr>
    </w:lvl>
  </w:abstractNum>
  <w:abstractNum w:abstractNumId="16">
    <w:nsid w:val="2CF322C9"/>
    <w:multiLevelType w:val="hybridMultilevel"/>
    <w:tmpl w:val="D6203028"/>
    <w:lvl w:ilvl="0" w:tplc="A426F0A0">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7">
    <w:nsid w:val="2D3B5E9D"/>
    <w:multiLevelType w:val="hybridMultilevel"/>
    <w:tmpl w:val="67908110"/>
    <w:lvl w:ilvl="0" w:tplc="9A5662B0">
      <w:start w:val="1"/>
      <w:numFmt w:val="decimal"/>
      <w:lvlText w:val="%1."/>
      <w:lvlJc w:val="left"/>
      <w:pPr>
        <w:ind w:left="1160" w:hanging="8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9B591B"/>
    <w:multiLevelType w:val="multilevel"/>
    <w:tmpl w:val="6074A8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0158AE"/>
    <w:multiLevelType w:val="multilevel"/>
    <w:tmpl w:val="A0CC2C44"/>
    <w:lvl w:ilvl="0">
      <w:start w:val="3"/>
      <w:numFmt w:val="decimal"/>
      <w:lvlText w:val="%1"/>
      <w:lvlJc w:val="left"/>
      <w:pPr>
        <w:ind w:left="360" w:hanging="360"/>
      </w:pPr>
      <w:rPr>
        <w:rFonts w:hint="default"/>
      </w:rPr>
    </w:lvl>
    <w:lvl w:ilvl="1">
      <w:start w:val="1"/>
      <w:numFmt w:val="decimal"/>
      <w:lvlText w:val="%1.%2"/>
      <w:lvlJc w:val="left"/>
      <w:pPr>
        <w:ind w:left="513" w:hanging="360"/>
      </w:pPr>
      <w:rPr>
        <w:rFonts w:hint="default"/>
      </w:rPr>
    </w:lvl>
    <w:lvl w:ilvl="2">
      <w:start w:val="1"/>
      <w:numFmt w:val="decimal"/>
      <w:lvlText w:val="%1.%2.%3"/>
      <w:lvlJc w:val="left"/>
      <w:pPr>
        <w:ind w:left="1026" w:hanging="720"/>
      </w:pPr>
      <w:rPr>
        <w:rFonts w:hint="default"/>
      </w:rPr>
    </w:lvl>
    <w:lvl w:ilvl="3">
      <w:start w:val="1"/>
      <w:numFmt w:val="decimal"/>
      <w:lvlText w:val="%1.%2.%3.%4"/>
      <w:lvlJc w:val="left"/>
      <w:pPr>
        <w:ind w:left="1179" w:hanging="720"/>
      </w:pPr>
      <w:rPr>
        <w:rFonts w:hint="default"/>
      </w:rPr>
    </w:lvl>
    <w:lvl w:ilvl="4">
      <w:start w:val="1"/>
      <w:numFmt w:val="decimal"/>
      <w:lvlText w:val="%1.%2.%3.%4.%5"/>
      <w:lvlJc w:val="left"/>
      <w:pPr>
        <w:ind w:left="1692" w:hanging="1080"/>
      </w:pPr>
      <w:rPr>
        <w:rFonts w:hint="default"/>
      </w:rPr>
    </w:lvl>
    <w:lvl w:ilvl="5">
      <w:start w:val="1"/>
      <w:numFmt w:val="decimal"/>
      <w:lvlText w:val="%1.%2.%3.%4.%5.%6"/>
      <w:lvlJc w:val="left"/>
      <w:pPr>
        <w:ind w:left="1845" w:hanging="108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511" w:hanging="1440"/>
      </w:pPr>
      <w:rPr>
        <w:rFonts w:hint="default"/>
      </w:rPr>
    </w:lvl>
    <w:lvl w:ilvl="8">
      <w:start w:val="1"/>
      <w:numFmt w:val="decimal"/>
      <w:lvlText w:val="%1.%2.%3.%4.%5.%6.%7.%8.%9"/>
      <w:lvlJc w:val="left"/>
      <w:pPr>
        <w:ind w:left="3024" w:hanging="1800"/>
      </w:pPr>
      <w:rPr>
        <w:rFonts w:hint="default"/>
      </w:rPr>
    </w:lvl>
  </w:abstractNum>
  <w:abstractNum w:abstractNumId="20">
    <w:nsid w:val="35AE1590"/>
    <w:multiLevelType w:val="multilevel"/>
    <w:tmpl w:val="AFFE43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38EA368D"/>
    <w:multiLevelType w:val="multilevel"/>
    <w:tmpl w:val="077EAEE0"/>
    <w:lvl w:ilvl="0">
      <w:start w:val="4"/>
      <w:numFmt w:val="decimal"/>
      <w:lvlText w:val="%1"/>
      <w:lvlJc w:val="left"/>
      <w:pPr>
        <w:ind w:left="480" w:hanging="480"/>
      </w:pPr>
      <w:rPr>
        <w:rFonts w:hint="default"/>
      </w:rPr>
    </w:lvl>
    <w:lvl w:ilvl="1">
      <w:start w:val="3"/>
      <w:numFmt w:val="decimal"/>
      <w:lvlText w:val="%1.%2"/>
      <w:lvlJc w:val="left"/>
      <w:pPr>
        <w:ind w:left="377" w:hanging="480"/>
      </w:pPr>
      <w:rPr>
        <w:rFonts w:hint="default"/>
      </w:rPr>
    </w:lvl>
    <w:lvl w:ilvl="2">
      <w:start w:val="4"/>
      <w:numFmt w:val="decimal"/>
      <w:lvlText w:val="%1.%2.%3"/>
      <w:lvlJc w:val="left"/>
      <w:pPr>
        <w:ind w:left="514" w:hanging="720"/>
      </w:pPr>
      <w:rPr>
        <w:rFonts w:hint="default"/>
      </w:rPr>
    </w:lvl>
    <w:lvl w:ilvl="3">
      <w:start w:val="1"/>
      <w:numFmt w:val="decimal"/>
      <w:lvlText w:val="%1.%2.%3.%4"/>
      <w:lvlJc w:val="left"/>
      <w:pPr>
        <w:ind w:left="411" w:hanging="720"/>
      </w:pPr>
      <w:rPr>
        <w:rFonts w:hint="default"/>
      </w:rPr>
    </w:lvl>
    <w:lvl w:ilvl="4">
      <w:start w:val="1"/>
      <w:numFmt w:val="decimal"/>
      <w:lvlText w:val="%1.%2.%3.%4.%5"/>
      <w:lvlJc w:val="left"/>
      <w:pPr>
        <w:ind w:left="668" w:hanging="1080"/>
      </w:pPr>
      <w:rPr>
        <w:rFonts w:hint="default"/>
      </w:rPr>
    </w:lvl>
    <w:lvl w:ilvl="5">
      <w:start w:val="1"/>
      <w:numFmt w:val="decimal"/>
      <w:lvlText w:val="%1.%2.%3.%4.%5.%6"/>
      <w:lvlJc w:val="left"/>
      <w:pPr>
        <w:ind w:left="565" w:hanging="1080"/>
      </w:pPr>
      <w:rPr>
        <w:rFonts w:hint="default"/>
      </w:rPr>
    </w:lvl>
    <w:lvl w:ilvl="6">
      <w:start w:val="1"/>
      <w:numFmt w:val="decimal"/>
      <w:lvlText w:val="%1.%2.%3.%4.%5.%6.%7"/>
      <w:lvlJc w:val="left"/>
      <w:pPr>
        <w:ind w:left="822" w:hanging="1440"/>
      </w:pPr>
      <w:rPr>
        <w:rFonts w:hint="default"/>
      </w:rPr>
    </w:lvl>
    <w:lvl w:ilvl="7">
      <w:start w:val="1"/>
      <w:numFmt w:val="decimal"/>
      <w:lvlText w:val="%1.%2.%3.%4.%5.%6.%7.%8"/>
      <w:lvlJc w:val="left"/>
      <w:pPr>
        <w:ind w:left="719" w:hanging="1440"/>
      </w:pPr>
      <w:rPr>
        <w:rFonts w:hint="default"/>
      </w:rPr>
    </w:lvl>
    <w:lvl w:ilvl="8">
      <w:start w:val="1"/>
      <w:numFmt w:val="decimal"/>
      <w:lvlText w:val="%1.%2.%3.%4.%5.%6.%7.%8.%9"/>
      <w:lvlJc w:val="left"/>
      <w:pPr>
        <w:ind w:left="976" w:hanging="1800"/>
      </w:pPr>
      <w:rPr>
        <w:rFonts w:hint="default"/>
      </w:rPr>
    </w:lvl>
  </w:abstractNum>
  <w:abstractNum w:abstractNumId="22">
    <w:nsid w:val="39F651A0"/>
    <w:multiLevelType w:val="multilevel"/>
    <w:tmpl w:val="42122676"/>
    <w:lvl w:ilvl="0">
      <w:start w:val="2"/>
      <w:numFmt w:val="decimal"/>
      <w:lvlText w:val="%1"/>
      <w:lvlJc w:val="left"/>
      <w:pPr>
        <w:ind w:left="360" w:hanging="360"/>
      </w:pPr>
      <w:rPr>
        <w:rFonts w:hint="default"/>
        <w:b w:val="0"/>
        <w:u w:val="none"/>
      </w:rPr>
    </w:lvl>
    <w:lvl w:ilvl="1">
      <w:start w:val="1"/>
      <w:numFmt w:val="decimal"/>
      <w:lvlText w:val="%1.%2"/>
      <w:lvlJc w:val="left"/>
      <w:pPr>
        <w:ind w:left="-207" w:hanging="360"/>
      </w:pPr>
      <w:rPr>
        <w:rFonts w:hint="default"/>
        <w:b/>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529" w:hanging="144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23">
    <w:nsid w:val="3C44337A"/>
    <w:multiLevelType w:val="multilevel"/>
    <w:tmpl w:val="2F74D14C"/>
    <w:lvl w:ilvl="0">
      <w:start w:val="5"/>
      <w:numFmt w:val="decimal"/>
      <w:lvlText w:val="%1"/>
      <w:lvlJc w:val="left"/>
      <w:pPr>
        <w:ind w:left="360" w:hanging="360"/>
      </w:pPr>
      <w:rPr>
        <w:rFonts w:hint="default"/>
      </w:rPr>
    </w:lvl>
    <w:lvl w:ilvl="1">
      <w:start w:val="1"/>
      <w:numFmt w:val="decimal"/>
      <w:lvlText w:val="%1.%2"/>
      <w:lvlJc w:val="left"/>
      <w:pPr>
        <w:ind w:left="513" w:hanging="360"/>
      </w:pPr>
      <w:rPr>
        <w:rFonts w:hint="default"/>
      </w:rPr>
    </w:lvl>
    <w:lvl w:ilvl="2">
      <w:start w:val="1"/>
      <w:numFmt w:val="decimal"/>
      <w:lvlText w:val="%1.%2.%3"/>
      <w:lvlJc w:val="left"/>
      <w:pPr>
        <w:ind w:left="1026" w:hanging="720"/>
      </w:pPr>
      <w:rPr>
        <w:rFonts w:hint="default"/>
      </w:rPr>
    </w:lvl>
    <w:lvl w:ilvl="3">
      <w:start w:val="1"/>
      <w:numFmt w:val="decimal"/>
      <w:lvlText w:val="%1.%2.%3.%4"/>
      <w:lvlJc w:val="left"/>
      <w:pPr>
        <w:ind w:left="1179" w:hanging="720"/>
      </w:pPr>
      <w:rPr>
        <w:rFonts w:hint="default"/>
      </w:rPr>
    </w:lvl>
    <w:lvl w:ilvl="4">
      <w:start w:val="1"/>
      <w:numFmt w:val="decimal"/>
      <w:lvlText w:val="%1.%2.%3.%4.%5"/>
      <w:lvlJc w:val="left"/>
      <w:pPr>
        <w:ind w:left="1692" w:hanging="1080"/>
      </w:pPr>
      <w:rPr>
        <w:rFonts w:hint="default"/>
      </w:rPr>
    </w:lvl>
    <w:lvl w:ilvl="5">
      <w:start w:val="1"/>
      <w:numFmt w:val="decimal"/>
      <w:lvlText w:val="%1.%2.%3.%4.%5.%6"/>
      <w:lvlJc w:val="left"/>
      <w:pPr>
        <w:ind w:left="1845" w:hanging="108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511" w:hanging="1440"/>
      </w:pPr>
      <w:rPr>
        <w:rFonts w:hint="default"/>
      </w:rPr>
    </w:lvl>
    <w:lvl w:ilvl="8">
      <w:start w:val="1"/>
      <w:numFmt w:val="decimal"/>
      <w:lvlText w:val="%1.%2.%3.%4.%5.%6.%7.%8.%9"/>
      <w:lvlJc w:val="left"/>
      <w:pPr>
        <w:ind w:left="3024" w:hanging="1800"/>
      </w:pPr>
      <w:rPr>
        <w:rFonts w:hint="default"/>
      </w:rPr>
    </w:lvl>
  </w:abstractNum>
  <w:abstractNum w:abstractNumId="24">
    <w:nsid w:val="4ED90F9A"/>
    <w:multiLevelType w:val="multilevel"/>
    <w:tmpl w:val="1A92B0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50911B5C"/>
    <w:multiLevelType w:val="hybridMultilevel"/>
    <w:tmpl w:val="4C92F76A"/>
    <w:lvl w:ilvl="0" w:tplc="3A8ECFCC">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26">
    <w:nsid w:val="549B0338"/>
    <w:multiLevelType w:val="multilevel"/>
    <w:tmpl w:val="4ADC56A4"/>
    <w:lvl w:ilvl="0">
      <w:start w:val="4"/>
      <w:numFmt w:val="decimal"/>
      <w:lvlText w:val="%1"/>
      <w:lvlJc w:val="left"/>
      <w:pPr>
        <w:ind w:left="480" w:hanging="480"/>
      </w:pPr>
      <w:rPr>
        <w:rFonts w:hint="default"/>
      </w:rPr>
    </w:lvl>
    <w:lvl w:ilvl="1">
      <w:start w:val="3"/>
      <w:numFmt w:val="decimal"/>
      <w:lvlText w:val="%1.%2"/>
      <w:lvlJc w:val="left"/>
      <w:pPr>
        <w:ind w:left="409" w:hanging="480"/>
      </w:pPr>
      <w:rPr>
        <w:rFonts w:hint="default"/>
      </w:rPr>
    </w:lvl>
    <w:lvl w:ilvl="2">
      <w:start w:val="2"/>
      <w:numFmt w:val="decimal"/>
      <w:lvlText w:val="%1.%2.%3"/>
      <w:lvlJc w:val="left"/>
      <w:pPr>
        <w:ind w:left="578" w:hanging="720"/>
      </w:pPr>
      <w:rPr>
        <w:rFonts w:hint="default"/>
      </w:rPr>
    </w:lvl>
    <w:lvl w:ilvl="3">
      <w:start w:val="1"/>
      <w:numFmt w:val="decimal"/>
      <w:lvlText w:val="%1.%2.%3.%4"/>
      <w:lvlJc w:val="left"/>
      <w:pPr>
        <w:ind w:left="507"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25" w:hanging="108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943" w:hanging="1440"/>
      </w:pPr>
      <w:rPr>
        <w:rFonts w:hint="default"/>
      </w:rPr>
    </w:lvl>
    <w:lvl w:ilvl="8">
      <w:start w:val="1"/>
      <w:numFmt w:val="decimal"/>
      <w:lvlText w:val="%1.%2.%3.%4.%5.%6.%7.%8.%9"/>
      <w:lvlJc w:val="left"/>
      <w:pPr>
        <w:ind w:left="1232" w:hanging="1800"/>
      </w:pPr>
      <w:rPr>
        <w:rFonts w:hint="default"/>
      </w:rPr>
    </w:lvl>
  </w:abstractNum>
  <w:abstractNum w:abstractNumId="27">
    <w:nsid w:val="56D90144"/>
    <w:multiLevelType w:val="hybridMultilevel"/>
    <w:tmpl w:val="057EED7C"/>
    <w:lvl w:ilvl="0" w:tplc="4A3E8502">
      <w:start w:val="1"/>
      <w:numFmt w:val="decimal"/>
      <w:lvlText w:val="%1."/>
      <w:lvlJc w:val="left"/>
      <w:pPr>
        <w:ind w:left="587" w:hanging="360"/>
      </w:pPr>
      <w:rPr>
        <w:rFonts w:hint="default"/>
      </w:rPr>
    </w:lvl>
    <w:lvl w:ilvl="1" w:tplc="1C090019" w:tentative="1">
      <w:start w:val="1"/>
      <w:numFmt w:val="lowerLetter"/>
      <w:lvlText w:val="%2."/>
      <w:lvlJc w:val="left"/>
      <w:pPr>
        <w:ind w:left="1307" w:hanging="360"/>
      </w:pPr>
    </w:lvl>
    <w:lvl w:ilvl="2" w:tplc="1C09001B" w:tentative="1">
      <w:start w:val="1"/>
      <w:numFmt w:val="lowerRoman"/>
      <w:lvlText w:val="%3."/>
      <w:lvlJc w:val="right"/>
      <w:pPr>
        <w:ind w:left="2027" w:hanging="180"/>
      </w:pPr>
    </w:lvl>
    <w:lvl w:ilvl="3" w:tplc="1C09000F" w:tentative="1">
      <w:start w:val="1"/>
      <w:numFmt w:val="decimal"/>
      <w:lvlText w:val="%4."/>
      <w:lvlJc w:val="left"/>
      <w:pPr>
        <w:ind w:left="2747" w:hanging="360"/>
      </w:pPr>
    </w:lvl>
    <w:lvl w:ilvl="4" w:tplc="1C090019" w:tentative="1">
      <w:start w:val="1"/>
      <w:numFmt w:val="lowerLetter"/>
      <w:lvlText w:val="%5."/>
      <w:lvlJc w:val="left"/>
      <w:pPr>
        <w:ind w:left="3467" w:hanging="360"/>
      </w:pPr>
    </w:lvl>
    <w:lvl w:ilvl="5" w:tplc="1C09001B" w:tentative="1">
      <w:start w:val="1"/>
      <w:numFmt w:val="lowerRoman"/>
      <w:lvlText w:val="%6."/>
      <w:lvlJc w:val="right"/>
      <w:pPr>
        <w:ind w:left="4187" w:hanging="180"/>
      </w:pPr>
    </w:lvl>
    <w:lvl w:ilvl="6" w:tplc="1C09000F" w:tentative="1">
      <w:start w:val="1"/>
      <w:numFmt w:val="decimal"/>
      <w:lvlText w:val="%7."/>
      <w:lvlJc w:val="left"/>
      <w:pPr>
        <w:ind w:left="4907" w:hanging="360"/>
      </w:pPr>
    </w:lvl>
    <w:lvl w:ilvl="7" w:tplc="1C090019" w:tentative="1">
      <w:start w:val="1"/>
      <w:numFmt w:val="lowerLetter"/>
      <w:lvlText w:val="%8."/>
      <w:lvlJc w:val="left"/>
      <w:pPr>
        <w:ind w:left="5627" w:hanging="360"/>
      </w:pPr>
    </w:lvl>
    <w:lvl w:ilvl="8" w:tplc="1C09001B" w:tentative="1">
      <w:start w:val="1"/>
      <w:numFmt w:val="lowerRoman"/>
      <w:lvlText w:val="%9."/>
      <w:lvlJc w:val="right"/>
      <w:pPr>
        <w:ind w:left="6347" w:hanging="180"/>
      </w:pPr>
    </w:lvl>
  </w:abstractNum>
  <w:abstractNum w:abstractNumId="28">
    <w:nsid w:val="58B54FED"/>
    <w:multiLevelType w:val="hybridMultilevel"/>
    <w:tmpl w:val="17325130"/>
    <w:lvl w:ilvl="0" w:tplc="C366B00A">
      <w:start w:val="1"/>
      <w:numFmt w:val="decimal"/>
      <w:lvlText w:val="%1."/>
      <w:lvlJc w:val="left"/>
      <w:pPr>
        <w:ind w:left="720" w:hanging="36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155630"/>
    <w:multiLevelType w:val="hybridMultilevel"/>
    <w:tmpl w:val="E04EABB4"/>
    <w:lvl w:ilvl="0" w:tplc="66262B84">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0">
    <w:nsid w:val="591C4621"/>
    <w:multiLevelType w:val="hybridMultilevel"/>
    <w:tmpl w:val="8A323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9B404B"/>
    <w:multiLevelType w:val="multilevel"/>
    <w:tmpl w:val="6D7C8974"/>
    <w:lvl w:ilvl="0">
      <w:start w:val="2"/>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2">
    <w:nsid w:val="5C865367"/>
    <w:multiLevelType w:val="hybridMultilevel"/>
    <w:tmpl w:val="EA72CA34"/>
    <w:lvl w:ilvl="0" w:tplc="739816B2">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3">
    <w:nsid w:val="5CEE5AEA"/>
    <w:multiLevelType w:val="multilevel"/>
    <w:tmpl w:val="FB3A6268"/>
    <w:lvl w:ilvl="0">
      <w:start w:val="4"/>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nsid w:val="5D45782B"/>
    <w:multiLevelType w:val="multilevel"/>
    <w:tmpl w:val="6FB6035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5">
    <w:nsid w:val="66BF77D7"/>
    <w:multiLevelType w:val="hybridMultilevel"/>
    <w:tmpl w:val="18F49B00"/>
    <w:lvl w:ilvl="0" w:tplc="4EA8F3DE">
      <w:start w:val="1"/>
      <w:numFmt w:val="decimal"/>
      <w:lvlText w:val="%1."/>
      <w:lvlJc w:val="left"/>
      <w:pPr>
        <w:ind w:left="-207" w:hanging="360"/>
      </w:pPr>
      <w:rPr>
        <w:rFonts w:hint="default"/>
      </w:rPr>
    </w:lvl>
    <w:lvl w:ilvl="1" w:tplc="04090019">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6">
    <w:nsid w:val="66EE0F32"/>
    <w:multiLevelType w:val="multilevel"/>
    <w:tmpl w:val="31388034"/>
    <w:lvl w:ilvl="0">
      <w:start w:val="6"/>
      <w:numFmt w:val="decimal"/>
      <w:lvlText w:val="%1"/>
      <w:lvlJc w:val="left"/>
      <w:pPr>
        <w:ind w:left="360" w:hanging="360"/>
      </w:pPr>
      <w:rPr>
        <w:rFonts w:hint="default"/>
      </w:rPr>
    </w:lvl>
    <w:lvl w:ilvl="1">
      <w:start w:val="1"/>
      <w:numFmt w:val="decimal"/>
      <w:lvlText w:val="%1.%2"/>
      <w:lvlJc w:val="left"/>
      <w:pPr>
        <w:ind w:left="153" w:hanging="360"/>
      </w:pPr>
      <w:rPr>
        <w:rFonts w:hint="default"/>
      </w:rPr>
    </w:lvl>
    <w:lvl w:ilvl="2">
      <w:start w:val="1"/>
      <w:numFmt w:val="decimal"/>
      <w:lvlText w:val="%1.%2.%3"/>
      <w:lvlJc w:val="left"/>
      <w:pPr>
        <w:ind w:left="306" w:hanging="720"/>
      </w:pPr>
      <w:rPr>
        <w:rFonts w:hint="default"/>
      </w:rPr>
    </w:lvl>
    <w:lvl w:ilvl="3">
      <w:start w:val="1"/>
      <w:numFmt w:val="decimal"/>
      <w:lvlText w:val="%1.%2.%3.%4"/>
      <w:lvlJc w:val="left"/>
      <w:pPr>
        <w:ind w:left="99" w:hanging="720"/>
      </w:pPr>
      <w:rPr>
        <w:rFonts w:hint="default"/>
      </w:rPr>
    </w:lvl>
    <w:lvl w:ilvl="4">
      <w:start w:val="1"/>
      <w:numFmt w:val="decimal"/>
      <w:lvlText w:val="%1.%2.%3.%4.%5"/>
      <w:lvlJc w:val="left"/>
      <w:pPr>
        <w:ind w:left="252" w:hanging="1080"/>
      </w:pPr>
      <w:rPr>
        <w:rFonts w:hint="default"/>
      </w:rPr>
    </w:lvl>
    <w:lvl w:ilvl="5">
      <w:start w:val="1"/>
      <w:numFmt w:val="decimal"/>
      <w:lvlText w:val="%1.%2.%3.%4.%5.%6"/>
      <w:lvlJc w:val="left"/>
      <w:pPr>
        <w:ind w:left="45" w:hanging="1080"/>
      </w:pPr>
      <w:rPr>
        <w:rFonts w:hint="default"/>
      </w:rPr>
    </w:lvl>
    <w:lvl w:ilvl="6">
      <w:start w:val="1"/>
      <w:numFmt w:val="decimal"/>
      <w:lvlText w:val="%1.%2.%3.%4.%5.%6.%7"/>
      <w:lvlJc w:val="left"/>
      <w:pPr>
        <w:ind w:left="198" w:hanging="1440"/>
      </w:pPr>
      <w:rPr>
        <w:rFonts w:hint="default"/>
      </w:rPr>
    </w:lvl>
    <w:lvl w:ilvl="7">
      <w:start w:val="1"/>
      <w:numFmt w:val="decimal"/>
      <w:lvlText w:val="%1.%2.%3.%4.%5.%6.%7.%8"/>
      <w:lvlJc w:val="left"/>
      <w:pPr>
        <w:ind w:left="-9" w:hanging="1440"/>
      </w:pPr>
      <w:rPr>
        <w:rFonts w:hint="default"/>
      </w:rPr>
    </w:lvl>
    <w:lvl w:ilvl="8">
      <w:start w:val="1"/>
      <w:numFmt w:val="decimal"/>
      <w:lvlText w:val="%1.%2.%3.%4.%5.%6.%7.%8.%9"/>
      <w:lvlJc w:val="left"/>
      <w:pPr>
        <w:ind w:left="144" w:hanging="1800"/>
      </w:pPr>
      <w:rPr>
        <w:rFonts w:hint="default"/>
      </w:rPr>
    </w:lvl>
  </w:abstractNum>
  <w:abstractNum w:abstractNumId="37">
    <w:nsid w:val="6ECB42F0"/>
    <w:multiLevelType w:val="hybridMultilevel"/>
    <w:tmpl w:val="BC5ED45E"/>
    <w:lvl w:ilvl="0" w:tplc="D5969B3C">
      <w:start w:val="1"/>
      <w:numFmt w:val="decimal"/>
      <w:lvlText w:val="%1."/>
      <w:lvlJc w:val="left"/>
      <w:pPr>
        <w:ind w:left="720" w:hanging="360"/>
      </w:pPr>
      <w:rPr>
        <w:rFonts w:ascii="Times New Roman" w:eastAsiaTheme="minorHAnsi" w:hAnsi="Times New Roman" w:cs="Times New Roman"/>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8">
    <w:nsid w:val="6F543BE1"/>
    <w:multiLevelType w:val="hybridMultilevel"/>
    <w:tmpl w:val="01F6AD06"/>
    <w:lvl w:ilvl="0" w:tplc="0F22FBB6">
      <w:start w:val="3"/>
      <w:numFmt w:val="bullet"/>
      <w:lvlText w:val="—"/>
      <w:lvlJc w:val="left"/>
      <w:pPr>
        <w:ind w:left="9891" w:hanging="360"/>
      </w:pPr>
      <w:rPr>
        <w:rFonts w:ascii="Optima" w:eastAsiaTheme="minorEastAsia" w:hAnsi="Optima" w:cs="Optima" w:hint="default"/>
        <w:i/>
        <w:color w:val="131313"/>
      </w:rPr>
    </w:lvl>
    <w:lvl w:ilvl="1" w:tplc="04090003" w:tentative="1">
      <w:start w:val="1"/>
      <w:numFmt w:val="bullet"/>
      <w:lvlText w:val="o"/>
      <w:lvlJc w:val="left"/>
      <w:pPr>
        <w:ind w:left="10611" w:hanging="360"/>
      </w:pPr>
      <w:rPr>
        <w:rFonts w:ascii="Courier New" w:hAnsi="Courier New" w:hint="default"/>
      </w:rPr>
    </w:lvl>
    <w:lvl w:ilvl="2" w:tplc="04090005" w:tentative="1">
      <w:start w:val="1"/>
      <w:numFmt w:val="bullet"/>
      <w:lvlText w:val=""/>
      <w:lvlJc w:val="left"/>
      <w:pPr>
        <w:ind w:left="11331" w:hanging="360"/>
      </w:pPr>
      <w:rPr>
        <w:rFonts w:ascii="Wingdings" w:hAnsi="Wingdings" w:hint="default"/>
      </w:rPr>
    </w:lvl>
    <w:lvl w:ilvl="3" w:tplc="04090001" w:tentative="1">
      <w:start w:val="1"/>
      <w:numFmt w:val="bullet"/>
      <w:lvlText w:val=""/>
      <w:lvlJc w:val="left"/>
      <w:pPr>
        <w:ind w:left="12051" w:hanging="360"/>
      </w:pPr>
      <w:rPr>
        <w:rFonts w:ascii="Symbol" w:hAnsi="Symbol" w:hint="default"/>
      </w:rPr>
    </w:lvl>
    <w:lvl w:ilvl="4" w:tplc="04090003" w:tentative="1">
      <w:start w:val="1"/>
      <w:numFmt w:val="bullet"/>
      <w:lvlText w:val="o"/>
      <w:lvlJc w:val="left"/>
      <w:pPr>
        <w:ind w:left="12771" w:hanging="360"/>
      </w:pPr>
      <w:rPr>
        <w:rFonts w:ascii="Courier New" w:hAnsi="Courier New" w:hint="default"/>
      </w:rPr>
    </w:lvl>
    <w:lvl w:ilvl="5" w:tplc="04090005" w:tentative="1">
      <w:start w:val="1"/>
      <w:numFmt w:val="bullet"/>
      <w:lvlText w:val=""/>
      <w:lvlJc w:val="left"/>
      <w:pPr>
        <w:ind w:left="13491" w:hanging="360"/>
      </w:pPr>
      <w:rPr>
        <w:rFonts w:ascii="Wingdings" w:hAnsi="Wingdings" w:hint="default"/>
      </w:rPr>
    </w:lvl>
    <w:lvl w:ilvl="6" w:tplc="04090001" w:tentative="1">
      <w:start w:val="1"/>
      <w:numFmt w:val="bullet"/>
      <w:lvlText w:val=""/>
      <w:lvlJc w:val="left"/>
      <w:pPr>
        <w:ind w:left="14211" w:hanging="360"/>
      </w:pPr>
      <w:rPr>
        <w:rFonts w:ascii="Symbol" w:hAnsi="Symbol" w:hint="default"/>
      </w:rPr>
    </w:lvl>
    <w:lvl w:ilvl="7" w:tplc="04090003" w:tentative="1">
      <w:start w:val="1"/>
      <w:numFmt w:val="bullet"/>
      <w:lvlText w:val="o"/>
      <w:lvlJc w:val="left"/>
      <w:pPr>
        <w:ind w:left="14931" w:hanging="360"/>
      </w:pPr>
      <w:rPr>
        <w:rFonts w:ascii="Courier New" w:hAnsi="Courier New" w:hint="default"/>
      </w:rPr>
    </w:lvl>
    <w:lvl w:ilvl="8" w:tplc="04090005" w:tentative="1">
      <w:start w:val="1"/>
      <w:numFmt w:val="bullet"/>
      <w:lvlText w:val=""/>
      <w:lvlJc w:val="left"/>
      <w:pPr>
        <w:ind w:left="15651" w:hanging="360"/>
      </w:pPr>
      <w:rPr>
        <w:rFonts w:ascii="Wingdings" w:hAnsi="Wingdings" w:hint="default"/>
      </w:rPr>
    </w:lvl>
  </w:abstractNum>
  <w:abstractNum w:abstractNumId="39">
    <w:nsid w:val="722B27BF"/>
    <w:multiLevelType w:val="multilevel"/>
    <w:tmpl w:val="1696C9E8"/>
    <w:lvl w:ilvl="0">
      <w:start w:val="3"/>
      <w:numFmt w:val="decimal"/>
      <w:lvlText w:val="%1"/>
      <w:lvlJc w:val="left"/>
      <w:pPr>
        <w:ind w:left="460" w:hanging="460"/>
      </w:pPr>
      <w:rPr>
        <w:rFonts w:hint="default"/>
      </w:rPr>
    </w:lvl>
    <w:lvl w:ilvl="1">
      <w:start w:val="5"/>
      <w:numFmt w:val="decimal"/>
      <w:lvlText w:val="%1.%2"/>
      <w:lvlJc w:val="left"/>
      <w:pPr>
        <w:ind w:left="460" w:hanging="4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74C32EC3"/>
    <w:multiLevelType w:val="multilevel"/>
    <w:tmpl w:val="43045FA8"/>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1">
    <w:nsid w:val="772878E9"/>
    <w:multiLevelType w:val="hybridMultilevel"/>
    <w:tmpl w:val="EB746468"/>
    <w:lvl w:ilvl="0" w:tplc="A4D4C646">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42">
    <w:nsid w:val="79A92103"/>
    <w:multiLevelType w:val="hybridMultilevel"/>
    <w:tmpl w:val="EAAC84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8E3976"/>
    <w:multiLevelType w:val="hybridMultilevel"/>
    <w:tmpl w:val="11BE1FA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4">
    <w:nsid w:val="7F3D2901"/>
    <w:multiLevelType w:val="hybridMultilevel"/>
    <w:tmpl w:val="7DA6B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37"/>
  </w:num>
  <w:num w:numId="3">
    <w:abstractNumId w:val="42"/>
  </w:num>
  <w:num w:numId="4">
    <w:abstractNumId w:val="30"/>
  </w:num>
  <w:num w:numId="5">
    <w:abstractNumId w:val="27"/>
  </w:num>
  <w:num w:numId="6">
    <w:abstractNumId w:val="1"/>
  </w:num>
  <w:num w:numId="7">
    <w:abstractNumId w:val="24"/>
  </w:num>
  <w:num w:numId="8">
    <w:abstractNumId w:val="28"/>
  </w:num>
  <w:num w:numId="9">
    <w:abstractNumId w:val="18"/>
  </w:num>
  <w:num w:numId="10">
    <w:abstractNumId w:val="0"/>
  </w:num>
  <w:num w:numId="11">
    <w:abstractNumId w:val="38"/>
  </w:num>
  <w:num w:numId="12">
    <w:abstractNumId w:val="39"/>
  </w:num>
  <w:num w:numId="13">
    <w:abstractNumId w:val="17"/>
  </w:num>
  <w:num w:numId="14">
    <w:abstractNumId w:val="13"/>
  </w:num>
  <w:num w:numId="15">
    <w:abstractNumId w:val="3"/>
  </w:num>
  <w:num w:numId="16">
    <w:abstractNumId w:val="9"/>
  </w:num>
  <w:num w:numId="17">
    <w:abstractNumId w:val="43"/>
  </w:num>
  <w:num w:numId="18">
    <w:abstractNumId w:val="20"/>
  </w:num>
  <w:num w:numId="19">
    <w:abstractNumId w:val="31"/>
  </w:num>
  <w:num w:numId="20">
    <w:abstractNumId w:val="15"/>
  </w:num>
  <w:num w:numId="21">
    <w:abstractNumId w:val="14"/>
  </w:num>
  <w:num w:numId="22">
    <w:abstractNumId w:val="5"/>
  </w:num>
  <w:num w:numId="23">
    <w:abstractNumId w:val="44"/>
  </w:num>
  <w:num w:numId="24">
    <w:abstractNumId w:val="32"/>
  </w:num>
  <w:num w:numId="25">
    <w:abstractNumId w:val="12"/>
  </w:num>
  <w:num w:numId="26">
    <w:abstractNumId w:val="29"/>
  </w:num>
  <w:num w:numId="27">
    <w:abstractNumId w:val="25"/>
  </w:num>
  <w:num w:numId="28">
    <w:abstractNumId w:val="35"/>
  </w:num>
  <w:num w:numId="29">
    <w:abstractNumId w:val="8"/>
  </w:num>
  <w:num w:numId="30">
    <w:abstractNumId w:val="19"/>
  </w:num>
  <w:num w:numId="31">
    <w:abstractNumId w:val="41"/>
  </w:num>
  <w:num w:numId="32">
    <w:abstractNumId w:val="23"/>
  </w:num>
  <w:num w:numId="33">
    <w:abstractNumId w:val="16"/>
  </w:num>
  <w:num w:numId="34">
    <w:abstractNumId w:val="22"/>
  </w:num>
  <w:num w:numId="35">
    <w:abstractNumId w:val="11"/>
  </w:num>
  <w:num w:numId="36">
    <w:abstractNumId w:val="6"/>
  </w:num>
  <w:num w:numId="37">
    <w:abstractNumId w:val="10"/>
  </w:num>
  <w:num w:numId="38">
    <w:abstractNumId w:val="7"/>
  </w:num>
  <w:num w:numId="39">
    <w:abstractNumId w:val="36"/>
  </w:num>
  <w:num w:numId="40">
    <w:abstractNumId w:val="40"/>
  </w:num>
  <w:num w:numId="41">
    <w:abstractNumId w:val="4"/>
  </w:num>
  <w:num w:numId="42">
    <w:abstractNumId w:val="33"/>
  </w:num>
  <w:num w:numId="43">
    <w:abstractNumId w:val="26"/>
  </w:num>
  <w:num w:numId="44">
    <w:abstractNumId w:val="21"/>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699"/>
    <w:rsid w:val="0001775C"/>
    <w:rsid w:val="00032ED6"/>
    <w:rsid w:val="000350D6"/>
    <w:rsid w:val="000454A2"/>
    <w:rsid w:val="0005466F"/>
    <w:rsid w:val="0007181E"/>
    <w:rsid w:val="000905EF"/>
    <w:rsid w:val="000A4881"/>
    <w:rsid w:val="000C3A26"/>
    <w:rsid w:val="000C4C4F"/>
    <w:rsid w:val="000E4472"/>
    <w:rsid w:val="000F0891"/>
    <w:rsid w:val="000F31FD"/>
    <w:rsid w:val="0016632F"/>
    <w:rsid w:val="001B2278"/>
    <w:rsid w:val="001D78F2"/>
    <w:rsid w:val="001F18FA"/>
    <w:rsid w:val="002001FB"/>
    <w:rsid w:val="00201586"/>
    <w:rsid w:val="002320A0"/>
    <w:rsid w:val="00240A3F"/>
    <w:rsid w:val="00244AC9"/>
    <w:rsid w:val="00250CAF"/>
    <w:rsid w:val="002931D2"/>
    <w:rsid w:val="002A607F"/>
    <w:rsid w:val="002A64CD"/>
    <w:rsid w:val="002B6E07"/>
    <w:rsid w:val="002C72FA"/>
    <w:rsid w:val="002C7EEE"/>
    <w:rsid w:val="002E4297"/>
    <w:rsid w:val="002E5D42"/>
    <w:rsid w:val="0030728C"/>
    <w:rsid w:val="00307767"/>
    <w:rsid w:val="003150D5"/>
    <w:rsid w:val="0035261D"/>
    <w:rsid w:val="00361541"/>
    <w:rsid w:val="003727BC"/>
    <w:rsid w:val="003876C0"/>
    <w:rsid w:val="003958E1"/>
    <w:rsid w:val="003977B1"/>
    <w:rsid w:val="003B7F2D"/>
    <w:rsid w:val="003D22FE"/>
    <w:rsid w:val="00435F1E"/>
    <w:rsid w:val="00446B6C"/>
    <w:rsid w:val="004810B3"/>
    <w:rsid w:val="00484F19"/>
    <w:rsid w:val="004E6BEC"/>
    <w:rsid w:val="004F3BCA"/>
    <w:rsid w:val="00502A3B"/>
    <w:rsid w:val="00506269"/>
    <w:rsid w:val="005068F6"/>
    <w:rsid w:val="00507822"/>
    <w:rsid w:val="00512127"/>
    <w:rsid w:val="00520DD5"/>
    <w:rsid w:val="00580699"/>
    <w:rsid w:val="005A4C60"/>
    <w:rsid w:val="005C6626"/>
    <w:rsid w:val="005E2576"/>
    <w:rsid w:val="005E34CF"/>
    <w:rsid w:val="005E73A8"/>
    <w:rsid w:val="005F420E"/>
    <w:rsid w:val="005F691C"/>
    <w:rsid w:val="00610DD2"/>
    <w:rsid w:val="00614B3B"/>
    <w:rsid w:val="00620D6E"/>
    <w:rsid w:val="00667DAC"/>
    <w:rsid w:val="006936D9"/>
    <w:rsid w:val="00695A40"/>
    <w:rsid w:val="006D6317"/>
    <w:rsid w:val="006E0D85"/>
    <w:rsid w:val="00725735"/>
    <w:rsid w:val="00754A04"/>
    <w:rsid w:val="007972E0"/>
    <w:rsid w:val="007A0AA6"/>
    <w:rsid w:val="007B4123"/>
    <w:rsid w:val="007C1947"/>
    <w:rsid w:val="007F40FD"/>
    <w:rsid w:val="007F7E0F"/>
    <w:rsid w:val="00837DF7"/>
    <w:rsid w:val="00883A63"/>
    <w:rsid w:val="008847AA"/>
    <w:rsid w:val="0089522B"/>
    <w:rsid w:val="008B3881"/>
    <w:rsid w:val="008C5C86"/>
    <w:rsid w:val="008D1552"/>
    <w:rsid w:val="008E4470"/>
    <w:rsid w:val="008F4C36"/>
    <w:rsid w:val="00915779"/>
    <w:rsid w:val="0092505D"/>
    <w:rsid w:val="00950C7D"/>
    <w:rsid w:val="009549CE"/>
    <w:rsid w:val="009569EC"/>
    <w:rsid w:val="009B1381"/>
    <w:rsid w:val="009B321C"/>
    <w:rsid w:val="009C005E"/>
    <w:rsid w:val="009C4D0B"/>
    <w:rsid w:val="00A54EA2"/>
    <w:rsid w:val="00A81C29"/>
    <w:rsid w:val="00A90EEB"/>
    <w:rsid w:val="00AB1E73"/>
    <w:rsid w:val="00AD0159"/>
    <w:rsid w:val="00AE43D3"/>
    <w:rsid w:val="00AE6313"/>
    <w:rsid w:val="00B136CD"/>
    <w:rsid w:val="00B22C79"/>
    <w:rsid w:val="00B36538"/>
    <w:rsid w:val="00B700B8"/>
    <w:rsid w:val="00B727A9"/>
    <w:rsid w:val="00B8369E"/>
    <w:rsid w:val="00BD139D"/>
    <w:rsid w:val="00BF3A60"/>
    <w:rsid w:val="00C050BE"/>
    <w:rsid w:val="00C05976"/>
    <w:rsid w:val="00C22EC2"/>
    <w:rsid w:val="00C52467"/>
    <w:rsid w:val="00C70C58"/>
    <w:rsid w:val="00C748CE"/>
    <w:rsid w:val="00C8159A"/>
    <w:rsid w:val="00C82293"/>
    <w:rsid w:val="00CA568D"/>
    <w:rsid w:val="00CB4929"/>
    <w:rsid w:val="00CC1BBB"/>
    <w:rsid w:val="00CC5AE4"/>
    <w:rsid w:val="00CD1CE5"/>
    <w:rsid w:val="00D45116"/>
    <w:rsid w:val="00D72C8F"/>
    <w:rsid w:val="00D85A86"/>
    <w:rsid w:val="00D92501"/>
    <w:rsid w:val="00DB5E3F"/>
    <w:rsid w:val="00DC3A02"/>
    <w:rsid w:val="00DE6D82"/>
    <w:rsid w:val="00E021C9"/>
    <w:rsid w:val="00E1366F"/>
    <w:rsid w:val="00E36A46"/>
    <w:rsid w:val="00E432D2"/>
    <w:rsid w:val="00E6330E"/>
    <w:rsid w:val="00E67A86"/>
    <w:rsid w:val="00EE610B"/>
    <w:rsid w:val="00F37D3F"/>
    <w:rsid w:val="00F65BBB"/>
    <w:rsid w:val="00F7307C"/>
    <w:rsid w:val="00F7499B"/>
    <w:rsid w:val="00F757CD"/>
    <w:rsid w:val="00F95831"/>
    <w:rsid w:val="00FC6A7D"/>
    <w:rsid w:val="00FE6EAB"/>
    <w:rsid w:val="00FF41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48472B"/>
  <w14:defaultImageDpi w14:val="300"/>
  <w15:docId w15:val="{136CEB75-69CB-4A45-88D5-29001D080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699"/>
    <w:pPr>
      <w:ind w:left="720"/>
      <w:contextualSpacing/>
    </w:pPr>
  </w:style>
  <w:style w:type="paragraph" w:styleId="FootnoteText">
    <w:name w:val="footnote text"/>
    <w:basedOn w:val="Normal"/>
    <w:link w:val="FootnoteTextChar"/>
    <w:uiPriority w:val="99"/>
    <w:unhideWhenUsed/>
    <w:rsid w:val="00580699"/>
    <w:rPr>
      <w:sz w:val="20"/>
      <w:szCs w:val="20"/>
      <w:lang w:val="en-ZA" w:eastAsia="en-ZA"/>
    </w:rPr>
  </w:style>
  <w:style w:type="character" w:customStyle="1" w:styleId="FootnoteTextChar">
    <w:name w:val="Footnote Text Char"/>
    <w:basedOn w:val="DefaultParagraphFont"/>
    <w:link w:val="FootnoteText"/>
    <w:uiPriority w:val="99"/>
    <w:rsid w:val="00580699"/>
    <w:rPr>
      <w:sz w:val="20"/>
      <w:szCs w:val="20"/>
      <w:lang w:val="en-ZA" w:eastAsia="en-ZA"/>
    </w:rPr>
  </w:style>
  <w:style w:type="character" w:styleId="FootnoteReference">
    <w:name w:val="footnote reference"/>
    <w:basedOn w:val="DefaultParagraphFont"/>
    <w:uiPriority w:val="99"/>
    <w:unhideWhenUsed/>
    <w:rsid w:val="00580699"/>
    <w:rPr>
      <w:vertAlign w:val="superscript"/>
    </w:rPr>
  </w:style>
  <w:style w:type="table" w:styleId="LightShading-Accent2">
    <w:name w:val="Light Shading Accent 2"/>
    <w:basedOn w:val="TableNormal"/>
    <w:uiPriority w:val="60"/>
    <w:rsid w:val="00580699"/>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580699"/>
    <w:pPr>
      <w:tabs>
        <w:tab w:val="center" w:pos="4320"/>
        <w:tab w:val="right" w:pos="8640"/>
      </w:tabs>
    </w:pPr>
  </w:style>
  <w:style w:type="character" w:customStyle="1" w:styleId="HeaderChar">
    <w:name w:val="Header Char"/>
    <w:basedOn w:val="DefaultParagraphFont"/>
    <w:link w:val="Header"/>
    <w:uiPriority w:val="99"/>
    <w:rsid w:val="00580699"/>
  </w:style>
  <w:style w:type="paragraph" w:styleId="Footer">
    <w:name w:val="footer"/>
    <w:basedOn w:val="Normal"/>
    <w:link w:val="FooterChar"/>
    <w:uiPriority w:val="99"/>
    <w:unhideWhenUsed/>
    <w:rsid w:val="00580699"/>
    <w:pPr>
      <w:tabs>
        <w:tab w:val="center" w:pos="4320"/>
        <w:tab w:val="right" w:pos="8640"/>
      </w:tabs>
    </w:pPr>
  </w:style>
  <w:style w:type="character" w:customStyle="1" w:styleId="FooterChar">
    <w:name w:val="Footer Char"/>
    <w:basedOn w:val="DefaultParagraphFont"/>
    <w:link w:val="Footer"/>
    <w:uiPriority w:val="99"/>
    <w:rsid w:val="00580699"/>
  </w:style>
  <w:style w:type="character" w:styleId="Hyperlink">
    <w:name w:val="Hyperlink"/>
    <w:basedOn w:val="DefaultParagraphFont"/>
    <w:uiPriority w:val="99"/>
    <w:unhideWhenUsed/>
    <w:rsid w:val="00580699"/>
    <w:rPr>
      <w:color w:val="0000FF" w:themeColor="hyperlink"/>
      <w:u w:val="single"/>
    </w:rPr>
  </w:style>
  <w:style w:type="paragraph" w:styleId="NoSpacing">
    <w:name w:val="No Spacing"/>
    <w:link w:val="NoSpacingChar"/>
    <w:qFormat/>
    <w:rsid w:val="00580699"/>
    <w:rPr>
      <w:sz w:val="22"/>
      <w:szCs w:val="22"/>
      <w:lang w:eastAsia="ja-JP"/>
    </w:rPr>
  </w:style>
  <w:style w:type="character" w:customStyle="1" w:styleId="NoSpacingChar">
    <w:name w:val="No Spacing Char"/>
    <w:basedOn w:val="DefaultParagraphFont"/>
    <w:link w:val="NoSpacing"/>
    <w:rsid w:val="00580699"/>
    <w:rPr>
      <w:sz w:val="22"/>
      <w:szCs w:val="22"/>
      <w:lang w:eastAsia="ja-JP"/>
    </w:rPr>
  </w:style>
  <w:style w:type="character" w:styleId="PageNumber">
    <w:name w:val="page number"/>
    <w:basedOn w:val="DefaultParagraphFont"/>
    <w:uiPriority w:val="99"/>
    <w:semiHidden/>
    <w:unhideWhenUsed/>
    <w:rsid w:val="005E2576"/>
  </w:style>
  <w:style w:type="paragraph" w:styleId="BalloonText">
    <w:name w:val="Balloon Text"/>
    <w:basedOn w:val="Normal"/>
    <w:link w:val="BalloonTextChar"/>
    <w:uiPriority w:val="99"/>
    <w:semiHidden/>
    <w:unhideWhenUsed/>
    <w:rsid w:val="00620D6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0D6E"/>
    <w:rPr>
      <w:rFonts w:ascii="Lucida Grande" w:hAnsi="Lucida Grande" w:cs="Lucida Grande"/>
      <w:sz w:val="18"/>
      <w:szCs w:val="18"/>
    </w:rPr>
  </w:style>
  <w:style w:type="character" w:styleId="FollowedHyperlink">
    <w:name w:val="FollowedHyperlink"/>
    <w:basedOn w:val="DefaultParagraphFont"/>
    <w:uiPriority w:val="99"/>
    <w:semiHidden/>
    <w:unhideWhenUsed/>
    <w:rsid w:val="00AD015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yperlink" Target="http://www.brookings.edu/~/media/Files/rc/papers/2009/0608_counterinsurgency_davidson/0608_counterinsurgency_davidson.pdf"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strategicstudiesinstitute.army.mil/pdffiles/pub586.pdf" TargetMode="Externa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money.cnn.com/2008/01/10/news/economy/costofwar.fortune/index.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washingtoninstitute.org/documents/41fa731fb9f4c.pdf" TargetMode="External"/><Relationship Id="rId20" Type="http://schemas.openxmlformats.org/officeDocument/2006/relationships/hyperlink" Target="http://www.clingendael.nl/cru/publications/2012/20121214_Gairdner_NOREF-Clingendael_Risk_and_violence_in_Iraq's_new_sectarian_bal.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eader" Target="header2.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www.brookings.edu/~/media/Files/rc/papers/2009/0608_counterinsurgency_davidson/0608_counterinsurgency_davidson.pdf"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diagramColors" Target="diagrams/colors1.xml"/><Relationship Id="rId22" Type="http://schemas.openxmlformats.org/officeDocument/2006/relationships/hyperlink" Target="http://www.cfr.org/iraq/renewed-violence-iraq/p28808"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clingendael.nl/cru/publications/2012/20121214_Gairdner_NOREF-Clingendael_Risk_and_violence_in_Iraq's_new_sectarian_bal.pdf" TargetMode="External"/><Relationship Id="rId7" Type="http://schemas.openxmlformats.org/officeDocument/2006/relationships/hyperlink" Target="http://www.washingtoninstitute.org/documents/41fa731fb9f4c.pdf" TargetMode="External"/><Relationship Id="rId2" Type="http://schemas.openxmlformats.org/officeDocument/2006/relationships/hyperlink" Target="http://www.cfr.org/iraq/renewed-violence-iraq/p28808" TargetMode="External"/><Relationship Id="rId1" Type="http://schemas.openxmlformats.org/officeDocument/2006/relationships/hyperlink" Target="http://www.brookings.edu/~/media/Files/rc/papers/2009/0608_counterinsurgency_davidson/0608_counterinsurgency_davidson.pdf" TargetMode="External"/><Relationship Id="rId6" Type="http://schemas.openxmlformats.org/officeDocument/2006/relationships/hyperlink" Target="http://www.strategicstudiesinstitute.army.mil/pdffiles/pub586.pdf" TargetMode="External"/><Relationship Id="rId5" Type="http://schemas.openxmlformats.org/officeDocument/2006/relationships/hyperlink" Target="http://money.cnn.com/2008/01/10/news/economy/costofwar.fortune/index.htm" TargetMode="External"/><Relationship Id="rId4" Type="http://schemas.openxmlformats.org/officeDocument/2006/relationships/hyperlink" Target="http://www.brookings.edu/~/media/Files/rc/papers/2009/0608_counterinsurgency_davidson/0608_counterinsurgency_davidson.pdf"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2FE27D-FB7E-5549-89CC-9EDF0FF2CADC}" type="doc">
      <dgm:prSet loTypeId="urn:microsoft.com/office/officeart/2005/8/layout/lProcess3" loCatId="" qsTypeId="urn:microsoft.com/office/officeart/2005/8/quickstyle/simple3" qsCatId="simple" csTypeId="urn:microsoft.com/office/officeart/2005/8/colors/colorful2" csCatId="colorful" phldr="1"/>
      <dgm:spPr/>
      <dgm:t>
        <a:bodyPr/>
        <a:lstStyle/>
        <a:p>
          <a:endParaRPr lang="en-US"/>
        </a:p>
      </dgm:t>
    </dgm:pt>
    <dgm:pt modelId="{3708F289-B13F-964B-8EEA-5B5616BE104D}">
      <dgm:prSet phldrT="[Text]"/>
      <dgm:spPr/>
      <dgm:t>
        <a:bodyPr/>
        <a:lstStyle/>
        <a:p>
          <a:r>
            <a:rPr lang="en-US"/>
            <a:t>Counter-Coalition</a:t>
          </a:r>
        </a:p>
      </dgm:t>
    </dgm:pt>
    <dgm:pt modelId="{027D6963-0E00-1548-9490-99E1C579396E}" type="parTrans" cxnId="{4F8A07C7-0724-9C48-93FD-4299DE522E25}">
      <dgm:prSet/>
      <dgm:spPr/>
      <dgm:t>
        <a:bodyPr/>
        <a:lstStyle/>
        <a:p>
          <a:endParaRPr lang="en-US"/>
        </a:p>
      </dgm:t>
    </dgm:pt>
    <dgm:pt modelId="{272D8CB3-D56A-6B41-A297-E5FF5D3129E4}" type="sibTrans" cxnId="{4F8A07C7-0724-9C48-93FD-4299DE522E25}">
      <dgm:prSet/>
      <dgm:spPr/>
      <dgm:t>
        <a:bodyPr/>
        <a:lstStyle/>
        <a:p>
          <a:endParaRPr lang="en-US"/>
        </a:p>
      </dgm:t>
    </dgm:pt>
    <dgm:pt modelId="{4000660B-90A8-BB43-9829-32437C1AEC5F}">
      <dgm:prSet phldrT="[Text]"/>
      <dgm:spPr/>
      <dgm:t>
        <a:bodyPr/>
        <a:lstStyle/>
        <a:p>
          <a:r>
            <a:rPr lang="en-US"/>
            <a:t>End of Occupation</a:t>
          </a:r>
        </a:p>
      </dgm:t>
    </dgm:pt>
    <dgm:pt modelId="{068BD766-1A63-AD49-B196-D8425F6D767E}" type="parTrans" cxnId="{6A98167A-B6D5-334A-A9C7-AB579C7D279E}">
      <dgm:prSet/>
      <dgm:spPr/>
      <dgm:t>
        <a:bodyPr/>
        <a:lstStyle/>
        <a:p>
          <a:endParaRPr lang="en-US"/>
        </a:p>
      </dgm:t>
    </dgm:pt>
    <dgm:pt modelId="{A729C3D9-E833-4E4E-A4AC-9C3ADB52E02F}" type="sibTrans" cxnId="{6A98167A-B6D5-334A-A9C7-AB579C7D279E}">
      <dgm:prSet/>
      <dgm:spPr/>
      <dgm:t>
        <a:bodyPr/>
        <a:lstStyle/>
        <a:p>
          <a:endParaRPr lang="en-US"/>
        </a:p>
      </dgm:t>
    </dgm:pt>
    <dgm:pt modelId="{882C4521-C3D7-0A45-B4CD-333EB6FC4437}">
      <dgm:prSet phldrT="[Text]"/>
      <dgm:spPr/>
      <dgm:t>
        <a:bodyPr/>
        <a:lstStyle/>
        <a:p>
          <a:r>
            <a:rPr lang="en-US"/>
            <a:t>Counter-collaboration</a:t>
          </a:r>
        </a:p>
      </dgm:t>
    </dgm:pt>
    <dgm:pt modelId="{7F4066CD-D114-A445-AE8F-A35B32BAFEED}" type="parTrans" cxnId="{715CA214-03CC-F847-942C-959A0E425F2D}">
      <dgm:prSet/>
      <dgm:spPr/>
      <dgm:t>
        <a:bodyPr/>
        <a:lstStyle/>
        <a:p>
          <a:endParaRPr lang="en-US"/>
        </a:p>
      </dgm:t>
    </dgm:pt>
    <dgm:pt modelId="{8386AFF8-7441-4343-A28E-C48603CF1FB3}" type="sibTrans" cxnId="{715CA214-03CC-F847-942C-959A0E425F2D}">
      <dgm:prSet/>
      <dgm:spPr/>
      <dgm:t>
        <a:bodyPr/>
        <a:lstStyle/>
        <a:p>
          <a:endParaRPr lang="en-US"/>
        </a:p>
      </dgm:t>
    </dgm:pt>
    <dgm:pt modelId="{F97E984F-0C4B-D642-8E8A-098338E03DA3}">
      <dgm:prSet phldrT="[Text]"/>
      <dgm:spPr/>
      <dgm:t>
        <a:bodyPr/>
        <a:lstStyle/>
        <a:p>
          <a:r>
            <a:rPr lang="en-US"/>
            <a:t>Failure of Political Processes </a:t>
          </a:r>
        </a:p>
      </dgm:t>
    </dgm:pt>
    <dgm:pt modelId="{7FF65B39-16DA-3841-95F6-457163A550DB}" type="parTrans" cxnId="{5FC57A28-3D75-2648-B60B-1348764919E9}">
      <dgm:prSet/>
      <dgm:spPr/>
      <dgm:t>
        <a:bodyPr/>
        <a:lstStyle/>
        <a:p>
          <a:endParaRPr lang="en-US"/>
        </a:p>
      </dgm:t>
    </dgm:pt>
    <dgm:pt modelId="{A4B0F9D6-156F-AF41-B0F7-3AD9742D643A}" type="sibTrans" cxnId="{5FC57A28-3D75-2648-B60B-1348764919E9}">
      <dgm:prSet/>
      <dgm:spPr/>
      <dgm:t>
        <a:bodyPr/>
        <a:lstStyle/>
        <a:p>
          <a:endParaRPr lang="en-US"/>
        </a:p>
      </dgm:t>
    </dgm:pt>
    <dgm:pt modelId="{94DBB63E-283E-D246-B7EB-E392717CA8FE}">
      <dgm:prSet phldrT="[Text]"/>
      <dgm:spPr/>
      <dgm:t>
        <a:bodyPr/>
        <a:lstStyle/>
        <a:p>
          <a:r>
            <a:rPr lang="en-US"/>
            <a:t>Counter-stability</a:t>
          </a:r>
        </a:p>
      </dgm:t>
    </dgm:pt>
    <dgm:pt modelId="{F198CB08-1BA8-B641-84F3-71D9E9846EC3}" type="parTrans" cxnId="{2F3CA344-F346-4C45-9B5E-B6208CF672FF}">
      <dgm:prSet/>
      <dgm:spPr/>
      <dgm:t>
        <a:bodyPr/>
        <a:lstStyle/>
        <a:p>
          <a:endParaRPr lang="en-US"/>
        </a:p>
      </dgm:t>
    </dgm:pt>
    <dgm:pt modelId="{47C7EE95-6201-0441-B06F-A4CBF80C0B6C}" type="sibTrans" cxnId="{2F3CA344-F346-4C45-9B5E-B6208CF672FF}">
      <dgm:prSet/>
      <dgm:spPr/>
      <dgm:t>
        <a:bodyPr/>
        <a:lstStyle/>
        <a:p>
          <a:endParaRPr lang="en-US"/>
        </a:p>
      </dgm:t>
    </dgm:pt>
    <dgm:pt modelId="{C9BCCF4C-9BF9-2940-B516-3B1897BF083D}">
      <dgm:prSet phldrT="[Text]"/>
      <dgm:spPr/>
      <dgm:t>
        <a:bodyPr/>
        <a:lstStyle/>
        <a:p>
          <a:r>
            <a:rPr lang="en-US"/>
            <a:t>Capture of Political Processes</a:t>
          </a:r>
        </a:p>
      </dgm:t>
    </dgm:pt>
    <dgm:pt modelId="{D3A1224F-55E2-8641-BB86-18EB1B0F863F}" type="parTrans" cxnId="{DEB3A627-79E4-654B-9F8B-D132D90A4136}">
      <dgm:prSet/>
      <dgm:spPr/>
      <dgm:t>
        <a:bodyPr/>
        <a:lstStyle/>
        <a:p>
          <a:endParaRPr lang="en-US"/>
        </a:p>
      </dgm:t>
    </dgm:pt>
    <dgm:pt modelId="{57654C75-C5C8-0049-808A-CB3783FFF5CB}" type="sibTrans" cxnId="{DEB3A627-79E4-654B-9F8B-D132D90A4136}">
      <dgm:prSet/>
      <dgm:spPr/>
      <dgm:t>
        <a:bodyPr/>
        <a:lstStyle/>
        <a:p>
          <a:endParaRPr lang="en-US"/>
        </a:p>
      </dgm:t>
    </dgm:pt>
    <dgm:pt modelId="{CDDC504A-0E15-524B-AC81-6EEC4B6A05A0}">
      <dgm:prSet phldrT="[Text]"/>
      <dgm:spPr/>
      <dgm:t>
        <a:bodyPr/>
        <a:lstStyle/>
        <a:p>
          <a:pPr algn="ctr"/>
          <a:r>
            <a:rPr lang="en-US" b="1"/>
            <a:t>Islamic Caliphate</a:t>
          </a:r>
        </a:p>
        <a:p>
          <a:pPr algn="ctr"/>
          <a:endParaRPr lang="en-US"/>
        </a:p>
      </dgm:t>
    </dgm:pt>
    <dgm:pt modelId="{7483872C-1DB8-5741-A978-85DFF45E9675}" type="parTrans" cxnId="{3E893094-E95D-0140-A5B1-6B090C730D23}">
      <dgm:prSet/>
      <dgm:spPr/>
      <dgm:t>
        <a:bodyPr/>
        <a:lstStyle/>
        <a:p>
          <a:endParaRPr lang="en-US"/>
        </a:p>
      </dgm:t>
    </dgm:pt>
    <dgm:pt modelId="{7E06460F-9DAA-124F-8F68-867576F4A1FD}" type="sibTrans" cxnId="{3E893094-E95D-0140-A5B1-6B090C730D23}">
      <dgm:prSet/>
      <dgm:spPr/>
      <dgm:t>
        <a:bodyPr/>
        <a:lstStyle/>
        <a:p>
          <a:endParaRPr lang="en-US"/>
        </a:p>
      </dgm:t>
    </dgm:pt>
    <dgm:pt modelId="{8F1700F2-F9B3-E14E-BE01-9E64F391CD3E}">
      <dgm:prSet phldrT="[Text]"/>
      <dgm:spPr/>
      <dgm:t>
        <a:bodyPr/>
        <a:lstStyle/>
        <a:p>
          <a:r>
            <a:rPr lang="en-US"/>
            <a:t>Counter-reconstruction</a:t>
          </a:r>
        </a:p>
      </dgm:t>
    </dgm:pt>
    <dgm:pt modelId="{5939DBDE-E932-7E48-8523-0AB6A9F72040}" type="parTrans" cxnId="{2C878756-720D-D54C-86CD-D7314E671082}">
      <dgm:prSet/>
      <dgm:spPr/>
      <dgm:t>
        <a:bodyPr/>
        <a:lstStyle/>
        <a:p>
          <a:endParaRPr lang="en-US"/>
        </a:p>
      </dgm:t>
    </dgm:pt>
    <dgm:pt modelId="{58016ED9-40C1-1442-88E8-A68180B19BCB}" type="sibTrans" cxnId="{2C878756-720D-D54C-86CD-D7314E671082}">
      <dgm:prSet/>
      <dgm:spPr/>
      <dgm:t>
        <a:bodyPr/>
        <a:lstStyle/>
        <a:p>
          <a:endParaRPr lang="en-US"/>
        </a:p>
      </dgm:t>
    </dgm:pt>
    <dgm:pt modelId="{946E6802-B39E-204A-ADF3-C4ED98C7CAF5}">
      <dgm:prSet phldrT="[Text]"/>
      <dgm:spPr/>
      <dgm:t>
        <a:bodyPr/>
        <a:lstStyle/>
        <a:p>
          <a:r>
            <a:rPr lang="en-US"/>
            <a:t>Counter-mobility</a:t>
          </a:r>
        </a:p>
      </dgm:t>
    </dgm:pt>
    <dgm:pt modelId="{5CF42593-AFAB-864E-8637-423D0CD24EE5}" type="parTrans" cxnId="{635D8B80-D6CF-5B43-9A8A-C3804B971E3D}">
      <dgm:prSet/>
      <dgm:spPr/>
      <dgm:t>
        <a:bodyPr/>
        <a:lstStyle/>
        <a:p>
          <a:endParaRPr lang="en-US"/>
        </a:p>
      </dgm:t>
    </dgm:pt>
    <dgm:pt modelId="{30B70C95-E1A5-D241-825A-B7C1C653FDD3}" type="sibTrans" cxnId="{635D8B80-D6CF-5B43-9A8A-C3804B971E3D}">
      <dgm:prSet/>
      <dgm:spPr/>
      <dgm:t>
        <a:bodyPr/>
        <a:lstStyle/>
        <a:p>
          <a:endParaRPr lang="en-US"/>
        </a:p>
      </dgm:t>
    </dgm:pt>
    <dgm:pt modelId="{71446402-F4CC-1749-9184-E48F178D3468}">
      <dgm:prSet phldrT="[Text]"/>
      <dgm:spPr/>
      <dgm:t>
        <a:bodyPr/>
        <a:lstStyle/>
        <a:p>
          <a:r>
            <a:rPr lang="en-US"/>
            <a:t>Temporary Lines of Operation</a:t>
          </a:r>
        </a:p>
      </dgm:t>
    </dgm:pt>
    <dgm:pt modelId="{D3AEE9FC-C8B7-C746-99A8-945A026155A9}" type="parTrans" cxnId="{66AEC38C-453D-1044-AB6D-2B812D709C38}">
      <dgm:prSet/>
      <dgm:spPr/>
      <dgm:t>
        <a:bodyPr/>
        <a:lstStyle/>
        <a:p>
          <a:endParaRPr lang="en-US"/>
        </a:p>
      </dgm:t>
    </dgm:pt>
    <dgm:pt modelId="{B2CFB570-8A82-FD40-A61C-3D66AAF67474}" type="sibTrans" cxnId="{66AEC38C-453D-1044-AB6D-2B812D709C38}">
      <dgm:prSet/>
      <dgm:spPr/>
      <dgm:t>
        <a:bodyPr/>
        <a:lstStyle/>
        <a:p>
          <a:endParaRPr lang="en-US"/>
        </a:p>
      </dgm:t>
    </dgm:pt>
    <dgm:pt modelId="{EF003AE4-D122-8549-98F2-829C81370822}">
      <dgm:prSet phldrT="[Text]"/>
      <dgm:spPr/>
      <dgm:t>
        <a:bodyPr/>
        <a:lstStyle/>
        <a:p>
          <a:r>
            <a:rPr lang="en-US" b="1" u="sng"/>
            <a:t>Insurgenct Lines of Operation </a:t>
          </a:r>
        </a:p>
      </dgm:t>
    </dgm:pt>
    <dgm:pt modelId="{CAF7A08C-E509-EE49-BE95-B2A419509BC6}" type="parTrans" cxnId="{32EED3B3-C7CB-F04D-8167-4D9322F8B0C6}">
      <dgm:prSet/>
      <dgm:spPr/>
      <dgm:t>
        <a:bodyPr/>
        <a:lstStyle/>
        <a:p>
          <a:endParaRPr lang="en-US"/>
        </a:p>
      </dgm:t>
    </dgm:pt>
    <dgm:pt modelId="{53918DDE-6142-4B4C-B94D-E03CF518B361}" type="sibTrans" cxnId="{32EED3B3-C7CB-F04D-8167-4D9322F8B0C6}">
      <dgm:prSet/>
      <dgm:spPr/>
      <dgm:t>
        <a:bodyPr/>
        <a:lstStyle/>
        <a:p>
          <a:endParaRPr lang="en-US"/>
        </a:p>
      </dgm:t>
    </dgm:pt>
    <dgm:pt modelId="{1ACEAD68-70D7-8E45-9D70-E432AA2D2502}">
      <dgm:prSet phldrT="[Text]"/>
      <dgm:spPr/>
      <dgm:t>
        <a:bodyPr/>
        <a:lstStyle/>
        <a:p>
          <a:r>
            <a:rPr lang="en-US" b="1" u="sng"/>
            <a:t>Desired Condition</a:t>
          </a:r>
        </a:p>
      </dgm:t>
    </dgm:pt>
    <dgm:pt modelId="{F4C39A54-E1F7-F84C-8EE1-1043B3A71678}" type="parTrans" cxnId="{D0AB45D7-1DC7-B348-ABDC-9939D7EC25EA}">
      <dgm:prSet/>
      <dgm:spPr/>
      <dgm:t>
        <a:bodyPr/>
        <a:lstStyle/>
        <a:p>
          <a:endParaRPr lang="en-US"/>
        </a:p>
      </dgm:t>
    </dgm:pt>
    <dgm:pt modelId="{0C50EEB7-D9FE-2D45-A0A3-7BEA600A2D33}" type="sibTrans" cxnId="{D0AB45D7-1DC7-B348-ABDC-9939D7EC25EA}">
      <dgm:prSet/>
      <dgm:spPr/>
      <dgm:t>
        <a:bodyPr/>
        <a:lstStyle/>
        <a:p>
          <a:endParaRPr lang="en-US"/>
        </a:p>
      </dgm:t>
    </dgm:pt>
    <dgm:pt modelId="{9FB7FB35-DEC3-564D-8175-D40A4FD85668}">
      <dgm:prSet phldrT="[Text]"/>
      <dgm:spPr/>
      <dgm:t>
        <a:bodyPr/>
        <a:lstStyle/>
        <a:p>
          <a:r>
            <a:rPr lang="en-US" b="1" u="sng"/>
            <a:t>Desired End State</a:t>
          </a:r>
        </a:p>
      </dgm:t>
    </dgm:pt>
    <dgm:pt modelId="{23F6C5AA-E18C-CA43-BE1D-9B9ED03A072F}" type="parTrans" cxnId="{01F7223C-36C6-A045-956C-90A8E58771A2}">
      <dgm:prSet/>
      <dgm:spPr/>
      <dgm:t>
        <a:bodyPr/>
        <a:lstStyle/>
        <a:p>
          <a:endParaRPr lang="en-US"/>
        </a:p>
      </dgm:t>
    </dgm:pt>
    <dgm:pt modelId="{868CB134-7094-0A4E-848C-8042DC4B4EBB}" type="sibTrans" cxnId="{01F7223C-36C6-A045-956C-90A8E58771A2}">
      <dgm:prSet/>
      <dgm:spPr/>
      <dgm:t>
        <a:bodyPr/>
        <a:lstStyle/>
        <a:p>
          <a:endParaRPr lang="en-US"/>
        </a:p>
      </dgm:t>
    </dgm:pt>
    <dgm:pt modelId="{F72DB766-A344-7E4A-9BAB-4201CADF0334}" type="pres">
      <dgm:prSet presAssocID="{982FE27D-FB7E-5549-89CC-9EDF0FF2CADC}" presName="Name0" presStyleCnt="0">
        <dgm:presLayoutVars>
          <dgm:chPref val="3"/>
          <dgm:dir/>
          <dgm:animLvl val="lvl"/>
          <dgm:resizeHandles/>
        </dgm:presLayoutVars>
      </dgm:prSet>
      <dgm:spPr/>
      <dgm:t>
        <a:bodyPr/>
        <a:lstStyle/>
        <a:p>
          <a:endParaRPr lang="en-US"/>
        </a:p>
      </dgm:t>
    </dgm:pt>
    <dgm:pt modelId="{A7D3787A-CA5F-0F44-89C7-62FB61CFD9CD}" type="pres">
      <dgm:prSet presAssocID="{EF003AE4-D122-8549-98F2-829C81370822}" presName="horFlow" presStyleCnt="0"/>
      <dgm:spPr/>
      <dgm:t>
        <a:bodyPr/>
        <a:lstStyle/>
        <a:p>
          <a:endParaRPr lang="en-US"/>
        </a:p>
      </dgm:t>
    </dgm:pt>
    <dgm:pt modelId="{2BB96597-D6BB-304E-8251-1F2ECBE13860}" type="pres">
      <dgm:prSet presAssocID="{EF003AE4-D122-8549-98F2-829C81370822}" presName="bigChev" presStyleLbl="node1" presStyleIdx="0" presStyleCnt="7" custLinFactX="-31330" custLinFactNeighborX="-100000" custLinFactNeighborY="-2895"/>
      <dgm:spPr>
        <a:prstGeom prst="rect">
          <a:avLst/>
        </a:prstGeom>
      </dgm:spPr>
      <dgm:t>
        <a:bodyPr/>
        <a:lstStyle/>
        <a:p>
          <a:endParaRPr lang="en-US"/>
        </a:p>
      </dgm:t>
    </dgm:pt>
    <dgm:pt modelId="{CFE7F69A-6D2D-F447-93E3-06964A57F1D2}" type="pres">
      <dgm:prSet presAssocID="{F4C39A54-E1F7-F84C-8EE1-1043B3A71678}" presName="parTrans" presStyleCnt="0"/>
      <dgm:spPr/>
      <dgm:t>
        <a:bodyPr/>
        <a:lstStyle/>
        <a:p>
          <a:endParaRPr lang="en-US"/>
        </a:p>
      </dgm:t>
    </dgm:pt>
    <dgm:pt modelId="{6F91AFA9-AF6E-B840-B6A0-F6E250AD19CC}" type="pres">
      <dgm:prSet presAssocID="{1ACEAD68-70D7-8E45-9D70-E432AA2D2502}" presName="node" presStyleLbl="alignAccFollowNode1" presStyleIdx="0" presStyleCnt="6" custScaleX="101642" custScaleY="109953" custLinFactX="10345" custLinFactNeighborX="100000" custLinFactNeighborY="-8752">
        <dgm:presLayoutVars>
          <dgm:bulletEnabled val="1"/>
        </dgm:presLayoutVars>
      </dgm:prSet>
      <dgm:spPr>
        <a:prstGeom prst="rect">
          <a:avLst/>
        </a:prstGeom>
      </dgm:spPr>
      <dgm:t>
        <a:bodyPr/>
        <a:lstStyle/>
        <a:p>
          <a:endParaRPr lang="en-US"/>
        </a:p>
      </dgm:t>
    </dgm:pt>
    <dgm:pt modelId="{A6DE08FB-6341-AE47-A219-4F8D075DE909}" type="pres">
      <dgm:prSet presAssocID="{EF003AE4-D122-8549-98F2-829C81370822}" presName="vSp" presStyleCnt="0"/>
      <dgm:spPr/>
      <dgm:t>
        <a:bodyPr/>
        <a:lstStyle/>
        <a:p>
          <a:endParaRPr lang="en-US"/>
        </a:p>
      </dgm:t>
    </dgm:pt>
    <dgm:pt modelId="{B52C9A39-B1C4-6A4A-B9FF-E79C3B1FB316}" type="pres">
      <dgm:prSet presAssocID="{3708F289-B13F-964B-8EEA-5B5616BE104D}" presName="horFlow" presStyleCnt="0"/>
      <dgm:spPr/>
      <dgm:t>
        <a:bodyPr/>
        <a:lstStyle/>
        <a:p>
          <a:endParaRPr lang="en-US"/>
        </a:p>
      </dgm:t>
    </dgm:pt>
    <dgm:pt modelId="{F76D127D-6772-E644-92E1-02D0863626DC}" type="pres">
      <dgm:prSet presAssocID="{3708F289-B13F-964B-8EEA-5B5616BE104D}" presName="bigChev" presStyleLbl="node1" presStyleIdx="1" presStyleCnt="7" custLinFactX="-28732" custLinFactNeighborX="-100000" custLinFactNeighborY="-13659"/>
      <dgm:spPr/>
      <dgm:t>
        <a:bodyPr/>
        <a:lstStyle/>
        <a:p>
          <a:endParaRPr lang="en-US"/>
        </a:p>
      </dgm:t>
    </dgm:pt>
    <dgm:pt modelId="{1500345D-9943-7841-81EA-74D9B2395492}" type="pres">
      <dgm:prSet presAssocID="{068BD766-1A63-AD49-B196-D8425F6D767E}" presName="parTrans" presStyleCnt="0"/>
      <dgm:spPr/>
      <dgm:t>
        <a:bodyPr/>
        <a:lstStyle/>
        <a:p>
          <a:endParaRPr lang="en-US"/>
        </a:p>
      </dgm:t>
    </dgm:pt>
    <dgm:pt modelId="{320DEFC3-ED78-E649-B944-82A499C8BC6F}" type="pres">
      <dgm:prSet presAssocID="{4000660B-90A8-BB43-9829-32437C1AEC5F}" presName="node" presStyleLbl="alignAccFollowNode1" presStyleIdx="1" presStyleCnt="6" custScaleX="130991" custScaleY="142659" custLinFactY="3007" custLinFactNeighborX="96858" custLinFactNeighborY="100000">
        <dgm:presLayoutVars>
          <dgm:bulletEnabled val="1"/>
        </dgm:presLayoutVars>
      </dgm:prSet>
      <dgm:spPr>
        <a:prstGeom prst="rect">
          <a:avLst/>
        </a:prstGeom>
      </dgm:spPr>
      <dgm:t>
        <a:bodyPr/>
        <a:lstStyle/>
        <a:p>
          <a:endParaRPr lang="en-US"/>
        </a:p>
      </dgm:t>
    </dgm:pt>
    <dgm:pt modelId="{3FDDC318-9A9C-7A4D-849B-FAC07FA1CD65}" type="pres">
      <dgm:prSet presAssocID="{3708F289-B13F-964B-8EEA-5B5616BE104D}" presName="vSp" presStyleCnt="0"/>
      <dgm:spPr/>
      <dgm:t>
        <a:bodyPr/>
        <a:lstStyle/>
        <a:p>
          <a:endParaRPr lang="en-US"/>
        </a:p>
      </dgm:t>
    </dgm:pt>
    <dgm:pt modelId="{3FA9D98B-9A2F-BC47-A048-AE61743DBF46}" type="pres">
      <dgm:prSet presAssocID="{882C4521-C3D7-0A45-B4CD-333EB6FC4437}" presName="horFlow" presStyleCnt="0"/>
      <dgm:spPr/>
      <dgm:t>
        <a:bodyPr/>
        <a:lstStyle/>
        <a:p>
          <a:endParaRPr lang="en-US"/>
        </a:p>
      </dgm:t>
    </dgm:pt>
    <dgm:pt modelId="{6598BA79-15BD-124D-A868-C6F4735ADC03}" type="pres">
      <dgm:prSet presAssocID="{882C4521-C3D7-0A45-B4CD-333EB6FC4437}" presName="bigChev" presStyleLbl="node1" presStyleIdx="2" presStyleCnt="7" custLinFactX="-28732" custLinFactNeighborX="-100000" custLinFactNeighborY="-29170"/>
      <dgm:spPr/>
      <dgm:t>
        <a:bodyPr/>
        <a:lstStyle/>
        <a:p>
          <a:endParaRPr lang="en-US"/>
        </a:p>
      </dgm:t>
    </dgm:pt>
    <dgm:pt modelId="{C5B7DC3F-3345-9C4C-9052-EE6AC63E9042}" type="pres">
      <dgm:prSet presAssocID="{7FF65B39-16DA-3841-95F6-457163A550DB}" presName="parTrans" presStyleCnt="0"/>
      <dgm:spPr/>
      <dgm:t>
        <a:bodyPr/>
        <a:lstStyle/>
        <a:p>
          <a:endParaRPr lang="en-US"/>
        </a:p>
      </dgm:t>
    </dgm:pt>
    <dgm:pt modelId="{8A56DCE2-71E1-B445-9B22-89BEDAD42D8F}" type="pres">
      <dgm:prSet presAssocID="{F97E984F-0C4B-D642-8E8A-098338E03DA3}" presName="node" presStyleLbl="alignAccFollowNode1" presStyleIdx="2" presStyleCnt="6" custScaleX="131503" custScaleY="131920" custLinFactY="6043" custLinFactNeighborX="96858" custLinFactNeighborY="100000">
        <dgm:presLayoutVars>
          <dgm:bulletEnabled val="1"/>
        </dgm:presLayoutVars>
      </dgm:prSet>
      <dgm:spPr>
        <a:prstGeom prst="rect">
          <a:avLst/>
        </a:prstGeom>
      </dgm:spPr>
      <dgm:t>
        <a:bodyPr/>
        <a:lstStyle/>
        <a:p>
          <a:endParaRPr lang="en-US"/>
        </a:p>
      </dgm:t>
    </dgm:pt>
    <dgm:pt modelId="{7BC7811E-9BB1-8647-8274-4A56AD55C3C8}" type="pres">
      <dgm:prSet presAssocID="{882C4521-C3D7-0A45-B4CD-333EB6FC4437}" presName="vSp" presStyleCnt="0"/>
      <dgm:spPr/>
      <dgm:t>
        <a:bodyPr/>
        <a:lstStyle/>
        <a:p>
          <a:endParaRPr lang="en-US"/>
        </a:p>
      </dgm:t>
    </dgm:pt>
    <dgm:pt modelId="{EC133514-C230-324C-9674-3D475EB7213C}" type="pres">
      <dgm:prSet presAssocID="{94DBB63E-283E-D246-B7EB-E392717CA8FE}" presName="horFlow" presStyleCnt="0"/>
      <dgm:spPr/>
      <dgm:t>
        <a:bodyPr/>
        <a:lstStyle/>
        <a:p>
          <a:endParaRPr lang="en-US"/>
        </a:p>
      </dgm:t>
    </dgm:pt>
    <dgm:pt modelId="{AB5B746B-A695-4B43-BB47-09533D241D37}" type="pres">
      <dgm:prSet presAssocID="{94DBB63E-283E-D246-B7EB-E392717CA8FE}" presName="bigChev" presStyleLbl="node1" presStyleIdx="3" presStyleCnt="7" custLinFactX="-28732" custLinFactNeighborX="-100000" custLinFactNeighborY="-51902"/>
      <dgm:spPr/>
      <dgm:t>
        <a:bodyPr/>
        <a:lstStyle/>
        <a:p>
          <a:endParaRPr lang="en-US"/>
        </a:p>
      </dgm:t>
    </dgm:pt>
    <dgm:pt modelId="{28EEF2F6-77F2-8644-ACAD-C835D51A6FB9}" type="pres">
      <dgm:prSet presAssocID="{D3A1224F-55E2-8641-BB86-18EB1B0F863F}" presName="parTrans" presStyleCnt="0"/>
      <dgm:spPr/>
      <dgm:t>
        <a:bodyPr/>
        <a:lstStyle/>
        <a:p>
          <a:endParaRPr lang="en-US"/>
        </a:p>
      </dgm:t>
    </dgm:pt>
    <dgm:pt modelId="{8749FE30-03A1-B74D-922E-695A37162FAE}" type="pres">
      <dgm:prSet presAssocID="{C9BCCF4C-9BF9-2940-B516-3B1897BF083D}" presName="node" presStyleLbl="alignAccFollowNode1" presStyleIdx="3" presStyleCnt="6" custScaleX="132297" custScaleY="158503" custLinFactX="1170" custLinFactY="19040" custLinFactNeighborX="100000" custLinFactNeighborY="100000">
        <dgm:presLayoutVars>
          <dgm:bulletEnabled val="1"/>
        </dgm:presLayoutVars>
      </dgm:prSet>
      <dgm:spPr>
        <a:prstGeom prst="rect">
          <a:avLst/>
        </a:prstGeom>
      </dgm:spPr>
      <dgm:t>
        <a:bodyPr/>
        <a:lstStyle/>
        <a:p>
          <a:endParaRPr lang="en-US"/>
        </a:p>
      </dgm:t>
    </dgm:pt>
    <dgm:pt modelId="{CF6B97A3-6B2B-EC4A-B89B-0CCC07B0BA15}" type="pres">
      <dgm:prSet presAssocID="{57654C75-C5C8-0049-808A-CB3783FFF5CB}" presName="sibTrans" presStyleCnt="0"/>
      <dgm:spPr/>
      <dgm:t>
        <a:bodyPr/>
        <a:lstStyle/>
        <a:p>
          <a:endParaRPr lang="en-US"/>
        </a:p>
      </dgm:t>
    </dgm:pt>
    <dgm:pt modelId="{C91D79BA-B2BD-F14D-81B9-A60442A69661}" type="pres">
      <dgm:prSet presAssocID="{CDDC504A-0E15-524B-AC81-6EEC4B6A05A0}" presName="node" presStyleLbl="alignAccFollowNode1" presStyleIdx="4" presStyleCnt="6" custScaleX="164253" custScaleY="160058" custLinFactX="45436" custLinFactNeighborX="100000" custLinFactNeighborY="-42745">
        <dgm:presLayoutVars>
          <dgm:bulletEnabled val="1"/>
        </dgm:presLayoutVars>
      </dgm:prSet>
      <dgm:spPr>
        <a:prstGeom prst="rect">
          <a:avLst/>
        </a:prstGeom>
      </dgm:spPr>
      <dgm:t>
        <a:bodyPr/>
        <a:lstStyle/>
        <a:p>
          <a:endParaRPr lang="en-US"/>
        </a:p>
      </dgm:t>
    </dgm:pt>
    <dgm:pt modelId="{959D30B7-6DE6-0A46-839F-95EE3468100E}" type="pres">
      <dgm:prSet presAssocID="{94DBB63E-283E-D246-B7EB-E392717CA8FE}" presName="vSp" presStyleCnt="0"/>
      <dgm:spPr/>
      <dgm:t>
        <a:bodyPr/>
        <a:lstStyle/>
        <a:p>
          <a:endParaRPr lang="en-US"/>
        </a:p>
      </dgm:t>
    </dgm:pt>
    <dgm:pt modelId="{7D02AA77-B231-9744-A9AB-7D845017BDBB}" type="pres">
      <dgm:prSet presAssocID="{8F1700F2-F9B3-E14E-BE01-9E64F391CD3E}" presName="horFlow" presStyleCnt="0"/>
      <dgm:spPr/>
      <dgm:t>
        <a:bodyPr/>
        <a:lstStyle/>
        <a:p>
          <a:endParaRPr lang="en-US"/>
        </a:p>
      </dgm:t>
    </dgm:pt>
    <dgm:pt modelId="{6A087AAC-D2F9-C245-9C7B-78EB7595D748}" type="pres">
      <dgm:prSet presAssocID="{8F1700F2-F9B3-E14E-BE01-9E64F391CD3E}" presName="bigChev" presStyleLbl="node1" presStyleIdx="4" presStyleCnt="7" custLinFactX="-31330" custLinFactNeighborX="-100000" custLinFactNeighborY="-69888"/>
      <dgm:spPr/>
      <dgm:t>
        <a:bodyPr/>
        <a:lstStyle/>
        <a:p>
          <a:endParaRPr lang="en-US"/>
        </a:p>
      </dgm:t>
    </dgm:pt>
    <dgm:pt modelId="{4FF53164-4B59-A246-A09C-1C7960A304E6}" type="pres">
      <dgm:prSet presAssocID="{23F6C5AA-E18C-CA43-BE1D-9B9ED03A072F}" presName="parTrans" presStyleCnt="0"/>
      <dgm:spPr/>
      <dgm:t>
        <a:bodyPr/>
        <a:lstStyle/>
        <a:p>
          <a:endParaRPr lang="en-US"/>
        </a:p>
      </dgm:t>
    </dgm:pt>
    <dgm:pt modelId="{4DEEADE0-CA07-6F47-A9B1-86CA3264C3EF}" type="pres">
      <dgm:prSet presAssocID="{9FB7FB35-DEC3-564D-8175-D40A4FD85668}" presName="node" presStyleLbl="alignAccFollowNode1" presStyleIdx="5" presStyleCnt="6" custScaleX="116750" custScaleY="110729" custLinFactX="168083" custLinFactY="-300000" custLinFactNeighborX="200000" custLinFactNeighborY="-330953">
        <dgm:presLayoutVars>
          <dgm:bulletEnabled val="1"/>
        </dgm:presLayoutVars>
      </dgm:prSet>
      <dgm:spPr>
        <a:prstGeom prst="rect">
          <a:avLst/>
        </a:prstGeom>
      </dgm:spPr>
      <dgm:t>
        <a:bodyPr/>
        <a:lstStyle/>
        <a:p>
          <a:endParaRPr lang="en-US"/>
        </a:p>
      </dgm:t>
    </dgm:pt>
    <dgm:pt modelId="{35564280-8B90-1D4C-B06D-AF9AB8ECD09B}" type="pres">
      <dgm:prSet presAssocID="{8F1700F2-F9B3-E14E-BE01-9E64F391CD3E}" presName="vSp" presStyleCnt="0"/>
      <dgm:spPr/>
      <dgm:t>
        <a:bodyPr/>
        <a:lstStyle/>
        <a:p>
          <a:endParaRPr lang="en-US"/>
        </a:p>
      </dgm:t>
    </dgm:pt>
    <dgm:pt modelId="{E35BF6D6-2953-314B-A94E-A739C1F4D8D9}" type="pres">
      <dgm:prSet presAssocID="{946E6802-B39E-204A-ADF3-C4ED98C7CAF5}" presName="horFlow" presStyleCnt="0"/>
      <dgm:spPr/>
      <dgm:t>
        <a:bodyPr/>
        <a:lstStyle/>
        <a:p>
          <a:endParaRPr lang="en-US"/>
        </a:p>
      </dgm:t>
    </dgm:pt>
    <dgm:pt modelId="{9E1E9EE3-91AB-C145-9E3F-64515D927C96}" type="pres">
      <dgm:prSet presAssocID="{946E6802-B39E-204A-ADF3-C4ED98C7CAF5}" presName="bigChev" presStyleLbl="node1" presStyleIdx="5" presStyleCnt="7" custLinFactNeighborX="-44330" custLinFactNeighborY="-71449"/>
      <dgm:spPr/>
      <dgm:t>
        <a:bodyPr/>
        <a:lstStyle/>
        <a:p>
          <a:endParaRPr lang="en-US"/>
        </a:p>
      </dgm:t>
    </dgm:pt>
    <dgm:pt modelId="{5350B893-79AE-894E-8B29-3E3EF2802B55}" type="pres">
      <dgm:prSet presAssocID="{946E6802-B39E-204A-ADF3-C4ED98C7CAF5}" presName="vSp" presStyleCnt="0"/>
      <dgm:spPr/>
      <dgm:t>
        <a:bodyPr/>
        <a:lstStyle/>
        <a:p>
          <a:endParaRPr lang="en-US"/>
        </a:p>
      </dgm:t>
    </dgm:pt>
    <dgm:pt modelId="{2E53D36B-4716-3745-9A66-3BB7F5F817FF}" type="pres">
      <dgm:prSet presAssocID="{71446402-F4CC-1749-9184-E48F178D3468}" presName="horFlow" presStyleCnt="0"/>
      <dgm:spPr/>
      <dgm:t>
        <a:bodyPr/>
        <a:lstStyle/>
        <a:p>
          <a:endParaRPr lang="en-US"/>
        </a:p>
      </dgm:t>
    </dgm:pt>
    <dgm:pt modelId="{30CB7BE3-E51A-C448-B339-E2763B4AC853}" type="pres">
      <dgm:prSet presAssocID="{71446402-F4CC-1749-9184-E48F178D3468}" presName="bigChev" presStyleLbl="node1" presStyleIdx="6" presStyleCnt="7" custLinFactNeighborX="-44330" custLinFactNeighborY="-73010"/>
      <dgm:spPr/>
      <dgm:t>
        <a:bodyPr/>
        <a:lstStyle/>
        <a:p>
          <a:endParaRPr lang="en-US"/>
        </a:p>
      </dgm:t>
    </dgm:pt>
  </dgm:ptLst>
  <dgm:cxnLst>
    <dgm:cxn modelId="{DEB3A627-79E4-654B-9F8B-D132D90A4136}" srcId="{94DBB63E-283E-D246-B7EB-E392717CA8FE}" destId="{C9BCCF4C-9BF9-2940-B516-3B1897BF083D}" srcOrd="0" destOrd="0" parTransId="{D3A1224F-55E2-8641-BB86-18EB1B0F863F}" sibTransId="{57654C75-C5C8-0049-808A-CB3783FFF5CB}"/>
    <dgm:cxn modelId="{AE95BF87-1BB6-BD4E-B711-05E3E87CF689}" type="presOf" srcId="{CDDC504A-0E15-524B-AC81-6EEC4B6A05A0}" destId="{C91D79BA-B2BD-F14D-81B9-A60442A69661}" srcOrd="0" destOrd="0" presId="urn:microsoft.com/office/officeart/2005/8/layout/lProcess3"/>
    <dgm:cxn modelId="{6ADE03A0-A169-9047-BE82-02560EDE11B5}" type="presOf" srcId="{71446402-F4CC-1749-9184-E48F178D3468}" destId="{30CB7BE3-E51A-C448-B339-E2763B4AC853}" srcOrd="0" destOrd="0" presId="urn:microsoft.com/office/officeart/2005/8/layout/lProcess3"/>
    <dgm:cxn modelId="{6A98167A-B6D5-334A-A9C7-AB579C7D279E}" srcId="{3708F289-B13F-964B-8EEA-5B5616BE104D}" destId="{4000660B-90A8-BB43-9829-32437C1AEC5F}" srcOrd="0" destOrd="0" parTransId="{068BD766-1A63-AD49-B196-D8425F6D767E}" sibTransId="{A729C3D9-E833-4E4E-A4AC-9C3ADB52E02F}"/>
    <dgm:cxn modelId="{A90711F7-0BD5-8F43-84AE-C6D3F975E9D3}" type="presOf" srcId="{946E6802-B39E-204A-ADF3-C4ED98C7CAF5}" destId="{9E1E9EE3-91AB-C145-9E3F-64515D927C96}" srcOrd="0" destOrd="0" presId="urn:microsoft.com/office/officeart/2005/8/layout/lProcess3"/>
    <dgm:cxn modelId="{88479774-C1AE-1947-8AE6-FF3BD443085F}" type="presOf" srcId="{3708F289-B13F-964B-8EEA-5B5616BE104D}" destId="{F76D127D-6772-E644-92E1-02D0863626DC}" srcOrd="0" destOrd="0" presId="urn:microsoft.com/office/officeart/2005/8/layout/lProcess3"/>
    <dgm:cxn modelId="{32EED3B3-C7CB-F04D-8167-4D9322F8B0C6}" srcId="{982FE27D-FB7E-5549-89CC-9EDF0FF2CADC}" destId="{EF003AE4-D122-8549-98F2-829C81370822}" srcOrd="0" destOrd="0" parTransId="{CAF7A08C-E509-EE49-BE95-B2A419509BC6}" sibTransId="{53918DDE-6142-4B4C-B94D-E03CF518B361}"/>
    <dgm:cxn modelId="{314123A5-4AB9-DA4C-9E86-A207D19B09B3}" type="presOf" srcId="{1ACEAD68-70D7-8E45-9D70-E432AA2D2502}" destId="{6F91AFA9-AF6E-B840-B6A0-F6E250AD19CC}" srcOrd="0" destOrd="0" presId="urn:microsoft.com/office/officeart/2005/8/layout/lProcess3"/>
    <dgm:cxn modelId="{CA965BC9-18E0-0842-9CC4-A16804BE5290}" type="presOf" srcId="{8F1700F2-F9B3-E14E-BE01-9E64F391CD3E}" destId="{6A087AAC-D2F9-C245-9C7B-78EB7595D748}" srcOrd="0" destOrd="0" presId="urn:microsoft.com/office/officeart/2005/8/layout/lProcess3"/>
    <dgm:cxn modelId="{013E8E3F-9287-F74F-91F3-442A57AB48B2}" type="presOf" srcId="{882C4521-C3D7-0A45-B4CD-333EB6FC4437}" destId="{6598BA79-15BD-124D-A868-C6F4735ADC03}" srcOrd="0" destOrd="0" presId="urn:microsoft.com/office/officeart/2005/8/layout/lProcess3"/>
    <dgm:cxn modelId="{5FC57A28-3D75-2648-B60B-1348764919E9}" srcId="{882C4521-C3D7-0A45-B4CD-333EB6FC4437}" destId="{F97E984F-0C4B-D642-8E8A-098338E03DA3}" srcOrd="0" destOrd="0" parTransId="{7FF65B39-16DA-3841-95F6-457163A550DB}" sibTransId="{A4B0F9D6-156F-AF41-B0F7-3AD9742D643A}"/>
    <dgm:cxn modelId="{4F8A07C7-0724-9C48-93FD-4299DE522E25}" srcId="{982FE27D-FB7E-5549-89CC-9EDF0FF2CADC}" destId="{3708F289-B13F-964B-8EEA-5B5616BE104D}" srcOrd="1" destOrd="0" parTransId="{027D6963-0E00-1548-9490-99E1C579396E}" sibTransId="{272D8CB3-D56A-6B41-A297-E5FF5D3129E4}"/>
    <dgm:cxn modelId="{EC0848BF-5FBD-F94D-BBBE-118D328EF8F2}" type="presOf" srcId="{4000660B-90A8-BB43-9829-32437C1AEC5F}" destId="{320DEFC3-ED78-E649-B944-82A499C8BC6F}" srcOrd="0" destOrd="0" presId="urn:microsoft.com/office/officeart/2005/8/layout/lProcess3"/>
    <dgm:cxn modelId="{715CA214-03CC-F847-942C-959A0E425F2D}" srcId="{982FE27D-FB7E-5549-89CC-9EDF0FF2CADC}" destId="{882C4521-C3D7-0A45-B4CD-333EB6FC4437}" srcOrd="2" destOrd="0" parTransId="{7F4066CD-D114-A445-AE8F-A35B32BAFEED}" sibTransId="{8386AFF8-7441-4343-A28E-C48603CF1FB3}"/>
    <dgm:cxn modelId="{3E893094-E95D-0140-A5B1-6B090C730D23}" srcId="{94DBB63E-283E-D246-B7EB-E392717CA8FE}" destId="{CDDC504A-0E15-524B-AC81-6EEC4B6A05A0}" srcOrd="1" destOrd="0" parTransId="{7483872C-1DB8-5741-A978-85DFF45E9675}" sibTransId="{7E06460F-9DAA-124F-8F68-867576F4A1FD}"/>
    <dgm:cxn modelId="{0BBE5815-41D0-D34B-96B4-9B2EABB3A0C1}" type="presOf" srcId="{9FB7FB35-DEC3-564D-8175-D40A4FD85668}" destId="{4DEEADE0-CA07-6F47-A9B1-86CA3264C3EF}" srcOrd="0" destOrd="0" presId="urn:microsoft.com/office/officeart/2005/8/layout/lProcess3"/>
    <dgm:cxn modelId="{2F3CA344-F346-4C45-9B5E-B6208CF672FF}" srcId="{982FE27D-FB7E-5549-89CC-9EDF0FF2CADC}" destId="{94DBB63E-283E-D246-B7EB-E392717CA8FE}" srcOrd="3" destOrd="0" parTransId="{F198CB08-1BA8-B641-84F3-71D9E9846EC3}" sibTransId="{47C7EE95-6201-0441-B06F-A4CBF80C0B6C}"/>
    <dgm:cxn modelId="{2C878756-720D-D54C-86CD-D7314E671082}" srcId="{982FE27D-FB7E-5549-89CC-9EDF0FF2CADC}" destId="{8F1700F2-F9B3-E14E-BE01-9E64F391CD3E}" srcOrd="4" destOrd="0" parTransId="{5939DBDE-E932-7E48-8523-0AB6A9F72040}" sibTransId="{58016ED9-40C1-1442-88E8-A68180B19BCB}"/>
    <dgm:cxn modelId="{DDE721A6-A57A-DD47-9ED4-5FD3FF876BF3}" type="presOf" srcId="{C9BCCF4C-9BF9-2940-B516-3B1897BF083D}" destId="{8749FE30-03A1-B74D-922E-695A37162FAE}" srcOrd="0" destOrd="0" presId="urn:microsoft.com/office/officeart/2005/8/layout/lProcess3"/>
    <dgm:cxn modelId="{01F7223C-36C6-A045-956C-90A8E58771A2}" srcId="{8F1700F2-F9B3-E14E-BE01-9E64F391CD3E}" destId="{9FB7FB35-DEC3-564D-8175-D40A4FD85668}" srcOrd="0" destOrd="0" parTransId="{23F6C5AA-E18C-CA43-BE1D-9B9ED03A072F}" sibTransId="{868CB134-7094-0A4E-848C-8042DC4B4EBB}"/>
    <dgm:cxn modelId="{EC27425E-F6F1-7D49-98B2-F55499E4C9D7}" type="presOf" srcId="{94DBB63E-283E-D246-B7EB-E392717CA8FE}" destId="{AB5B746B-A695-4B43-BB47-09533D241D37}" srcOrd="0" destOrd="0" presId="urn:microsoft.com/office/officeart/2005/8/layout/lProcess3"/>
    <dgm:cxn modelId="{66AEC38C-453D-1044-AB6D-2B812D709C38}" srcId="{982FE27D-FB7E-5549-89CC-9EDF0FF2CADC}" destId="{71446402-F4CC-1749-9184-E48F178D3468}" srcOrd="6" destOrd="0" parTransId="{D3AEE9FC-C8B7-C746-99A8-945A026155A9}" sibTransId="{B2CFB570-8A82-FD40-A61C-3D66AAF67474}"/>
    <dgm:cxn modelId="{2BB69609-C5F1-DA49-B9E6-E2BF7008EEA5}" type="presOf" srcId="{F97E984F-0C4B-D642-8E8A-098338E03DA3}" destId="{8A56DCE2-71E1-B445-9B22-89BEDAD42D8F}" srcOrd="0" destOrd="0" presId="urn:microsoft.com/office/officeart/2005/8/layout/lProcess3"/>
    <dgm:cxn modelId="{635D8B80-D6CF-5B43-9A8A-C3804B971E3D}" srcId="{982FE27D-FB7E-5549-89CC-9EDF0FF2CADC}" destId="{946E6802-B39E-204A-ADF3-C4ED98C7CAF5}" srcOrd="5" destOrd="0" parTransId="{5CF42593-AFAB-864E-8637-423D0CD24EE5}" sibTransId="{30B70C95-E1A5-D241-825A-B7C1C653FDD3}"/>
    <dgm:cxn modelId="{E3D357CA-919D-A64C-9CC5-227BA61EF7B0}" type="presOf" srcId="{EF003AE4-D122-8549-98F2-829C81370822}" destId="{2BB96597-D6BB-304E-8251-1F2ECBE13860}" srcOrd="0" destOrd="0" presId="urn:microsoft.com/office/officeart/2005/8/layout/lProcess3"/>
    <dgm:cxn modelId="{FD1FBCD9-0A9A-9043-9AD4-E51656973A98}" type="presOf" srcId="{982FE27D-FB7E-5549-89CC-9EDF0FF2CADC}" destId="{F72DB766-A344-7E4A-9BAB-4201CADF0334}" srcOrd="0" destOrd="0" presId="urn:microsoft.com/office/officeart/2005/8/layout/lProcess3"/>
    <dgm:cxn modelId="{D0AB45D7-1DC7-B348-ABDC-9939D7EC25EA}" srcId="{EF003AE4-D122-8549-98F2-829C81370822}" destId="{1ACEAD68-70D7-8E45-9D70-E432AA2D2502}" srcOrd="0" destOrd="0" parTransId="{F4C39A54-E1F7-F84C-8EE1-1043B3A71678}" sibTransId="{0C50EEB7-D9FE-2D45-A0A3-7BEA600A2D33}"/>
    <dgm:cxn modelId="{98BB2BAA-71AD-1F4C-95B7-7D16F44AC985}" type="presParOf" srcId="{F72DB766-A344-7E4A-9BAB-4201CADF0334}" destId="{A7D3787A-CA5F-0F44-89C7-62FB61CFD9CD}" srcOrd="0" destOrd="0" presId="urn:microsoft.com/office/officeart/2005/8/layout/lProcess3"/>
    <dgm:cxn modelId="{762E1B71-97EB-1441-AFEE-90E0D542564B}" type="presParOf" srcId="{A7D3787A-CA5F-0F44-89C7-62FB61CFD9CD}" destId="{2BB96597-D6BB-304E-8251-1F2ECBE13860}" srcOrd="0" destOrd="0" presId="urn:microsoft.com/office/officeart/2005/8/layout/lProcess3"/>
    <dgm:cxn modelId="{4F07A6C5-A8C3-9040-8195-502E20169B28}" type="presParOf" srcId="{A7D3787A-CA5F-0F44-89C7-62FB61CFD9CD}" destId="{CFE7F69A-6D2D-F447-93E3-06964A57F1D2}" srcOrd="1" destOrd="0" presId="urn:microsoft.com/office/officeart/2005/8/layout/lProcess3"/>
    <dgm:cxn modelId="{91855250-7607-9547-AFDF-E0C70140DB68}" type="presParOf" srcId="{A7D3787A-CA5F-0F44-89C7-62FB61CFD9CD}" destId="{6F91AFA9-AF6E-B840-B6A0-F6E250AD19CC}" srcOrd="2" destOrd="0" presId="urn:microsoft.com/office/officeart/2005/8/layout/lProcess3"/>
    <dgm:cxn modelId="{AF044B0E-896E-8046-8111-3CB30182D2FC}" type="presParOf" srcId="{F72DB766-A344-7E4A-9BAB-4201CADF0334}" destId="{A6DE08FB-6341-AE47-A219-4F8D075DE909}" srcOrd="1" destOrd="0" presId="urn:microsoft.com/office/officeart/2005/8/layout/lProcess3"/>
    <dgm:cxn modelId="{DDCA7722-5EC6-8449-9047-9439B8EDA757}" type="presParOf" srcId="{F72DB766-A344-7E4A-9BAB-4201CADF0334}" destId="{B52C9A39-B1C4-6A4A-B9FF-E79C3B1FB316}" srcOrd="2" destOrd="0" presId="urn:microsoft.com/office/officeart/2005/8/layout/lProcess3"/>
    <dgm:cxn modelId="{DA0C271B-9FC0-B04B-94C0-62491D2F81FB}" type="presParOf" srcId="{B52C9A39-B1C4-6A4A-B9FF-E79C3B1FB316}" destId="{F76D127D-6772-E644-92E1-02D0863626DC}" srcOrd="0" destOrd="0" presId="urn:microsoft.com/office/officeart/2005/8/layout/lProcess3"/>
    <dgm:cxn modelId="{88FFDDA9-C849-6147-9F26-1EED8448AE23}" type="presParOf" srcId="{B52C9A39-B1C4-6A4A-B9FF-E79C3B1FB316}" destId="{1500345D-9943-7841-81EA-74D9B2395492}" srcOrd="1" destOrd="0" presId="urn:microsoft.com/office/officeart/2005/8/layout/lProcess3"/>
    <dgm:cxn modelId="{0F0A5AC3-5FC7-A143-8755-E65F4A4FDEED}" type="presParOf" srcId="{B52C9A39-B1C4-6A4A-B9FF-E79C3B1FB316}" destId="{320DEFC3-ED78-E649-B944-82A499C8BC6F}" srcOrd="2" destOrd="0" presId="urn:microsoft.com/office/officeart/2005/8/layout/lProcess3"/>
    <dgm:cxn modelId="{9E08EC30-DC2E-504D-AB9A-C4F096435AE1}" type="presParOf" srcId="{F72DB766-A344-7E4A-9BAB-4201CADF0334}" destId="{3FDDC318-9A9C-7A4D-849B-FAC07FA1CD65}" srcOrd="3" destOrd="0" presId="urn:microsoft.com/office/officeart/2005/8/layout/lProcess3"/>
    <dgm:cxn modelId="{B157285D-2E98-B94D-B85D-21CF72EB6CAE}" type="presParOf" srcId="{F72DB766-A344-7E4A-9BAB-4201CADF0334}" destId="{3FA9D98B-9A2F-BC47-A048-AE61743DBF46}" srcOrd="4" destOrd="0" presId="urn:microsoft.com/office/officeart/2005/8/layout/lProcess3"/>
    <dgm:cxn modelId="{8F4A141B-F6A9-CD4D-B5B7-FCC2509ED962}" type="presParOf" srcId="{3FA9D98B-9A2F-BC47-A048-AE61743DBF46}" destId="{6598BA79-15BD-124D-A868-C6F4735ADC03}" srcOrd="0" destOrd="0" presId="urn:microsoft.com/office/officeart/2005/8/layout/lProcess3"/>
    <dgm:cxn modelId="{4E38A1E6-C569-7944-85B8-02D0047D37DF}" type="presParOf" srcId="{3FA9D98B-9A2F-BC47-A048-AE61743DBF46}" destId="{C5B7DC3F-3345-9C4C-9052-EE6AC63E9042}" srcOrd="1" destOrd="0" presId="urn:microsoft.com/office/officeart/2005/8/layout/lProcess3"/>
    <dgm:cxn modelId="{CF38FE9C-58B1-924C-87CD-5C5EB5841004}" type="presParOf" srcId="{3FA9D98B-9A2F-BC47-A048-AE61743DBF46}" destId="{8A56DCE2-71E1-B445-9B22-89BEDAD42D8F}" srcOrd="2" destOrd="0" presId="urn:microsoft.com/office/officeart/2005/8/layout/lProcess3"/>
    <dgm:cxn modelId="{02B7A3E1-CB6B-BC42-A96F-4F438A12BF63}" type="presParOf" srcId="{F72DB766-A344-7E4A-9BAB-4201CADF0334}" destId="{7BC7811E-9BB1-8647-8274-4A56AD55C3C8}" srcOrd="5" destOrd="0" presId="urn:microsoft.com/office/officeart/2005/8/layout/lProcess3"/>
    <dgm:cxn modelId="{2432EEB6-6654-984B-82B2-CD07D8B25587}" type="presParOf" srcId="{F72DB766-A344-7E4A-9BAB-4201CADF0334}" destId="{EC133514-C230-324C-9674-3D475EB7213C}" srcOrd="6" destOrd="0" presId="urn:microsoft.com/office/officeart/2005/8/layout/lProcess3"/>
    <dgm:cxn modelId="{351521C6-D672-474C-92FC-C2ACF6E96623}" type="presParOf" srcId="{EC133514-C230-324C-9674-3D475EB7213C}" destId="{AB5B746B-A695-4B43-BB47-09533D241D37}" srcOrd="0" destOrd="0" presId="urn:microsoft.com/office/officeart/2005/8/layout/lProcess3"/>
    <dgm:cxn modelId="{8EA6F3FC-F294-CC40-90CC-A25196970D4F}" type="presParOf" srcId="{EC133514-C230-324C-9674-3D475EB7213C}" destId="{28EEF2F6-77F2-8644-ACAD-C835D51A6FB9}" srcOrd="1" destOrd="0" presId="urn:microsoft.com/office/officeart/2005/8/layout/lProcess3"/>
    <dgm:cxn modelId="{EB46C8BF-A87A-6144-8348-6B8259606192}" type="presParOf" srcId="{EC133514-C230-324C-9674-3D475EB7213C}" destId="{8749FE30-03A1-B74D-922E-695A37162FAE}" srcOrd="2" destOrd="0" presId="urn:microsoft.com/office/officeart/2005/8/layout/lProcess3"/>
    <dgm:cxn modelId="{AA7BA211-E194-924F-9488-A59D33A77A26}" type="presParOf" srcId="{EC133514-C230-324C-9674-3D475EB7213C}" destId="{CF6B97A3-6B2B-EC4A-B89B-0CCC07B0BA15}" srcOrd="3" destOrd="0" presId="urn:microsoft.com/office/officeart/2005/8/layout/lProcess3"/>
    <dgm:cxn modelId="{12A77664-F3E5-AC4F-BE50-2EE03EEDBA8F}" type="presParOf" srcId="{EC133514-C230-324C-9674-3D475EB7213C}" destId="{C91D79BA-B2BD-F14D-81B9-A60442A69661}" srcOrd="4" destOrd="0" presId="urn:microsoft.com/office/officeart/2005/8/layout/lProcess3"/>
    <dgm:cxn modelId="{95A733D3-1A53-CD40-A319-26050304C0CE}" type="presParOf" srcId="{F72DB766-A344-7E4A-9BAB-4201CADF0334}" destId="{959D30B7-6DE6-0A46-839F-95EE3468100E}" srcOrd="7" destOrd="0" presId="urn:microsoft.com/office/officeart/2005/8/layout/lProcess3"/>
    <dgm:cxn modelId="{67A72186-14BF-8149-B7DC-A48D000C14B5}" type="presParOf" srcId="{F72DB766-A344-7E4A-9BAB-4201CADF0334}" destId="{7D02AA77-B231-9744-A9AB-7D845017BDBB}" srcOrd="8" destOrd="0" presId="urn:microsoft.com/office/officeart/2005/8/layout/lProcess3"/>
    <dgm:cxn modelId="{3302CD2D-B89A-0141-818F-C6562C58752A}" type="presParOf" srcId="{7D02AA77-B231-9744-A9AB-7D845017BDBB}" destId="{6A087AAC-D2F9-C245-9C7B-78EB7595D748}" srcOrd="0" destOrd="0" presId="urn:microsoft.com/office/officeart/2005/8/layout/lProcess3"/>
    <dgm:cxn modelId="{64D86272-A844-B442-AF76-286F50920D1D}" type="presParOf" srcId="{7D02AA77-B231-9744-A9AB-7D845017BDBB}" destId="{4FF53164-4B59-A246-A09C-1C7960A304E6}" srcOrd="1" destOrd="0" presId="urn:microsoft.com/office/officeart/2005/8/layout/lProcess3"/>
    <dgm:cxn modelId="{28BCFE1E-2859-CC44-9046-82EA01DA979E}" type="presParOf" srcId="{7D02AA77-B231-9744-A9AB-7D845017BDBB}" destId="{4DEEADE0-CA07-6F47-A9B1-86CA3264C3EF}" srcOrd="2" destOrd="0" presId="urn:microsoft.com/office/officeart/2005/8/layout/lProcess3"/>
    <dgm:cxn modelId="{5D27D5DF-6D3A-9E4C-94F3-596488AD02FB}" type="presParOf" srcId="{F72DB766-A344-7E4A-9BAB-4201CADF0334}" destId="{35564280-8B90-1D4C-B06D-AF9AB8ECD09B}" srcOrd="9" destOrd="0" presId="urn:microsoft.com/office/officeart/2005/8/layout/lProcess3"/>
    <dgm:cxn modelId="{F0260D32-F37D-EA40-B7D3-AB9B3F39846B}" type="presParOf" srcId="{F72DB766-A344-7E4A-9BAB-4201CADF0334}" destId="{E35BF6D6-2953-314B-A94E-A739C1F4D8D9}" srcOrd="10" destOrd="0" presId="urn:microsoft.com/office/officeart/2005/8/layout/lProcess3"/>
    <dgm:cxn modelId="{506C5D63-5DC5-F143-8986-D38AA06ED9E2}" type="presParOf" srcId="{E35BF6D6-2953-314B-A94E-A739C1F4D8D9}" destId="{9E1E9EE3-91AB-C145-9E3F-64515D927C96}" srcOrd="0" destOrd="0" presId="urn:microsoft.com/office/officeart/2005/8/layout/lProcess3"/>
    <dgm:cxn modelId="{1627400F-FD2A-AE4C-8B4C-DDFF17AE78D9}" type="presParOf" srcId="{F72DB766-A344-7E4A-9BAB-4201CADF0334}" destId="{5350B893-79AE-894E-8B29-3E3EF2802B55}" srcOrd="11" destOrd="0" presId="urn:microsoft.com/office/officeart/2005/8/layout/lProcess3"/>
    <dgm:cxn modelId="{23624B03-25D3-364C-9E6D-412288C605D1}" type="presParOf" srcId="{F72DB766-A344-7E4A-9BAB-4201CADF0334}" destId="{2E53D36B-4716-3745-9A66-3BB7F5F817FF}" srcOrd="12" destOrd="0" presId="urn:microsoft.com/office/officeart/2005/8/layout/lProcess3"/>
    <dgm:cxn modelId="{2EEF46B5-015B-6849-B9DD-DA9733314921}" type="presParOf" srcId="{2E53D36B-4716-3745-9A66-3BB7F5F817FF}" destId="{30CB7BE3-E51A-C448-B339-E2763B4AC853}" srcOrd="0" destOrd="0" presId="urn:microsoft.com/office/officeart/2005/8/layout/lProcess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B96597-D6BB-304E-8251-1F2ECBE13860}">
      <dsp:nvSpPr>
        <dsp:cNvPr id="0" name=""/>
        <dsp:cNvSpPr/>
      </dsp:nvSpPr>
      <dsp:spPr>
        <a:xfrm>
          <a:off x="337824" y="0"/>
          <a:ext cx="1270689" cy="508275"/>
        </a:xfrm>
        <a:prstGeom prst="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5715" rIns="0" bIns="5715" numCol="1" spcCol="1270" anchor="ctr" anchorCtr="0">
          <a:noAutofit/>
        </a:bodyPr>
        <a:lstStyle/>
        <a:p>
          <a:pPr lvl="0" algn="ctr" defTabSz="400050">
            <a:lnSpc>
              <a:spcPct val="90000"/>
            </a:lnSpc>
            <a:spcBef>
              <a:spcPct val="0"/>
            </a:spcBef>
            <a:spcAft>
              <a:spcPct val="35000"/>
            </a:spcAft>
          </a:pPr>
          <a:r>
            <a:rPr lang="en-US" sz="900" b="1" u="sng" kern="1200"/>
            <a:t>Insurgenct Lines of Operation </a:t>
          </a:r>
        </a:p>
      </dsp:txBody>
      <dsp:txXfrm>
        <a:off x="337824" y="0"/>
        <a:ext cx="1270689" cy="508275"/>
      </dsp:txXfrm>
    </dsp:sp>
    <dsp:sp modelId="{6F91AFA9-AF6E-B840-B6A0-F6E250AD19CC}">
      <dsp:nvSpPr>
        <dsp:cNvPr id="0" name=""/>
        <dsp:cNvSpPr/>
      </dsp:nvSpPr>
      <dsp:spPr>
        <a:xfrm>
          <a:off x="2280917" y="0"/>
          <a:ext cx="1071990" cy="463857"/>
        </a:xfrm>
        <a:prstGeom prst="rect">
          <a:avLst/>
        </a:prstGeom>
        <a:solidFill>
          <a:schemeClr val="accent2">
            <a:tint val="40000"/>
            <a:alpha val="90000"/>
            <a:hueOff val="0"/>
            <a:satOff val="0"/>
            <a:lumOff val="0"/>
            <a:alphaOff val="0"/>
          </a:schemeClr>
        </a:solidFill>
        <a:ln w="9525" cap="flat" cmpd="sng" algn="ctr">
          <a:solidFill>
            <a:schemeClr val="accent2">
              <a:tint val="40000"/>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8890" rIns="0" bIns="8890" numCol="1" spcCol="1270" anchor="ctr" anchorCtr="0">
          <a:noAutofit/>
        </a:bodyPr>
        <a:lstStyle/>
        <a:p>
          <a:pPr lvl="0" algn="ctr" defTabSz="622300">
            <a:lnSpc>
              <a:spcPct val="90000"/>
            </a:lnSpc>
            <a:spcBef>
              <a:spcPct val="0"/>
            </a:spcBef>
            <a:spcAft>
              <a:spcPct val="35000"/>
            </a:spcAft>
          </a:pPr>
          <a:r>
            <a:rPr lang="en-US" sz="1400" b="1" u="sng" kern="1200"/>
            <a:t>Desired Condition</a:t>
          </a:r>
        </a:p>
      </dsp:txBody>
      <dsp:txXfrm>
        <a:off x="2280917" y="0"/>
        <a:ext cx="1071990" cy="463857"/>
      </dsp:txXfrm>
    </dsp:sp>
    <dsp:sp modelId="{F76D127D-6772-E644-92E1-02D0863626DC}">
      <dsp:nvSpPr>
        <dsp:cNvPr id="0" name=""/>
        <dsp:cNvSpPr/>
      </dsp:nvSpPr>
      <dsp:spPr>
        <a:xfrm>
          <a:off x="370837" y="558801"/>
          <a:ext cx="1270689" cy="508275"/>
        </a:xfrm>
        <a:prstGeom prst="chevron">
          <a:avLst/>
        </a:prstGeom>
        <a:gradFill rotWithShape="0">
          <a:gsLst>
            <a:gs pos="0">
              <a:schemeClr val="accent2">
                <a:hueOff val="780253"/>
                <a:satOff val="-973"/>
                <a:lumOff val="229"/>
                <a:alphaOff val="0"/>
                <a:tint val="50000"/>
                <a:satMod val="300000"/>
              </a:schemeClr>
            </a:gs>
            <a:gs pos="35000">
              <a:schemeClr val="accent2">
                <a:hueOff val="780253"/>
                <a:satOff val="-973"/>
                <a:lumOff val="229"/>
                <a:alphaOff val="0"/>
                <a:tint val="37000"/>
                <a:satMod val="300000"/>
              </a:schemeClr>
            </a:gs>
            <a:gs pos="100000">
              <a:schemeClr val="accent2">
                <a:hueOff val="780253"/>
                <a:satOff val="-973"/>
                <a:lumOff val="22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5715" rIns="0" bIns="5715" numCol="1" spcCol="1270" anchor="ctr" anchorCtr="0">
          <a:noAutofit/>
        </a:bodyPr>
        <a:lstStyle/>
        <a:p>
          <a:pPr lvl="0" algn="ctr" defTabSz="400050">
            <a:lnSpc>
              <a:spcPct val="90000"/>
            </a:lnSpc>
            <a:spcBef>
              <a:spcPct val="0"/>
            </a:spcBef>
            <a:spcAft>
              <a:spcPct val="35000"/>
            </a:spcAft>
          </a:pPr>
          <a:r>
            <a:rPr lang="en-US" sz="900" kern="1200"/>
            <a:t>Counter-Coalition</a:t>
          </a:r>
        </a:p>
      </dsp:txBody>
      <dsp:txXfrm>
        <a:off x="624975" y="558801"/>
        <a:ext cx="762414" cy="508275"/>
      </dsp:txXfrm>
    </dsp:sp>
    <dsp:sp modelId="{320DEFC3-ED78-E649-B944-82A499C8BC6F}">
      <dsp:nvSpPr>
        <dsp:cNvPr id="0" name=""/>
        <dsp:cNvSpPr/>
      </dsp:nvSpPr>
      <dsp:spPr>
        <a:xfrm>
          <a:off x="2166620" y="1016002"/>
          <a:ext cx="1381525" cy="601834"/>
        </a:xfrm>
        <a:prstGeom prst="rect">
          <a:avLst/>
        </a:prstGeom>
        <a:solidFill>
          <a:schemeClr val="accent2">
            <a:tint val="40000"/>
            <a:alpha val="90000"/>
            <a:hueOff val="1005164"/>
            <a:satOff val="-876"/>
            <a:lumOff val="-1"/>
            <a:alphaOff val="0"/>
          </a:schemeClr>
        </a:solidFill>
        <a:ln w="9525" cap="flat" cmpd="sng" algn="ctr">
          <a:solidFill>
            <a:schemeClr val="accent2">
              <a:tint val="40000"/>
              <a:alpha val="90000"/>
              <a:hueOff val="1005164"/>
              <a:satOff val="-876"/>
              <a:lumOff val="-1"/>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8890" rIns="0" bIns="8890" numCol="1" spcCol="1270" anchor="ctr" anchorCtr="0">
          <a:noAutofit/>
        </a:bodyPr>
        <a:lstStyle/>
        <a:p>
          <a:pPr lvl="0" algn="ctr" defTabSz="622300">
            <a:lnSpc>
              <a:spcPct val="90000"/>
            </a:lnSpc>
            <a:spcBef>
              <a:spcPct val="0"/>
            </a:spcBef>
            <a:spcAft>
              <a:spcPct val="35000"/>
            </a:spcAft>
          </a:pPr>
          <a:r>
            <a:rPr lang="en-US" sz="1400" kern="1200"/>
            <a:t>End of Occupation</a:t>
          </a:r>
        </a:p>
      </dsp:txBody>
      <dsp:txXfrm>
        <a:off x="2166620" y="1016002"/>
        <a:ext cx="1381525" cy="601834"/>
      </dsp:txXfrm>
    </dsp:sp>
    <dsp:sp modelId="{6598BA79-15BD-124D-A868-C6F4735ADC03}">
      <dsp:nvSpPr>
        <dsp:cNvPr id="0" name=""/>
        <dsp:cNvSpPr/>
      </dsp:nvSpPr>
      <dsp:spPr>
        <a:xfrm>
          <a:off x="370837" y="1130303"/>
          <a:ext cx="1270689" cy="508275"/>
        </a:xfrm>
        <a:prstGeom prst="chevron">
          <a:avLst/>
        </a:prstGeom>
        <a:gradFill rotWithShape="0">
          <a:gsLst>
            <a:gs pos="0">
              <a:schemeClr val="accent2">
                <a:hueOff val="1560506"/>
                <a:satOff val="-1946"/>
                <a:lumOff val="458"/>
                <a:alphaOff val="0"/>
                <a:tint val="50000"/>
                <a:satMod val="300000"/>
              </a:schemeClr>
            </a:gs>
            <a:gs pos="35000">
              <a:schemeClr val="accent2">
                <a:hueOff val="1560506"/>
                <a:satOff val="-1946"/>
                <a:lumOff val="458"/>
                <a:alphaOff val="0"/>
                <a:tint val="37000"/>
                <a:satMod val="300000"/>
              </a:schemeClr>
            </a:gs>
            <a:gs pos="100000">
              <a:schemeClr val="accent2">
                <a:hueOff val="1560506"/>
                <a:satOff val="-1946"/>
                <a:lumOff val="45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5715" rIns="0" bIns="5715" numCol="1" spcCol="1270" anchor="ctr" anchorCtr="0">
          <a:noAutofit/>
        </a:bodyPr>
        <a:lstStyle/>
        <a:p>
          <a:pPr lvl="0" algn="ctr" defTabSz="400050">
            <a:lnSpc>
              <a:spcPct val="90000"/>
            </a:lnSpc>
            <a:spcBef>
              <a:spcPct val="0"/>
            </a:spcBef>
            <a:spcAft>
              <a:spcPct val="35000"/>
            </a:spcAft>
          </a:pPr>
          <a:r>
            <a:rPr lang="en-US" sz="900" kern="1200"/>
            <a:t>Counter-collaboration</a:t>
          </a:r>
        </a:p>
      </dsp:txBody>
      <dsp:txXfrm>
        <a:off x="624975" y="1130303"/>
        <a:ext cx="762414" cy="508275"/>
      </dsp:txXfrm>
    </dsp:sp>
    <dsp:sp modelId="{8A56DCE2-71E1-B445-9B22-89BEDAD42D8F}">
      <dsp:nvSpPr>
        <dsp:cNvPr id="0" name=""/>
        <dsp:cNvSpPr/>
      </dsp:nvSpPr>
      <dsp:spPr>
        <a:xfrm>
          <a:off x="2166620" y="1701802"/>
          <a:ext cx="1386925" cy="556529"/>
        </a:xfrm>
        <a:prstGeom prst="rect">
          <a:avLst/>
        </a:prstGeom>
        <a:solidFill>
          <a:schemeClr val="accent2">
            <a:tint val="40000"/>
            <a:alpha val="90000"/>
            <a:hueOff val="2010328"/>
            <a:satOff val="-1751"/>
            <a:lumOff val="-2"/>
            <a:alphaOff val="0"/>
          </a:schemeClr>
        </a:solidFill>
        <a:ln w="9525" cap="flat" cmpd="sng" algn="ctr">
          <a:solidFill>
            <a:schemeClr val="accent2">
              <a:tint val="40000"/>
              <a:alpha val="90000"/>
              <a:hueOff val="2010328"/>
              <a:satOff val="-1751"/>
              <a:lumOff val="-2"/>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8890" rIns="0" bIns="8890" numCol="1" spcCol="1270" anchor="ctr" anchorCtr="0">
          <a:noAutofit/>
        </a:bodyPr>
        <a:lstStyle/>
        <a:p>
          <a:pPr lvl="0" algn="ctr" defTabSz="622300">
            <a:lnSpc>
              <a:spcPct val="90000"/>
            </a:lnSpc>
            <a:spcBef>
              <a:spcPct val="0"/>
            </a:spcBef>
            <a:spcAft>
              <a:spcPct val="35000"/>
            </a:spcAft>
          </a:pPr>
          <a:r>
            <a:rPr lang="en-US" sz="1400" kern="1200"/>
            <a:t>Failure of Political Processes </a:t>
          </a:r>
        </a:p>
      </dsp:txBody>
      <dsp:txXfrm>
        <a:off x="2166620" y="1701802"/>
        <a:ext cx="1386925" cy="556529"/>
      </dsp:txXfrm>
    </dsp:sp>
    <dsp:sp modelId="{AB5B746B-A695-4B43-BB47-09533D241D37}">
      <dsp:nvSpPr>
        <dsp:cNvPr id="0" name=""/>
        <dsp:cNvSpPr/>
      </dsp:nvSpPr>
      <dsp:spPr>
        <a:xfrm>
          <a:off x="370837" y="1701802"/>
          <a:ext cx="1270689" cy="508275"/>
        </a:xfrm>
        <a:prstGeom prst="chevron">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5715" rIns="0" bIns="5715" numCol="1" spcCol="1270" anchor="ctr" anchorCtr="0">
          <a:noAutofit/>
        </a:bodyPr>
        <a:lstStyle/>
        <a:p>
          <a:pPr lvl="0" algn="ctr" defTabSz="400050">
            <a:lnSpc>
              <a:spcPct val="90000"/>
            </a:lnSpc>
            <a:spcBef>
              <a:spcPct val="0"/>
            </a:spcBef>
            <a:spcAft>
              <a:spcPct val="35000"/>
            </a:spcAft>
          </a:pPr>
          <a:r>
            <a:rPr lang="en-US" sz="900" kern="1200"/>
            <a:t>Counter-stability</a:t>
          </a:r>
        </a:p>
      </dsp:txBody>
      <dsp:txXfrm>
        <a:off x="624975" y="1701802"/>
        <a:ext cx="762414" cy="508275"/>
      </dsp:txXfrm>
    </dsp:sp>
    <dsp:sp modelId="{8749FE30-03A1-B74D-922E-695A37162FAE}">
      <dsp:nvSpPr>
        <dsp:cNvPr id="0" name=""/>
        <dsp:cNvSpPr/>
      </dsp:nvSpPr>
      <dsp:spPr>
        <a:xfrm>
          <a:off x="2166615" y="2387601"/>
          <a:ext cx="1395299" cy="668674"/>
        </a:xfrm>
        <a:prstGeom prst="rect">
          <a:avLst/>
        </a:prstGeom>
        <a:solidFill>
          <a:schemeClr val="accent2">
            <a:tint val="40000"/>
            <a:alpha val="90000"/>
            <a:hueOff val="3015493"/>
            <a:satOff val="-2627"/>
            <a:lumOff val="-4"/>
            <a:alphaOff val="0"/>
          </a:schemeClr>
        </a:solidFill>
        <a:ln w="9525" cap="flat" cmpd="sng" algn="ctr">
          <a:solidFill>
            <a:schemeClr val="accent2">
              <a:tint val="40000"/>
              <a:alpha val="90000"/>
              <a:hueOff val="3015493"/>
              <a:satOff val="-2627"/>
              <a:lumOff val="-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8890" rIns="0" bIns="8890" numCol="1" spcCol="1270" anchor="ctr" anchorCtr="0">
          <a:noAutofit/>
        </a:bodyPr>
        <a:lstStyle/>
        <a:p>
          <a:pPr lvl="0" algn="ctr" defTabSz="622300">
            <a:lnSpc>
              <a:spcPct val="90000"/>
            </a:lnSpc>
            <a:spcBef>
              <a:spcPct val="0"/>
            </a:spcBef>
            <a:spcAft>
              <a:spcPct val="35000"/>
            </a:spcAft>
          </a:pPr>
          <a:r>
            <a:rPr lang="en-US" sz="1400" kern="1200"/>
            <a:t>Capture of Political Processes</a:t>
          </a:r>
        </a:p>
      </dsp:txBody>
      <dsp:txXfrm>
        <a:off x="2166615" y="2387601"/>
        <a:ext cx="1395299" cy="668674"/>
      </dsp:txXfrm>
    </dsp:sp>
    <dsp:sp modelId="{C91D79BA-B2BD-F14D-81B9-A60442A69661}">
      <dsp:nvSpPr>
        <dsp:cNvPr id="0" name=""/>
        <dsp:cNvSpPr/>
      </dsp:nvSpPr>
      <dsp:spPr>
        <a:xfrm>
          <a:off x="3881122" y="1701800"/>
          <a:ext cx="1732330" cy="675234"/>
        </a:xfrm>
        <a:prstGeom prst="rect">
          <a:avLst/>
        </a:prstGeom>
        <a:solidFill>
          <a:schemeClr val="accent2">
            <a:tint val="40000"/>
            <a:alpha val="90000"/>
            <a:hueOff val="4020657"/>
            <a:satOff val="-3502"/>
            <a:lumOff val="-5"/>
            <a:alphaOff val="0"/>
          </a:schemeClr>
        </a:solidFill>
        <a:ln w="9525" cap="flat" cmpd="sng" algn="ctr">
          <a:solidFill>
            <a:schemeClr val="accent2">
              <a:tint val="40000"/>
              <a:alpha val="90000"/>
              <a:hueOff val="4020657"/>
              <a:satOff val="-3502"/>
              <a:lumOff val="-5"/>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8890" rIns="0" bIns="8890" numCol="1" spcCol="1270" anchor="ctr" anchorCtr="0">
          <a:noAutofit/>
        </a:bodyPr>
        <a:lstStyle/>
        <a:p>
          <a:pPr lvl="0" algn="ctr" defTabSz="622300">
            <a:lnSpc>
              <a:spcPct val="90000"/>
            </a:lnSpc>
            <a:spcBef>
              <a:spcPct val="0"/>
            </a:spcBef>
            <a:spcAft>
              <a:spcPct val="35000"/>
            </a:spcAft>
          </a:pPr>
          <a:r>
            <a:rPr lang="en-US" sz="1400" b="1" kern="1200"/>
            <a:t>Islamic Caliphate</a:t>
          </a:r>
        </a:p>
        <a:p>
          <a:pPr lvl="0" algn="ctr" defTabSz="622300">
            <a:lnSpc>
              <a:spcPct val="90000"/>
            </a:lnSpc>
            <a:spcBef>
              <a:spcPct val="0"/>
            </a:spcBef>
            <a:spcAft>
              <a:spcPct val="35000"/>
            </a:spcAft>
          </a:pPr>
          <a:endParaRPr lang="en-US" sz="1400" kern="1200"/>
        </a:p>
      </dsp:txBody>
      <dsp:txXfrm>
        <a:off x="3881122" y="1701800"/>
        <a:ext cx="1732330" cy="675234"/>
      </dsp:txXfrm>
    </dsp:sp>
    <dsp:sp modelId="{6A087AAC-D2F9-C245-9C7B-78EB7595D748}">
      <dsp:nvSpPr>
        <dsp:cNvPr id="0" name=""/>
        <dsp:cNvSpPr/>
      </dsp:nvSpPr>
      <dsp:spPr>
        <a:xfrm>
          <a:off x="337824" y="2273298"/>
          <a:ext cx="1270689" cy="508275"/>
        </a:xfrm>
        <a:prstGeom prst="chevron">
          <a:avLst/>
        </a:prstGeom>
        <a:gradFill rotWithShape="0">
          <a:gsLst>
            <a:gs pos="0">
              <a:schemeClr val="accent2">
                <a:hueOff val="3121013"/>
                <a:satOff val="-3893"/>
                <a:lumOff val="915"/>
                <a:alphaOff val="0"/>
                <a:tint val="50000"/>
                <a:satMod val="300000"/>
              </a:schemeClr>
            </a:gs>
            <a:gs pos="35000">
              <a:schemeClr val="accent2">
                <a:hueOff val="3121013"/>
                <a:satOff val="-3893"/>
                <a:lumOff val="915"/>
                <a:alphaOff val="0"/>
                <a:tint val="37000"/>
                <a:satMod val="300000"/>
              </a:schemeClr>
            </a:gs>
            <a:gs pos="100000">
              <a:schemeClr val="accent2">
                <a:hueOff val="3121013"/>
                <a:satOff val="-3893"/>
                <a:lumOff val="91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5715" rIns="0" bIns="5715" numCol="1" spcCol="1270" anchor="ctr" anchorCtr="0">
          <a:noAutofit/>
        </a:bodyPr>
        <a:lstStyle/>
        <a:p>
          <a:pPr lvl="0" algn="ctr" defTabSz="400050">
            <a:lnSpc>
              <a:spcPct val="90000"/>
            </a:lnSpc>
            <a:spcBef>
              <a:spcPct val="0"/>
            </a:spcBef>
            <a:spcAft>
              <a:spcPct val="35000"/>
            </a:spcAft>
          </a:pPr>
          <a:r>
            <a:rPr lang="en-US" sz="900" kern="1200"/>
            <a:t>Counter-reconstruction</a:t>
          </a:r>
        </a:p>
      </dsp:txBody>
      <dsp:txXfrm>
        <a:off x="591962" y="2273298"/>
        <a:ext cx="762414" cy="508275"/>
      </dsp:txXfrm>
    </dsp:sp>
    <dsp:sp modelId="{4DEEADE0-CA07-6F47-A9B1-86CA3264C3EF}">
      <dsp:nvSpPr>
        <dsp:cNvPr id="0" name=""/>
        <dsp:cNvSpPr/>
      </dsp:nvSpPr>
      <dsp:spPr>
        <a:xfrm>
          <a:off x="4109725" y="0"/>
          <a:ext cx="1231329" cy="467131"/>
        </a:xfrm>
        <a:prstGeom prst="rect">
          <a:avLst/>
        </a:prstGeom>
        <a:solidFill>
          <a:schemeClr val="accent2">
            <a:tint val="40000"/>
            <a:alpha val="90000"/>
            <a:hueOff val="5025821"/>
            <a:satOff val="-4378"/>
            <a:lumOff val="-6"/>
            <a:alphaOff val="0"/>
          </a:schemeClr>
        </a:solidFill>
        <a:ln w="9525" cap="flat" cmpd="sng" algn="ctr">
          <a:solidFill>
            <a:schemeClr val="accent2">
              <a:tint val="40000"/>
              <a:alpha val="90000"/>
              <a:hueOff val="5025821"/>
              <a:satOff val="-4378"/>
              <a:lumOff val="-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8890" rIns="0" bIns="8890" numCol="1" spcCol="1270" anchor="ctr" anchorCtr="0">
          <a:noAutofit/>
        </a:bodyPr>
        <a:lstStyle/>
        <a:p>
          <a:pPr lvl="0" algn="ctr" defTabSz="622300">
            <a:lnSpc>
              <a:spcPct val="90000"/>
            </a:lnSpc>
            <a:spcBef>
              <a:spcPct val="0"/>
            </a:spcBef>
            <a:spcAft>
              <a:spcPct val="35000"/>
            </a:spcAft>
          </a:pPr>
          <a:r>
            <a:rPr lang="en-US" sz="1400" b="1" u="sng" kern="1200"/>
            <a:t>Desired End State</a:t>
          </a:r>
        </a:p>
      </dsp:txBody>
      <dsp:txXfrm>
        <a:off x="4109725" y="0"/>
        <a:ext cx="1231329" cy="467131"/>
      </dsp:txXfrm>
    </dsp:sp>
    <dsp:sp modelId="{9E1E9EE3-91AB-C145-9E3F-64515D927C96}">
      <dsp:nvSpPr>
        <dsp:cNvPr id="0" name=""/>
        <dsp:cNvSpPr/>
      </dsp:nvSpPr>
      <dsp:spPr>
        <a:xfrm>
          <a:off x="337824" y="2844798"/>
          <a:ext cx="1270689" cy="508275"/>
        </a:xfrm>
        <a:prstGeom prst="chevron">
          <a:avLst/>
        </a:prstGeom>
        <a:gradFill rotWithShape="0">
          <a:gsLst>
            <a:gs pos="0">
              <a:schemeClr val="accent2">
                <a:hueOff val="3901266"/>
                <a:satOff val="-4866"/>
                <a:lumOff val="1144"/>
                <a:alphaOff val="0"/>
                <a:tint val="50000"/>
                <a:satMod val="300000"/>
              </a:schemeClr>
            </a:gs>
            <a:gs pos="35000">
              <a:schemeClr val="accent2">
                <a:hueOff val="3901266"/>
                <a:satOff val="-4866"/>
                <a:lumOff val="1144"/>
                <a:alphaOff val="0"/>
                <a:tint val="37000"/>
                <a:satMod val="300000"/>
              </a:schemeClr>
            </a:gs>
            <a:gs pos="100000">
              <a:schemeClr val="accent2">
                <a:hueOff val="3901266"/>
                <a:satOff val="-4866"/>
                <a:lumOff val="1144"/>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5715" rIns="0" bIns="5715" numCol="1" spcCol="1270" anchor="ctr" anchorCtr="0">
          <a:noAutofit/>
        </a:bodyPr>
        <a:lstStyle/>
        <a:p>
          <a:pPr lvl="0" algn="ctr" defTabSz="400050">
            <a:lnSpc>
              <a:spcPct val="90000"/>
            </a:lnSpc>
            <a:spcBef>
              <a:spcPct val="0"/>
            </a:spcBef>
            <a:spcAft>
              <a:spcPct val="35000"/>
            </a:spcAft>
          </a:pPr>
          <a:r>
            <a:rPr lang="en-US" sz="900" kern="1200"/>
            <a:t>Counter-mobility</a:t>
          </a:r>
        </a:p>
      </dsp:txBody>
      <dsp:txXfrm>
        <a:off x="591962" y="2844798"/>
        <a:ext cx="762414" cy="508275"/>
      </dsp:txXfrm>
    </dsp:sp>
    <dsp:sp modelId="{30CB7BE3-E51A-C448-B339-E2763B4AC853}">
      <dsp:nvSpPr>
        <dsp:cNvPr id="0" name=""/>
        <dsp:cNvSpPr/>
      </dsp:nvSpPr>
      <dsp:spPr>
        <a:xfrm>
          <a:off x="337824" y="3416298"/>
          <a:ext cx="1270689" cy="508275"/>
        </a:xfrm>
        <a:prstGeom prst="chevron">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5715" rIns="0" bIns="5715" numCol="1" spcCol="1270" anchor="ctr" anchorCtr="0">
          <a:noAutofit/>
        </a:bodyPr>
        <a:lstStyle/>
        <a:p>
          <a:pPr lvl="0" algn="ctr" defTabSz="400050">
            <a:lnSpc>
              <a:spcPct val="90000"/>
            </a:lnSpc>
            <a:spcBef>
              <a:spcPct val="0"/>
            </a:spcBef>
            <a:spcAft>
              <a:spcPct val="35000"/>
            </a:spcAft>
          </a:pPr>
          <a:r>
            <a:rPr lang="en-US" sz="900" kern="1200"/>
            <a:t>Temporary Lines of Operation</a:t>
          </a:r>
        </a:p>
      </dsp:txBody>
      <dsp:txXfrm>
        <a:off x="591962" y="3416298"/>
        <a:ext cx="762414" cy="50827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1AE7499C771F444A53E0DEF677E9210"/>
        <w:category>
          <w:name w:val="General"/>
          <w:gallery w:val="placeholder"/>
        </w:category>
        <w:types>
          <w:type w:val="bbPlcHdr"/>
        </w:types>
        <w:behaviors>
          <w:behavior w:val="content"/>
        </w:behaviors>
        <w:guid w:val="{E56330CE-DFEA-1D48-8808-50C443D21066}"/>
      </w:docPartPr>
      <w:docPartBody>
        <w:p w:rsidR="008255B2" w:rsidRDefault="005E7EE5" w:rsidP="005E7EE5">
          <w:pPr>
            <w:pStyle w:val="E1AE7499C771F444A53E0DEF677E9210"/>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Optima">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411"/>
    <w:rsid w:val="0001274E"/>
    <w:rsid w:val="00370B7E"/>
    <w:rsid w:val="005E7EE5"/>
    <w:rsid w:val="008255B2"/>
    <w:rsid w:val="00847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64206037B5824EA1C9CE71E39650FF">
    <w:name w:val="7A64206037B5824EA1C9CE71E39650FF"/>
    <w:rsid w:val="00847411"/>
  </w:style>
  <w:style w:type="paragraph" w:customStyle="1" w:styleId="309AB9614BE6D5429CB1E8E576ED633A">
    <w:name w:val="309AB9614BE6D5429CB1E8E576ED633A"/>
    <w:rsid w:val="00847411"/>
  </w:style>
  <w:style w:type="paragraph" w:customStyle="1" w:styleId="47E629119DE8124E91A5F71F8F133C1E">
    <w:name w:val="47E629119DE8124E91A5F71F8F133C1E"/>
    <w:rsid w:val="00847411"/>
  </w:style>
  <w:style w:type="paragraph" w:customStyle="1" w:styleId="3BBE40479183EF4AA0DFF4AD8F12CBC2">
    <w:name w:val="3BBE40479183EF4AA0DFF4AD8F12CBC2"/>
    <w:rsid w:val="00847411"/>
  </w:style>
  <w:style w:type="paragraph" w:customStyle="1" w:styleId="8A31B853EF33F44E9A7F8F616A2C10FE">
    <w:name w:val="8A31B853EF33F44E9A7F8F616A2C10FE"/>
    <w:rsid w:val="005E7EE5"/>
  </w:style>
  <w:style w:type="paragraph" w:customStyle="1" w:styleId="5F79687E7BE42B4CAD9AAE92087D6481">
    <w:name w:val="5F79687E7BE42B4CAD9AAE92087D6481"/>
    <w:rsid w:val="005E7EE5"/>
  </w:style>
  <w:style w:type="paragraph" w:customStyle="1" w:styleId="DEAC6C12A71BBD4DA4C581FC6C9435FB">
    <w:name w:val="DEAC6C12A71BBD4DA4C581FC6C9435FB"/>
    <w:rsid w:val="005E7EE5"/>
  </w:style>
  <w:style w:type="paragraph" w:customStyle="1" w:styleId="E5497361A3BE014E83537DD18681EF8C">
    <w:name w:val="E5497361A3BE014E83537DD18681EF8C"/>
    <w:rsid w:val="005E7EE5"/>
  </w:style>
  <w:style w:type="paragraph" w:customStyle="1" w:styleId="96DA8309A5AEDD419DFF4DE832ADAF96">
    <w:name w:val="96DA8309A5AEDD419DFF4DE832ADAF96"/>
    <w:rsid w:val="005E7EE5"/>
  </w:style>
  <w:style w:type="paragraph" w:customStyle="1" w:styleId="DE6B5191C64D9B4B970D91961BAFC5C4">
    <w:name w:val="DE6B5191C64D9B4B970D91961BAFC5C4"/>
    <w:rsid w:val="005E7EE5"/>
  </w:style>
  <w:style w:type="paragraph" w:customStyle="1" w:styleId="9CD566075E40214CAE80C7D29DAC6339">
    <w:name w:val="9CD566075E40214CAE80C7D29DAC6339"/>
    <w:rsid w:val="005E7EE5"/>
  </w:style>
  <w:style w:type="paragraph" w:customStyle="1" w:styleId="E52708C4AB36564C85C16BD88BE472C3">
    <w:name w:val="E52708C4AB36564C85C16BD88BE472C3"/>
    <w:rsid w:val="005E7EE5"/>
  </w:style>
  <w:style w:type="paragraph" w:customStyle="1" w:styleId="E1AE7499C771F444A53E0DEF677E9210">
    <w:name w:val="E1AE7499C771F444A53E0DEF677E9210"/>
    <w:rsid w:val="005E7EE5"/>
  </w:style>
  <w:style w:type="paragraph" w:customStyle="1" w:styleId="AE1C8ACC91FA2B47B98EC05D6C0C400C">
    <w:name w:val="AE1C8ACC91FA2B47B98EC05D6C0C400C"/>
    <w:rsid w:val="005E7E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Two Sides of the COIN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9BFBD1-192A-498E-B341-2FD6D91D9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102</Pages>
  <Words>30101</Words>
  <Characters>171580</Characters>
  <Application>Microsoft Office Word</Application>
  <DocSecurity>4</DocSecurity>
  <Lines>1429</Lines>
  <Paragraphs>402</Paragraphs>
  <ScaleCrop>false</ScaleCrop>
  <HeadingPairs>
    <vt:vector size="2" baseType="variant">
      <vt:variant>
        <vt:lpstr>Title</vt:lpstr>
      </vt:variant>
      <vt:variant>
        <vt:i4>1</vt:i4>
      </vt:variant>
    </vt:vector>
  </HeadingPairs>
  <TitlesOfParts>
    <vt:vector size="1" baseType="lpstr">
      <vt:lpstr>Two Sides of the COIN:                             The Path to Counterinsurgent Success</vt:lpstr>
    </vt:vector>
  </TitlesOfParts>
  <Company>chantelleholthuis@gmail.com</Company>
  <LinksUpToDate>false</LinksUpToDate>
  <CharactersWithSpaces>201279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Two Sides of the COIN:                             The Path to Counterinsurgent Success</dc:title>
  <dc:subject/>
  <dc:creator>Chante lle Holthuis</dc:creator>
  <cp:keywords/>
  <dc:description/>
  <cp:lastModifiedBy>Esther Caddy</cp:lastModifiedBy>
  <cp:revision>2</cp:revision>
  <dcterms:created xsi:type="dcterms:W3CDTF">2013-08-29T20:59:00Z</dcterms:created>
  <dcterms:modified xsi:type="dcterms:W3CDTF">2013-08-29T20:59:00Z</dcterms:modified>
</cp:coreProperties>
</file>